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emf" ContentType="image/x-emf"/>
  <Default Extension="jpeg" ContentType="image/jpeg"/>
  <Default Extension="JPG" ContentType="image/.jpg"/>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DA35D3B">
      <w:pPr>
        <w:rPr>
          <w:rFonts w:hint="eastAsia" w:ascii="仿宋_GB2312" w:hAnsi="仿宋_GB2312" w:eastAsia="仿宋_GB2312" w:cs="仿宋_GB2312"/>
          <w:color w:val="auto"/>
          <w:sz w:val="36"/>
          <w:szCs w:val="36"/>
        </w:rPr>
      </w:pPr>
    </w:p>
    <w:p w14:paraId="0F3C7CC0">
      <w:pPr>
        <w:rPr>
          <w:rFonts w:hint="eastAsia" w:ascii="仿宋_GB2312" w:hAnsi="仿宋_GB2312" w:eastAsia="仿宋_GB2312" w:cs="仿宋_GB2312"/>
          <w:color w:val="auto"/>
          <w:sz w:val="36"/>
          <w:szCs w:val="36"/>
        </w:rPr>
      </w:pPr>
    </w:p>
    <w:p w14:paraId="41E3E23A">
      <w:pPr>
        <w:adjustRightInd w:val="0"/>
        <w:snapToGrid w:val="0"/>
        <w:jc w:val="center"/>
        <w:outlineLvl w:val="9"/>
        <w:rPr>
          <w:rFonts w:hint="eastAsia" w:ascii="宋体" w:hAnsi="宋体" w:eastAsia="宋体" w:cs="宋体"/>
          <w:b/>
          <w:bCs w:val="0"/>
          <w:color w:val="auto"/>
          <w:sz w:val="72"/>
          <w:szCs w:val="72"/>
        </w:rPr>
      </w:pPr>
      <w:bookmarkStart w:id="0" w:name="_Toc186098076"/>
      <w:bookmarkStart w:id="1" w:name="_Toc182395790"/>
      <w:r>
        <w:rPr>
          <w:rFonts w:hint="eastAsia" w:ascii="宋体" w:hAnsi="宋体" w:eastAsia="宋体" w:cs="宋体"/>
          <w:b/>
          <w:bCs w:val="0"/>
          <w:color w:val="auto"/>
          <w:sz w:val="72"/>
          <w:szCs w:val="72"/>
        </w:rPr>
        <w:t>建设项目环境影响报告表</w:t>
      </w:r>
      <w:bookmarkEnd w:id="0"/>
      <w:bookmarkEnd w:id="1"/>
    </w:p>
    <w:p w14:paraId="5E6AA5A8">
      <w:pPr>
        <w:adjustRightInd w:val="0"/>
        <w:snapToGrid w:val="0"/>
        <w:spacing w:before="192" w:beforeLines="80"/>
        <w:jc w:val="center"/>
        <w:rPr>
          <w:rFonts w:hint="eastAsia" w:ascii="楷体" w:hAnsi="楷体" w:eastAsia="楷体"/>
          <w:b/>
          <w:bCs w:val="0"/>
          <w:color w:val="auto"/>
          <w:sz w:val="48"/>
          <w:szCs w:val="48"/>
        </w:rPr>
      </w:pPr>
      <w:r>
        <w:rPr>
          <w:rFonts w:hint="eastAsia" w:ascii="楷体" w:hAnsi="楷体" w:eastAsia="楷体"/>
          <w:b/>
          <w:bCs w:val="0"/>
          <w:color w:val="auto"/>
          <w:sz w:val="48"/>
          <w:szCs w:val="48"/>
        </w:rPr>
        <w:t>（污染影响类）</w:t>
      </w:r>
    </w:p>
    <w:p w14:paraId="1D596607">
      <w:pPr>
        <w:adjustRightInd w:val="0"/>
        <w:snapToGrid w:val="0"/>
        <w:spacing w:before="192" w:beforeLines="80"/>
        <w:jc w:val="center"/>
        <w:rPr>
          <w:rFonts w:ascii="楷体_GB2312" w:eastAsia="楷体_GB2312"/>
          <w:b/>
          <w:bCs w:val="0"/>
          <w:color w:val="auto"/>
          <w:sz w:val="48"/>
          <w:szCs w:val="48"/>
        </w:rPr>
      </w:pPr>
      <w:r>
        <w:rPr>
          <w:rFonts w:hint="eastAsia" w:ascii="楷体_GB2312" w:eastAsia="楷体_GB2312"/>
          <w:b/>
          <w:bCs w:val="0"/>
          <w:color w:val="auto"/>
          <w:sz w:val="48"/>
          <w:szCs w:val="48"/>
        </w:rPr>
        <w:t>（</w:t>
      </w:r>
      <w:r>
        <w:rPr>
          <w:rFonts w:hint="eastAsia" w:ascii="楷体_GB2312" w:eastAsia="楷体_GB2312"/>
          <w:b/>
          <w:bCs w:val="0"/>
          <w:color w:val="auto"/>
          <w:sz w:val="48"/>
          <w:szCs w:val="48"/>
          <w:lang w:val="en-US" w:eastAsia="zh-CN"/>
        </w:rPr>
        <w:t>送审</w:t>
      </w:r>
      <w:r>
        <w:rPr>
          <w:rFonts w:hint="eastAsia" w:ascii="楷体_GB2312" w:eastAsia="楷体_GB2312"/>
          <w:b/>
          <w:bCs w:val="0"/>
          <w:color w:val="auto"/>
          <w:sz w:val="48"/>
          <w:szCs w:val="48"/>
        </w:rPr>
        <w:t>本）</w:t>
      </w:r>
    </w:p>
    <w:p w14:paraId="3C620F06">
      <w:pPr>
        <w:ind w:firstLine="1040"/>
        <w:rPr>
          <w:color w:val="auto"/>
        </w:rPr>
      </w:pPr>
    </w:p>
    <w:p w14:paraId="18E72FB9">
      <w:pPr>
        <w:ind w:firstLine="1040"/>
        <w:rPr>
          <w:rFonts w:eastAsia="仿宋"/>
          <w:color w:val="auto"/>
          <w:sz w:val="44"/>
          <w:szCs w:val="44"/>
        </w:rPr>
      </w:pPr>
    </w:p>
    <w:p w14:paraId="6E84DADE">
      <w:pPr>
        <w:ind w:firstLine="1040"/>
        <w:rPr>
          <w:rFonts w:eastAsia="仿宋"/>
          <w:color w:val="auto"/>
          <w:sz w:val="44"/>
          <w:szCs w:val="44"/>
        </w:rPr>
      </w:pPr>
    </w:p>
    <w:p w14:paraId="79CD6684">
      <w:pPr>
        <w:ind w:firstLine="1040"/>
        <w:rPr>
          <w:rFonts w:eastAsia="仿宋"/>
          <w:color w:val="auto"/>
          <w:sz w:val="44"/>
          <w:szCs w:val="44"/>
        </w:rPr>
      </w:pPr>
    </w:p>
    <w:p w14:paraId="45F10874">
      <w:pPr>
        <w:ind w:firstLine="1040"/>
        <w:rPr>
          <w:rFonts w:eastAsia="仿宋"/>
          <w:color w:val="auto"/>
          <w:sz w:val="44"/>
          <w:szCs w:val="44"/>
        </w:rPr>
      </w:pPr>
    </w:p>
    <w:p w14:paraId="651A26B5">
      <w:pPr>
        <w:ind w:firstLine="1040"/>
        <w:rPr>
          <w:rFonts w:eastAsia="仿宋"/>
          <w:color w:val="auto"/>
          <w:sz w:val="44"/>
          <w:szCs w:val="44"/>
        </w:rPr>
      </w:pPr>
    </w:p>
    <w:p w14:paraId="020A9997">
      <w:pPr>
        <w:ind w:firstLine="1040"/>
        <w:rPr>
          <w:rFonts w:eastAsia="仿宋"/>
          <w:color w:val="auto"/>
          <w:sz w:val="44"/>
          <w:szCs w:val="44"/>
        </w:rPr>
      </w:pPr>
    </w:p>
    <w:p w14:paraId="781E9E2D">
      <w:pPr>
        <w:ind w:firstLine="1040"/>
        <w:rPr>
          <w:rFonts w:eastAsia="仿宋"/>
          <w:color w:val="auto"/>
          <w:sz w:val="44"/>
          <w:szCs w:val="44"/>
        </w:rPr>
      </w:pPr>
    </w:p>
    <w:p w14:paraId="49A7199C">
      <w:pPr>
        <w:adjustRightInd w:val="0"/>
        <w:snapToGrid w:val="0"/>
        <w:spacing w:after="240" w:afterLines="100" w:line="288" w:lineRule="auto"/>
        <w:ind w:firstLine="822" w:firstLineChars="256"/>
        <w:rPr>
          <w:rFonts w:hint="default" w:ascii="Times New Roman" w:hAnsi="Times New Roman" w:eastAsia="宋体" w:cs="Times New Roman"/>
          <w:color w:val="auto"/>
          <w:sz w:val="32"/>
          <w:szCs w:val="32"/>
        </w:rPr>
      </w:pPr>
      <w:r>
        <w:rPr>
          <w:rFonts w:hint="default" w:ascii="Times New Roman" w:hAnsi="Times New Roman" w:eastAsia="宋体" w:cs="Times New Roman"/>
          <w:b/>
          <w:bCs/>
          <w:color w:val="auto"/>
          <w:sz w:val="32"/>
          <w:szCs w:val="32"/>
        </w:rPr>
        <w:t>项目名称：</w:t>
      </w:r>
      <w:r>
        <w:rPr>
          <w:rFonts w:hint="default" w:ascii="Times New Roman" w:hAnsi="Times New Roman" w:eastAsia="宋体" w:cs="Times New Roman"/>
          <w:b/>
          <w:bCs/>
          <w:color w:val="auto"/>
          <w:sz w:val="32"/>
          <w:szCs w:val="32"/>
          <w:u w:val="single"/>
          <w:lang w:val="en-US" w:eastAsia="zh-CN"/>
        </w:rPr>
        <w:t>年产1GWh高倍率半固态电池及20万套电源系统项目</w:t>
      </w:r>
      <w:r>
        <w:rPr>
          <w:rFonts w:hint="default" w:ascii="Times New Roman" w:hAnsi="Times New Roman" w:eastAsia="宋体" w:cs="Times New Roman"/>
          <w:b/>
          <w:bCs/>
          <w:color w:val="auto"/>
          <w:sz w:val="32"/>
          <w:szCs w:val="32"/>
          <w:u w:val="single"/>
        </w:rPr>
        <w:t xml:space="preserve">  </w:t>
      </w:r>
      <w:r>
        <w:rPr>
          <w:rFonts w:hint="default" w:ascii="Times New Roman" w:hAnsi="Times New Roman" w:eastAsia="宋体" w:cs="Times New Roman"/>
          <w:color w:val="auto"/>
          <w:sz w:val="32"/>
          <w:szCs w:val="32"/>
        </w:rPr>
        <w:t xml:space="preserve"> </w:t>
      </w:r>
    </w:p>
    <w:p w14:paraId="2A8E59DA">
      <w:pPr>
        <w:adjustRightInd w:val="0"/>
        <w:snapToGrid w:val="0"/>
        <w:spacing w:after="240" w:afterLines="100" w:line="288" w:lineRule="auto"/>
        <w:ind w:firstLine="822" w:firstLineChars="256"/>
        <w:rPr>
          <w:rFonts w:hint="default" w:ascii="Times New Roman" w:hAnsi="Times New Roman" w:eastAsia="宋体" w:cs="Times New Roman"/>
          <w:b/>
          <w:bCs/>
          <w:color w:val="auto"/>
          <w:sz w:val="32"/>
          <w:szCs w:val="32"/>
          <w:u w:val="single"/>
          <w:lang w:val="en-US" w:eastAsia="zh-CN"/>
        </w:rPr>
      </w:pPr>
      <w:r>
        <w:rPr>
          <w:rFonts w:hint="default" w:ascii="Times New Roman" w:hAnsi="Times New Roman" w:eastAsia="宋体" w:cs="Times New Roman"/>
          <w:b/>
          <w:bCs/>
          <w:color w:val="auto"/>
          <w:sz w:val="32"/>
          <w:szCs w:val="32"/>
        </w:rPr>
        <w:t>建设单位（盖章）：</w:t>
      </w:r>
      <w:r>
        <w:rPr>
          <w:rFonts w:hint="default" w:ascii="Times New Roman" w:hAnsi="Times New Roman" w:eastAsia="宋体" w:cs="Times New Roman"/>
          <w:color w:val="auto"/>
          <w:sz w:val="32"/>
          <w:szCs w:val="32"/>
          <w:u w:val="single"/>
          <w:lang w:val="en-US" w:eastAsia="zh-CN"/>
        </w:rPr>
        <w:t xml:space="preserve">  </w:t>
      </w:r>
      <w:r>
        <w:rPr>
          <w:rFonts w:hint="eastAsia" w:ascii="Times New Roman" w:hAnsi="Times New Roman" w:eastAsia="宋体" w:cs="Times New Roman"/>
          <w:color w:val="auto"/>
          <w:sz w:val="32"/>
          <w:szCs w:val="32"/>
          <w:u w:val="single"/>
          <w:lang w:val="en-US" w:eastAsia="zh-CN"/>
        </w:rPr>
        <w:t xml:space="preserve">  </w:t>
      </w:r>
      <w:r>
        <w:rPr>
          <w:rFonts w:hint="default" w:ascii="Times New Roman" w:hAnsi="Times New Roman" w:eastAsia="宋体" w:cs="Times New Roman"/>
          <w:b/>
          <w:bCs/>
          <w:color w:val="auto"/>
          <w:sz w:val="32"/>
          <w:szCs w:val="32"/>
          <w:u w:val="single"/>
          <w:lang w:val="en-US" w:eastAsia="zh-CN"/>
        </w:rPr>
        <w:t xml:space="preserve">洛储电源科技（巴中）有限公司  </w:t>
      </w:r>
      <w:r>
        <w:rPr>
          <w:rFonts w:hint="eastAsia" w:ascii="Times New Roman" w:hAnsi="Times New Roman" w:eastAsia="宋体" w:cs="Times New Roman"/>
          <w:b/>
          <w:bCs/>
          <w:color w:val="auto"/>
          <w:sz w:val="32"/>
          <w:szCs w:val="32"/>
          <w:u w:val="single"/>
          <w:lang w:val="en-US" w:eastAsia="zh-CN"/>
        </w:rPr>
        <w:t xml:space="preserve">    </w:t>
      </w:r>
      <w:r>
        <w:rPr>
          <w:rFonts w:hint="default" w:ascii="Times New Roman" w:hAnsi="Times New Roman" w:eastAsia="宋体" w:cs="Times New Roman"/>
          <w:b/>
          <w:bCs/>
          <w:color w:val="auto"/>
          <w:sz w:val="32"/>
          <w:szCs w:val="32"/>
          <w:u w:val="single"/>
          <w:lang w:val="en-US" w:eastAsia="zh-CN"/>
        </w:rPr>
        <w:t xml:space="preserve"> </w:t>
      </w:r>
    </w:p>
    <w:p w14:paraId="3219D46A">
      <w:pPr>
        <w:adjustRightInd w:val="0"/>
        <w:snapToGrid w:val="0"/>
        <w:spacing w:after="240" w:afterLines="100" w:line="288" w:lineRule="auto"/>
        <w:ind w:firstLine="822" w:firstLineChars="256"/>
        <w:rPr>
          <w:rFonts w:hint="default" w:ascii="Times New Roman" w:hAnsi="Times New Roman" w:eastAsia="宋体" w:cs="Times New Roman"/>
          <w:color w:val="auto"/>
          <w:sz w:val="32"/>
          <w:szCs w:val="32"/>
          <w:u w:val="single"/>
        </w:rPr>
      </w:pPr>
      <w:r>
        <w:rPr>
          <w:rFonts w:hint="default" w:ascii="Times New Roman" w:hAnsi="Times New Roman" w:eastAsia="宋体" w:cs="Times New Roman"/>
          <w:b/>
          <w:bCs/>
          <w:color w:val="auto"/>
          <w:sz w:val="32"/>
          <w:szCs w:val="32"/>
        </w:rPr>
        <w:t>编制日期：</w:t>
      </w:r>
      <w:r>
        <w:rPr>
          <w:rFonts w:hint="default" w:ascii="Times New Roman" w:hAnsi="Times New Roman" w:eastAsia="宋体" w:cs="Times New Roman"/>
          <w:b/>
          <w:bCs/>
          <w:color w:val="auto"/>
          <w:sz w:val="32"/>
          <w:szCs w:val="32"/>
          <w:u w:val="single"/>
        </w:rPr>
        <w:t xml:space="preserve">        </w:t>
      </w:r>
      <w:r>
        <w:rPr>
          <w:rFonts w:hint="eastAsia" w:ascii="Times New Roman" w:hAnsi="Times New Roman" w:eastAsia="宋体" w:cs="Times New Roman"/>
          <w:b/>
          <w:bCs/>
          <w:color w:val="auto"/>
          <w:sz w:val="32"/>
          <w:szCs w:val="32"/>
          <w:u w:val="single"/>
          <w:lang w:val="en-US" w:eastAsia="zh-CN"/>
        </w:rPr>
        <w:t xml:space="preserve">               </w:t>
      </w:r>
      <w:r>
        <w:rPr>
          <w:rFonts w:hint="default" w:ascii="Times New Roman" w:hAnsi="Times New Roman" w:eastAsia="宋体" w:cs="Times New Roman"/>
          <w:b/>
          <w:bCs/>
          <w:color w:val="auto"/>
          <w:sz w:val="32"/>
          <w:szCs w:val="32"/>
          <w:u w:val="single"/>
        </w:rPr>
        <w:t xml:space="preserve">   </w:t>
      </w:r>
      <w:r>
        <w:rPr>
          <w:rFonts w:hint="default" w:ascii="Times New Roman" w:hAnsi="Times New Roman" w:eastAsia="宋体" w:cs="Times New Roman"/>
          <w:b/>
          <w:bCs/>
          <w:color w:val="auto"/>
          <w:sz w:val="32"/>
          <w:szCs w:val="32"/>
          <w:u w:val="single"/>
          <w:lang w:val="en-US" w:eastAsia="zh-CN"/>
        </w:rPr>
        <w:t xml:space="preserve">    </w:t>
      </w:r>
      <w:r>
        <w:rPr>
          <w:rFonts w:hint="default" w:ascii="Times New Roman" w:hAnsi="Times New Roman" w:eastAsia="宋体" w:cs="Times New Roman"/>
          <w:b/>
          <w:bCs/>
          <w:color w:val="auto"/>
          <w:sz w:val="32"/>
          <w:szCs w:val="32"/>
          <w:u w:val="single"/>
        </w:rPr>
        <w:t xml:space="preserve"> 202</w:t>
      </w:r>
      <w:r>
        <w:rPr>
          <w:rFonts w:hint="default" w:ascii="Times New Roman" w:hAnsi="Times New Roman" w:eastAsia="宋体" w:cs="Times New Roman"/>
          <w:b/>
          <w:bCs/>
          <w:color w:val="auto"/>
          <w:sz w:val="32"/>
          <w:szCs w:val="32"/>
          <w:u w:val="single"/>
          <w:lang w:val="en-US" w:eastAsia="zh-CN"/>
        </w:rPr>
        <w:t>6</w:t>
      </w:r>
      <w:r>
        <w:rPr>
          <w:rFonts w:hint="default" w:ascii="Times New Roman" w:hAnsi="Times New Roman" w:eastAsia="宋体" w:cs="Times New Roman"/>
          <w:b/>
          <w:bCs/>
          <w:color w:val="auto"/>
          <w:sz w:val="32"/>
          <w:szCs w:val="32"/>
          <w:u w:val="single"/>
        </w:rPr>
        <w:t>年</w:t>
      </w:r>
      <w:r>
        <w:rPr>
          <w:rFonts w:hint="eastAsia" w:cs="Times New Roman"/>
          <w:b/>
          <w:bCs/>
          <w:color w:val="auto"/>
          <w:sz w:val="32"/>
          <w:szCs w:val="32"/>
          <w:u w:val="single"/>
          <w:lang w:val="en-US" w:eastAsia="zh-CN"/>
        </w:rPr>
        <w:t>7</w:t>
      </w:r>
      <w:r>
        <w:rPr>
          <w:rFonts w:hint="default" w:ascii="Times New Roman" w:hAnsi="Times New Roman" w:eastAsia="宋体" w:cs="Times New Roman"/>
          <w:b/>
          <w:bCs/>
          <w:color w:val="auto"/>
          <w:sz w:val="32"/>
          <w:szCs w:val="32"/>
          <w:u w:val="single"/>
        </w:rPr>
        <w:t xml:space="preserve">月   </w:t>
      </w:r>
      <w:r>
        <w:rPr>
          <w:rFonts w:hint="eastAsia" w:ascii="Times New Roman" w:hAnsi="Times New Roman" w:eastAsia="宋体" w:cs="Times New Roman"/>
          <w:b/>
          <w:bCs/>
          <w:color w:val="auto"/>
          <w:sz w:val="32"/>
          <w:szCs w:val="32"/>
          <w:u w:val="single"/>
          <w:lang w:val="en-US" w:eastAsia="zh-CN"/>
        </w:rPr>
        <w:t xml:space="preserve">                        </w:t>
      </w:r>
      <w:r>
        <w:rPr>
          <w:rFonts w:hint="default" w:ascii="Times New Roman" w:hAnsi="Times New Roman" w:eastAsia="宋体" w:cs="Times New Roman"/>
          <w:b/>
          <w:bCs/>
          <w:color w:val="auto"/>
          <w:sz w:val="32"/>
          <w:szCs w:val="32"/>
          <w:u w:val="single"/>
        </w:rPr>
        <w:t xml:space="preserve">   </w:t>
      </w:r>
      <w:r>
        <w:rPr>
          <w:rFonts w:hint="default" w:ascii="Times New Roman" w:hAnsi="Times New Roman" w:eastAsia="宋体" w:cs="Times New Roman"/>
          <w:color w:val="auto"/>
          <w:sz w:val="32"/>
          <w:szCs w:val="32"/>
          <w:u w:val="single"/>
        </w:rPr>
        <w:t xml:space="preserve">     </w:t>
      </w:r>
      <w:bookmarkStart w:id="2" w:name="_Hlk57884087"/>
    </w:p>
    <w:p w14:paraId="23F6C6A5">
      <w:pPr>
        <w:adjustRightInd w:val="0"/>
        <w:snapToGrid w:val="0"/>
        <w:spacing w:line="288" w:lineRule="auto"/>
        <w:ind w:firstLine="1040"/>
        <w:rPr>
          <w:rFonts w:ascii="仿宋_GB2312" w:eastAsia="仿宋_GB2312"/>
          <w:color w:val="auto"/>
          <w:sz w:val="36"/>
          <w:szCs w:val="36"/>
        </w:rPr>
      </w:pPr>
    </w:p>
    <w:p w14:paraId="4D2F5D24">
      <w:pPr>
        <w:adjustRightInd w:val="0"/>
        <w:snapToGrid w:val="0"/>
        <w:spacing w:line="288" w:lineRule="auto"/>
        <w:ind w:firstLine="1040"/>
        <w:rPr>
          <w:rFonts w:ascii="仿宋_GB2312" w:eastAsia="仿宋_GB2312"/>
          <w:color w:val="auto"/>
          <w:sz w:val="36"/>
          <w:szCs w:val="36"/>
        </w:rPr>
      </w:pPr>
    </w:p>
    <w:p w14:paraId="2D150692">
      <w:pPr>
        <w:adjustRightInd w:val="0"/>
        <w:snapToGrid w:val="0"/>
        <w:spacing w:line="288" w:lineRule="auto"/>
        <w:ind w:firstLine="1040"/>
        <w:rPr>
          <w:rFonts w:ascii="仿宋_GB2312" w:eastAsia="仿宋_GB2312"/>
          <w:color w:val="auto"/>
          <w:sz w:val="36"/>
          <w:szCs w:val="36"/>
        </w:rPr>
      </w:pPr>
    </w:p>
    <w:p w14:paraId="11A7C314">
      <w:pPr>
        <w:adjustRightInd w:val="0"/>
        <w:snapToGrid w:val="0"/>
        <w:spacing w:line="288" w:lineRule="auto"/>
        <w:ind w:firstLine="1040"/>
        <w:rPr>
          <w:rFonts w:ascii="仿宋_GB2312" w:eastAsia="仿宋_GB2312"/>
          <w:color w:val="auto"/>
          <w:sz w:val="36"/>
          <w:szCs w:val="36"/>
        </w:rPr>
      </w:pPr>
    </w:p>
    <w:p w14:paraId="1AA9D660">
      <w:pPr>
        <w:adjustRightInd w:val="0"/>
        <w:snapToGrid w:val="0"/>
        <w:spacing w:line="288" w:lineRule="auto"/>
        <w:ind w:firstLine="1040"/>
        <w:rPr>
          <w:rFonts w:ascii="仿宋_GB2312" w:eastAsia="仿宋_GB2312"/>
          <w:color w:val="auto"/>
          <w:sz w:val="36"/>
          <w:szCs w:val="36"/>
        </w:rPr>
      </w:pPr>
    </w:p>
    <w:bookmarkEnd w:id="2"/>
    <w:p w14:paraId="208D1E64">
      <w:pPr>
        <w:adjustRightInd w:val="0"/>
        <w:snapToGrid w:val="0"/>
        <w:spacing w:line="288" w:lineRule="auto"/>
        <w:jc w:val="center"/>
        <w:rPr>
          <w:rFonts w:hint="eastAsia" w:ascii="楷体" w:hAnsi="楷体" w:eastAsia="楷体"/>
          <w:color w:val="auto"/>
          <w:sz w:val="36"/>
          <w:szCs w:val="36"/>
        </w:rPr>
      </w:pPr>
      <w:r>
        <w:rPr>
          <w:rFonts w:hint="eastAsia" w:ascii="楷体" w:hAnsi="楷体" w:eastAsia="楷体"/>
          <w:color w:val="auto"/>
          <w:sz w:val="36"/>
          <w:szCs w:val="36"/>
        </w:rPr>
        <w:t>中华人民共和国生态环境部制</w:t>
      </w:r>
    </w:p>
    <w:sdt>
      <w:sdtPr>
        <w:rPr>
          <w:rFonts w:ascii="宋体" w:hAnsi="宋体" w:eastAsia="宋体" w:cs="Times New Roman"/>
          <w:b/>
          <w:bCs/>
          <w:color w:val="auto"/>
          <w:kern w:val="2"/>
          <w:sz w:val="44"/>
          <w:szCs w:val="44"/>
          <w:lang w:val="en-US" w:eastAsia="zh-CN" w:bidi="ar-SA"/>
        </w:rPr>
        <w:id w:val="147476269"/>
        <w15:color w:val="DBDBDB"/>
        <w:docPartObj>
          <w:docPartGallery w:val="Table of Contents"/>
          <w:docPartUnique/>
        </w:docPartObj>
      </w:sdtPr>
      <w:sdtEndPr>
        <w:rPr>
          <w:rFonts w:hint="eastAsia" w:ascii="楷体" w:hAnsi="楷体" w:eastAsia="楷体" w:cs="Times New Roman"/>
          <w:b/>
          <w:bCs/>
          <w:color w:val="auto"/>
          <w:kern w:val="2"/>
          <w:sz w:val="21"/>
          <w:szCs w:val="36"/>
          <w:lang w:val="en-US" w:eastAsia="zh-CN" w:bidi="ar-SA"/>
        </w:rPr>
      </w:sdtEndPr>
      <w:sdtContent>
        <w:p w14:paraId="1404290E">
          <w:pPr>
            <w:spacing w:before="0" w:beforeLines="0" w:after="0" w:afterLines="0" w:line="240" w:lineRule="auto"/>
            <w:ind w:left="0" w:leftChars="0" w:right="0" w:rightChars="0" w:firstLine="0" w:firstLineChars="0"/>
            <w:jc w:val="center"/>
            <w:rPr>
              <w:b/>
              <w:bCs/>
              <w:color w:val="auto"/>
              <w:sz w:val="44"/>
              <w:szCs w:val="44"/>
            </w:rPr>
          </w:pPr>
          <w:r>
            <w:rPr>
              <w:rFonts w:ascii="宋体" w:hAnsi="宋体" w:eastAsia="宋体"/>
              <w:b/>
              <w:bCs/>
              <w:color w:val="auto"/>
              <w:sz w:val="44"/>
              <w:szCs w:val="44"/>
            </w:rPr>
            <w:t>目录</w:t>
          </w:r>
        </w:p>
        <w:p w14:paraId="78E884E9">
          <w:pPr>
            <w:pStyle w:val="31"/>
            <w:tabs>
              <w:tab w:val="right" w:leader="hyphen" w:pos="8844"/>
            </w:tabs>
            <w:spacing w:line="360" w:lineRule="auto"/>
            <w:rPr>
              <w:rFonts w:hint="default" w:ascii="Times New Roman" w:hAnsi="Times New Roman" w:eastAsia="宋体" w:cs="Times New Roman"/>
              <w:color w:val="auto"/>
              <w:sz w:val="24"/>
              <w:szCs w:val="24"/>
            </w:rPr>
          </w:pPr>
          <w:r>
            <w:rPr>
              <w:rFonts w:hint="eastAsia" w:ascii="楷体" w:hAnsi="楷体" w:eastAsia="楷体"/>
              <w:color w:val="auto"/>
              <w:sz w:val="36"/>
              <w:szCs w:val="36"/>
            </w:rPr>
            <w:fldChar w:fldCharType="begin"/>
          </w:r>
          <w:r>
            <w:rPr>
              <w:rFonts w:hint="eastAsia" w:ascii="楷体" w:hAnsi="楷体" w:eastAsia="楷体"/>
              <w:color w:val="auto"/>
              <w:sz w:val="36"/>
              <w:szCs w:val="36"/>
            </w:rPr>
            <w:instrText xml:space="preserve">TOC \o "1-3" \h \u </w:instrText>
          </w:r>
          <w:r>
            <w:rPr>
              <w:rFonts w:hint="eastAsia" w:ascii="楷体" w:hAnsi="楷体" w:eastAsia="楷体"/>
              <w:color w:val="auto"/>
              <w:sz w:val="36"/>
              <w:szCs w:val="36"/>
            </w:rPr>
            <w:fldChar w:fldCharType="separate"/>
          </w: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HYPERLINK \l _Toc4939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snapToGrid w:val="0"/>
              <w:color w:val="auto"/>
              <w:sz w:val="24"/>
              <w:szCs w:val="24"/>
            </w:rPr>
            <w:t>一、建设项目基本情况</w:t>
          </w:r>
          <w:r>
            <w:rPr>
              <w:rFonts w:hint="default" w:ascii="Times New Roman" w:hAnsi="Times New Roman" w:eastAsia="宋体" w:cs="Times New Roman"/>
              <w:color w:val="auto"/>
              <w:sz w:val="24"/>
              <w:szCs w:val="24"/>
            </w:rPr>
            <w:tab/>
          </w: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PAGEREF _Toc4939 \h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color w:val="auto"/>
              <w:sz w:val="24"/>
              <w:szCs w:val="24"/>
            </w:rPr>
            <w:t>1</w:t>
          </w:r>
          <w:r>
            <w:rPr>
              <w:rFonts w:hint="default" w:ascii="Times New Roman" w:hAnsi="Times New Roman" w:eastAsia="宋体" w:cs="Times New Roman"/>
              <w:color w:val="auto"/>
              <w:sz w:val="24"/>
              <w:szCs w:val="24"/>
            </w:rPr>
            <w:fldChar w:fldCharType="end"/>
          </w:r>
          <w:r>
            <w:rPr>
              <w:rFonts w:hint="default" w:ascii="Times New Roman" w:hAnsi="Times New Roman" w:eastAsia="宋体" w:cs="Times New Roman"/>
              <w:color w:val="auto"/>
              <w:sz w:val="24"/>
              <w:szCs w:val="24"/>
            </w:rPr>
            <w:fldChar w:fldCharType="end"/>
          </w:r>
        </w:p>
        <w:p w14:paraId="2C16F8CF">
          <w:pPr>
            <w:pStyle w:val="31"/>
            <w:tabs>
              <w:tab w:val="right" w:leader="hyphen" w:pos="8844"/>
            </w:tabs>
            <w:spacing w:line="360" w:lineRule="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HYPERLINK \l _Toc20716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snapToGrid w:val="0"/>
              <w:color w:val="auto"/>
              <w:sz w:val="24"/>
              <w:szCs w:val="24"/>
            </w:rPr>
            <w:t>二、建设项目工程分析</w:t>
          </w:r>
          <w:r>
            <w:rPr>
              <w:rFonts w:hint="default" w:ascii="Times New Roman" w:hAnsi="Times New Roman" w:eastAsia="宋体" w:cs="Times New Roman"/>
              <w:color w:val="auto"/>
              <w:sz w:val="24"/>
              <w:szCs w:val="24"/>
            </w:rPr>
            <w:tab/>
          </w: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PAGEREF _Toc20716 \h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color w:val="auto"/>
              <w:sz w:val="24"/>
              <w:szCs w:val="24"/>
            </w:rPr>
            <w:t>36</w:t>
          </w:r>
          <w:r>
            <w:rPr>
              <w:rFonts w:hint="default" w:ascii="Times New Roman" w:hAnsi="Times New Roman" w:eastAsia="宋体" w:cs="Times New Roman"/>
              <w:color w:val="auto"/>
              <w:sz w:val="24"/>
              <w:szCs w:val="24"/>
            </w:rPr>
            <w:fldChar w:fldCharType="end"/>
          </w:r>
          <w:r>
            <w:rPr>
              <w:rFonts w:hint="default" w:ascii="Times New Roman" w:hAnsi="Times New Roman" w:eastAsia="宋体" w:cs="Times New Roman"/>
              <w:color w:val="auto"/>
              <w:sz w:val="24"/>
              <w:szCs w:val="24"/>
            </w:rPr>
            <w:fldChar w:fldCharType="end"/>
          </w:r>
        </w:p>
        <w:p w14:paraId="36F5A405">
          <w:pPr>
            <w:pStyle w:val="31"/>
            <w:tabs>
              <w:tab w:val="right" w:leader="hyphen" w:pos="8844"/>
            </w:tabs>
            <w:spacing w:line="360" w:lineRule="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HYPERLINK \l _Toc24591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snapToGrid w:val="0"/>
              <w:color w:val="auto"/>
              <w:sz w:val="24"/>
              <w:szCs w:val="24"/>
            </w:rPr>
            <w:t>三、区域环境质量现状、环境保护目标及评价标准</w:t>
          </w:r>
          <w:r>
            <w:rPr>
              <w:rFonts w:hint="default" w:ascii="Times New Roman" w:hAnsi="Times New Roman" w:eastAsia="宋体" w:cs="Times New Roman"/>
              <w:color w:val="auto"/>
              <w:sz w:val="24"/>
              <w:szCs w:val="24"/>
            </w:rPr>
            <w:tab/>
          </w: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PAGEREF _Toc24591 \h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color w:val="auto"/>
              <w:sz w:val="24"/>
              <w:szCs w:val="24"/>
            </w:rPr>
            <w:t>66</w:t>
          </w:r>
          <w:r>
            <w:rPr>
              <w:rFonts w:hint="default" w:ascii="Times New Roman" w:hAnsi="Times New Roman" w:eastAsia="宋体" w:cs="Times New Roman"/>
              <w:color w:val="auto"/>
              <w:sz w:val="24"/>
              <w:szCs w:val="24"/>
            </w:rPr>
            <w:fldChar w:fldCharType="end"/>
          </w:r>
          <w:r>
            <w:rPr>
              <w:rFonts w:hint="default" w:ascii="Times New Roman" w:hAnsi="Times New Roman" w:eastAsia="宋体" w:cs="Times New Roman"/>
              <w:color w:val="auto"/>
              <w:sz w:val="24"/>
              <w:szCs w:val="24"/>
            </w:rPr>
            <w:fldChar w:fldCharType="end"/>
          </w:r>
        </w:p>
        <w:p w14:paraId="5EF825C1">
          <w:pPr>
            <w:pStyle w:val="31"/>
            <w:tabs>
              <w:tab w:val="right" w:leader="hyphen" w:pos="8844"/>
            </w:tabs>
            <w:spacing w:line="360" w:lineRule="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HYPERLINK \l _Toc13313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snapToGrid w:val="0"/>
              <w:color w:val="auto"/>
              <w:sz w:val="24"/>
              <w:szCs w:val="24"/>
            </w:rPr>
            <w:t>四、主要环境影响和保护措施</w:t>
          </w:r>
          <w:r>
            <w:rPr>
              <w:rFonts w:hint="default" w:ascii="Times New Roman" w:hAnsi="Times New Roman" w:eastAsia="宋体" w:cs="Times New Roman"/>
              <w:color w:val="auto"/>
              <w:sz w:val="24"/>
              <w:szCs w:val="24"/>
            </w:rPr>
            <w:tab/>
          </w: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PAGEREF _Toc13313 \h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color w:val="auto"/>
              <w:sz w:val="24"/>
              <w:szCs w:val="24"/>
            </w:rPr>
            <w:t>74</w:t>
          </w:r>
          <w:r>
            <w:rPr>
              <w:rFonts w:hint="default" w:ascii="Times New Roman" w:hAnsi="Times New Roman" w:eastAsia="宋体" w:cs="Times New Roman"/>
              <w:color w:val="auto"/>
              <w:sz w:val="24"/>
              <w:szCs w:val="24"/>
            </w:rPr>
            <w:fldChar w:fldCharType="end"/>
          </w:r>
          <w:r>
            <w:rPr>
              <w:rFonts w:hint="default" w:ascii="Times New Roman" w:hAnsi="Times New Roman" w:eastAsia="宋体" w:cs="Times New Roman"/>
              <w:color w:val="auto"/>
              <w:sz w:val="24"/>
              <w:szCs w:val="24"/>
            </w:rPr>
            <w:fldChar w:fldCharType="end"/>
          </w:r>
        </w:p>
        <w:p w14:paraId="4CEA11BB">
          <w:pPr>
            <w:pStyle w:val="31"/>
            <w:tabs>
              <w:tab w:val="right" w:leader="hyphen" w:pos="8844"/>
            </w:tabs>
            <w:spacing w:line="360" w:lineRule="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HYPERLINK \l _Toc26575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snapToGrid w:val="0"/>
              <w:color w:val="auto"/>
              <w:sz w:val="24"/>
              <w:szCs w:val="24"/>
            </w:rPr>
            <w:t>五、环境保护措施监督检查清单</w:t>
          </w:r>
          <w:r>
            <w:rPr>
              <w:rFonts w:hint="default" w:ascii="Times New Roman" w:hAnsi="Times New Roman" w:eastAsia="宋体" w:cs="Times New Roman"/>
              <w:color w:val="auto"/>
              <w:sz w:val="24"/>
              <w:szCs w:val="24"/>
            </w:rPr>
            <w:tab/>
          </w: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PAGEREF _Toc26575 \h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color w:val="auto"/>
              <w:sz w:val="24"/>
              <w:szCs w:val="24"/>
            </w:rPr>
            <w:t>133</w:t>
          </w:r>
          <w:r>
            <w:rPr>
              <w:rFonts w:hint="default" w:ascii="Times New Roman" w:hAnsi="Times New Roman" w:eastAsia="宋体" w:cs="Times New Roman"/>
              <w:color w:val="auto"/>
              <w:sz w:val="24"/>
              <w:szCs w:val="24"/>
            </w:rPr>
            <w:fldChar w:fldCharType="end"/>
          </w:r>
          <w:r>
            <w:rPr>
              <w:rFonts w:hint="default" w:ascii="Times New Roman" w:hAnsi="Times New Roman" w:eastAsia="宋体" w:cs="Times New Roman"/>
              <w:color w:val="auto"/>
              <w:sz w:val="24"/>
              <w:szCs w:val="24"/>
            </w:rPr>
            <w:fldChar w:fldCharType="end"/>
          </w:r>
        </w:p>
        <w:p w14:paraId="2ACD9B28">
          <w:pPr>
            <w:pStyle w:val="31"/>
            <w:tabs>
              <w:tab w:val="right" w:leader="hyphen" w:pos="8844"/>
            </w:tabs>
            <w:spacing w:line="360" w:lineRule="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HYPERLINK \l _Toc25192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snapToGrid w:val="0"/>
              <w:color w:val="auto"/>
              <w:sz w:val="24"/>
              <w:szCs w:val="24"/>
            </w:rPr>
            <w:t>六、结论</w:t>
          </w:r>
          <w:r>
            <w:rPr>
              <w:rFonts w:hint="default" w:ascii="Times New Roman" w:hAnsi="Times New Roman" w:eastAsia="宋体" w:cs="Times New Roman"/>
              <w:color w:val="auto"/>
              <w:sz w:val="24"/>
              <w:szCs w:val="24"/>
            </w:rPr>
            <w:tab/>
          </w: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PAGEREF _Toc25192 \h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color w:val="auto"/>
              <w:sz w:val="24"/>
              <w:szCs w:val="24"/>
            </w:rPr>
            <w:t>137</w:t>
          </w:r>
          <w:r>
            <w:rPr>
              <w:rFonts w:hint="default" w:ascii="Times New Roman" w:hAnsi="Times New Roman" w:eastAsia="宋体" w:cs="Times New Roman"/>
              <w:color w:val="auto"/>
              <w:sz w:val="24"/>
              <w:szCs w:val="24"/>
            </w:rPr>
            <w:fldChar w:fldCharType="end"/>
          </w:r>
          <w:r>
            <w:rPr>
              <w:rFonts w:hint="default" w:ascii="Times New Roman" w:hAnsi="Times New Roman" w:eastAsia="宋体" w:cs="Times New Roman"/>
              <w:color w:val="auto"/>
              <w:sz w:val="24"/>
              <w:szCs w:val="24"/>
            </w:rPr>
            <w:fldChar w:fldCharType="end"/>
          </w:r>
        </w:p>
        <w:p w14:paraId="70AE8836">
          <w:pPr>
            <w:pStyle w:val="31"/>
            <w:tabs>
              <w:tab w:val="right" w:leader="hyphen" w:pos="8844"/>
            </w:tabs>
            <w:spacing w:line="360" w:lineRule="auto"/>
            <w:rPr>
              <w:color w:val="auto"/>
            </w:rPr>
          </w:pP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HYPERLINK \l _Toc452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snapToGrid w:val="0"/>
              <w:color w:val="auto"/>
              <w:sz w:val="24"/>
              <w:szCs w:val="24"/>
            </w:rPr>
            <w:t>附表</w:t>
          </w:r>
          <w:r>
            <w:rPr>
              <w:rFonts w:hint="default" w:ascii="Times New Roman" w:hAnsi="Times New Roman" w:eastAsia="宋体" w:cs="Times New Roman"/>
              <w:color w:val="auto"/>
              <w:sz w:val="24"/>
              <w:szCs w:val="24"/>
            </w:rPr>
            <w:tab/>
          </w: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PAGEREF _Toc452 \h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color w:val="auto"/>
              <w:sz w:val="24"/>
              <w:szCs w:val="24"/>
            </w:rPr>
            <w:t>138</w:t>
          </w:r>
          <w:r>
            <w:rPr>
              <w:rFonts w:hint="default" w:ascii="Times New Roman" w:hAnsi="Times New Roman" w:eastAsia="宋体" w:cs="Times New Roman"/>
              <w:color w:val="auto"/>
              <w:sz w:val="24"/>
              <w:szCs w:val="24"/>
            </w:rPr>
            <w:fldChar w:fldCharType="end"/>
          </w:r>
          <w:r>
            <w:rPr>
              <w:rFonts w:hint="default" w:ascii="Times New Roman" w:hAnsi="Times New Roman" w:eastAsia="宋体" w:cs="Times New Roman"/>
              <w:color w:val="auto"/>
              <w:sz w:val="24"/>
              <w:szCs w:val="24"/>
            </w:rPr>
            <w:fldChar w:fldCharType="end"/>
          </w:r>
        </w:p>
        <w:p w14:paraId="528B60AB">
          <w:pPr>
            <w:adjustRightInd w:val="0"/>
            <w:snapToGrid w:val="0"/>
            <w:spacing w:line="288" w:lineRule="auto"/>
            <w:jc w:val="center"/>
            <w:rPr>
              <w:rFonts w:hint="eastAsia" w:ascii="楷体" w:hAnsi="楷体" w:eastAsia="楷体" w:cs="Times New Roman"/>
              <w:color w:val="auto"/>
              <w:kern w:val="2"/>
              <w:sz w:val="21"/>
              <w:szCs w:val="36"/>
              <w:lang w:val="en-US" w:eastAsia="zh-CN" w:bidi="ar-SA"/>
            </w:rPr>
          </w:pPr>
          <w:r>
            <w:rPr>
              <w:rFonts w:hint="eastAsia" w:ascii="楷体" w:hAnsi="楷体" w:eastAsia="楷体"/>
              <w:color w:val="auto"/>
              <w:szCs w:val="36"/>
            </w:rPr>
            <w:fldChar w:fldCharType="end"/>
          </w:r>
        </w:p>
      </w:sdtContent>
    </w:sdt>
    <w:p w14:paraId="5CC35930">
      <w:pPr>
        <w:adjustRightInd w:val="0"/>
        <w:snapToGrid w:val="0"/>
        <w:spacing w:line="288" w:lineRule="auto"/>
        <w:jc w:val="center"/>
        <w:rPr>
          <w:rFonts w:hint="eastAsia" w:ascii="楷体" w:hAnsi="楷体" w:eastAsia="楷体" w:cs="Times New Roman"/>
          <w:color w:val="auto"/>
          <w:kern w:val="2"/>
          <w:sz w:val="21"/>
          <w:szCs w:val="36"/>
          <w:lang w:val="en-US" w:eastAsia="zh-CN" w:bidi="ar-SA"/>
        </w:rPr>
      </w:pPr>
    </w:p>
    <w:p w14:paraId="6EC5E94B">
      <w:pPr>
        <w:adjustRightInd w:val="0"/>
        <w:snapToGrid w:val="0"/>
        <w:spacing w:line="288" w:lineRule="auto"/>
        <w:jc w:val="center"/>
        <w:rPr>
          <w:rFonts w:hint="eastAsia" w:ascii="楷体" w:hAnsi="楷体" w:eastAsia="楷体"/>
          <w:color w:val="auto"/>
          <w:sz w:val="36"/>
          <w:szCs w:val="36"/>
        </w:rPr>
        <w:sectPr>
          <w:footerReference r:id="rId3" w:type="default"/>
          <w:footerReference r:id="rId4" w:type="even"/>
          <w:pgSz w:w="11906" w:h="16838"/>
          <w:pgMar w:top="1701" w:right="1531" w:bottom="1701" w:left="1531" w:header="851" w:footer="1077" w:gutter="0"/>
          <w:pgNumType w:start="3"/>
          <w:cols w:space="720" w:num="1"/>
          <w:docGrid w:linePitch="312" w:charSpace="0"/>
        </w:sectPr>
      </w:pPr>
    </w:p>
    <w:p w14:paraId="68402DE9">
      <w:pPr>
        <w:pStyle w:val="37"/>
        <w:jc w:val="center"/>
        <w:outlineLvl w:val="0"/>
        <w:rPr>
          <w:rFonts w:hint="eastAsia" w:ascii="黑体" w:hAnsi="黑体" w:eastAsia="黑体"/>
          <w:snapToGrid w:val="0"/>
          <w:color w:val="auto"/>
          <w:sz w:val="30"/>
          <w:szCs w:val="30"/>
        </w:rPr>
      </w:pPr>
      <w:bookmarkStart w:id="3" w:name="_Toc4939"/>
      <w:bookmarkStart w:id="4" w:name="_Toc186098077"/>
      <w:r>
        <w:rPr>
          <w:rFonts w:hint="eastAsia" w:ascii="黑体" w:hAnsi="黑体" w:eastAsia="黑体"/>
          <w:snapToGrid w:val="0"/>
          <w:color w:val="auto"/>
          <w:sz w:val="30"/>
          <w:szCs w:val="30"/>
        </w:rPr>
        <w:t>一、建设项目基本情况</w:t>
      </w:r>
      <w:bookmarkEnd w:id="3"/>
      <w:bookmarkEnd w:id="4"/>
    </w:p>
    <w:tbl>
      <w:tblPr>
        <w:tblStyle w:val="41"/>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
      <w:tblGrid>
        <w:gridCol w:w="1714"/>
        <w:gridCol w:w="2305"/>
        <w:gridCol w:w="2212"/>
        <w:gridCol w:w="2639"/>
      </w:tblGrid>
      <w:tr w14:paraId="20234D2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714" w:type="dxa"/>
            <w:tcMar>
              <w:top w:w="16" w:type="dxa"/>
              <w:left w:w="16" w:type="dxa"/>
              <w:right w:w="16" w:type="dxa"/>
            </w:tcMar>
            <w:vAlign w:val="center"/>
          </w:tcPr>
          <w:p w14:paraId="012E34DE">
            <w:pPr>
              <w:adjustRightInd w:val="0"/>
              <w:snapToGrid w:val="0"/>
              <w:jc w:val="center"/>
              <w:rPr>
                <w:rFonts w:cs="宋体"/>
                <w:b/>
                <w:bCs/>
                <w:color w:val="auto"/>
                <w:sz w:val="24"/>
                <w:szCs w:val="24"/>
              </w:rPr>
            </w:pPr>
            <w:r>
              <w:rPr>
                <w:rFonts w:hint="eastAsia" w:cs="宋体"/>
                <w:b/>
                <w:bCs/>
                <w:color w:val="auto"/>
                <w:sz w:val="24"/>
                <w:szCs w:val="24"/>
              </w:rPr>
              <w:t>建设项目名称</w:t>
            </w:r>
          </w:p>
        </w:tc>
        <w:tc>
          <w:tcPr>
            <w:tcW w:w="7156" w:type="dxa"/>
            <w:gridSpan w:val="3"/>
            <w:vAlign w:val="center"/>
          </w:tcPr>
          <w:p w14:paraId="64AEC75E">
            <w:pPr>
              <w:adjustRightInd w:val="0"/>
              <w:snapToGrid w:val="0"/>
              <w:jc w:val="center"/>
              <w:rPr>
                <w:rFonts w:hint="eastAsia" w:eastAsia="宋体" w:cs="宋体"/>
                <w:color w:val="auto"/>
                <w:sz w:val="24"/>
                <w:szCs w:val="24"/>
                <w:lang w:eastAsia="zh-CN"/>
              </w:rPr>
            </w:pPr>
            <w:r>
              <w:rPr>
                <w:rFonts w:hint="eastAsia" w:cs="宋体"/>
                <w:color w:val="auto"/>
                <w:sz w:val="24"/>
                <w:szCs w:val="24"/>
                <w:lang w:eastAsia="zh-CN"/>
              </w:rPr>
              <w:t>年产1GWh高倍率半固态电池及20万套电源系统项目</w:t>
            </w:r>
          </w:p>
        </w:tc>
      </w:tr>
      <w:tr w14:paraId="7DB324E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714" w:type="dxa"/>
            <w:tcMar>
              <w:top w:w="16" w:type="dxa"/>
              <w:left w:w="16" w:type="dxa"/>
              <w:right w:w="16" w:type="dxa"/>
            </w:tcMar>
            <w:vAlign w:val="center"/>
          </w:tcPr>
          <w:p w14:paraId="055279C1">
            <w:pPr>
              <w:adjustRightInd w:val="0"/>
              <w:snapToGrid w:val="0"/>
              <w:jc w:val="center"/>
              <w:rPr>
                <w:rFonts w:cs="宋体"/>
                <w:b/>
                <w:bCs/>
                <w:color w:val="auto"/>
                <w:sz w:val="24"/>
                <w:szCs w:val="24"/>
              </w:rPr>
            </w:pPr>
            <w:r>
              <w:rPr>
                <w:rFonts w:hint="eastAsia" w:cs="宋体"/>
                <w:b/>
                <w:bCs/>
                <w:color w:val="auto"/>
                <w:sz w:val="24"/>
                <w:szCs w:val="24"/>
              </w:rPr>
              <w:t>项目代码</w:t>
            </w:r>
          </w:p>
        </w:tc>
        <w:tc>
          <w:tcPr>
            <w:tcW w:w="7156" w:type="dxa"/>
            <w:gridSpan w:val="3"/>
            <w:vAlign w:val="center"/>
          </w:tcPr>
          <w:p w14:paraId="48158C46">
            <w:pPr>
              <w:adjustRightInd w:val="0"/>
              <w:snapToGrid w:val="0"/>
              <w:jc w:val="center"/>
              <w:rPr>
                <w:rFonts w:hint="default" w:eastAsia="宋体" w:cs="宋体"/>
                <w:color w:val="auto"/>
                <w:sz w:val="24"/>
                <w:szCs w:val="24"/>
                <w:lang w:val="en-US" w:eastAsia="zh-CN"/>
              </w:rPr>
            </w:pPr>
            <w:r>
              <w:rPr>
                <w:rFonts w:hint="eastAsia" w:cs="宋体"/>
                <w:color w:val="auto"/>
                <w:sz w:val="24"/>
                <w:szCs w:val="24"/>
                <w:lang w:val="en-US" w:eastAsia="zh-CN"/>
              </w:rPr>
              <w:t>2601-511924-04-01-983495</w:t>
            </w:r>
          </w:p>
        </w:tc>
      </w:tr>
      <w:tr w14:paraId="6DB58A4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714" w:type="dxa"/>
            <w:tcMar>
              <w:top w:w="16" w:type="dxa"/>
              <w:left w:w="16" w:type="dxa"/>
              <w:right w:w="16" w:type="dxa"/>
            </w:tcMar>
            <w:vAlign w:val="center"/>
          </w:tcPr>
          <w:p w14:paraId="5C9AC891">
            <w:pPr>
              <w:adjustRightInd w:val="0"/>
              <w:snapToGrid w:val="0"/>
              <w:jc w:val="center"/>
              <w:rPr>
                <w:rFonts w:cs="宋体"/>
                <w:b/>
                <w:bCs/>
                <w:color w:val="auto"/>
                <w:sz w:val="24"/>
                <w:szCs w:val="24"/>
              </w:rPr>
            </w:pPr>
            <w:r>
              <w:rPr>
                <w:rFonts w:hint="eastAsia" w:cs="宋体"/>
                <w:b/>
                <w:bCs/>
                <w:color w:val="auto"/>
                <w:sz w:val="24"/>
                <w:szCs w:val="24"/>
              </w:rPr>
              <w:t>建设单位联系人</w:t>
            </w:r>
          </w:p>
        </w:tc>
        <w:tc>
          <w:tcPr>
            <w:tcW w:w="2305" w:type="dxa"/>
            <w:vAlign w:val="center"/>
          </w:tcPr>
          <w:p w14:paraId="390D5431">
            <w:pPr>
              <w:adjustRightInd w:val="0"/>
              <w:snapToGrid w:val="0"/>
              <w:jc w:val="center"/>
              <w:rPr>
                <w:rFonts w:hint="default" w:eastAsia="宋体" w:cs="宋体"/>
                <w:color w:val="auto"/>
                <w:sz w:val="24"/>
                <w:szCs w:val="24"/>
                <w:lang w:val="en-US" w:eastAsia="zh-CN"/>
              </w:rPr>
            </w:pPr>
            <w:r>
              <w:rPr>
                <w:rFonts w:hint="eastAsia" w:cs="宋体"/>
                <w:color w:val="auto"/>
                <w:sz w:val="24"/>
                <w:szCs w:val="24"/>
                <w:lang w:val="en-US" w:eastAsia="zh-CN"/>
              </w:rPr>
              <w:t>**</w:t>
            </w:r>
          </w:p>
        </w:tc>
        <w:tc>
          <w:tcPr>
            <w:tcW w:w="2212" w:type="dxa"/>
            <w:vAlign w:val="center"/>
          </w:tcPr>
          <w:p w14:paraId="4F63BCC2">
            <w:pPr>
              <w:adjustRightInd w:val="0"/>
              <w:snapToGrid w:val="0"/>
              <w:jc w:val="center"/>
              <w:rPr>
                <w:rFonts w:cs="宋体"/>
                <w:color w:val="auto"/>
                <w:sz w:val="24"/>
                <w:szCs w:val="24"/>
              </w:rPr>
            </w:pPr>
            <w:r>
              <w:rPr>
                <w:rFonts w:hint="eastAsia" w:cs="宋体"/>
                <w:b/>
                <w:bCs/>
                <w:color w:val="auto"/>
                <w:sz w:val="24"/>
                <w:szCs w:val="24"/>
              </w:rPr>
              <w:t>联系方式</w:t>
            </w:r>
          </w:p>
        </w:tc>
        <w:tc>
          <w:tcPr>
            <w:tcW w:w="2639" w:type="dxa"/>
            <w:vAlign w:val="center"/>
          </w:tcPr>
          <w:p w14:paraId="404D39F7">
            <w:pPr>
              <w:adjustRightInd w:val="0"/>
              <w:snapToGrid w:val="0"/>
              <w:jc w:val="center"/>
              <w:rPr>
                <w:rFonts w:hint="default" w:eastAsia="宋体" w:cs="宋体"/>
                <w:color w:val="auto"/>
                <w:sz w:val="24"/>
                <w:szCs w:val="24"/>
                <w:lang w:val="en-US" w:eastAsia="zh-CN"/>
              </w:rPr>
            </w:pPr>
            <w:r>
              <w:rPr>
                <w:rFonts w:hint="eastAsia" w:cs="宋体"/>
                <w:color w:val="auto"/>
                <w:sz w:val="24"/>
                <w:szCs w:val="24"/>
                <w:lang w:val="en-US" w:eastAsia="zh-CN"/>
              </w:rPr>
              <w:t>**</w:t>
            </w:r>
          </w:p>
        </w:tc>
      </w:tr>
      <w:tr w14:paraId="0D7D41D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714" w:type="dxa"/>
            <w:tcMar>
              <w:top w:w="16" w:type="dxa"/>
              <w:left w:w="16" w:type="dxa"/>
              <w:right w:w="16" w:type="dxa"/>
            </w:tcMar>
            <w:vAlign w:val="center"/>
          </w:tcPr>
          <w:p w14:paraId="6885AB10">
            <w:pPr>
              <w:adjustRightInd w:val="0"/>
              <w:snapToGrid w:val="0"/>
              <w:jc w:val="center"/>
              <w:rPr>
                <w:rFonts w:cs="宋体"/>
                <w:b/>
                <w:bCs/>
                <w:color w:val="auto"/>
                <w:sz w:val="24"/>
                <w:szCs w:val="24"/>
              </w:rPr>
            </w:pPr>
            <w:r>
              <w:rPr>
                <w:rFonts w:hint="eastAsia" w:cs="宋体"/>
                <w:b/>
                <w:bCs/>
                <w:color w:val="auto"/>
                <w:sz w:val="24"/>
                <w:szCs w:val="24"/>
              </w:rPr>
              <w:t>建设地点</w:t>
            </w:r>
          </w:p>
        </w:tc>
        <w:tc>
          <w:tcPr>
            <w:tcW w:w="7156" w:type="dxa"/>
            <w:gridSpan w:val="3"/>
            <w:vAlign w:val="center"/>
          </w:tcPr>
          <w:p w14:paraId="6B0081B7">
            <w:pPr>
              <w:adjustRightInd w:val="0"/>
              <w:snapToGrid w:val="0"/>
              <w:jc w:val="center"/>
              <w:rPr>
                <w:rFonts w:hint="default" w:eastAsia="宋体" w:cs="宋体"/>
                <w:color w:val="auto"/>
                <w:sz w:val="24"/>
                <w:szCs w:val="24"/>
                <w:lang w:val="en-US" w:eastAsia="zh-CN"/>
              </w:rPr>
            </w:pPr>
            <w:r>
              <w:rPr>
                <w:rFonts w:hint="eastAsia" w:cs="宋体"/>
                <w:color w:val="auto"/>
                <w:sz w:val="24"/>
                <w:szCs w:val="24"/>
                <w:lang w:val="en-US" w:eastAsia="zh-CN"/>
              </w:rPr>
              <w:t>四川巴中经济开发区</w:t>
            </w:r>
          </w:p>
        </w:tc>
      </w:tr>
      <w:tr w14:paraId="6CAD528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714" w:type="dxa"/>
            <w:tcMar>
              <w:top w:w="16" w:type="dxa"/>
              <w:left w:w="16" w:type="dxa"/>
              <w:right w:w="16" w:type="dxa"/>
            </w:tcMar>
            <w:vAlign w:val="center"/>
          </w:tcPr>
          <w:p w14:paraId="1952BDFA">
            <w:pPr>
              <w:adjustRightInd w:val="0"/>
              <w:snapToGrid w:val="0"/>
              <w:jc w:val="center"/>
              <w:rPr>
                <w:rFonts w:cs="宋体"/>
                <w:b/>
                <w:bCs/>
                <w:color w:val="auto"/>
                <w:sz w:val="24"/>
                <w:szCs w:val="24"/>
              </w:rPr>
            </w:pPr>
            <w:r>
              <w:rPr>
                <w:rFonts w:hint="eastAsia" w:cs="宋体"/>
                <w:b/>
                <w:bCs/>
                <w:color w:val="auto"/>
                <w:sz w:val="24"/>
                <w:szCs w:val="24"/>
              </w:rPr>
              <w:t>地理坐标</w:t>
            </w:r>
          </w:p>
        </w:tc>
        <w:tc>
          <w:tcPr>
            <w:tcW w:w="7156" w:type="dxa"/>
            <w:gridSpan w:val="3"/>
            <w:vAlign w:val="center"/>
          </w:tcPr>
          <w:p w14:paraId="164EEB80">
            <w:pPr>
              <w:jc w:val="center"/>
              <w:rPr>
                <w:rFonts w:cs="宋体"/>
                <w:color w:val="auto"/>
                <w:sz w:val="24"/>
                <w:szCs w:val="24"/>
              </w:rPr>
            </w:pPr>
            <w:r>
              <w:rPr>
                <w:rFonts w:hint="eastAsia" w:cs="宋体"/>
                <w:color w:val="auto"/>
                <w:sz w:val="24"/>
                <w:szCs w:val="24"/>
              </w:rPr>
              <w:t>（</w:t>
            </w:r>
            <w:r>
              <w:rPr>
                <w:rFonts w:hint="eastAsia" w:cs="宋体"/>
                <w:color w:val="auto"/>
                <w:sz w:val="24"/>
                <w:szCs w:val="24"/>
                <w:u w:val="single"/>
              </w:rPr>
              <w:t>106</w:t>
            </w:r>
            <w:r>
              <w:rPr>
                <w:rFonts w:hint="eastAsia" w:cs="宋体"/>
                <w:color w:val="auto"/>
                <w:sz w:val="24"/>
                <w:szCs w:val="24"/>
              </w:rPr>
              <w:t>度</w:t>
            </w:r>
            <w:r>
              <w:rPr>
                <w:rFonts w:hint="eastAsia" w:cs="宋体"/>
                <w:color w:val="auto"/>
                <w:sz w:val="24"/>
                <w:szCs w:val="24"/>
                <w:u w:val="single"/>
              </w:rPr>
              <w:t>5</w:t>
            </w:r>
            <w:r>
              <w:rPr>
                <w:rFonts w:hint="eastAsia" w:cs="宋体"/>
                <w:color w:val="auto"/>
                <w:sz w:val="24"/>
                <w:szCs w:val="24"/>
                <w:u w:val="single"/>
                <w:lang w:val="en-US" w:eastAsia="zh-CN"/>
              </w:rPr>
              <w:t>3</w:t>
            </w:r>
            <w:r>
              <w:rPr>
                <w:rFonts w:hint="eastAsia" w:cs="宋体"/>
                <w:color w:val="auto"/>
                <w:sz w:val="24"/>
                <w:szCs w:val="24"/>
              </w:rPr>
              <w:t>分</w:t>
            </w:r>
            <w:r>
              <w:rPr>
                <w:rFonts w:hint="eastAsia" w:cs="宋体"/>
                <w:color w:val="auto"/>
                <w:sz w:val="24"/>
                <w:szCs w:val="24"/>
                <w:u w:val="single"/>
                <w:lang w:val="en-US" w:eastAsia="zh-CN"/>
              </w:rPr>
              <w:t>41.840</w:t>
            </w:r>
            <w:r>
              <w:rPr>
                <w:rFonts w:hint="eastAsia" w:cs="宋体"/>
                <w:color w:val="auto"/>
                <w:sz w:val="24"/>
                <w:szCs w:val="24"/>
              </w:rPr>
              <w:t>秒，</w:t>
            </w:r>
            <w:r>
              <w:rPr>
                <w:rFonts w:hint="eastAsia" w:cs="宋体"/>
                <w:color w:val="auto"/>
                <w:sz w:val="24"/>
                <w:szCs w:val="24"/>
                <w:u w:val="single"/>
                <w:lang w:val="en-US" w:eastAsia="zh-CN"/>
              </w:rPr>
              <w:t>31</w:t>
            </w:r>
            <w:r>
              <w:rPr>
                <w:rFonts w:hint="eastAsia" w:cs="宋体"/>
                <w:color w:val="auto"/>
                <w:sz w:val="24"/>
                <w:szCs w:val="24"/>
              </w:rPr>
              <w:t>度</w:t>
            </w:r>
            <w:r>
              <w:rPr>
                <w:rFonts w:hint="eastAsia" w:cs="宋体"/>
                <w:color w:val="auto"/>
                <w:sz w:val="24"/>
                <w:szCs w:val="24"/>
                <w:u w:val="single"/>
                <w:lang w:val="en-US" w:eastAsia="zh-CN"/>
              </w:rPr>
              <w:t>51</w:t>
            </w:r>
            <w:r>
              <w:rPr>
                <w:rFonts w:hint="eastAsia" w:cs="宋体"/>
                <w:color w:val="auto"/>
                <w:sz w:val="24"/>
                <w:szCs w:val="24"/>
              </w:rPr>
              <w:t>分</w:t>
            </w:r>
            <w:r>
              <w:rPr>
                <w:rFonts w:hint="eastAsia" w:cs="宋体"/>
                <w:color w:val="auto"/>
                <w:sz w:val="24"/>
                <w:szCs w:val="24"/>
                <w:u w:val="single"/>
                <w:lang w:val="en-US" w:eastAsia="zh-CN"/>
              </w:rPr>
              <w:t>22.378</w:t>
            </w:r>
            <w:r>
              <w:rPr>
                <w:rFonts w:hint="eastAsia" w:cs="宋体"/>
                <w:color w:val="auto"/>
                <w:sz w:val="24"/>
                <w:szCs w:val="24"/>
              </w:rPr>
              <w:t>秒）</w:t>
            </w:r>
          </w:p>
        </w:tc>
      </w:tr>
      <w:tr w14:paraId="5E87B7E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561" w:hRule="atLeast"/>
          <w:jc w:val="center"/>
        </w:trPr>
        <w:tc>
          <w:tcPr>
            <w:tcW w:w="1714" w:type="dxa"/>
            <w:tcMar>
              <w:top w:w="16" w:type="dxa"/>
              <w:left w:w="16" w:type="dxa"/>
              <w:right w:w="16" w:type="dxa"/>
            </w:tcMar>
            <w:vAlign w:val="center"/>
          </w:tcPr>
          <w:p w14:paraId="50432A3B">
            <w:pPr>
              <w:adjustRightInd w:val="0"/>
              <w:snapToGrid w:val="0"/>
              <w:jc w:val="center"/>
              <w:rPr>
                <w:rFonts w:cs="宋体"/>
                <w:b/>
                <w:bCs/>
                <w:color w:val="auto"/>
                <w:sz w:val="24"/>
                <w:szCs w:val="24"/>
              </w:rPr>
            </w:pPr>
            <w:r>
              <w:rPr>
                <w:rFonts w:hint="eastAsia" w:cs="宋体"/>
                <w:b/>
                <w:bCs/>
                <w:color w:val="auto"/>
                <w:sz w:val="24"/>
                <w:szCs w:val="24"/>
              </w:rPr>
              <w:t>国民经济</w:t>
            </w:r>
          </w:p>
          <w:p w14:paraId="3BB7ED94">
            <w:pPr>
              <w:adjustRightInd w:val="0"/>
              <w:snapToGrid w:val="0"/>
              <w:jc w:val="center"/>
              <w:rPr>
                <w:rFonts w:cs="宋体"/>
                <w:b/>
                <w:bCs/>
                <w:color w:val="auto"/>
                <w:sz w:val="24"/>
                <w:szCs w:val="24"/>
              </w:rPr>
            </w:pPr>
            <w:r>
              <w:rPr>
                <w:rFonts w:hint="eastAsia" w:cs="宋体"/>
                <w:b/>
                <w:bCs/>
                <w:color w:val="auto"/>
                <w:sz w:val="24"/>
                <w:szCs w:val="24"/>
              </w:rPr>
              <w:t>行业类别</w:t>
            </w:r>
          </w:p>
        </w:tc>
        <w:tc>
          <w:tcPr>
            <w:tcW w:w="2305" w:type="dxa"/>
            <w:vAlign w:val="center"/>
          </w:tcPr>
          <w:p w14:paraId="1A221FEF">
            <w:pPr>
              <w:adjustRightInd w:val="0"/>
              <w:snapToGrid w:val="0"/>
              <w:jc w:val="center"/>
              <w:rPr>
                <w:rFonts w:hint="default" w:eastAsia="宋体" w:cs="宋体"/>
                <w:color w:val="auto"/>
                <w:sz w:val="24"/>
                <w:szCs w:val="24"/>
                <w:lang w:val="en-US" w:eastAsia="zh-CN"/>
              </w:rPr>
            </w:pPr>
            <w:r>
              <w:rPr>
                <w:color w:val="auto"/>
                <w:sz w:val="24"/>
                <w:szCs w:val="24"/>
              </w:rPr>
              <w:t>C</w:t>
            </w:r>
            <w:r>
              <w:rPr>
                <w:rFonts w:hint="eastAsia"/>
                <w:color w:val="auto"/>
                <w:sz w:val="24"/>
                <w:szCs w:val="24"/>
                <w:lang w:val="en-US" w:eastAsia="zh-CN"/>
              </w:rPr>
              <w:t>3841 锂离子电池制造</w:t>
            </w:r>
          </w:p>
        </w:tc>
        <w:tc>
          <w:tcPr>
            <w:tcW w:w="2212" w:type="dxa"/>
            <w:vAlign w:val="center"/>
          </w:tcPr>
          <w:p w14:paraId="2A2FCD25">
            <w:pPr>
              <w:adjustRightInd w:val="0"/>
              <w:snapToGrid w:val="0"/>
              <w:jc w:val="center"/>
              <w:rPr>
                <w:rFonts w:cs="宋体"/>
                <w:b/>
                <w:bCs/>
                <w:color w:val="auto"/>
                <w:sz w:val="24"/>
                <w:szCs w:val="24"/>
              </w:rPr>
            </w:pPr>
            <w:bookmarkStart w:id="5" w:name="_Hlk49843745"/>
            <w:r>
              <w:rPr>
                <w:rFonts w:hint="eastAsia" w:cs="宋体"/>
                <w:b/>
                <w:bCs/>
                <w:color w:val="auto"/>
                <w:sz w:val="24"/>
                <w:szCs w:val="24"/>
              </w:rPr>
              <w:t>建设项目</w:t>
            </w:r>
          </w:p>
          <w:p w14:paraId="06DDDC90">
            <w:pPr>
              <w:adjustRightInd w:val="0"/>
              <w:snapToGrid w:val="0"/>
              <w:jc w:val="center"/>
              <w:rPr>
                <w:rFonts w:cs="宋体"/>
                <w:color w:val="auto"/>
                <w:sz w:val="24"/>
                <w:szCs w:val="24"/>
              </w:rPr>
            </w:pPr>
            <w:r>
              <w:rPr>
                <w:rFonts w:hint="eastAsia" w:cs="宋体"/>
                <w:b/>
                <w:bCs/>
                <w:color w:val="auto"/>
                <w:sz w:val="24"/>
                <w:szCs w:val="24"/>
              </w:rPr>
              <w:t>行业类别</w:t>
            </w:r>
            <w:bookmarkEnd w:id="5"/>
          </w:p>
        </w:tc>
        <w:tc>
          <w:tcPr>
            <w:tcW w:w="2639" w:type="dxa"/>
            <w:vAlign w:val="center"/>
          </w:tcPr>
          <w:p w14:paraId="086324CE">
            <w:pPr>
              <w:adjustRightInd w:val="0"/>
              <w:snapToGrid w:val="0"/>
              <w:rPr>
                <w:rFonts w:hint="default" w:eastAsia="宋体" w:cs="宋体"/>
                <w:color w:val="auto"/>
                <w:sz w:val="24"/>
                <w:szCs w:val="24"/>
                <w:lang w:val="en-US" w:eastAsia="zh-CN"/>
              </w:rPr>
            </w:pPr>
            <w:r>
              <w:rPr>
                <w:rFonts w:hint="eastAsia" w:cs="宋体"/>
                <w:color w:val="auto"/>
                <w:sz w:val="24"/>
                <w:szCs w:val="24"/>
                <w:lang w:val="en-US" w:eastAsia="zh-CN"/>
              </w:rPr>
              <w:t xml:space="preserve">三十五、电气机械和器材制造业 38-77 电池制造384 </w:t>
            </w:r>
            <w:r>
              <w:rPr>
                <w:rFonts w:hint="eastAsia" w:ascii="Times New Roman" w:hAnsi="Times New Roman" w:eastAsia="宋体" w:cs="宋体"/>
                <w:color w:val="auto"/>
                <w:sz w:val="24"/>
                <w:szCs w:val="24"/>
                <w:lang w:val="en-US" w:eastAsia="zh-CN"/>
              </w:rPr>
              <w:t>其他（仅分割、焊接、组装的除外；年用非溶剂型低VOCs含量涂料10吨以下的除外）</w:t>
            </w:r>
          </w:p>
        </w:tc>
      </w:tr>
      <w:tr w14:paraId="2C5617F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1219" w:hRule="atLeast"/>
          <w:jc w:val="center"/>
        </w:trPr>
        <w:tc>
          <w:tcPr>
            <w:tcW w:w="1714" w:type="dxa"/>
            <w:tcMar>
              <w:top w:w="16" w:type="dxa"/>
              <w:left w:w="16" w:type="dxa"/>
              <w:right w:w="16" w:type="dxa"/>
            </w:tcMar>
            <w:vAlign w:val="center"/>
          </w:tcPr>
          <w:p w14:paraId="17A79E58">
            <w:pPr>
              <w:adjustRightInd w:val="0"/>
              <w:snapToGrid w:val="0"/>
              <w:jc w:val="center"/>
              <w:rPr>
                <w:rFonts w:cs="宋体"/>
                <w:b/>
                <w:bCs/>
                <w:color w:val="auto"/>
                <w:sz w:val="24"/>
                <w:szCs w:val="24"/>
              </w:rPr>
            </w:pPr>
            <w:r>
              <w:rPr>
                <w:rFonts w:hint="eastAsia" w:cs="宋体"/>
                <w:b/>
                <w:bCs/>
                <w:color w:val="auto"/>
                <w:sz w:val="24"/>
                <w:szCs w:val="24"/>
              </w:rPr>
              <w:t>建设性质</w:t>
            </w:r>
          </w:p>
        </w:tc>
        <w:tc>
          <w:tcPr>
            <w:tcW w:w="2305" w:type="dxa"/>
            <w:vAlign w:val="center"/>
          </w:tcPr>
          <w:p w14:paraId="147265FF">
            <w:pPr>
              <w:rPr>
                <w:rFonts w:cs="宋体"/>
                <w:color w:val="auto"/>
                <w:sz w:val="24"/>
                <w:szCs w:val="24"/>
              </w:rPr>
            </w:pPr>
            <w:r>
              <w:rPr>
                <w:rFonts w:hint="eastAsia"/>
                <w:color w:val="auto"/>
                <w:sz w:val="24"/>
                <w:szCs w:val="24"/>
                <w:lang w:eastAsia="zh-CN"/>
              </w:rPr>
              <w:t>（</w:t>
            </w:r>
            <w:r>
              <w:rPr>
                <w:rFonts w:hint="eastAsia" w:cs="宋体"/>
                <w:color w:val="auto"/>
                <w:sz w:val="24"/>
                <w:szCs w:val="24"/>
              </w:rPr>
              <w:t>新建（迁建）</w:t>
            </w:r>
          </w:p>
          <w:p w14:paraId="03BF9AD1">
            <w:pPr>
              <w:rPr>
                <w:rFonts w:cs="宋体"/>
                <w:color w:val="auto"/>
                <w:sz w:val="24"/>
                <w:szCs w:val="24"/>
              </w:rPr>
            </w:pPr>
            <w:r>
              <w:rPr>
                <w:rFonts w:hint="eastAsia" w:cs="宋体"/>
                <w:color w:val="auto"/>
                <w:sz w:val="24"/>
                <w:szCs w:val="24"/>
              </w:rPr>
              <w:t>□改建</w:t>
            </w:r>
          </w:p>
          <w:p w14:paraId="68A2F9B9">
            <w:pPr>
              <w:rPr>
                <w:rFonts w:cs="宋体"/>
                <w:color w:val="auto"/>
                <w:sz w:val="24"/>
                <w:szCs w:val="24"/>
              </w:rPr>
            </w:pPr>
            <w:r>
              <w:rPr>
                <w:rFonts w:hint="eastAsia" w:cs="宋体"/>
                <w:color w:val="auto"/>
                <w:sz w:val="24"/>
                <w:szCs w:val="24"/>
              </w:rPr>
              <w:t>□扩建</w:t>
            </w:r>
          </w:p>
          <w:p w14:paraId="4F531815">
            <w:pPr>
              <w:rPr>
                <w:rFonts w:cs="宋体"/>
                <w:color w:val="auto"/>
                <w:sz w:val="24"/>
                <w:szCs w:val="24"/>
              </w:rPr>
            </w:pPr>
            <w:r>
              <w:rPr>
                <w:rFonts w:hint="eastAsia" w:cs="宋体"/>
                <w:color w:val="auto"/>
                <w:sz w:val="24"/>
                <w:szCs w:val="24"/>
              </w:rPr>
              <w:t>□技术改造</w:t>
            </w:r>
          </w:p>
        </w:tc>
        <w:tc>
          <w:tcPr>
            <w:tcW w:w="2212" w:type="dxa"/>
            <w:vAlign w:val="center"/>
          </w:tcPr>
          <w:p w14:paraId="41CFAA5B">
            <w:pPr>
              <w:adjustRightInd w:val="0"/>
              <w:snapToGrid w:val="0"/>
              <w:jc w:val="center"/>
              <w:rPr>
                <w:rFonts w:cs="宋体"/>
                <w:b/>
                <w:bCs/>
                <w:color w:val="auto"/>
                <w:sz w:val="24"/>
                <w:szCs w:val="24"/>
              </w:rPr>
            </w:pPr>
            <w:r>
              <w:rPr>
                <w:rFonts w:hint="eastAsia" w:cs="宋体"/>
                <w:b/>
                <w:bCs/>
                <w:color w:val="auto"/>
                <w:sz w:val="24"/>
                <w:szCs w:val="24"/>
              </w:rPr>
              <w:t>建设项目</w:t>
            </w:r>
          </w:p>
          <w:p w14:paraId="56C73EE6">
            <w:pPr>
              <w:adjustRightInd w:val="0"/>
              <w:snapToGrid w:val="0"/>
              <w:jc w:val="center"/>
              <w:rPr>
                <w:rFonts w:cs="宋体"/>
                <w:color w:val="auto"/>
                <w:sz w:val="24"/>
                <w:szCs w:val="24"/>
              </w:rPr>
            </w:pPr>
            <w:r>
              <w:rPr>
                <w:rFonts w:hint="eastAsia" w:cs="宋体"/>
                <w:b/>
                <w:bCs/>
                <w:color w:val="auto"/>
                <w:sz w:val="24"/>
                <w:szCs w:val="24"/>
              </w:rPr>
              <w:t>申报情形</w:t>
            </w:r>
          </w:p>
        </w:tc>
        <w:tc>
          <w:tcPr>
            <w:tcW w:w="2639" w:type="dxa"/>
            <w:vAlign w:val="center"/>
          </w:tcPr>
          <w:p w14:paraId="34C4CF3A">
            <w:pPr>
              <w:rPr>
                <w:rFonts w:cs="宋体"/>
                <w:color w:val="auto"/>
                <w:sz w:val="24"/>
                <w:szCs w:val="24"/>
              </w:rPr>
            </w:pPr>
            <w:r>
              <w:rPr>
                <w:rFonts w:hint="eastAsia"/>
                <w:color w:val="auto"/>
                <w:sz w:val="24"/>
                <w:szCs w:val="24"/>
                <w:lang w:eastAsia="zh-CN"/>
              </w:rPr>
              <w:t>（</w:t>
            </w:r>
            <w:r>
              <w:rPr>
                <w:rFonts w:hint="eastAsia" w:cs="宋体"/>
                <w:color w:val="auto"/>
                <w:sz w:val="24"/>
                <w:szCs w:val="24"/>
              </w:rPr>
              <w:t>首次申报项目</w:t>
            </w:r>
            <w:r>
              <w:rPr>
                <w:rFonts w:cs="宋体"/>
                <w:color w:val="auto"/>
                <w:sz w:val="24"/>
                <w:szCs w:val="24"/>
              </w:rPr>
              <w:t xml:space="preserve">             </w:t>
            </w:r>
          </w:p>
          <w:p w14:paraId="7D4EBD75">
            <w:pPr>
              <w:rPr>
                <w:rFonts w:cs="宋体"/>
                <w:color w:val="auto"/>
                <w:sz w:val="24"/>
                <w:szCs w:val="24"/>
              </w:rPr>
            </w:pPr>
            <w:r>
              <w:rPr>
                <w:rFonts w:hint="eastAsia" w:cs="宋体"/>
                <w:color w:val="auto"/>
                <w:sz w:val="24"/>
                <w:szCs w:val="24"/>
              </w:rPr>
              <w:t>□不予批准后再次申报项目</w:t>
            </w:r>
          </w:p>
          <w:p w14:paraId="50C72617">
            <w:pPr>
              <w:rPr>
                <w:rFonts w:cs="宋体"/>
                <w:color w:val="auto"/>
                <w:sz w:val="24"/>
                <w:szCs w:val="24"/>
              </w:rPr>
            </w:pPr>
            <w:r>
              <w:rPr>
                <w:rFonts w:hint="eastAsia" w:cs="宋体"/>
                <w:color w:val="auto"/>
                <w:sz w:val="24"/>
                <w:szCs w:val="24"/>
                <w:lang w:eastAsia="zh-CN"/>
              </w:rPr>
              <w:t>（</w:t>
            </w:r>
            <w:r>
              <w:rPr>
                <w:rFonts w:hint="eastAsia" w:cs="宋体"/>
                <w:color w:val="auto"/>
                <w:sz w:val="24"/>
                <w:szCs w:val="24"/>
              </w:rPr>
              <w:t>超五年重新审核项目</w:t>
            </w:r>
            <w:r>
              <w:rPr>
                <w:rFonts w:cs="宋体"/>
                <w:color w:val="auto"/>
                <w:sz w:val="24"/>
                <w:szCs w:val="24"/>
              </w:rPr>
              <w:t xml:space="preserve">     </w:t>
            </w:r>
          </w:p>
          <w:p w14:paraId="030D327A">
            <w:pPr>
              <w:rPr>
                <w:rFonts w:cs="宋体"/>
                <w:color w:val="auto"/>
                <w:sz w:val="24"/>
                <w:szCs w:val="24"/>
              </w:rPr>
            </w:pPr>
            <w:r>
              <w:rPr>
                <w:rFonts w:hint="eastAsia" w:cs="宋体"/>
                <w:color w:val="auto"/>
                <w:sz w:val="24"/>
                <w:szCs w:val="24"/>
              </w:rPr>
              <w:t>□重大变动重新报批项目</w:t>
            </w:r>
          </w:p>
        </w:tc>
      </w:tr>
      <w:tr w14:paraId="361E331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851" w:hRule="atLeast"/>
          <w:jc w:val="center"/>
        </w:trPr>
        <w:tc>
          <w:tcPr>
            <w:tcW w:w="1714" w:type="dxa"/>
            <w:tcMar>
              <w:top w:w="16" w:type="dxa"/>
              <w:left w:w="16" w:type="dxa"/>
              <w:right w:w="16" w:type="dxa"/>
            </w:tcMar>
            <w:vAlign w:val="center"/>
          </w:tcPr>
          <w:p w14:paraId="7DE10CB5">
            <w:pPr>
              <w:adjustRightInd w:val="0"/>
              <w:snapToGrid w:val="0"/>
              <w:jc w:val="center"/>
              <w:rPr>
                <w:rFonts w:cs="宋体"/>
                <w:b/>
                <w:bCs/>
                <w:color w:val="auto"/>
                <w:sz w:val="24"/>
                <w:szCs w:val="24"/>
              </w:rPr>
            </w:pPr>
            <w:r>
              <w:rPr>
                <w:rFonts w:hint="eastAsia" w:cs="宋体"/>
                <w:b/>
                <w:bCs/>
                <w:color w:val="auto"/>
                <w:sz w:val="24"/>
                <w:szCs w:val="24"/>
              </w:rPr>
              <w:t>项目审批（核准</w:t>
            </w:r>
            <w:r>
              <w:rPr>
                <w:rFonts w:cs="宋体"/>
                <w:b/>
                <w:bCs/>
                <w:color w:val="auto"/>
                <w:sz w:val="24"/>
                <w:szCs w:val="24"/>
              </w:rPr>
              <w:t>/</w:t>
            </w:r>
            <w:r>
              <w:rPr>
                <w:rFonts w:hint="eastAsia" w:cs="宋体"/>
                <w:b/>
                <w:bCs/>
                <w:color w:val="auto"/>
                <w:sz w:val="24"/>
                <w:szCs w:val="24"/>
              </w:rPr>
              <w:t>备案）部门（选填）</w:t>
            </w:r>
          </w:p>
        </w:tc>
        <w:tc>
          <w:tcPr>
            <w:tcW w:w="2305" w:type="dxa"/>
            <w:vAlign w:val="center"/>
          </w:tcPr>
          <w:p w14:paraId="3DB16747">
            <w:pPr>
              <w:adjustRightInd w:val="0"/>
              <w:snapToGrid w:val="0"/>
              <w:jc w:val="center"/>
              <w:rPr>
                <w:rFonts w:cs="宋体"/>
                <w:color w:val="auto"/>
                <w:sz w:val="24"/>
                <w:szCs w:val="24"/>
              </w:rPr>
            </w:pPr>
            <w:r>
              <w:rPr>
                <w:rFonts w:hint="eastAsia" w:cs="宋体"/>
                <w:color w:val="auto"/>
                <w:sz w:val="24"/>
                <w:szCs w:val="24"/>
              </w:rPr>
              <w:t>四川巴中经济开发区经济发展局</w:t>
            </w:r>
          </w:p>
        </w:tc>
        <w:tc>
          <w:tcPr>
            <w:tcW w:w="2212" w:type="dxa"/>
            <w:vAlign w:val="center"/>
          </w:tcPr>
          <w:p w14:paraId="59D3DB72">
            <w:pPr>
              <w:adjustRightInd w:val="0"/>
              <w:snapToGrid w:val="0"/>
              <w:jc w:val="center"/>
              <w:rPr>
                <w:rFonts w:cs="宋体"/>
                <w:b/>
                <w:bCs/>
                <w:color w:val="auto"/>
                <w:sz w:val="24"/>
                <w:szCs w:val="24"/>
              </w:rPr>
            </w:pPr>
            <w:r>
              <w:rPr>
                <w:rFonts w:hint="eastAsia" w:cs="宋体"/>
                <w:b/>
                <w:bCs/>
                <w:color w:val="auto"/>
                <w:sz w:val="24"/>
                <w:szCs w:val="24"/>
              </w:rPr>
              <w:t>项目审批（核准</w:t>
            </w:r>
            <w:r>
              <w:rPr>
                <w:rFonts w:cs="宋体"/>
                <w:b/>
                <w:bCs/>
                <w:color w:val="auto"/>
                <w:sz w:val="24"/>
                <w:szCs w:val="24"/>
              </w:rPr>
              <w:t>/</w:t>
            </w:r>
          </w:p>
          <w:p w14:paraId="2F967749">
            <w:pPr>
              <w:adjustRightInd w:val="0"/>
              <w:snapToGrid w:val="0"/>
              <w:jc w:val="center"/>
              <w:rPr>
                <w:rFonts w:cs="宋体"/>
                <w:b/>
                <w:bCs/>
                <w:color w:val="auto"/>
                <w:sz w:val="24"/>
                <w:szCs w:val="24"/>
              </w:rPr>
            </w:pPr>
            <w:r>
              <w:rPr>
                <w:rFonts w:hint="eastAsia" w:cs="宋体"/>
                <w:b/>
                <w:bCs/>
                <w:color w:val="auto"/>
                <w:sz w:val="24"/>
                <w:szCs w:val="24"/>
              </w:rPr>
              <w:t>备案）文号（选填）</w:t>
            </w:r>
          </w:p>
        </w:tc>
        <w:tc>
          <w:tcPr>
            <w:tcW w:w="2639" w:type="dxa"/>
            <w:vAlign w:val="center"/>
          </w:tcPr>
          <w:p w14:paraId="3A6B0150">
            <w:pPr>
              <w:adjustRightInd w:val="0"/>
              <w:snapToGrid w:val="0"/>
              <w:jc w:val="center"/>
              <w:rPr>
                <w:rFonts w:cs="宋体"/>
                <w:color w:val="auto"/>
                <w:sz w:val="24"/>
                <w:szCs w:val="24"/>
              </w:rPr>
            </w:pPr>
            <w:r>
              <w:rPr>
                <w:rFonts w:hint="eastAsia" w:cs="宋体"/>
                <w:color w:val="auto"/>
                <w:sz w:val="24"/>
                <w:szCs w:val="24"/>
              </w:rPr>
              <w:t>川投资备【</w:t>
            </w:r>
            <w:r>
              <w:rPr>
                <w:rFonts w:hint="eastAsia" w:cs="宋体"/>
                <w:color w:val="auto"/>
                <w:sz w:val="24"/>
                <w:szCs w:val="24"/>
                <w:lang w:val="en-US" w:eastAsia="zh-CN"/>
              </w:rPr>
              <w:t>2601</w:t>
            </w:r>
            <w:r>
              <w:rPr>
                <w:rFonts w:hint="eastAsia" w:cs="宋体"/>
                <w:color w:val="auto"/>
                <w:sz w:val="24"/>
                <w:szCs w:val="24"/>
              </w:rPr>
              <w:t>-</w:t>
            </w:r>
            <w:r>
              <w:rPr>
                <w:rFonts w:hint="eastAsia" w:cs="宋体"/>
                <w:color w:val="auto"/>
                <w:sz w:val="24"/>
                <w:szCs w:val="24"/>
                <w:lang w:val="en-US" w:eastAsia="zh-CN"/>
              </w:rPr>
              <w:t>511924</w:t>
            </w:r>
            <w:r>
              <w:rPr>
                <w:rFonts w:hint="eastAsia" w:cs="宋体"/>
                <w:color w:val="auto"/>
                <w:sz w:val="24"/>
                <w:szCs w:val="24"/>
              </w:rPr>
              <w:t>-04-01-</w:t>
            </w:r>
            <w:r>
              <w:rPr>
                <w:rFonts w:hint="eastAsia" w:cs="宋体"/>
                <w:color w:val="auto"/>
                <w:sz w:val="24"/>
                <w:szCs w:val="24"/>
                <w:lang w:val="en-US" w:eastAsia="zh-CN"/>
              </w:rPr>
              <w:t>983495</w:t>
            </w:r>
            <w:r>
              <w:rPr>
                <w:rFonts w:hint="eastAsia" w:cs="宋体"/>
                <w:color w:val="auto"/>
                <w:sz w:val="24"/>
                <w:szCs w:val="24"/>
              </w:rPr>
              <w:t>】FGQB-00</w:t>
            </w:r>
            <w:r>
              <w:rPr>
                <w:rFonts w:hint="eastAsia" w:cs="宋体"/>
                <w:color w:val="auto"/>
                <w:sz w:val="24"/>
                <w:szCs w:val="24"/>
                <w:lang w:val="en-US" w:eastAsia="zh-CN"/>
              </w:rPr>
              <w:t>19</w:t>
            </w:r>
            <w:r>
              <w:rPr>
                <w:rFonts w:hint="eastAsia" w:cs="宋体"/>
                <w:color w:val="auto"/>
                <w:sz w:val="24"/>
                <w:szCs w:val="24"/>
              </w:rPr>
              <w:t>号</w:t>
            </w:r>
          </w:p>
        </w:tc>
      </w:tr>
      <w:tr w14:paraId="770CC5E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714" w:type="dxa"/>
            <w:tcMar>
              <w:top w:w="16" w:type="dxa"/>
              <w:left w:w="16" w:type="dxa"/>
              <w:right w:w="16" w:type="dxa"/>
            </w:tcMar>
            <w:vAlign w:val="center"/>
          </w:tcPr>
          <w:p w14:paraId="3F9A5803">
            <w:pPr>
              <w:adjustRightInd w:val="0"/>
              <w:snapToGrid w:val="0"/>
              <w:jc w:val="center"/>
              <w:rPr>
                <w:rFonts w:cs="宋体"/>
                <w:b/>
                <w:bCs/>
                <w:color w:val="auto"/>
                <w:sz w:val="24"/>
                <w:szCs w:val="24"/>
              </w:rPr>
            </w:pPr>
            <w:r>
              <w:rPr>
                <w:rFonts w:hint="eastAsia" w:cs="宋体"/>
                <w:b/>
                <w:bCs/>
                <w:color w:val="auto"/>
                <w:sz w:val="24"/>
                <w:szCs w:val="24"/>
              </w:rPr>
              <w:t>总投资（万元）</w:t>
            </w:r>
          </w:p>
        </w:tc>
        <w:tc>
          <w:tcPr>
            <w:tcW w:w="2305" w:type="dxa"/>
            <w:vAlign w:val="center"/>
          </w:tcPr>
          <w:p w14:paraId="1F2F4B73">
            <w:pPr>
              <w:adjustRightInd w:val="0"/>
              <w:snapToGrid w:val="0"/>
              <w:jc w:val="center"/>
              <w:rPr>
                <w:rFonts w:hint="default" w:eastAsia="宋体" w:cs="宋体"/>
                <w:color w:val="auto"/>
                <w:sz w:val="24"/>
                <w:szCs w:val="24"/>
                <w:lang w:val="en-US" w:eastAsia="zh-CN"/>
              </w:rPr>
            </w:pPr>
            <w:r>
              <w:rPr>
                <w:rFonts w:hint="eastAsia" w:cs="宋体"/>
                <w:color w:val="auto"/>
                <w:sz w:val="24"/>
                <w:szCs w:val="24"/>
                <w:lang w:val="en-US" w:eastAsia="zh-CN"/>
              </w:rPr>
              <w:t>30000</w:t>
            </w:r>
          </w:p>
        </w:tc>
        <w:tc>
          <w:tcPr>
            <w:tcW w:w="2212" w:type="dxa"/>
            <w:tcMar>
              <w:top w:w="16" w:type="dxa"/>
              <w:left w:w="16" w:type="dxa"/>
              <w:right w:w="16" w:type="dxa"/>
            </w:tcMar>
            <w:vAlign w:val="center"/>
          </w:tcPr>
          <w:p w14:paraId="746E44E1">
            <w:pPr>
              <w:adjustRightInd w:val="0"/>
              <w:snapToGrid w:val="0"/>
              <w:jc w:val="center"/>
              <w:rPr>
                <w:rFonts w:cs="宋体"/>
                <w:b/>
                <w:bCs/>
                <w:color w:val="auto"/>
                <w:sz w:val="24"/>
                <w:szCs w:val="24"/>
              </w:rPr>
            </w:pPr>
            <w:r>
              <w:rPr>
                <w:rFonts w:hint="eastAsia" w:cs="宋体"/>
                <w:b/>
                <w:bCs/>
                <w:color w:val="auto"/>
                <w:sz w:val="24"/>
                <w:szCs w:val="24"/>
              </w:rPr>
              <w:t>环保投资（万元）</w:t>
            </w:r>
          </w:p>
        </w:tc>
        <w:tc>
          <w:tcPr>
            <w:tcW w:w="2639" w:type="dxa"/>
            <w:vAlign w:val="center"/>
          </w:tcPr>
          <w:p w14:paraId="45555E3B">
            <w:pPr>
              <w:adjustRightInd w:val="0"/>
              <w:snapToGrid w:val="0"/>
              <w:jc w:val="center"/>
              <w:rPr>
                <w:rFonts w:hint="default" w:eastAsia="宋体" w:cs="宋体"/>
                <w:color w:val="auto"/>
                <w:sz w:val="24"/>
                <w:szCs w:val="24"/>
                <w:lang w:val="en-US" w:eastAsia="zh-CN"/>
              </w:rPr>
            </w:pPr>
            <w:r>
              <w:rPr>
                <w:rFonts w:hint="eastAsia" w:cs="宋体"/>
                <w:color w:val="auto"/>
                <w:sz w:val="24"/>
                <w:szCs w:val="24"/>
                <w:lang w:val="en-US" w:eastAsia="zh-CN"/>
              </w:rPr>
              <w:t>600</w:t>
            </w:r>
          </w:p>
        </w:tc>
      </w:tr>
      <w:tr w14:paraId="03D6A70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714" w:type="dxa"/>
            <w:tcMar>
              <w:top w:w="16" w:type="dxa"/>
              <w:left w:w="16" w:type="dxa"/>
              <w:right w:w="16" w:type="dxa"/>
            </w:tcMar>
            <w:vAlign w:val="center"/>
          </w:tcPr>
          <w:p w14:paraId="4010881B">
            <w:pPr>
              <w:adjustRightInd w:val="0"/>
              <w:snapToGrid w:val="0"/>
              <w:jc w:val="center"/>
              <w:rPr>
                <w:rFonts w:cs="宋体"/>
                <w:b/>
                <w:bCs/>
                <w:color w:val="auto"/>
                <w:sz w:val="24"/>
                <w:szCs w:val="24"/>
              </w:rPr>
            </w:pPr>
            <w:r>
              <w:rPr>
                <w:rFonts w:hint="eastAsia" w:cs="宋体"/>
                <w:b/>
                <w:bCs/>
                <w:color w:val="auto"/>
                <w:sz w:val="24"/>
                <w:szCs w:val="24"/>
              </w:rPr>
              <w:t>环保投资占比（</w:t>
            </w:r>
            <w:r>
              <w:rPr>
                <w:rFonts w:cs="宋体"/>
                <w:b/>
                <w:bCs/>
                <w:color w:val="auto"/>
                <w:sz w:val="24"/>
                <w:szCs w:val="24"/>
              </w:rPr>
              <w:t>%</w:t>
            </w:r>
            <w:r>
              <w:rPr>
                <w:rFonts w:hint="eastAsia" w:cs="宋体"/>
                <w:b/>
                <w:bCs/>
                <w:color w:val="auto"/>
                <w:sz w:val="24"/>
                <w:szCs w:val="24"/>
              </w:rPr>
              <w:t>）</w:t>
            </w:r>
          </w:p>
        </w:tc>
        <w:tc>
          <w:tcPr>
            <w:tcW w:w="2305" w:type="dxa"/>
            <w:vAlign w:val="center"/>
          </w:tcPr>
          <w:p w14:paraId="55424A5A">
            <w:pPr>
              <w:adjustRightInd w:val="0"/>
              <w:snapToGrid w:val="0"/>
              <w:jc w:val="center"/>
              <w:rPr>
                <w:rFonts w:hint="default" w:eastAsia="宋体" w:cs="宋体"/>
                <w:color w:val="auto"/>
                <w:sz w:val="24"/>
                <w:szCs w:val="24"/>
                <w:lang w:val="en-US" w:eastAsia="zh-CN"/>
              </w:rPr>
            </w:pPr>
            <w:r>
              <w:rPr>
                <w:rFonts w:hint="eastAsia" w:cs="宋体"/>
                <w:color w:val="auto"/>
                <w:sz w:val="24"/>
                <w:szCs w:val="24"/>
                <w:lang w:val="en-US" w:eastAsia="zh-CN"/>
              </w:rPr>
              <w:t>2</w:t>
            </w:r>
          </w:p>
        </w:tc>
        <w:tc>
          <w:tcPr>
            <w:tcW w:w="2212" w:type="dxa"/>
            <w:tcMar>
              <w:top w:w="16" w:type="dxa"/>
              <w:left w:w="16" w:type="dxa"/>
              <w:right w:w="16" w:type="dxa"/>
            </w:tcMar>
            <w:vAlign w:val="center"/>
          </w:tcPr>
          <w:p w14:paraId="6B2B30AA">
            <w:pPr>
              <w:adjustRightInd w:val="0"/>
              <w:snapToGrid w:val="0"/>
              <w:jc w:val="center"/>
              <w:rPr>
                <w:rFonts w:cs="宋体"/>
                <w:b/>
                <w:bCs/>
                <w:color w:val="auto"/>
                <w:sz w:val="24"/>
                <w:szCs w:val="24"/>
              </w:rPr>
            </w:pPr>
            <w:r>
              <w:rPr>
                <w:rFonts w:hint="eastAsia" w:cs="宋体"/>
                <w:b/>
                <w:bCs/>
                <w:color w:val="auto"/>
                <w:sz w:val="24"/>
                <w:szCs w:val="24"/>
              </w:rPr>
              <w:t>施工工期</w:t>
            </w:r>
          </w:p>
        </w:tc>
        <w:tc>
          <w:tcPr>
            <w:tcW w:w="2639" w:type="dxa"/>
            <w:vAlign w:val="center"/>
          </w:tcPr>
          <w:p w14:paraId="72F6DF05">
            <w:pPr>
              <w:adjustRightInd w:val="0"/>
              <w:snapToGrid w:val="0"/>
              <w:jc w:val="center"/>
              <w:rPr>
                <w:rFonts w:cs="宋体"/>
                <w:color w:val="auto"/>
                <w:sz w:val="24"/>
                <w:szCs w:val="24"/>
              </w:rPr>
            </w:pPr>
            <w:r>
              <w:rPr>
                <w:rFonts w:hint="eastAsia" w:cs="宋体"/>
                <w:color w:val="auto"/>
                <w:sz w:val="24"/>
                <w:szCs w:val="24"/>
                <w:lang w:val="en-US" w:eastAsia="zh-CN"/>
              </w:rPr>
              <w:t>8</w:t>
            </w:r>
            <w:r>
              <w:rPr>
                <w:rFonts w:hint="eastAsia" w:cs="宋体"/>
                <w:color w:val="auto"/>
                <w:sz w:val="24"/>
                <w:szCs w:val="24"/>
              </w:rPr>
              <w:t>个月</w:t>
            </w:r>
          </w:p>
        </w:tc>
      </w:tr>
      <w:tr w14:paraId="126AD6B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714" w:type="dxa"/>
            <w:tcMar>
              <w:top w:w="16" w:type="dxa"/>
              <w:left w:w="16" w:type="dxa"/>
              <w:right w:w="16" w:type="dxa"/>
            </w:tcMar>
            <w:vAlign w:val="center"/>
          </w:tcPr>
          <w:p w14:paraId="5CD158EE">
            <w:pPr>
              <w:adjustRightInd w:val="0"/>
              <w:snapToGrid w:val="0"/>
              <w:jc w:val="center"/>
              <w:rPr>
                <w:rFonts w:cs="宋体"/>
                <w:b/>
                <w:bCs/>
                <w:color w:val="auto"/>
                <w:sz w:val="24"/>
                <w:szCs w:val="24"/>
              </w:rPr>
            </w:pPr>
            <w:r>
              <w:rPr>
                <w:rFonts w:hint="eastAsia" w:cs="宋体"/>
                <w:b/>
                <w:bCs/>
                <w:color w:val="auto"/>
                <w:sz w:val="24"/>
                <w:szCs w:val="24"/>
              </w:rPr>
              <w:t>是否开工建设</w:t>
            </w:r>
          </w:p>
        </w:tc>
        <w:tc>
          <w:tcPr>
            <w:tcW w:w="2305" w:type="dxa"/>
            <w:vAlign w:val="center"/>
          </w:tcPr>
          <w:p w14:paraId="664D898F">
            <w:pPr>
              <w:adjustRightInd w:val="0"/>
              <w:snapToGrid w:val="0"/>
              <w:rPr>
                <w:rFonts w:cs="宋体"/>
                <w:color w:val="auto"/>
                <w:sz w:val="24"/>
                <w:szCs w:val="24"/>
              </w:rPr>
            </w:pPr>
            <w:r>
              <w:rPr>
                <w:rFonts w:hint="eastAsia"/>
                <w:color w:val="auto"/>
                <w:sz w:val="24"/>
                <w:szCs w:val="24"/>
                <w:lang w:eastAsia="zh-CN"/>
              </w:rPr>
              <w:t>（</w:t>
            </w:r>
            <w:r>
              <w:rPr>
                <w:rFonts w:hint="eastAsia" w:cs="宋体"/>
                <w:color w:val="auto"/>
                <w:sz w:val="24"/>
                <w:szCs w:val="24"/>
              </w:rPr>
              <w:t>否</w:t>
            </w:r>
          </w:p>
          <w:p w14:paraId="47A330C1">
            <w:pPr>
              <w:adjustRightInd w:val="0"/>
              <w:snapToGrid w:val="0"/>
              <w:rPr>
                <w:rFonts w:cs="宋体"/>
                <w:color w:val="auto"/>
                <w:sz w:val="24"/>
                <w:szCs w:val="24"/>
              </w:rPr>
            </w:pPr>
            <w:r>
              <w:rPr>
                <w:rFonts w:hint="eastAsia" w:cs="宋体"/>
                <w:color w:val="auto"/>
                <w:sz w:val="24"/>
                <w:szCs w:val="24"/>
                <w:lang w:eastAsia="zh-CN"/>
              </w:rPr>
              <w:t>（</w:t>
            </w:r>
            <w:r>
              <w:rPr>
                <w:rFonts w:hint="eastAsia" w:cs="宋体"/>
                <w:color w:val="auto"/>
                <w:sz w:val="24"/>
                <w:szCs w:val="24"/>
              </w:rPr>
              <w:t>是：</w:t>
            </w:r>
            <w:r>
              <w:rPr>
                <w:rFonts w:hint="eastAsia" w:cs="宋体"/>
                <w:color w:val="auto"/>
                <w:sz w:val="24"/>
                <w:szCs w:val="24"/>
                <w:u w:val="single"/>
              </w:rPr>
              <w:t xml:space="preserve">             </w:t>
            </w:r>
          </w:p>
        </w:tc>
        <w:tc>
          <w:tcPr>
            <w:tcW w:w="2212" w:type="dxa"/>
            <w:tcMar>
              <w:top w:w="16" w:type="dxa"/>
              <w:left w:w="16" w:type="dxa"/>
              <w:right w:w="16" w:type="dxa"/>
            </w:tcMar>
            <w:vAlign w:val="center"/>
          </w:tcPr>
          <w:p w14:paraId="5A9234FA">
            <w:pPr>
              <w:adjustRightInd w:val="0"/>
              <w:snapToGrid w:val="0"/>
              <w:jc w:val="center"/>
              <w:rPr>
                <w:rFonts w:cs="宋体"/>
                <w:b/>
                <w:bCs/>
                <w:color w:val="auto"/>
                <w:spacing w:val="-6"/>
                <w:sz w:val="24"/>
                <w:szCs w:val="24"/>
              </w:rPr>
            </w:pPr>
            <w:r>
              <w:rPr>
                <w:rFonts w:hint="eastAsia" w:cs="宋体"/>
                <w:b/>
                <w:bCs/>
                <w:color w:val="auto"/>
                <w:spacing w:val="-6"/>
                <w:sz w:val="24"/>
                <w:szCs w:val="24"/>
              </w:rPr>
              <w:t>用地（用海）</w:t>
            </w:r>
          </w:p>
          <w:p w14:paraId="360744FF">
            <w:pPr>
              <w:adjustRightInd w:val="0"/>
              <w:snapToGrid w:val="0"/>
              <w:jc w:val="center"/>
              <w:rPr>
                <w:rFonts w:cs="宋体"/>
                <w:b/>
                <w:bCs/>
                <w:color w:val="auto"/>
                <w:sz w:val="24"/>
                <w:szCs w:val="24"/>
              </w:rPr>
            </w:pPr>
            <w:r>
              <w:rPr>
                <w:rFonts w:hint="eastAsia" w:cs="宋体"/>
                <w:b/>
                <w:bCs/>
                <w:color w:val="auto"/>
                <w:spacing w:val="-6"/>
                <w:sz w:val="24"/>
                <w:szCs w:val="24"/>
              </w:rPr>
              <w:t>面积（</w:t>
            </w:r>
            <w:r>
              <w:rPr>
                <w:rFonts w:cs="宋体"/>
                <w:b/>
                <w:bCs/>
                <w:color w:val="auto"/>
                <w:spacing w:val="-6"/>
                <w:sz w:val="24"/>
                <w:szCs w:val="24"/>
              </w:rPr>
              <w:t>m</w:t>
            </w:r>
            <w:r>
              <w:rPr>
                <w:rFonts w:cs="宋体"/>
                <w:b/>
                <w:bCs/>
                <w:color w:val="auto"/>
                <w:spacing w:val="-6"/>
                <w:sz w:val="24"/>
                <w:szCs w:val="24"/>
                <w:vertAlign w:val="superscript"/>
              </w:rPr>
              <w:t>2</w:t>
            </w:r>
            <w:r>
              <w:rPr>
                <w:rFonts w:hint="eastAsia" w:cs="宋体"/>
                <w:b/>
                <w:bCs/>
                <w:color w:val="auto"/>
                <w:spacing w:val="-6"/>
                <w:sz w:val="24"/>
                <w:szCs w:val="24"/>
              </w:rPr>
              <w:t>）</w:t>
            </w:r>
          </w:p>
        </w:tc>
        <w:tc>
          <w:tcPr>
            <w:tcW w:w="2639" w:type="dxa"/>
            <w:vAlign w:val="center"/>
          </w:tcPr>
          <w:p w14:paraId="4FEEACDF">
            <w:pPr>
              <w:adjustRightInd w:val="0"/>
              <w:snapToGrid w:val="0"/>
              <w:jc w:val="center"/>
              <w:rPr>
                <w:rFonts w:hint="default" w:eastAsia="宋体" w:cs="宋体"/>
                <w:color w:val="auto"/>
                <w:sz w:val="24"/>
                <w:szCs w:val="24"/>
                <w:lang w:val="en-US" w:eastAsia="zh-CN"/>
              </w:rPr>
            </w:pPr>
            <w:r>
              <w:rPr>
                <w:rFonts w:hint="eastAsia" w:cs="宋体"/>
                <w:color w:val="auto"/>
                <w:sz w:val="24"/>
                <w:szCs w:val="24"/>
                <w:lang w:val="en-US" w:eastAsia="zh-CN"/>
              </w:rPr>
              <w:t>27257.7</w:t>
            </w:r>
          </w:p>
        </w:tc>
      </w:tr>
      <w:tr w14:paraId="11AC5AA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1714" w:type="dxa"/>
            <w:vAlign w:val="center"/>
          </w:tcPr>
          <w:p w14:paraId="27BC971B">
            <w:pPr>
              <w:autoSpaceDE w:val="0"/>
              <w:autoSpaceDN w:val="0"/>
              <w:adjustRightInd w:val="0"/>
              <w:snapToGrid w:val="0"/>
              <w:jc w:val="center"/>
              <w:rPr>
                <w:rFonts w:cs="宋体"/>
                <w:color w:val="auto"/>
                <w:kern w:val="0"/>
                <w:szCs w:val="21"/>
              </w:rPr>
            </w:pPr>
            <w:r>
              <w:rPr>
                <w:rFonts w:hint="eastAsia" w:cs="宋体"/>
                <w:b/>
                <w:bCs/>
                <w:color w:val="auto"/>
                <w:kern w:val="0"/>
                <w:sz w:val="24"/>
                <w:szCs w:val="24"/>
              </w:rPr>
              <w:t>专项评价设置情况</w:t>
            </w:r>
          </w:p>
        </w:tc>
        <w:tc>
          <w:tcPr>
            <w:tcW w:w="7156" w:type="dxa"/>
            <w:gridSpan w:val="3"/>
            <w:vAlign w:val="center"/>
          </w:tcPr>
          <w:p w14:paraId="08FDB21D">
            <w:pPr>
              <w:pStyle w:val="68"/>
              <w:rPr>
                <w:b/>
                <w:bCs/>
                <w:color w:val="auto"/>
              </w:rPr>
            </w:pPr>
            <w:r>
              <w:rPr>
                <w:rFonts w:hint="default" w:ascii="Times New Roman" w:hAnsi="Times New Roman" w:eastAsia="宋体" w:cs="Times New Roman"/>
                <w:b/>
                <w:bCs/>
                <w:color w:val="auto"/>
              </w:rPr>
              <w:t>表1-1  专项评价设置情况表</w:t>
            </w:r>
          </w:p>
          <w:tbl>
            <w:tblPr>
              <w:tblStyle w:val="41"/>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57" w:type="dxa"/>
                <w:bottom w:w="0" w:type="dxa"/>
                <w:right w:w="57" w:type="dxa"/>
              </w:tblCellMar>
            </w:tblPr>
            <w:tblGrid>
              <w:gridCol w:w="759"/>
              <w:gridCol w:w="3151"/>
              <w:gridCol w:w="2311"/>
              <w:gridCol w:w="719"/>
            </w:tblGrid>
            <w:tr w14:paraId="431682D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jc w:val="center"/>
              </w:trPr>
              <w:tc>
                <w:tcPr>
                  <w:tcW w:w="759" w:type="dxa"/>
                  <w:shd w:val="clear" w:color="auto" w:fill="auto"/>
                  <w:vAlign w:val="center"/>
                </w:tcPr>
                <w:p w14:paraId="07A6CB12">
                  <w:pPr>
                    <w:pStyle w:val="70"/>
                    <w:spacing w:line="240" w:lineRule="auto"/>
                    <w:rPr>
                      <w:b/>
                      <w:color w:val="auto"/>
                      <w:sz w:val="21"/>
                      <w:szCs w:val="21"/>
                    </w:rPr>
                  </w:pPr>
                  <w:r>
                    <w:rPr>
                      <w:b/>
                      <w:color w:val="auto"/>
                      <w:sz w:val="21"/>
                      <w:szCs w:val="21"/>
                    </w:rPr>
                    <w:t>专项评价类别</w:t>
                  </w:r>
                </w:p>
              </w:tc>
              <w:tc>
                <w:tcPr>
                  <w:tcW w:w="3151" w:type="dxa"/>
                  <w:shd w:val="clear" w:color="auto" w:fill="auto"/>
                  <w:vAlign w:val="center"/>
                </w:tcPr>
                <w:p w14:paraId="24C91E6C">
                  <w:pPr>
                    <w:pStyle w:val="70"/>
                    <w:spacing w:line="240" w:lineRule="auto"/>
                    <w:rPr>
                      <w:b/>
                      <w:color w:val="auto"/>
                      <w:sz w:val="21"/>
                      <w:szCs w:val="21"/>
                    </w:rPr>
                  </w:pPr>
                  <w:r>
                    <w:rPr>
                      <w:b/>
                      <w:color w:val="auto"/>
                      <w:sz w:val="21"/>
                      <w:szCs w:val="21"/>
                    </w:rPr>
                    <w:t>设置原则</w:t>
                  </w:r>
                </w:p>
              </w:tc>
              <w:tc>
                <w:tcPr>
                  <w:tcW w:w="2311" w:type="dxa"/>
                  <w:shd w:val="clear" w:color="auto" w:fill="auto"/>
                  <w:vAlign w:val="center"/>
                </w:tcPr>
                <w:p w14:paraId="52A0E781">
                  <w:pPr>
                    <w:pStyle w:val="70"/>
                    <w:spacing w:line="240" w:lineRule="auto"/>
                    <w:rPr>
                      <w:b/>
                      <w:color w:val="auto"/>
                      <w:sz w:val="21"/>
                      <w:szCs w:val="21"/>
                    </w:rPr>
                  </w:pPr>
                  <w:r>
                    <w:rPr>
                      <w:b/>
                      <w:color w:val="auto"/>
                      <w:sz w:val="21"/>
                      <w:szCs w:val="21"/>
                    </w:rPr>
                    <w:t>本项目情况</w:t>
                  </w:r>
                </w:p>
              </w:tc>
              <w:tc>
                <w:tcPr>
                  <w:tcW w:w="719" w:type="dxa"/>
                  <w:shd w:val="clear" w:color="auto" w:fill="auto"/>
                  <w:vAlign w:val="center"/>
                </w:tcPr>
                <w:p w14:paraId="01DE2AA4">
                  <w:pPr>
                    <w:pStyle w:val="70"/>
                    <w:spacing w:line="240" w:lineRule="auto"/>
                    <w:rPr>
                      <w:b/>
                      <w:color w:val="auto"/>
                      <w:sz w:val="21"/>
                      <w:szCs w:val="21"/>
                    </w:rPr>
                  </w:pPr>
                  <w:r>
                    <w:rPr>
                      <w:b/>
                      <w:color w:val="auto"/>
                      <w:sz w:val="21"/>
                      <w:szCs w:val="21"/>
                    </w:rPr>
                    <w:t>是否设</w:t>
                  </w:r>
                  <w:r>
                    <w:rPr>
                      <w:rFonts w:hint="eastAsia"/>
                      <w:b/>
                      <w:color w:val="auto"/>
                      <w:sz w:val="21"/>
                      <w:szCs w:val="21"/>
                    </w:rPr>
                    <w:t>置</w:t>
                  </w:r>
                  <w:r>
                    <w:rPr>
                      <w:b/>
                      <w:color w:val="auto"/>
                      <w:sz w:val="21"/>
                      <w:szCs w:val="21"/>
                    </w:rPr>
                    <w:t>专项</w:t>
                  </w:r>
                </w:p>
              </w:tc>
            </w:tr>
            <w:tr w14:paraId="36BF9BF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jc w:val="center"/>
              </w:trPr>
              <w:tc>
                <w:tcPr>
                  <w:tcW w:w="759" w:type="dxa"/>
                  <w:shd w:val="clear" w:color="auto" w:fill="auto"/>
                  <w:vAlign w:val="center"/>
                </w:tcPr>
                <w:p w14:paraId="51A61A7E">
                  <w:pPr>
                    <w:pStyle w:val="70"/>
                    <w:spacing w:line="240" w:lineRule="auto"/>
                    <w:rPr>
                      <w:color w:val="auto"/>
                      <w:sz w:val="21"/>
                      <w:szCs w:val="21"/>
                    </w:rPr>
                  </w:pPr>
                  <w:r>
                    <w:rPr>
                      <w:color w:val="auto"/>
                      <w:sz w:val="21"/>
                      <w:szCs w:val="21"/>
                    </w:rPr>
                    <w:t>大气</w:t>
                  </w:r>
                </w:p>
              </w:tc>
              <w:tc>
                <w:tcPr>
                  <w:tcW w:w="3151" w:type="dxa"/>
                  <w:shd w:val="clear" w:color="auto" w:fill="auto"/>
                  <w:vAlign w:val="center"/>
                </w:tcPr>
                <w:p w14:paraId="6C5340F1">
                  <w:pPr>
                    <w:pStyle w:val="70"/>
                    <w:spacing w:line="240" w:lineRule="auto"/>
                    <w:jc w:val="both"/>
                    <w:rPr>
                      <w:color w:val="auto"/>
                      <w:sz w:val="21"/>
                      <w:szCs w:val="21"/>
                    </w:rPr>
                  </w:pPr>
                  <w:r>
                    <w:rPr>
                      <w:color w:val="auto"/>
                      <w:sz w:val="21"/>
                      <w:szCs w:val="21"/>
                    </w:rPr>
                    <w:t>排放废气含有毒有害污染物</w:t>
                  </w:r>
                  <w:r>
                    <w:rPr>
                      <w:rFonts w:hint="eastAsia"/>
                      <w:color w:val="auto"/>
                      <w:sz w:val="21"/>
                      <w:szCs w:val="21"/>
                      <w:vertAlign w:val="superscript"/>
                      <w:lang w:val="en-US" w:eastAsia="zh-CN"/>
                    </w:rPr>
                    <w:t>1</w:t>
                  </w:r>
                  <w:r>
                    <w:rPr>
                      <w:color w:val="auto"/>
                      <w:sz w:val="21"/>
                      <w:szCs w:val="21"/>
                    </w:rPr>
                    <w:t>、二噁英、苯并</w:t>
                  </w:r>
                  <w:r>
                    <w:rPr>
                      <w:rFonts w:hint="eastAsia"/>
                      <w:color w:val="auto"/>
                      <w:sz w:val="21"/>
                      <w:szCs w:val="21"/>
                    </w:rPr>
                    <w:t>[a]</w:t>
                  </w:r>
                  <w:r>
                    <w:rPr>
                      <w:color w:val="auto"/>
                      <w:sz w:val="21"/>
                      <w:szCs w:val="21"/>
                    </w:rPr>
                    <w:t>芘、氰化物、氯气且厂界外500米范围内有环境空气保护目标</w:t>
                  </w:r>
                  <w:r>
                    <w:rPr>
                      <w:rFonts w:hint="eastAsia"/>
                      <w:color w:val="auto"/>
                      <w:sz w:val="21"/>
                      <w:szCs w:val="21"/>
                      <w:vertAlign w:val="superscript"/>
                      <w:lang w:val="en-US" w:eastAsia="zh-CN"/>
                    </w:rPr>
                    <w:t>2</w:t>
                  </w:r>
                  <w:r>
                    <w:rPr>
                      <w:color w:val="auto"/>
                      <w:sz w:val="21"/>
                      <w:szCs w:val="21"/>
                    </w:rPr>
                    <w:t>的建设项目</w:t>
                  </w:r>
                  <w:r>
                    <w:rPr>
                      <w:rFonts w:hint="eastAsia"/>
                      <w:color w:val="auto"/>
                      <w:sz w:val="21"/>
                      <w:szCs w:val="21"/>
                    </w:rPr>
                    <w:t>。</w:t>
                  </w:r>
                </w:p>
              </w:tc>
              <w:tc>
                <w:tcPr>
                  <w:tcW w:w="2311" w:type="dxa"/>
                  <w:shd w:val="clear" w:color="auto" w:fill="auto"/>
                  <w:vAlign w:val="center"/>
                </w:tcPr>
                <w:p w14:paraId="50EF5057">
                  <w:pPr>
                    <w:pStyle w:val="70"/>
                    <w:spacing w:line="240" w:lineRule="auto"/>
                    <w:jc w:val="both"/>
                    <w:rPr>
                      <w:rFonts w:hint="eastAsia" w:eastAsia="宋体"/>
                      <w:color w:val="auto"/>
                      <w:sz w:val="21"/>
                      <w:szCs w:val="21"/>
                      <w:lang w:val="en-US" w:eastAsia="zh-CN"/>
                    </w:rPr>
                  </w:pPr>
                  <w:r>
                    <w:rPr>
                      <w:rFonts w:hint="eastAsia"/>
                      <w:color w:val="auto"/>
                      <w:sz w:val="21"/>
                      <w:szCs w:val="21"/>
                      <w:lang w:val="en-US" w:eastAsia="zh-CN"/>
                    </w:rPr>
                    <w:t>本项目不涉及</w:t>
                  </w:r>
                  <w:r>
                    <w:rPr>
                      <w:color w:val="auto"/>
                      <w:sz w:val="21"/>
                      <w:szCs w:val="21"/>
                    </w:rPr>
                    <w:t>有毒有害污染物</w:t>
                  </w:r>
                  <w:r>
                    <w:rPr>
                      <w:rFonts w:hint="eastAsia"/>
                      <w:color w:val="auto"/>
                      <w:sz w:val="21"/>
                      <w:szCs w:val="21"/>
                      <w:vertAlign w:val="superscript"/>
                      <w:lang w:val="en-US" w:eastAsia="zh-CN"/>
                    </w:rPr>
                    <w:t>1</w:t>
                  </w:r>
                  <w:r>
                    <w:rPr>
                      <w:color w:val="auto"/>
                      <w:sz w:val="21"/>
                      <w:szCs w:val="21"/>
                    </w:rPr>
                    <w:t>、二噁英、苯并</w:t>
                  </w:r>
                  <w:r>
                    <w:rPr>
                      <w:rFonts w:hint="eastAsia"/>
                      <w:color w:val="auto"/>
                      <w:sz w:val="21"/>
                      <w:szCs w:val="21"/>
                    </w:rPr>
                    <w:t>[a]</w:t>
                  </w:r>
                  <w:r>
                    <w:rPr>
                      <w:color w:val="auto"/>
                      <w:sz w:val="21"/>
                      <w:szCs w:val="21"/>
                    </w:rPr>
                    <w:t>芘、氰化物、氯气</w:t>
                  </w:r>
                  <w:r>
                    <w:rPr>
                      <w:rFonts w:hint="eastAsia"/>
                      <w:color w:val="auto"/>
                      <w:sz w:val="21"/>
                      <w:szCs w:val="21"/>
                      <w:lang w:val="en-US" w:eastAsia="zh-CN"/>
                    </w:rPr>
                    <w:t>等</w:t>
                  </w:r>
                </w:p>
              </w:tc>
              <w:tc>
                <w:tcPr>
                  <w:tcW w:w="719" w:type="dxa"/>
                  <w:shd w:val="clear" w:color="auto" w:fill="auto"/>
                  <w:vAlign w:val="center"/>
                </w:tcPr>
                <w:p w14:paraId="07E9FDF0">
                  <w:pPr>
                    <w:pStyle w:val="70"/>
                    <w:spacing w:line="240" w:lineRule="auto"/>
                    <w:rPr>
                      <w:color w:val="auto"/>
                      <w:sz w:val="21"/>
                      <w:szCs w:val="21"/>
                    </w:rPr>
                  </w:pPr>
                  <w:r>
                    <w:rPr>
                      <w:color w:val="auto"/>
                      <w:sz w:val="21"/>
                      <w:szCs w:val="21"/>
                    </w:rPr>
                    <w:t>否</w:t>
                  </w:r>
                </w:p>
              </w:tc>
            </w:tr>
            <w:tr w14:paraId="290B840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jc w:val="center"/>
              </w:trPr>
              <w:tc>
                <w:tcPr>
                  <w:tcW w:w="759" w:type="dxa"/>
                  <w:shd w:val="clear" w:color="auto" w:fill="auto"/>
                  <w:vAlign w:val="center"/>
                </w:tcPr>
                <w:p w14:paraId="6FCFC412">
                  <w:pPr>
                    <w:pStyle w:val="70"/>
                    <w:spacing w:line="240" w:lineRule="auto"/>
                    <w:rPr>
                      <w:color w:val="auto"/>
                      <w:sz w:val="21"/>
                      <w:szCs w:val="21"/>
                    </w:rPr>
                  </w:pPr>
                  <w:r>
                    <w:rPr>
                      <w:color w:val="auto"/>
                      <w:sz w:val="21"/>
                      <w:szCs w:val="21"/>
                    </w:rPr>
                    <w:t>地表水</w:t>
                  </w:r>
                </w:p>
              </w:tc>
              <w:tc>
                <w:tcPr>
                  <w:tcW w:w="3151" w:type="dxa"/>
                  <w:shd w:val="clear" w:color="auto" w:fill="auto"/>
                  <w:vAlign w:val="center"/>
                </w:tcPr>
                <w:p w14:paraId="10A1E938">
                  <w:pPr>
                    <w:pStyle w:val="70"/>
                    <w:spacing w:line="240" w:lineRule="auto"/>
                    <w:jc w:val="both"/>
                    <w:rPr>
                      <w:color w:val="auto"/>
                      <w:sz w:val="21"/>
                      <w:szCs w:val="21"/>
                    </w:rPr>
                  </w:pPr>
                  <w:r>
                    <w:rPr>
                      <w:color w:val="auto"/>
                      <w:sz w:val="21"/>
                      <w:szCs w:val="21"/>
                    </w:rPr>
                    <w:t>新增工业废水直排建设项目（槽罐车外送污水处理厂的除外）；新增废水直排的污水集中处理厂</w:t>
                  </w:r>
                  <w:r>
                    <w:rPr>
                      <w:rFonts w:hint="eastAsia"/>
                      <w:color w:val="auto"/>
                      <w:sz w:val="21"/>
                      <w:szCs w:val="21"/>
                    </w:rPr>
                    <w:t>。</w:t>
                  </w:r>
                </w:p>
              </w:tc>
              <w:tc>
                <w:tcPr>
                  <w:tcW w:w="2311" w:type="dxa"/>
                  <w:shd w:val="clear" w:color="auto" w:fill="auto"/>
                  <w:vAlign w:val="center"/>
                </w:tcPr>
                <w:p w14:paraId="2E7CB46E">
                  <w:pPr>
                    <w:pStyle w:val="70"/>
                    <w:spacing w:line="240" w:lineRule="auto"/>
                    <w:jc w:val="center"/>
                    <w:rPr>
                      <w:color w:val="auto"/>
                      <w:sz w:val="21"/>
                      <w:szCs w:val="21"/>
                    </w:rPr>
                  </w:pPr>
                  <w:r>
                    <w:rPr>
                      <w:rFonts w:hint="eastAsia"/>
                      <w:color w:val="auto"/>
                      <w:sz w:val="21"/>
                      <w:szCs w:val="21"/>
                    </w:rPr>
                    <w:t>项目废水为间接排放</w:t>
                  </w:r>
                </w:p>
              </w:tc>
              <w:tc>
                <w:tcPr>
                  <w:tcW w:w="719" w:type="dxa"/>
                  <w:shd w:val="clear" w:color="auto" w:fill="auto"/>
                  <w:vAlign w:val="center"/>
                </w:tcPr>
                <w:p w14:paraId="0122A473">
                  <w:pPr>
                    <w:pStyle w:val="70"/>
                    <w:spacing w:line="240" w:lineRule="auto"/>
                    <w:rPr>
                      <w:color w:val="auto"/>
                      <w:sz w:val="21"/>
                      <w:szCs w:val="21"/>
                    </w:rPr>
                  </w:pPr>
                  <w:r>
                    <w:rPr>
                      <w:color w:val="auto"/>
                      <w:sz w:val="21"/>
                      <w:szCs w:val="21"/>
                    </w:rPr>
                    <w:t>否</w:t>
                  </w:r>
                </w:p>
              </w:tc>
            </w:tr>
            <w:tr w14:paraId="0F46564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jc w:val="center"/>
              </w:trPr>
              <w:tc>
                <w:tcPr>
                  <w:tcW w:w="759" w:type="dxa"/>
                  <w:shd w:val="clear" w:color="auto" w:fill="auto"/>
                  <w:vAlign w:val="center"/>
                </w:tcPr>
                <w:p w14:paraId="1104C652">
                  <w:pPr>
                    <w:pStyle w:val="70"/>
                    <w:spacing w:line="240" w:lineRule="auto"/>
                    <w:rPr>
                      <w:color w:val="auto"/>
                      <w:sz w:val="21"/>
                      <w:szCs w:val="21"/>
                    </w:rPr>
                  </w:pPr>
                  <w:r>
                    <w:rPr>
                      <w:color w:val="auto"/>
                      <w:sz w:val="21"/>
                      <w:szCs w:val="21"/>
                    </w:rPr>
                    <w:t>环境风险</w:t>
                  </w:r>
                </w:p>
              </w:tc>
              <w:tc>
                <w:tcPr>
                  <w:tcW w:w="3151" w:type="dxa"/>
                  <w:shd w:val="clear" w:color="auto" w:fill="auto"/>
                  <w:vAlign w:val="center"/>
                </w:tcPr>
                <w:p w14:paraId="7F38F214">
                  <w:pPr>
                    <w:pStyle w:val="70"/>
                    <w:spacing w:line="240" w:lineRule="auto"/>
                    <w:jc w:val="both"/>
                    <w:rPr>
                      <w:color w:val="auto"/>
                      <w:sz w:val="21"/>
                      <w:szCs w:val="21"/>
                    </w:rPr>
                  </w:pPr>
                  <w:r>
                    <w:rPr>
                      <w:color w:val="auto"/>
                      <w:sz w:val="21"/>
                      <w:szCs w:val="21"/>
                    </w:rPr>
                    <w:t>有毒有害和易燃易爆危险物质存储量超过临界量</w:t>
                  </w:r>
                  <w:r>
                    <w:rPr>
                      <w:rFonts w:hint="eastAsia"/>
                      <w:color w:val="auto"/>
                      <w:sz w:val="21"/>
                      <w:szCs w:val="21"/>
                      <w:vertAlign w:val="superscript"/>
                      <w:lang w:val="en-US" w:eastAsia="zh-CN"/>
                    </w:rPr>
                    <w:t>3</w:t>
                  </w:r>
                  <w:r>
                    <w:rPr>
                      <w:color w:val="auto"/>
                      <w:sz w:val="21"/>
                      <w:szCs w:val="21"/>
                    </w:rPr>
                    <w:t>的建设项目</w:t>
                  </w:r>
                  <w:r>
                    <w:rPr>
                      <w:rFonts w:hint="eastAsia"/>
                      <w:color w:val="auto"/>
                      <w:sz w:val="21"/>
                      <w:szCs w:val="21"/>
                    </w:rPr>
                    <w:t>。</w:t>
                  </w:r>
                </w:p>
              </w:tc>
              <w:tc>
                <w:tcPr>
                  <w:tcW w:w="2311" w:type="dxa"/>
                  <w:shd w:val="clear" w:color="auto" w:fill="auto"/>
                  <w:vAlign w:val="center"/>
                </w:tcPr>
                <w:p w14:paraId="46ABF59B">
                  <w:pPr>
                    <w:pStyle w:val="70"/>
                    <w:spacing w:line="240" w:lineRule="auto"/>
                    <w:jc w:val="both"/>
                    <w:rPr>
                      <w:color w:val="auto"/>
                      <w:sz w:val="21"/>
                      <w:szCs w:val="21"/>
                    </w:rPr>
                  </w:pPr>
                  <w:r>
                    <w:rPr>
                      <w:rFonts w:hint="eastAsia"/>
                      <w:color w:val="auto"/>
                      <w:sz w:val="21"/>
                      <w:szCs w:val="21"/>
                    </w:rPr>
                    <w:t>本项目危险物质存储量</w:t>
                  </w:r>
                  <w:r>
                    <w:rPr>
                      <w:rFonts w:hint="eastAsia"/>
                      <w:color w:val="auto"/>
                      <w:sz w:val="21"/>
                      <w:szCs w:val="21"/>
                      <w:lang w:val="en-US" w:eastAsia="zh-CN"/>
                    </w:rPr>
                    <w:t>未</w:t>
                  </w:r>
                  <w:r>
                    <w:rPr>
                      <w:rFonts w:hint="eastAsia"/>
                      <w:color w:val="auto"/>
                      <w:sz w:val="21"/>
                      <w:szCs w:val="21"/>
                    </w:rPr>
                    <w:t>超过临界量</w:t>
                  </w:r>
                </w:p>
              </w:tc>
              <w:tc>
                <w:tcPr>
                  <w:tcW w:w="719" w:type="dxa"/>
                  <w:shd w:val="clear" w:color="auto" w:fill="auto"/>
                  <w:vAlign w:val="center"/>
                </w:tcPr>
                <w:p w14:paraId="4DFA1D64">
                  <w:pPr>
                    <w:pStyle w:val="70"/>
                    <w:spacing w:line="240" w:lineRule="auto"/>
                    <w:rPr>
                      <w:color w:val="auto"/>
                      <w:sz w:val="21"/>
                      <w:szCs w:val="21"/>
                    </w:rPr>
                  </w:pPr>
                  <w:r>
                    <w:rPr>
                      <w:color w:val="auto"/>
                      <w:sz w:val="21"/>
                      <w:szCs w:val="21"/>
                    </w:rPr>
                    <w:t>否</w:t>
                  </w:r>
                </w:p>
              </w:tc>
            </w:tr>
            <w:tr w14:paraId="221689F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jc w:val="center"/>
              </w:trPr>
              <w:tc>
                <w:tcPr>
                  <w:tcW w:w="759" w:type="dxa"/>
                  <w:shd w:val="clear" w:color="auto" w:fill="auto"/>
                  <w:vAlign w:val="center"/>
                </w:tcPr>
                <w:p w14:paraId="1867B5AF">
                  <w:pPr>
                    <w:pStyle w:val="70"/>
                    <w:spacing w:line="240" w:lineRule="auto"/>
                    <w:rPr>
                      <w:color w:val="auto"/>
                      <w:sz w:val="21"/>
                      <w:szCs w:val="21"/>
                    </w:rPr>
                  </w:pPr>
                  <w:r>
                    <w:rPr>
                      <w:color w:val="auto"/>
                      <w:sz w:val="21"/>
                      <w:szCs w:val="21"/>
                    </w:rPr>
                    <w:t>生态</w:t>
                  </w:r>
                </w:p>
              </w:tc>
              <w:tc>
                <w:tcPr>
                  <w:tcW w:w="3151" w:type="dxa"/>
                  <w:shd w:val="clear" w:color="auto" w:fill="auto"/>
                  <w:vAlign w:val="center"/>
                </w:tcPr>
                <w:p w14:paraId="5DB1CBA5">
                  <w:pPr>
                    <w:pStyle w:val="70"/>
                    <w:spacing w:line="240" w:lineRule="auto"/>
                    <w:jc w:val="both"/>
                    <w:rPr>
                      <w:color w:val="auto"/>
                      <w:sz w:val="21"/>
                      <w:szCs w:val="21"/>
                    </w:rPr>
                  </w:pPr>
                  <w:r>
                    <w:rPr>
                      <w:color w:val="auto"/>
                      <w:sz w:val="21"/>
                      <w:szCs w:val="21"/>
                    </w:rPr>
                    <w:t>取水口下游500米范围内有重要水生生物的自然产卵场、索饵场、越冬场和洄游通道的新增河道取水的污染类建设项目</w:t>
                  </w:r>
                  <w:r>
                    <w:rPr>
                      <w:rFonts w:hint="eastAsia"/>
                      <w:color w:val="auto"/>
                      <w:sz w:val="21"/>
                      <w:szCs w:val="21"/>
                    </w:rPr>
                    <w:t>。</w:t>
                  </w:r>
                </w:p>
              </w:tc>
              <w:tc>
                <w:tcPr>
                  <w:tcW w:w="2311" w:type="dxa"/>
                  <w:shd w:val="clear" w:color="auto" w:fill="auto"/>
                  <w:vAlign w:val="center"/>
                </w:tcPr>
                <w:p w14:paraId="08DE6751">
                  <w:pPr>
                    <w:pStyle w:val="70"/>
                    <w:spacing w:line="240" w:lineRule="auto"/>
                    <w:jc w:val="center"/>
                    <w:rPr>
                      <w:color w:val="auto"/>
                      <w:sz w:val="21"/>
                      <w:szCs w:val="21"/>
                    </w:rPr>
                  </w:pPr>
                  <w:r>
                    <w:rPr>
                      <w:color w:val="auto"/>
                      <w:sz w:val="21"/>
                      <w:szCs w:val="21"/>
                    </w:rPr>
                    <w:t>不涉及</w:t>
                  </w:r>
                </w:p>
              </w:tc>
              <w:tc>
                <w:tcPr>
                  <w:tcW w:w="719" w:type="dxa"/>
                  <w:shd w:val="clear" w:color="auto" w:fill="auto"/>
                  <w:vAlign w:val="center"/>
                </w:tcPr>
                <w:p w14:paraId="572E30E4">
                  <w:pPr>
                    <w:pStyle w:val="70"/>
                    <w:spacing w:line="240" w:lineRule="auto"/>
                    <w:rPr>
                      <w:color w:val="auto"/>
                      <w:sz w:val="21"/>
                      <w:szCs w:val="21"/>
                    </w:rPr>
                  </w:pPr>
                  <w:r>
                    <w:rPr>
                      <w:color w:val="auto"/>
                      <w:sz w:val="21"/>
                      <w:szCs w:val="21"/>
                    </w:rPr>
                    <w:t>否</w:t>
                  </w:r>
                </w:p>
              </w:tc>
            </w:tr>
            <w:tr w14:paraId="727FC4B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jc w:val="center"/>
              </w:trPr>
              <w:tc>
                <w:tcPr>
                  <w:tcW w:w="759" w:type="dxa"/>
                  <w:shd w:val="clear" w:color="auto" w:fill="auto"/>
                  <w:vAlign w:val="center"/>
                </w:tcPr>
                <w:p w14:paraId="55B6F110">
                  <w:pPr>
                    <w:pStyle w:val="70"/>
                    <w:spacing w:line="240" w:lineRule="auto"/>
                    <w:rPr>
                      <w:color w:val="auto"/>
                      <w:sz w:val="21"/>
                      <w:szCs w:val="21"/>
                    </w:rPr>
                  </w:pPr>
                  <w:r>
                    <w:rPr>
                      <w:color w:val="auto"/>
                      <w:sz w:val="21"/>
                      <w:szCs w:val="21"/>
                    </w:rPr>
                    <w:t>海洋</w:t>
                  </w:r>
                </w:p>
              </w:tc>
              <w:tc>
                <w:tcPr>
                  <w:tcW w:w="3151" w:type="dxa"/>
                  <w:shd w:val="clear" w:color="auto" w:fill="auto"/>
                  <w:vAlign w:val="center"/>
                </w:tcPr>
                <w:p w14:paraId="664ADF15">
                  <w:pPr>
                    <w:pStyle w:val="70"/>
                    <w:spacing w:line="240" w:lineRule="auto"/>
                    <w:jc w:val="both"/>
                    <w:rPr>
                      <w:color w:val="auto"/>
                      <w:sz w:val="21"/>
                      <w:szCs w:val="21"/>
                    </w:rPr>
                  </w:pPr>
                  <w:r>
                    <w:rPr>
                      <w:color w:val="auto"/>
                      <w:sz w:val="21"/>
                      <w:szCs w:val="21"/>
                    </w:rPr>
                    <w:t>直接向海排放污染物的海洋工程建设项目</w:t>
                  </w:r>
                  <w:r>
                    <w:rPr>
                      <w:rFonts w:hint="eastAsia"/>
                      <w:color w:val="auto"/>
                      <w:sz w:val="21"/>
                      <w:szCs w:val="21"/>
                    </w:rPr>
                    <w:t>。</w:t>
                  </w:r>
                </w:p>
              </w:tc>
              <w:tc>
                <w:tcPr>
                  <w:tcW w:w="2311" w:type="dxa"/>
                  <w:shd w:val="clear" w:color="auto" w:fill="auto"/>
                  <w:vAlign w:val="center"/>
                </w:tcPr>
                <w:p w14:paraId="615D1486">
                  <w:pPr>
                    <w:pStyle w:val="70"/>
                    <w:spacing w:line="240" w:lineRule="auto"/>
                    <w:jc w:val="center"/>
                    <w:rPr>
                      <w:color w:val="auto"/>
                      <w:sz w:val="21"/>
                      <w:szCs w:val="21"/>
                    </w:rPr>
                  </w:pPr>
                  <w:r>
                    <w:rPr>
                      <w:color w:val="auto"/>
                      <w:sz w:val="21"/>
                      <w:szCs w:val="21"/>
                    </w:rPr>
                    <w:t>不涉及</w:t>
                  </w:r>
                </w:p>
              </w:tc>
              <w:tc>
                <w:tcPr>
                  <w:tcW w:w="719" w:type="dxa"/>
                  <w:shd w:val="clear" w:color="auto" w:fill="auto"/>
                  <w:vAlign w:val="center"/>
                </w:tcPr>
                <w:p w14:paraId="4AE94819">
                  <w:pPr>
                    <w:pStyle w:val="70"/>
                    <w:spacing w:line="240" w:lineRule="auto"/>
                    <w:rPr>
                      <w:color w:val="auto"/>
                      <w:sz w:val="21"/>
                      <w:szCs w:val="21"/>
                    </w:rPr>
                  </w:pPr>
                  <w:r>
                    <w:rPr>
                      <w:color w:val="auto"/>
                      <w:sz w:val="21"/>
                      <w:szCs w:val="21"/>
                    </w:rPr>
                    <w:t>否</w:t>
                  </w:r>
                </w:p>
              </w:tc>
            </w:tr>
            <w:tr w14:paraId="0DB2356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jc w:val="center"/>
              </w:trPr>
              <w:tc>
                <w:tcPr>
                  <w:tcW w:w="6940" w:type="dxa"/>
                  <w:gridSpan w:val="4"/>
                  <w:shd w:val="clear" w:color="auto" w:fill="auto"/>
                  <w:vAlign w:val="center"/>
                </w:tcPr>
                <w:p w14:paraId="534071C1">
                  <w:pPr>
                    <w:pStyle w:val="70"/>
                    <w:spacing w:line="240" w:lineRule="auto"/>
                    <w:jc w:val="both"/>
                    <w:rPr>
                      <w:rFonts w:hint="eastAsia"/>
                      <w:color w:val="auto"/>
                      <w:sz w:val="21"/>
                      <w:szCs w:val="21"/>
                      <w:lang w:val="en-US" w:eastAsia="zh-CN"/>
                    </w:rPr>
                  </w:pPr>
                  <w:r>
                    <w:rPr>
                      <w:rFonts w:hint="eastAsia"/>
                      <w:color w:val="auto"/>
                      <w:sz w:val="21"/>
                      <w:szCs w:val="21"/>
                      <w:lang w:val="en-US" w:eastAsia="zh-CN"/>
                    </w:rPr>
                    <w:t>注：1.废气中有毒有害污染物指纳入《有毒有害大气污染物名录》的污染</w:t>
                  </w:r>
                  <w:r>
                    <w:rPr>
                      <w:rFonts w:hint="eastAsia" w:ascii="宋体" w:hAnsi="宋体" w:eastAsia="宋体" w:cs="宋体"/>
                      <w:color w:val="auto"/>
                      <w:sz w:val="21"/>
                      <w:szCs w:val="21"/>
                      <w:lang w:val="en-US" w:eastAsia="zh-CN"/>
                    </w:rPr>
                    <w:t>物</w:t>
                  </w:r>
                  <w:r>
                    <w:rPr>
                      <w:rFonts w:hint="eastAsia" w:ascii="宋体" w:hAnsi="宋体" w:cs="宋体"/>
                      <w:color w:val="auto"/>
                      <w:sz w:val="21"/>
                      <w:szCs w:val="21"/>
                      <w:lang w:val="en-US" w:eastAsia="zh-CN"/>
                    </w:rPr>
                    <w:t>（</w:t>
                  </w:r>
                  <w:r>
                    <w:rPr>
                      <w:rFonts w:hint="eastAsia" w:ascii="宋体" w:hAnsi="宋体" w:eastAsia="宋体" w:cs="宋体"/>
                      <w:color w:val="auto"/>
                      <w:sz w:val="21"/>
                      <w:szCs w:val="21"/>
                      <w:lang w:val="en-US" w:eastAsia="zh-CN"/>
                    </w:rPr>
                    <w:t>不包括无排放标准的污染物</w:t>
                  </w:r>
                  <w:r>
                    <w:rPr>
                      <w:rFonts w:hint="eastAsia" w:ascii="宋体" w:hAnsi="宋体" w:cs="宋体"/>
                      <w:color w:val="auto"/>
                      <w:sz w:val="21"/>
                      <w:szCs w:val="21"/>
                      <w:lang w:val="en-US" w:eastAsia="zh-CN"/>
                    </w:rPr>
                    <w:t>）</w:t>
                  </w:r>
                  <w:r>
                    <w:rPr>
                      <w:rFonts w:hint="eastAsia"/>
                      <w:color w:val="auto"/>
                      <w:sz w:val="21"/>
                      <w:szCs w:val="21"/>
                      <w:lang w:val="en-US" w:eastAsia="zh-CN"/>
                    </w:rPr>
                    <w:t>。</w:t>
                  </w:r>
                </w:p>
                <w:p w14:paraId="1D2592BE">
                  <w:pPr>
                    <w:pStyle w:val="70"/>
                    <w:spacing w:line="240" w:lineRule="auto"/>
                    <w:jc w:val="both"/>
                    <w:rPr>
                      <w:rFonts w:hint="default"/>
                      <w:color w:val="auto"/>
                      <w:sz w:val="21"/>
                      <w:szCs w:val="21"/>
                      <w:lang w:val="en-US" w:eastAsia="zh-CN"/>
                    </w:rPr>
                  </w:pPr>
                  <w:r>
                    <w:rPr>
                      <w:rFonts w:hint="default"/>
                      <w:color w:val="auto"/>
                      <w:sz w:val="21"/>
                      <w:szCs w:val="21"/>
                      <w:lang w:val="en-US" w:eastAsia="zh-CN"/>
                    </w:rPr>
                    <w:t>2.环境空气保护目标指自然保护区、风景名胜区、居住区、文化区和农村地区中人群较集中的区域。</w:t>
                  </w:r>
                </w:p>
                <w:p w14:paraId="7245476F">
                  <w:pPr>
                    <w:pStyle w:val="70"/>
                    <w:spacing w:line="240" w:lineRule="auto"/>
                    <w:jc w:val="both"/>
                    <w:rPr>
                      <w:rFonts w:hint="default"/>
                      <w:color w:val="auto"/>
                      <w:sz w:val="21"/>
                      <w:szCs w:val="21"/>
                      <w:lang w:val="en-US" w:eastAsia="zh-CN"/>
                    </w:rPr>
                  </w:pPr>
                  <w:r>
                    <w:rPr>
                      <w:rFonts w:hint="eastAsia"/>
                      <w:color w:val="auto"/>
                      <w:sz w:val="21"/>
                      <w:szCs w:val="21"/>
                      <w:lang w:val="en-US" w:eastAsia="zh-CN"/>
                    </w:rPr>
                    <w:t>3.临界量及其计算方法可参考《建设项目环境风险评价技术</w:t>
                  </w:r>
                  <w:r>
                    <w:rPr>
                      <w:rFonts w:hint="eastAsia" w:ascii="宋体" w:hAnsi="宋体" w:eastAsia="宋体" w:cs="宋体"/>
                      <w:color w:val="auto"/>
                      <w:sz w:val="21"/>
                      <w:szCs w:val="21"/>
                      <w:lang w:val="en-US" w:eastAsia="zh-CN"/>
                    </w:rPr>
                    <w:t>导则》</w:t>
                  </w:r>
                  <w:r>
                    <w:rPr>
                      <w:rFonts w:hint="eastAsia" w:ascii="宋体" w:hAnsi="宋体" w:cs="宋体"/>
                      <w:color w:val="auto"/>
                      <w:sz w:val="21"/>
                      <w:szCs w:val="21"/>
                      <w:lang w:val="en-US" w:eastAsia="zh-CN"/>
                    </w:rPr>
                    <w:t>（</w:t>
                  </w:r>
                  <w:r>
                    <w:rPr>
                      <w:rFonts w:hint="eastAsia"/>
                      <w:color w:val="auto"/>
                      <w:sz w:val="21"/>
                      <w:szCs w:val="21"/>
                      <w:lang w:val="en-US" w:eastAsia="zh-CN"/>
                    </w:rPr>
                    <w:t>HJ169）附录B、附录C。</w:t>
                  </w:r>
                </w:p>
              </w:tc>
            </w:tr>
          </w:tbl>
          <w:p w14:paraId="2AAB88D0">
            <w:pPr>
              <w:pStyle w:val="66"/>
              <w:spacing w:line="240" w:lineRule="auto"/>
              <w:rPr>
                <w:rFonts w:cs="宋体"/>
                <w:color w:val="auto"/>
                <w:szCs w:val="21"/>
              </w:rPr>
            </w:pPr>
            <w:r>
              <w:rPr>
                <w:rFonts w:hint="eastAsia" w:ascii="Times New Roman" w:hAnsi="Times New Roman"/>
                <w:color w:val="auto"/>
                <w:sz w:val="24"/>
                <w:highlight w:val="none"/>
              </w:rPr>
              <w:t>由上表可知，本项目不需要设置专项评价。</w:t>
            </w:r>
          </w:p>
        </w:tc>
      </w:tr>
      <w:tr w14:paraId="2B6283E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21" w:hRule="atLeast"/>
          <w:jc w:val="center"/>
        </w:trPr>
        <w:tc>
          <w:tcPr>
            <w:tcW w:w="1714" w:type="dxa"/>
            <w:vAlign w:val="center"/>
          </w:tcPr>
          <w:p w14:paraId="1C1F3A6C">
            <w:pPr>
              <w:autoSpaceDE w:val="0"/>
              <w:autoSpaceDN w:val="0"/>
              <w:adjustRightInd w:val="0"/>
              <w:snapToGrid w:val="0"/>
              <w:jc w:val="center"/>
              <w:rPr>
                <w:rFonts w:cs="宋体"/>
                <w:b/>
                <w:bCs/>
                <w:color w:val="auto"/>
                <w:kern w:val="0"/>
                <w:szCs w:val="21"/>
              </w:rPr>
            </w:pPr>
            <w:r>
              <w:rPr>
                <w:rFonts w:hint="eastAsia" w:cs="宋体"/>
                <w:b/>
                <w:bCs/>
                <w:color w:val="auto"/>
                <w:sz w:val="24"/>
                <w:szCs w:val="24"/>
              </w:rPr>
              <w:t>规划情况</w:t>
            </w:r>
          </w:p>
        </w:tc>
        <w:tc>
          <w:tcPr>
            <w:tcW w:w="7156" w:type="dxa"/>
            <w:gridSpan w:val="3"/>
            <w:vAlign w:val="center"/>
          </w:tcPr>
          <w:p w14:paraId="1040E3E8">
            <w:pPr>
              <w:pStyle w:val="66"/>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firstLine="482" w:firstLineChars="200"/>
              <w:textAlignment w:val="auto"/>
              <w:rPr>
                <w:rFonts w:hint="eastAsia"/>
                <w:color w:val="auto"/>
              </w:rPr>
            </w:pPr>
            <w:r>
              <w:rPr>
                <w:rFonts w:hint="eastAsia"/>
                <w:b/>
                <w:bCs/>
                <w:color w:val="auto"/>
                <w:lang w:val="en-US" w:eastAsia="zh-CN"/>
              </w:rPr>
              <w:t>1、</w:t>
            </w:r>
            <w:r>
              <w:rPr>
                <w:rFonts w:hint="eastAsia"/>
                <w:b/>
                <w:bCs/>
                <w:color w:val="auto"/>
              </w:rPr>
              <w:t>规划名称</w:t>
            </w:r>
            <w:r>
              <w:rPr>
                <w:rFonts w:hint="eastAsia"/>
                <w:color w:val="auto"/>
              </w:rPr>
              <w:t>：《巴中市国土空间总体规划（2021-2035</w:t>
            </w:r>
            <w:r>
              <w:rPr>
                <w:rFonts w:hint="eastAsia"/>
                <w:color w:val="auto"/>
                <w:lang w:val="en-US" w:eastAsia="zh-CN"/>
              </w:rPr>
              <w:t>年</w:t>
            </w:r>
            <w:r>
              <w:rPr>
                <w:rFonts w:hint="eastAsia"/>
                <w:color w:val="auto"/>
              </w:rPr>
              <w:t>）》；</w:t>
            </w:r>
          </w:p>
          <w:p w14:paraId="600C8277">
            <w:pPr>
              <w:pStyle w:val="66"/>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firstLine="482" w:firstLineChars="200"/>
              <w:textAlignment w:val="auto"/>
              <w:rPr>
                <w:rFonts w:hint="eastAsia"/>
                <w:color w:val="auto"/>
              </w:rPr>
            </w:pPr>
            <w:r>
              <w:rPr>
                <w:rFonts w:hint="eastAsia"/>
                <w:b/>
                <w:bCs/>
                <w:color w:val="auto"/>
              </w:rPr>
              <w:t>审批机关：</w:t>
            </w:r>
            <w:r>
              <w:rPr>
                <w:rFonts w:hint="eastAsia"/>
                <w:color w:val="auto"/>
              </w:rPr>
              <w:t>四川省人民政府；</w:t>
            </w:r>
          </w:p>
          <w:p w14:paraId="5452FB19">
            <w:pPr>
              <w:pStyle w:val="66"/>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firstLine="482" w:firstLineChars="200"/>
              <w:textAlignment w:val="auto"/>
              <w:rPr>
                <w:rFonts w:hint="eastAsia" w:eastAsia="宋体"/>
                <w:color w:val="auto"/>
                <w:highlight w:val="none"/>
                <w:lang w:eastAsia="zh-CN"/>
              </w:rPr>
            </w:pPr>
            <w:r>
              <w:rPr>
                <w:rFonts w:hint="eastAsia"/>
                <w:b/>
                <w:bCs/>
                <w:color w:val="auto"/>
                <w:highlight w:val="none"/>
              </w:rPr>
              <w:t>审批文件名称及文号：</w:t>
            </w:r>
            <w:r>
              <w:rPr>
                <w:rFonts w:hint="eastAsia"/>
                <w:color w:val="auto"/>
                <w:highlight w:val="none"/>
              </w:rPr>
              <w:t>四川省人民政府关于《巴中市国土空间总体规划（2021-2035</w:t>
            </w:r>
            <w:r>
              <w:rPr>
                <w:rFonts w:hint="eastAsia"/>
                <w:color w:val="auto"/>
                <w:highlight w:val="none"/>
                <w:lang w:val="en-US" w:eastAsia="zh-CN"/>
              </w:rPr>
              <w:t>年</w:t>
            </w:r>
            <w:r>
              <w:rPr>
                <w:rFonts w:hint="eastAsia"/>
                <w:color w:val="auto"/>
                <w:highlight w:val="none"/>
              </w:rPr>
              <w:t>）》的批复（川府函〔2024〕65号）</w:t>
            </w:r>
            <w:r>
              <w:rPr>
                <w:rFonts w:hint="eastAsia"/>
                <w:color w:val="auto"/>
                <w:highlight w:val="none"/>
                <w:lang w:eastAsia="zh-CN"/>
              </w:rPr>
              <w:t>。</w:t>
            </w:r>
          </w:p>
          <w:p w14:paraId="75111514">
            <w:pPr>
              <w:pStyle w:val="66"/>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firstLine="482" w:firstLineChars="200"/>
              <w:textAlignment w:val="auto"/>
              <w:rPr>
                <w:rFonts w:hint="eastAsia" w:ascii="Times New Roman" w:hAnsi="Times New Roman" w:eastAsia="宋体" w:cs="Times New Roman"/>
                <w:color w:val="auto"/>
                <w:highlight w:val="none"/>
                <w:lang w:eastAsia="zh-CN"/>
              </w:rPr>
            </w:pPr>
            <w:r>
              <w:rPr>
                <w:rFonts w:hint="eastAsia"/>
                <w:b/>
                <w:bCs/>
                <w:color w:val="auto"/>
                <w:highlight w:val="none"/>
              </w:rPr>
              <w:t>2、规划名称：</w:t>
            </w:r>
            <w:r>
              <w:rPr>
                <w:rFonts w:hint="default" w:ascii="Times New Roman" w:hAnsi="Times New Roman" w:eastAsia="宋体" w:cs="Times New Roman"/>
                <w:color w:val="auto"/>
                <w:highlight w:val="none"/>
                <w:lang w:eastAsia="zh-CN"/>
              </w:rPr>
              <w:t>《四川巴中经济开发区规划修编（2025-2035）》</w:t>
            </w:r>
            <w:r>
              <w:rPr>
                <w:rFonts w:hint="eastAsia" w:ascii="Times New Roman" w:hAnsi="Times New Roman" w:eastAsia="宋体" w:cs="Times New Roman"/>
                <w:color w:val="auto"/>
                <w:highlight w:val="none"/>
                <w:lang w:eastAsia="zh-CN"/>
              </w:rPr>
              <w:t>；</w:t>
            </w:r>
          </w:p>
          <w:p w14:paraId="01599C60">
            <w:pPr>
              <w:pStyle w:val="66"/>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firstLine="482" w:firstLineChars="200"/>
              <w:textAlignment w:val="auto"/>
              <w:rPr>
                <w:rFonts w:hint="default" w:ascii="Times New Roman" w:hAnsi="Times New Roman" w:eastAsia="宋体" w:cs="Times New Roman"/>
                <w:color w:val="auto"/>
                <w:highlight w:val="none"/>
                <w:lang w:eastAsia="zh-CN"/>
              </w:rPr>
            </w:pPr>
            <w:r>
              <w:rPr>
                <w:rFonts w:hint="default" w:ascii="Times New Roman" w:hAnsi="Times New Roman" w:eastAsia="宋体" w:cs="Times New Roman"/>
                <w:b/>
                <w:bCs/>
                <w:color w:val="auto"/>
                <w:highlight w:val="none"/>
                <w:lang w:val="en-US" w:eastAsia="zh-CN"/>
              </w:rPr>
              <w:t>审查机关：</w:t>
            </w:r>
            <w:r>
              <w:rPr>
                <w:rFonts w:hint="default" w:ascii="Times New Roman" w:hAnsi="Times New Roman" w:eastAsia="宋体" w:cs="Times New Roman"/>
                <w:color w:val="auto"/>
                <w:highlight w:val="none"/>
                <w:lang w:eastAsia="zh-CN"/>
              </w:rPr>
              <w:t>巴中市人民政府；</w:t>
            </w:r>
          </w:p>
          <w:p w14:paraId="2D26DD07">
            <w:pPr>
              <w:pStyle w:val="66"/>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firstLine="482" w:firstLineChars="200"/>
              <w:textAlignment w:val="auto"/>
              <w:rPr>
                <w:rFonts w:hint="eastAsia" w:ascii="Times New Roman" w:hAnsi="Times New Roman" w:eastAsia="宋体" w:cs="Times New Roman"/>
                <w:color w:val="auto"/>
                <w:lang w:eastAsia="zh-CN"/>
              </w:rPr>
            </w:pPr>
            <w:r>
              <w:rPr>
                <w:rFonts w:hint="default" w:ascii="Times New Roman" w:hAnsi="Times New Roman" w:eastAsia="宋体" w:cs="Times New Roman"/>
                <w:b/>
                <w:bCs/>
                <w:color w:val="auto"/>
                <w:highlight w:val="none"/>
                <w:lang w:eastAsia="zh-CN"/>
              </w:rPr>
              <w:t>审查文件名称及文号：</w:t>
            </w:r>
            <w:r>
              <w:rPr>
                <w:rFonts w:hint="default" w:ascii="Times New Roman" w:hAnsi="Times New Roman" w:eastAsia="宋体" w:cs="Times New Roman"/>
                <w:color w:val="auto"/>
                <w:highlight w:val="none"/>
                <w:lang w:eastAsia="zh-CN"/>
              </w:rPr>
              <w:t>《巴中市城乡规划和土地利用管理委员会2018年第二次会议纪要》（巴府</w:t>
            </w:r>
            <w:r>
              <w:rPr>
                <w:rFonts w:hint="default" w:ascii="Times New Roman" w:hAnsi="Times New Roman" w:eastAsia="宋体" w:cs="Times New Roman"/>
                <w:color w:val="auto"/>
                <w:lang w:eastAsia="zh-CN"/>
              </w:rPr>
              <w:t>阅﹝2018﹞6号）</w:t>
            </w:r>
            <w:r>
              <w:rPr>
                <w:rFonts w:hint="eastAsia" w:ascii="Times New Roman" w:hAnsi="Times New Roman" w:eastAsia="宋体" w:cs="Times New Roman"/>
                <w:color w:val="auto"/>
                <w:lang w:eastAsia="zh-CN"/>
              </w:rPr>
              <w:t>。</w:t>
            </w:r>
          </w:p>
        </w:tc>
      </w:tr>
      <w:tr w14:paraId="19A6127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21" w:hRule="atLeast"/>
          <w:jc w:val="center"/>
        </w:trPr>
        <w:tc>
          <w:tcPr>
            <w:tcW w:w="1714" w:type="dxa"/>
            <w:vAlign w:val="center"/>
          </w:tcPr>
          <w:p w14:paraId="297F4A7E">
            <w:pPr>
              <w:adjustRightInd w:val="0"/>
              <w:snapToGrid w:val="0"/>
              <w:jc w:val="center"/>
              <w:rPr>
                <w:rFonts w:cs="宋体"/>
                <w:b/>
                <w:bCs/>
                <w:color w:val="auto"/>
                <w:kern w:val="0"/>
                <w:szCs w:val="21"/>
              </w:rPr>
            </w:pPr>
            <w:r>
              <w:rPr>
                <w:rFonts w:hint="eastAsia" w:cs="宋体"/>
                <w:b/>
                <w:bCs/>
                <w:color w:val="auto"/>
                <w:sz w:val="24"/>
                <w:szCs w:val="24"/>
              </w:rPr>
              <w:t>规划环境影响评价情况</w:t>
            </w:r>
          </w:p>
        </w:tc>
        <w:tc>
          <w:tcPr>
            <w:tcW w:w="7156" w:type="dxa"/>
            <w:gridSpan w:val="3"/>
            <w:vAlign w:val="center"/>
          </w:tcPr>
          <w:p w14:paraId="6EA77139">
            <w:pPr>
              <w:pStyle w:val="66"/>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firstLine="482" w:firstLineChars="200"/>
              <w:textAlignment w:val="auto"/>
              <w:rPr>
                <w:rFonts w:hint="eastAsia" w:ascii="Times New Roman" w:hAnsi="Times New Roman" w:eastAsia="宋体" w:cs="Times New Roman"/>
                <w:color w:val="auto"/>
                <w:highlight w:val="none"/>
                <w:lang w:eastAsia="zh-CN"/>
              </w:rPr>
            </w:pPr>
            <w:r>
              <w:rPr>
                <w:rFonts w:hint="eastAsia" w:ascii="Times New Roman" w:hAnsi="Times New Roman" w:eastAsia="宋体" w:cs="Times New Roman"/>
                <w:b/>
                <w:bCs/>
                <w:color w:val="auto"/>
                <w:highlight w:val="none"/>
              </w:rPr>
              <w:t>1、规划名称：</w:t>
            </w:r>
            <w:r>
              <w:rPr>
                <w:rFonts w:hint="eastAsia" w:ascii="Times New Roman" w:hAnsi="Times New Roman" w:eastAsia="宋体" w:cs="Times New Roman"/>
                <w:color w:val="auto"/>
                <w:highlight w:val="none"/>
              </w:rPr>
              <w:t>《四川巴中经济开发区规划修编环境影响报告书》</w:t>
            </w:r>
            <w:r>
              <w:rPr>
                <w:rFonts w:hint="eastAsia" w:ascii="Times New Roman" w:hAnsi="Times New Roman" w:eastAsia="宋体" w:cs="Times New Roman"/>
                <w:color w:val="auto"/>
                <w:highlight w:val="none"/>
                <w:lang w:eastAsia="zh-CN"/>
              </w:rPr>
              <w:t>；</w:t>
            </w:r>
          </w:p>
          <w:p w14:paraId="28AF9344">
            <w:pPr>
              <w:pStyle w:val="66"/>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firstLine="482" w:firstLineChars="200"/>
              <w:textAlignment w:val="auto"/>
              <w:rPr>
                <w:rFonts w:hint="eastAsia" w:ascii="Times New Roman" w:hAnsi="Times New Roman" w:eastAsia="宋体" w:cs="Times New Roman"/>
                <w:color w:val="auto"/>
                <w:highlight w:val="none"/>
              </w:rPr>
            </w:pPr>
            <w:r>
              <w:rPr>
                <w:rFonts w:hint="eastAsia" w:ascii="Times New Roman" w:hAnsi="Times New Roman" w:eastAsia="宋体" w:cs="Times New Roman"/>
                <w:b/>
                <w:bCs/>
                <w:color w:val="auto"/>
                <w:highlight w:val="none"/>
              </w:rPr>
              <w:t>审批机关：</w:t>
            </w:r>
            <w:r>
              <w:rPr>
                <w:rFonts w:hint="eastAsia" w:ascii="Times New Roman" w:hAnsi="Times New Roman" w:eastAsia="宋体" w:cs="Times New Roman"/>
                <w:color w:val="auto"/>
                <w:highlight w:val="none"/>
              </w:rPr>
              <w:t>四川省生态环境厅；</w:t>
            </w:r>
          </w:p>
          <w:p w14:paraId="72B15F68">
            <w:pPr>
              <w:pStyle w:val="66"/>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firstLine="482" w:firstLineChars="200"/>
              <w:textAlignment w:val="auto"/>
              <w:rPr>
                <w:rFonts w:cs="宋体"/>
                <w:color w:val="auto"/>
                <w:szCs w:val="21"/>
              </w:rPr>
            </w:pPr>
            <w:r>
              <w:rPr>
                <w:rFonts w:hint="eastAsia" w:ascii="Times New Roman" w:hAnsi="Times New Roman" w:eastAsia="宋体" w:cs="Times New Roman"/>
                <w:b/>
                <w:bCs/>
                <w:color w:val="auto"/>
                <w:highlight w:val="none"/>
              </w:rPr>
              <w:t>审批文件名称及文号：</w:t>
            </w:r>
            <w:r>
              <w:rPr>
                <w:rFonts w:hint="eastAsia" w:ascii="Times New Roman" w:hAnsi="Times New Roman" w:eastAsia="宋体" w:cs="Times New Roman"/>
                <w:color w:val="auto"/>
                <w:highlight w:val="none"/>
              </w:rPr>
              <w:t>《关于印发</w:t>
            </w:r>
            <w:r>
              <w:rPr>
                <w:rFonts w:hint="eastAsia" w:cs="Times New Roman"/>
                <w:color w:val="auto"/>
                <w:highlight w:val="none"/>
                <w:lang w:eastAsia="zh-CN"/>
              </w:rPr>
              <w:t>〈</w:t>
            </w:r>
            <w:r>
              <w:rPr>
                <w:rFonts w:hint="eastAsia" w:ascii="Times New Roman" w:hAnsi="Times New Roman" w:eastAsia="宋体" w:cs="Times New Roman"/>
                <w:color w:val="auto"/>
                <w:highlight w:val="none"/>
              </w:rPr>
              <w:t>四川巴中经济开发区规划修编环境影响报告书</w:t>
            </w:r>
            <w:r>
              <w:rPr>
                <w:rFonts w:hint="eastAsia" w:cs="Times New Roman"/>
                <w:color w:val="auto"/>
                <w:highlight w:val="none"/>
                <w:lang w:eastAsia="zh-CN"/>
              </w:rPr>
              <w:t>〉</w:t>
            </w:r>
            <w:r>
              <w:rPr>
                <w:rFonts w:hint="eastAsia" w:ascii="Times New Roman" w:hAnsi="Times New Roman" w:eastAsia="宋体" w:cs="Times New Roman"/>
                <w:color w:val="auto"/>
                <w:highlight w:val="none"/>
              </w:rPr>
              <w:t>审查意见的函》（川环建函〔2023〕29号）</w:t>
            </w:r>
          </w:p>
        </w:tc>
      </w:tr>
      <w:tr w14:paraId="638BCEC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21" w:hRule="atLeast"/>
          <w:jc w:val="center"/>
        </w:trPr>
        <w:tc>
          <w:tcPr>
            <w:tcW w:w="1714" w:type="dxa"/>
            <w:vAlign w:val="center"/>
          </w:tcPr>
          <w:p w14:paraId="131F3879">
            <w:pPr>
              <w:autoSpaceDE w:val="0"/>
              <w:autoSpaceDN w:val="0"/>
              <w:adjustRightInd w:val="0"/>
              <w:snapToGrid w:val="0"/>
              <w:jc w:val="center"/>
              <w:rPr>
                <w:rFonts w:cs="宋体"/>
                <w:b/>
                <w:bCs/>
                <w:color w:val="auto"/>
                <w:kern w:val="0"/>
                <w:szCs w:val="21"/>
              </w:rPr>
            </w:pPr>
            <w:r>
              <w:rPr>
                <w:rFonts w:hint="eastAsia" w:cs="宋体"/>
                <w:b/>
                <w:bCs/>
                <w:color w:val="auto"/>
                <w:kern w:val="0"/>
                <w:sz w:val="24"/>
                <w:szCs w:val="24"/>
              </w:rPr>
              <w:t>规划及规划环境影响评价符合性分析</w:t>
            </w:r>
          </w:p>
        </w:tc>
        <w:tc>
          <w:tcPr>
            <w:tcW w:w="7156" w:type="dxa"/>
            <w:gridSpan w:val="3"/>
          </w:tcPr>
          <w:p w14:paraId="014C9C2C">
            <w:pPr>
              <w:pStyle w:val="66"/>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firstLine="482" w:firstLineChars="200"/>
              <w:textAlignment w:val="auto"/>
              <w:rPr>
                <w:rFonts w:hint="default" w:ascii="Times New Roman" w:hAnsi="Times New Roman" w:eastAsia="宋体" w:cs="Times New Roman"/>
                <w:b/>
                <w:bCs/>
                <w:color w:val="auto"/>
                <w:highlight w:val="none"/>
                <w:lang w:val="en-US" w:eastAsia="zh-CN"/>
              </w:rPr>
            </w:pPr>
            <w:r>
              <w:rPr>
                <w:rFonts w:hint="eastAsia" w:ascii="Times New Roman" w:hAnsi="Times New Roman" w:eastAsia="宋体" w:cs="Times New Roman"/>
                <w:b/>
                <w:bCs/>
                <w:color w:val="auto"/>
                <w:highlight w:val="none"/>
                <w:lang w:val="en-US" w:eastAsia="zh-CN"/>
              </w:rPr>
              <w:t>1</w:t>
            </w:r>
            <w:r>
              <w:rPr>
                <w:rFonts w:hint="default" w:ascii="Times New Roman" w:hAnsi="Times New Roman" w:eastAsia="宋体" w:cs="Times New Roman"/>
                <w:b/>
                <w:bCs/>
                <w:color w:val="auto"/>
                <w:highlight w:val="none"/>
                <w:lang w:val="en-US" w:eastAsia="zh-CN"/>
              </w:rPr>
              <w:t>、</w:t>
            </w:r>
            <w:r>
              <w:rPr>
                <w:rFonts w:hint="default" w:ascii="Times New Roman" w:hAnsi="Times New Roman" w:eastAsia="宋体" w:cs="Times New Roman"/>
                <w:b/>
                <w:bCs/>
                <w:color w:val="auto"/>
                <w:highlight w:val="none"/>
                <w:lang w:eastAsia="zh-CN"/>
              </w:rPr>
              <w:t>与《巴中市国土空间总体规划》（2021-2035年）符合性分析</w:t>
            </w:r>
          </w:p>
          <w:p w14:paraId="08B7C9E6">
            <w:pPr>
              <w:pStyle w:val="66"/>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firstLine="480" w:firstLineChars="200"/>
              <w:textAlignment w:val="auto"/>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根据《巴中市国土空间总体规划》（2021-2035年），规划构建</w:t>
            </w:r>
            <w:r>
              <w:rPr>
                <w:rFonts w:hint="eastAsia" w:ascii="Times New Roman" w:hAnsi="Times New Roman" w:eastAsia="宋体" w:cs="Times New Roman"/>
                <w:color w:val="auto"/>
                <w:highlight w:val="none"/>
                <w:lang w:val="en-US" w:eastAsia="zh-CN"/>
              </w:rPr>
              <w:t>“</w:t>
            </w:r>
            <w:r>
              <w:rPr>
                <w:rFonts w:hint="default" w:ascii="Times New Roman" w:hAnsi="Times New Roman" w:eastAsia="宋体" w:cs="Times New Roman"/>
                <w:color w:val="auto"/>
                <w:highlight w:val="none"/>
                <w:lang w:val="en-US" w:eastAsia="zh-CN"/>
              </w:rPr>
              <w:t>一屏一区、一核三副六廊</w:t>
            </w:r>
            <w:r>
              <w:rPr>
                <w:rFonts w:hint="eastAsia" w:ascii="Times New Roman" w:hAnsi="Times New Roman" w:eastAsia="宋体" w:cs="Times New Roman"/>
                <w:color w:val="auto"/>
                <w:highlight w:val="none"/>
                <w:lang w:val="en-US" w:eastAsia="zh-CN"/>
              </w:rPr>
              <w:t>”</w:t>
            </w:r>
            <w:r>
              <w:rPr>
                <w:rFonts w:hint="default" w:ascii="Times New Roman" w:hAnsi="Times New Roman" w:eastAsia="宋体" w:cs="Times New Roman"/>
                <w:color w:val="auto"/>
                <w:highlight w:val="none"/>
                <w:lang w:val="en-US" w:eastAsia="zh-CN"/>
              </w:rPr>
              <w:t>的市域国土空间总体格局。其中</w:t>
            </w:r>
            <w:r>
              <w:rPr>
                <w:rFonts w:hint="eastAsia" w:ascii="Times New Roman" w:hAnsi="Times New Roman" w:eastAsia="宋体" w:cs="Times New Roman"/>
                <w:color w:val="auto"/>
                <w:highlight w:val="none"/>
                <w:lang w:val="en-US" w:eastAsia="zh-CN"/>
              </w:rPr>
              <w:t>“</w:t>
            </w:r>
            <w:r>
              <w:rPr>
                <w:rFonts w:hint="default" w:ascii="Times New Roman" w:hAnsi="Times New Roman" w:eastAsia="宋体" w:cs="Times New Roman"/>
                <w:color w:val="auto"/>
                <w:highlight w:val="none"/>
                <w:lang w:val="en-US" w:eastAsia="zh-CN"/>
              </w:rPr>
              <w:t>一屏</w:t>
            </w:r>
            <w:r>
              <w:rPr>
                <w:rFonts w:hint="eastAsia" w:ascii="Times New Roman" w:hAnsi="Times New Roman" w:eastAsia="宋体" w:cs="Times New Roman"/>
                <w:color w:val="auto"/>
                <w:highlight w:val="none"/>
                <w:lang w:val="en-US" w:eastAsia="zh-CN"/>
              </w:rPr>
              <w:t>”</w:t>
            </w:r>
            <w:r>
              <w:rPr>
                <w:rFonts w:hint="default" w:ascii="Times New Roman" w:hAnsi="Times New Roman" w:eastAsia="宋体" w:cs="Times New Roman"/>
                <w:color w:val="auto"/>
                <w:highlight w:val="none"/>
                <w:lang w:val="en-US" w:eastAsia="zh-CN"/>
              </w:rPr>
              <w:t>指大巴山系米仓山生态屏障；</w:t>
            </w:r>
            <w:r>
              <w:rPr>
                <w:rFonts w:hint="eastAsia" w:ascii="Times New Roman" w:hAnsi="Times New Roman" w:eastAsia="宋体" w:cs="Times New Roman"/>
                <w:color w:val="auto"/>
                <w:highlight w:val="none"/>
                <w:lang w:val="en-US" w:eastAsia="zh-CN"/>
              </w:rPr>
              <w:t>“</w:t>
            </w:r>
            <w:r>
              <w:rPr>
                <w:rFonts w:hint="default" w:ascii="Times New Roman" w:hAnsi="Times New Roman" w:eastAsia="宋体" w:cs="Times New Roman"/>
                <w:color w:val="auto"/>
                <w:highlight w:val="none"/>
                <w:lang w:val="en-US" w:eastAsia="zh-CN"/>
              </w:rPr>
              <w:t>一区</w:t>
            </w:r>
            <w:r>
              <w:rPr>
                <w:rFonts w:hint="eastAsia" w:ascii="Times New Roman" w:hAnsi="Times New Roman" w:eastAsia="宋体" w:cs="Times New Roman"/>
                <w:color w:val="auto"/>
                <w:highlight w:val="none"/>
                <w:lang w:val="en-US" w:eastAsia="zh-CN"/>
              </w:rPr>
              <w:t>”</w:t>
            </w:r>
            <w:r>
              <w:rPr>
                <w:rFonts w:hint="default" w:ascii="Times New Roman" w:hAnsi="Times New Roman" w:eastAsia="宋体" w:cs="Times New Roman"/>
                <w:color w:val="auto"/>
                <w:highlight w:val="none"/>
                <w:lang w:val="en-US" w:eastAsia="zh-CN"/>
              </w:rPr>
              <w:t>指市域中南部盆周山区的农牧生产区；</w:t>
            </w:r>
            <w:r>
              <w:rPr>
                <w:rFonts w:hint="eastAsia" w:ascii="Times New Roman" w:hAnsi="Times New Roman" w:eastAsia="宋体" w:cs="Times New Roman"/>
                <w:color w:val="auto"/>
                <w:highlight w:val="none"/>
                <w:lang w:val="en-US" w:eastAsia="zh-CN"/>
              </w:rPr>
              <w:t>“</w:t>
            </w:r>
            <w:r>
              <w:rPr>
                <w:rFonts w:hint="default" w:ascii="Times New Roman" w:hAnsi="Times New Roman" w:eastAsia="宋体" w:cs="Times New Roman"/>
                <w:color w:val="auto"/>
                <w:highlight w:val="none"/>
                <w:lang w:val="en-US" w:eastAsia="zh-CN"/>
              </w:rPr>
              <w:t>一核</w:t>
            </w:r>
            <w:r>
              <w:rPr>
                <w:rFonts w:hint="eastAsia" w:ascii="Times New Roman" w:hAnsi="Times New Roman" w:eastAsia="宋体" w:cs="Times New Roman"/>
                <w:color w:val="auto"/>
                <w:highlight w:val="none"/>
                <w:lang w:val="en-US" w:eastAsia="zh-CN"/>
              </w:rPr>
              <w:t>”</w:t>
            </w:r>
            <w:r>
              <w:rPr>
                <w:rFonts w:hint="default" w:ascii="Times New Roman" w:hAnsi="Times New Roman" w:eastAsia="宋体" w:cs="Times New Roman"/>
                <w:color w:val="auto"/>
                <w:highlight w:val="none"/>
                <w:lang w:val="en-US" w:eastAsia="zh-CN"/>
              </w:rPr>
              <w:t>指以巴中市中心城区为发展核心，包含巴州城区、恩阳城区、巴中经开区。</w:t>
            </w:r>
            <w:r>
              <w:rPr>
                <w:rFonts w:hint="eastAsia" w:ascii="Times New Roman" w:hAnsi="Times New Roman" w:eastAsia="宋体" w:cs="Times New Roman"/>
                <w:color w:val="auto"/>
                <w:highlight w:val="none"/>
                <w:lang w:val="en-US" w:eastAsia="zh-CN"/>
              </w:rPr>
              <w:t>“</w:t>
            </w:r>
            <w:r>
              <w:rPr>
                <w:rFonts w:hint="default" w:ascii="Times New Roman" w:hAnsi="Times New Roman" w:eastAsia="宋体" w:cs="Times New Roman"/>
                <w:color w:val="auto"/>
                <w:highlight w:val="none"/>
                <w:lang w:val="en-US" w:eastAsia="zh-CN"/>
              </w:rPr>
              <w:t>三副</w:t>
            </w:r>
            <w:r>
              <w:rPr>
                <w:rFonts w:hint="eastAsia" w:ascii="Times New Roman" w:hAnsi="Times New Roman" w:eastAsia="宋体" w:cs="Times New Roman"/>
                <w:color w:val="auto"/>
                <w:highlight w:val="none"/>
                <w:lang w:val="en-US" w:eastAsia="zh-CN"/>
              </w:rPr>
              <w:t>”</w:t>
            </w:r>
            <w:r>
              <w:rPr>
                <w:rFonts w:hint="default" w:ascii="Times New Roman" w:hAnsi="Times New Roman" w:eastAsia="宋体" w:cs="Times New Roman"/>
                <w:color w:val="auto"/>
                <w:highlight w:val="none"/>
                <w:lang w:val="en-US" w:eastAsia="zh-CN"/>
              </w:rPr>
              <w:t>指通江县城、南江县城、平昌县城三个副中心城市。</w:t>
            </w:r>
            <w:r>
              <w:rPr>
                <w:rFonts w:hint="eastAsia" w:ascii="Times New Roman" w:hAnsi="Times New Roman" w:eastAsia="宋体" w:cs="Times New Roman"/>
                <w:color w:val="auto"/>
                <w:highlight w:val="none"/>
                <w:lang w:val="en-US" w:eastAsia="zh-CN"/>
              </w:rPr>
              <w:t>“</w:t>
            </w:r>
            <w:r>
              <w:rPr>
                <w:rFonts w:hint="default" w:ascii="Times New Roman" w:hAnsi="Times New Roman" w:eastAsia="宋体" w:cs="Times New Roman"/>
                <w:color w:val="auto"/>
                <w:highlight w:val="none"/>
                <w:lang w:val="en-US" w:eastAsia="zh-CN"/>
              </w:rPr>
              <w:t>六廊</w:t>
            </w:r>
            <w:r>
              <w:rPr>
                <w:rFonts w:hint="eastAsia" w:ascii="Times New Roman" w:hAnsi="Times New Roman" w:eastAsia="宋体" w:cs="Times New Roman"/>
                <w:color w:val="auto"/>
                <w:highlight w:val="none"/>
                <w:lang w:val="en-US" w:eastAsia="zh-CN"/>
              </w:rPr>
              <w:t>”</w:t>
            </w:r>
            <w:r>
              <w:rPr>
                <w:rFonts w:hint="default" w:ascii="Times New Roman" w:hAnsi="Times New Roman" w:eastAsia="宋体" w:cs="Times New Roman"/>
                <w:color w:val="auto"/>
                <w:highlight w:val="none"/>
                <w:lang w:val="en-US" w:eastAsia="zh-CN"/>
              </w:rPr>
              <w:t>为依托铁路、高速公路、普通干线公路以及沿线的城镇构成的六条城镇发展走廊。</w:t>
            </w:r>
          </w:p>
          <w:p w14:paraId="3E89A683">
            <w:pPr>
              <w:pStyle w:val="66"/>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firstLine="480" w:firstLineChars="200"/>
              <w:textAlignment w:val="auto"/>
              <w:rPr>
                <w:rFonts w:hint="default" w:ascii="Times New Roman" w:hAnsi="Times New Roman" w:eastAsia="宋体" w:cs="Times New Roman"/>
                <w:color w:val="auto"/>
                <w:highlight w:val="none"/>
                <w:lang w:val="en-US"/>
              </w:rPr>
            </w:pPr>
            <w:r>
              <w:rPr>
                <w:rFonts w:hint="default" w:ascii="Times New Roman" w:hAnsi="Times New Roman" w:eastAsia="宋体" w:cs="Times New Roman"/>
                <w:color w:val="auto"/>
                <w:highlight w:val="none"/>
                <w:lang w:val="en-US" w:eastAsia="zh-CN"/>
              </w:rPr>
              <w:t>巴中经开区（包含兴文片区+东西部产业协作产业园）重点发展中成药、中药饮片等生物医药产业和电池材料、新型建筑材料等新能源新材料产业；巴中曾口—金堂化工园区曾口区块重点发展天然气化工、高性能石墨及先进碳材料、新型电池及关键材料、清洁能源等新能源新材料产业。</w:t>
            </w:r>
          </w:p>
          <w:p w14:paraId="27A52282">
            <w:pPr>
              <w:pStyle w:val="66"/>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firstLine="480" w:firstLineChars="200"/>
              <w:textAlignment w:val="auto"/>
              <w:rPr>
                <w:rFonts w:hint="eastAsia"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本项目属于</w:t>
            </w:r>
            <w:r>
              <w:rPr>
                <w:color w:val="auto"/>
                <w:szCs w:val="21"/>
              </w:rPr>
              <w:t>C</w:t>
            </w:r>
            <w:r>
              <w:rPr>
                <w:rFonts w:hint="eastAsia"/>
                <w:color w:val="auto"/>
                <w:szCs w:val="21"/>
                <w:lang w:val="en-US" w:eastAsia="zh-CN"/>
              </w:rPr>
              <w:t>3841 锂离子电池制造</w:t>
            </w:r>
            <w:r>
              <w:rPr>
                <w:rFonts w:hint="default" w:ascii="Times New Roman" w:hAnsi="Times New Roman" w:eastAsia="宋体" w:cs="Times New Roman"/>
                <w:color w:val="auto"/>
                <w:highlight w:val="none"/>
                <w:lang w:val="en-US" w:eastAsia="zh-CN"/>
              </w:rPr>
              <w:t>，</w:t>
            </w:r>
            <w:r>
              <w:rPr>
                <w:rFonts w:hint="eastAsia" w:cs="Times New Roman"/>
                <w:color w:val="auto"/>
                <w:highlight w:val="none"/>
                <w:lang w:val="en-US" w:eastAsia="zh-CN"/>
              </w:rPr>
              <w:t>位于</w:t>
            </w:r>
            <w:r>
              <w:rPr>
                <w:rFonts w:hint="default" w:ascii="Times New Roman" w:hAnsi="Times New Roman" w:eastAsia="宋体" w:cs="Times New Roman"/>
                <w:color w:val="auto"/>
                <w:highlight w:val="none"/>
                <w:lang w:val="en-US" w:eastAsia="zh-CN"/>
              </w:rPr>
              <w:t>巴中经开区</w:t>
            </w:r>
            <w:r>
              <w:rPr>
                <w:rFonts w:hint="eastAsia" w:ascii="Times New Roman" w:hAnsi="Times New Roman" w:eastAsia="宋体" w:cs="Times New Roman"/>
                <w:color w:val="auto"/>
                <w:highlight w:val="none"/>
                <w:lang w:val="en-US" w:eastAsia="zh-CN"/>
              </w:rPr>
              <w:t>内</w:t>
            </w:r>
            <w:r>
              <w:rPr>
                <w:rFonts w:hint="default" w:ascii="Times New Roman" w:hAnsi="Times New Roman" w:eastAsia="宋体" w:cs="Times New Roman"/>
                <w:color w:val="auto"/>
                <w:highlight w:val="none"/>
                <w:lang w:val="en-US" w:eastAsia="zh-CN"/>
              </w:rPr>
              <w:t>，与巴中经开区产业规划无冲突，用地性质为工业用地。因此，本项目的建设符合《巴中市国土空间总体规划》（2021-2035年）相关规划要求</w:t>
            </w:r>
            <w:r>
              <w:rPr>
                <w:rFonts w:hint="eastAsia" w:ascii="Times New Roman" w:hAnsi="Times New Roman" w:eastAsia="宋体" w:cs="Times New Roman"/>
                <w:color w:val="auto"/>
                <w:highlight w:val="none"/>
                <w:lang w:val="en-US" w:eastAsia="zh-CN"/>
              </w:rPr>
              <w:t>。</w:t>
            </w:r>
          </w:p>
          <w:p w14:paraId="775FB2C6">
            <w:pPr>
              <w:pStyle w:val="66"/>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firstLine="480" w:firstLineChars="200"/>
              <w:textAlignment w:val="auto"/>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2</w:t>
            </w:r>
            <w:r>
              <w:rPr>
                <w:rFonts w:hint="default" w:ascii="Times New Roman" w:hAnsi="Times New Roman" w:eastAsia="宋体" w:cs="Times New Roman"/>
                <w:color w:val="auto"/>
                <w:highlight w:val="none"/>
                <w:lang w:val="en-US" w:eastAsia="zh-CN"/>
              </w:rPr>
              <w:t>、与《四川巴中经济开发区规划修编环境影响报告书》及审查意见的符合性</w:t>
            </w:r>
          </w:p>
          <w:p w14:paraId="5254232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2023年，四川巴中经济开发区管理委员会委托信息产业电子第十一设计研究院科技工程股份有限公司编制了《四川巴中经济开发区规划修编环境影响报告书》，并通过四川省生态环境厅审查（川环建函〔2023〕29号）。</w:t>
            </w:r>
          </w:p>
          <w:p w14:paraId="1836EB6C">
            <w:pPr>
              <w:pStyle w:val="66"/>
              <w:keepNext w:val="0"/>
              <w:keepLines w:val="0"/>
              <w:pageBreakBefore w:val="0"/>
              <w:widowControl w:val="0"/>
              <w:kinsoku/>
              <w:wordWrap/>
              <w:overflowPunct/>
              <w:topLinePunct w:val="0"/>
              <w:bidi w:val="0"/>
              <w:spacing w:line="360" w:lineRule="auto"/>
              <w:textAlignment w:val="auto"/>
              <w:rPr>
                <w:color w:val="auto"/>
              </w:rPr>
            </w:pPr>
            <w:r>
              <w:rPr>
                <w:rFonts w:hint="default" w:ascii="Times New Roman" w:hAnsi="Times New Roman" w:eastAsia="宋体" w:cs="Times New Roman"/>
                <w:color w:val="auto"/>
                <w:sz w:val="24"/>
                <w:szCs w:val="24"/>
                <w:highlight w:val="none"/>
              </w:rPr>
              <w:t>项目位于四川巴中经济开发区核心区，与园区规划环评符合性分析见下表</w:t>
            </w:r>
            <w:r>
              <w:rPr>
                <w:rFonts w:hint="default" w:ascii="Times New Roman" w:hAnsi="Times New Roman" w:cs="Times New Roman"/>
                <w:color w:val="auto"/>
                <w:sz w:val="24"/>
                <w:szCs w:val="24"/>
                <w:highlight w:val="none"/>
                <w:lang w:val="en-US" w:eastAsia="zh-CN"/>
              </w:rPr>
              <w:t>所示</w:t>
            </w:r>
            <w:r>
              <w:rPr>
                <w:rFonts w:hint="eastAsia"/>
                <w:color w:val="auto"/>
              </w:rPr>
              <w:t>。</w:t>
            </w:r>
          </w:p>
          <w:p w14:paraId="4CCB2F32">
            <w:pPr>
              <w:pStyle w:val="68"/>
              <w:rPr>
                <w:rFonts w:hint="default" w:ascii="Times New Roman" w:hAnsi="Times New Roman" w:eastAsia="宋体" w:cs="Times New Roman"/>
                <w:b/>
                <w:bCs/>
                <w:color w:val="auto"/>
                <w:lang w:val="en-US" w:eastAsia="zh-CN"/>
              </w:rPr>
            </w:pPr>
            <w:r>
              <w:rPr>
                <w:rFonts w:hint="default" w:ascii="Times New Roman" w:hAnsi="Times New Roman" w:eastAsia="宋体" w:cs="Times New Roman"/>
                <w:b/>
                <w:bCs/>
                <w:color w:val="auto"/>
                <w:lang w:val="en-US" w:eastAsia="zh-CN"/>
              </w:rPr>
              <w:t>表1-</w:t>
            </w:r>
            <w:r>
              <w:rPr>
                <w:rFonts w:hint="eastAsia" w:ascii="Times New Roman" w:hAnsi="Times New Roman" w:eastAsia="宋体" w:cs="Times New Roman"/>
                <w:b/>
                <w:bCs/>
                <w:color w:val="auto"/>
                <w:lang w:val="en-US" w:eastAsia="zh-CN"/>
              </w:rPr>
              <w:t>2</w:t>
            </w:r>
            <w:r>
              <w:rPr>
                <w:rFonts w:hint="default" w:ascii="Times New Roman" w:hAnsi="Times New Roman" w:eastAsia="宋体" w:cs="Times New Roman"/>
                <w:b/>
                <w:bCs/>
                <w:color w:val="auto"/>
                <w:lang w:val="en-US" w:eastAsia="zh-CN"/>
              </w:rPr>
              <w:t xml:space="preserve"> 项目与园区规划修编环境影响报告书及审查意见符合性</w:t>
            </w:r>
          </w:p>
          <w:tbl>
            <w:tblPr>
              <w:tblStyle w:val="42"/>
              <w:tblW w:w="4984"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23" w:type="dxa"/>
                <w:bottom w:w="0" w:type="dxa"/>
                <w:right w:w="23" w:type="dxa"/>
              </w:tblCellMar>
            </w:tblPr>
            <w:tblGrid>
              <w:gridCol w:w="779"/>
              <w:gridCol w:w="3449"/>
              <w:gridCol w:w="2160"/>
              <w:gridCol w:w="530"/>
            </w:tblGrid>
            <w:tr w14:paraId="5311C9A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3" w:type="dxa"/>
                  <w:bottom w:w="0" w:type="dxa"/>
                  <w:right w:w="23" w:type="dxa"/>
                </w:tblCellMar>
              </w:tblPrEx>
              <w:trPr>
                <w:trHeight w:val="340" w:hRule="atLeast"/>
                <w:jc w:val="center"/>
              </w:trPr>
              <w:tc>
                <w:tcPr>
                  <w:tcW w:w="563" w:type="pct"/>
                  <w:tcBorders>
                    <w:tl2br w:val="nil"/>
                    <w:tr2bl w:val="nil"/>
                  </w:tcBorders>
                  <w:vAlign w:val="center"/>
                </w:tcPr>
                <w:p w14:paraId="08DEE6DB">
                  <w:pPr>
                    <w:pStyle w:val="70"/>
                    <w:spacing w:line="240" w:lineRule="auto"/>
                    <w:rPr>
                      <w:rFonts w:hint="default" w:ascii="Times New Roman" w:hAnsi="Times New Roman" w:eastAsia="宋体" w:cs="Times New Roman"/>
                      <w:b/>
                      <w:color w:val="auto"/>
                      <w:sz w:val="21"/>
                      <w:szCs w:val="21"/>
                      <w:lang w:val="en-US" w:eastAsia="zh-CN"/>
                    </w:rPr>
                  </w:pPr>
                  <w:r>
                    <w:rPr>
                      <w:rFonts w:hint="default" w:ascii="Times New Roman" w:hAnsi="Times New Roman" w:eastAsia="宋体" w:cs="Times New Roman"/>
                      <w:b/>
                      <w:color w:val="auto"/>
                      <w:sz w:val="21"/>
                      <w:szCs w:val="21"/>
                      <w:lang w:val="en-US" w:eastAsia="zh-CN"/>
                    </w:rPr>
                    <w:t>项目</w:t>
                  </w:r>
                </w:p>
              </w:tc>
              <w:tc>
                <w:tcPr>
                  <w:tcW w:w="2492" w:type="pct"/>
                  <w:tcBorders>
                    <w:tl2br w:val="nil"/>
                    <w:tr2bl w:val="nil"/>
                  </w:tcBorders>
                  <w:vAlign w:val="center"/>
                </w:tcPr>
                <w:p w14:paraId="3257598B">
                  <w:pPr>
                    <w:pStyle w:val="70"/>
                    <w:spacing w:line="240" w:lineRule="auto"/>
                    <w:rPr>
                      <w:rFonts w:hint="default" w:ascii="Times New Roman" w:hAnsi="Times New Roman" w:eastAsia="宋体" w:cs="Times New Roman"/>
                      <w:b/>
                      <w:color w:val="auto"/>
                      <w:sz w:val="21"/>
                      <w:szCs w:val="21"/>
                      <w:lang w:val="en-US" w:eastAsia="zh-CN"/>
                    </w:rPr>
                  </w:pPr>
                  <w:r>
                    <w:rPr>
                      <w:rFonts w:hint="default" w:ascii="Times New Roman" w:hAnsi="Times New Roman" w:eastAsia="宋体" w:cs="Times New Roman"/>
                      <w:b/>
                      <w:color w:val="auto"/>
                      <w:sz w:val="21"/>
                      <w:szCs w:val="21"/>
                      <w:lang w:val="en-US" w:eastAsia="zh-CN"/>
                    </w:rPr>
                    <w:t>规划环评及</w:t>
                  </w:r>
                  <w:r>
                    <w:rPr>
                      <w:rFonts w:hint="eastAsia" w:cs="Times New Roman"/>
                      <w:b/>
                      <w:color w:val="auto"/>
                      <w:sz w:val="21"/>
                      <w:szCs w:val="21"/>
                      <w:lang w:val="en-US" w:eastAsia="zh-CN"/>
                    </w:rPr>
                    <w:t>其</w:t>
                  </w:r>
                  <w:r>
                    <w:rPr>
                      <w:rFonts w:hint="default" w:ascii="Times New Roman" w:hAnsi="Times New Roman" w:eastAsia="宋体" w:cs="Times New Roman"/>
                      <w:b/>
                      <w:color w:val="auto"/>
                      <w:sz w:val="21"/>
                      <w:szCs w:val="21"/>
                      <w:lang w:val="en-US" w:eastAsia="zh-CN"/>
                    </w:rPr>
                    <w:t>审查意见</w:t>
                  </w:r>
                </w:p>
              </w:tc>
              <w:tc>
                <w:tcPr>
                  <w:tcW w:w="1561" w:type="pct"/>
                  <w:tcBorders>
                    <w:tl2br w:val="nil"/>
                    <w:tr2bl w:val="nil"/>
                  </w:tcBorders>
                  <w:vAlign w:val="center"/>
                </w:tcPr>
                <w:p w14:paraId="5A255D24">
                  <w:pPr>
                    <w:pStyle w:val="70"/>
                    <w:spacing w:line="240" w:lineRule="auto"/>
                    <w:rPr>
                      <w:rFonts w:hint="default" w:ascii="Times New Roman" w:hAnsi="Times New Roman" w:eastAsia="宋体" w:cs="Times New Roman"/>
                      <w:b/>
                      <w:color w:val="auto"/>
                      <w:sz w:val="21"/>
                      <w:szCs w:val="21"/>
                      <w:lang w:val="en-US" w:eastAsia="zh-CN"/>
                    </w:rPr>
                  </w:pPr>
                  <w:r>
                    <w:rPr>
                      <w:rFonts w:hint="default" w:ascii="Times New Roman" w:hAnsi="Times New Roman" w:eastAsia="宋体" w:cs="Times New Roman"/>
                      <w:b/>
                      <w:color w:val="auto"/>
                      <w:sz w:val="21"/>
                      <w:szCs w:val="21"/>
                      <w:lang w:val="en-US" w:eastAsia="zh-CN"/>
                    </w:rPr>
                    <w:t>本项目情况</w:t>
                  </w:r>
                </w:p>
              </w:tc>
              <w:tc>
                <w:tcPr>
                  <w:tcW w:w="383" w:type="pct"/>
                  <w:tcBorders>
                    <w:tl2br w:val="nil"/>
                    <w:tr2bl w:val="nil"/>
                  </w:tcBorders>
                  <w:vAlign w:val="center"/>
                </w:tcPr>
                <w:p w14:paraId="2CA934FE">
                  <w:pPr>
                    <w:pStyle w:val="70"/>
                    <w:spacing w:line="240" w:lineRule="auto"/>
                    <w:rPr>
                      <w:rFonts w:hint="default" w:ascii="Times New Roman" w:hAnsi="Times New Roman" w:eastAsia="宋体" w:cs="Times New Roman"/>
                      <w:b/>
                      <w:color w:val="auto"/>
                      <w:sz w:val="21"/>
                      <w:szCs w:val="21"/>
                      <w:lang w:val="en-US" w:eastAsia="zh-CN"/>
                    </w:rPr>
                  </w:pPr>
                  <w:r>
                    <w:rPr>
                      <w:rFonts w:hint="default" w:ascii="Times New Roman" w:hAnsi="Times New Roman" w:eastAsia="宋体" w:cs="Times New Roman"/>
                      <w:b/>
                      <w:color w:val="auto"/>
                      <w:sz w:val="21"/>
                      <w:szCs w:val="21"/>
                      <w:lang w:val="en-US" w:eastAsia="zh-CN"/>
                    </w:rPr>
                    <w:t>符合性</w:t>
                  </w:r>
                </w:p>
              </w:tc>
            </w:tr>
            <w:tr w14:paraId="676B7E2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3" w:type="dxa"/>
                  <w:bottom w:w="0" w:type="dxa"/>
                  <w:right w:w="23" w:type="dxa"/>
                </w:tblCellMar>
              </w:tblPrEx>
              <w:trPr>
                <w:trHeight w:val="340" w:hRule="atLeast"/>
                <w:jc w:val="center"/>
              </w:trPr>
              <w:tc>
                <w:tcPr>
                  <w:tcW w:w="563" w:type="pct"/>
                  <w:tcBorders>
                    <w:tl2br w:val="nil"/>
                    <w:tr2bl w:val="nil"/>
                  </w:tcBorders>
                  <w:shd w:val="clear" w:color="auto" w:fill="auto"/>
                  <w:vAlign w:val="center"/>
                </w:tcPr>
                <w:p w14:paraId="3155CDF1">
                  <w:pPr>
                    <w:pStyle w:val="70"/>
                    <w:spacing w:line="240" w:lineRule="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产业定位</w:t>
                  </w:r>
                </w:p>
              </w:tc>
              <w:tc>
                <w:tcPr>
                  <w:tcW w:w="2492" w:type="pct"/>
                  <w:tcBorders>
                    <w:tl2br w:val="nil"/>
                    <w:tr2bl w:val="nil"/>
                  </w:tcBorders>
                  <w:shd w:val="clear" w:color="auto" w:fill="auto"/>
                  <w:vAlign w:val="center"/>
                </w:tcPr>
                <w:p w14:paraId="0D8156DF">
                  <w:pPr>
                    <w:pStyle w:val="70"/>
                    <w:spacing w:line="240" w:lineRule="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zh-CN" w:eastAsia="zh-CN"/>
                    </w:rPr>
                    <w:t>核心区：</w:t>
                  </w:r>
                  <w:r>
                    <w:rPr>
                      <w:rFonts w:hint="default" w:ascii="Times New Roman" w:hAnsi="Times New Roman" w:eastAsia="宋体" w:cs="Times New Roman"/>
                      <w:color w:val="auto"/>
                      <w:sz w:val="21"/>
                      <w:szCs w:val="21"/>
                      <w:lang w:val="en-US" w:eastAsia="zh-CN"/>
                    </w:rPr>
                    <w:t>重点发展</w:t>
                  </w:r>
                  <w:r>
                    <w:rPr>
                      <w:rFonts w:hint="default" w:ascii="Times New Roman" w:hAnsi="Times New Roman" w:eastAsia="宋体" w:cs="Times New Roman"/>
                      <w:color w:val="auto"/>
                      <w:sz w:val="21"/>
                      <w:szCs w:val="21"/>
                      <w:lang w:val="zh-CN" w:eastAsia="zh-CN"/>
                    </w:rPr>
                    <w:t>机械、电子、服装，辅助发展生物医药、新能源新材料。</w:t>
                  </w:r>
                </w:p>
              </w:tc>
              <w:tc>
                <w:tcPr>
                  <w:tcW w:w="1561" w:type="pct"/>
                  <w:tcBorders>
                    <w:tl2br w:val="nil"/>
                    <w:tr2bl w:val="nil"/>
                  </w:tcBorders>
                  <w:vAlign w:val="center"/>
                </w:tcPr>
                <w:p w14:paraId="55E8D676">
                  <w:pPr>
                    <w:pStyle w:val="70"/>
                    <w:spacing w:line="240" w:lineRule="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本</w:t>
                  </w:r>
                  <w:r>
                    <w:rPr>
                      <w:rFonts w:hint="default" w:ascii="Times New Roman" w:hAnsi="Times New Roman" w:eastAsia="宋体" w:cs="Times New Roman"/>
                      <w:color w:val="auto"/>
                      <w:sz w:val="21"/>
                      <w:szCs w:val="21"/>
                      <w:lang w:val="en-US" w:eastAsia="zh-CN"/>
                    </w:rPr>
                    <w:t>项目属于</w:t>
                  </w:r>
                  <w:r>
                    <w:rPr>
                      <w:color w:val="auto"/>
                      <w:sz w:val="21"/>
                      <w:szCs w:val="21"/>
                    </w:rPr>
                    <w:t>C</w:t>
                  </w:r>
                  <w:r>
                    <w:rPr>
                      <w:rFonts w:hint="eastAsia"/>
                      <w:color w:val="auto"/>
                      <w:sz w:val="21"/>
                      <w:szCs w:val="21"/>
                      <w:lang w:val="en-US" w:eastAsia="zh-CN"/>
                    </w:rPr>
                    <w:t>3841 锂离子电池制造</w:t>
                  </w:r>
                  <w:r>
                    <w:rPr>
                      <w:rFonts w:hint="default" w:ascii="Times New Roman" w:hAnsi="Times New Roman" w:eastAsia="宋体" w:cs="Times New Roman"/>
                      <w:color w:val="auto"/>
                      <w:sz w:val="21"/>
                      <w:szCs w:val="21"/>
                      <w:lang w:val="en-US" w:eastAsia="zh-CN"/>
                    </w:rPr>
                    <w:t>，与主导产业不冲突。</w:t>
                  </w:r>
                </w:p>
              </w:tc>
              <w:tc>
                <w:tcPr>
                  <w:tcW w:w="383" w:type="pct"/>
                  <w:tcBorders>
                    <w:tl2br w:val="nil"/>
                    <w:tr2bl w:val="nil"/>
                  </w:tcBorders>
                  <w:vAlign w:val="center"/>
                </w:tcPr>
                <w:p w14:paraId="5766388F">
                  <w:pPr>
                    <w:pStyle w:val="70"/>
                    <w:spacing w:line="240" w:lineRule="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符合</w:t>
                  </w:r>
                </w:p>
              </w:tc>
            </w:tr>
            <w:tr w14:paraId="5BB358F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3" w:type="dxa"/>
                  <w:bottom w:w="0" w:type="dxa"/>
                  <w:right w:w="23" w:type="dxa"/>
                </w:tblCellMar>
              </w:tblPrEx>
              <w:trPr>
                <w:trHeight w:val="340" w:hRule="atLeast"/>
                <w:jc w:val="center"/>
              </w:trPr>
              <w:tc>
                <w:tcPr>
                  <w:tcW w:w="563" w:type="pct"/>
                  <w:vMerge w:val="restart"/>
                  <w:tcBorders>
                    <w:tl2br w:val="nil"/>
                    <w:tr2bl w:val="nil"/>
                  </w:tcBorders>
                  <w:vAlign w:val="center"/>
                </w:tcPr>
                <w:p w14:paraId="57993BFB">
                  <w:pPr>
                    <w:pStyle w:val="70"/>
                    <w:spacing w:line="240" w:lineRule="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负面准入清单</w:t>
                  </w:r>
                </w:p>
              </w:tc>
              <w:tc>
                <w:tcPr>
                  <w:tcW w:w="2492" w:type="pct"/>
                  <w:tcBorders>
                    <w:tl2br w:val="nil"/>
                    <w:tr2bl w:val="nil"/>
                  </w:tcBorders>
                  <w:vAlign w:val="center"/>
                </w:tcPr>
                <w:p w14:paraId="56E90E40">
                  <w:pPr>
                    <w:pStyle w:val="70"/>
                    <w:spacing w:line="240" w:lineRule="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（1）禁止新建、扩建法律法规和相关政策明令禁止的落后产能项目。禁止新建《产业结构调整指导目录》中淘汰、限制类项目，对属于限制类的现有生产能力允许企业在一定期限内采取措施改造升级。</w:t>
                  </w:r>
                </w:p>
              </w:tc>
              <w:tc>
                <w:tcPr>
                  <w:tcW w:w="1561" w:type="pct"/>
                  <w:tcBorders>
                    <w:tl2br w:val="nil"/>
                    <w:tr2bl w:val="nil"/>
                  </w:tcBorders>
                  <w:vAlign w:val="center"/>
                </w:tcPr>
                <w:p w14:paraId="5F49B1E2">
                  <w:pPr>
                    <w:pStyle w:val="70"/>
                    <w:spacing w:line="240" w:lineRule="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项目属于</w:t>
                  </w:r>
                  <w:r>
                    <w:rPr>
                      <w:color w:val="auto"/>
                      <w:sz w:val="21"/>
                      <w:szCs w:val="21"/>
                    </w:rPr>
                    <w:t>C</w:t>
                  </w:r>
                  <w:r>
                    <w:rPr>
                      <w:rFonts w:hint="eastAsia"/>
                      <w:color w:val="auto"/>
                      <w:sz w:val="21"/>
                      <w:szCs w:val="21"/>
                      <w:lang w:val="en-US" w:eastAsia="zh-CN"/>
                    </w:rPr>
                    <w:t>3841 锂离子电池制造</w:t>
                  </w:r>
                  <w:r>
                    <w:rPr>
                      <w:rFonts w:hint="default" w:ascii="Times New Roman" w:hAnsi="Times New Roman" w:eastAsia="宋体" w:cs="Times New Roman"/>
                      <w:color w:val="auto"/>
                      <w:sz w:val="21"/>
                      <w:szCs w:val="21"/>
                      <w:lang w:val="en-US" w:eastAsia="zh-CN"/>
                    </w:rPr>
                    <w:t>，属于《产业结构调整指导目录（2024年本）》中鼓励类项目。</w:t>
                  </w:r>
                </w:p>
              </w:tc>
              <w:tc>
                <w:tcPr>
                  <w:tcW w:w="383" w:type="pct"/>
                  <w:tcBorders>
                    <w:tl2br w:val="nil"/>
                    <w:tr2bl w:val="nil"/>
                  </w:tcBorders>
                  <w:vAlign w:val="center"/>
                </w:tcPr>
                <w:p w14:paraId="3A558EC9">
                  <w:pPr>
                    <w:pStyle w:val="70"/>
                    <w:spacing w:line="240" w:lineRule="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符合</w:t>
                  </w:r>
                </w:p>
              </w:tc>
            </w:tr>
            <w:tr w14:paraId="789509D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3" w:type="dxa"/>
                  <w:bottom w:w="0" w:type="dxa"/>
                  <w:right w:w="23" w:type="dxa"/>
                </w:tblCellMar>
              </w:tblPrEx>
              <w:trPr>
                <w:trHeight w:val="340" w:hRule="atLeast"/>
                <w:jc w:val="center"/>
              </w:trPr>
              <w:tc>
                <w:tcPr>
                  <w:tcW w:w="563" w:type="pct"/>
                  <w:vMerge w:val="continue"/>
                  <w:tcBorders>
                    <w:tl2br w:val="nil"/>
                    <w:tr2bl w:val="nil"/>
                  </w:tcBorders>
                  <w:vAlign w:val="center"/>
                </w:tcPr>
                <w:p w14:paraId="018AD487">
                  <w:pPr>
                    <w:pStyle w:val="70"/>
                    <w:spacing w:line="240" w:lineRule="auto"/>
                    <w:rPr>
                      <w:rFonts w:hint="default" w:ascii="Times New Roman" w:hAnsi="Times New Roman" w:eastAsia="宋体" w:cs="Times New Roman"/>
                      <w:color w:val="auto"/>
                      <w:sz w:val="21"/>
                      <w:szCs w:val="21"/>
                      <w:lang w:val="en-US" w:eastAsia="zh-CN"/>
                    </w:rPr>
                  </w:pPr>
                </w:p>
              </w:tc>
              <w:tc>
                <w:tcPr>
                  <w:tcW w:w="2492" w:type="pct"/>
                  <w:tcBorders>
                    <w:tl2br w:val="nil"/>
                    <w:tr2bl w:val="nil"/>
                  </w:tcBorders>
                  <w:vAlign w:val="center"/>
                </w:tcPr>
                <w:p w14:paraId="6D867A21">
                  <w:pPr>
                    <w:pStyle w:val="70"/>
                    <w:spacing w:line="240" w:lineRule="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（2）禁止新建、扩建不符合国家产能置换要求的严重过剩产能行业的项目，禁止新建、扩建不符合要求的高耗能高排放项目。</w:t>
                  </w:r>
                </w:p>
              </w:tc>
              <w:tc>
                <w:tcPr>
                  <w:tcW w:w="1561" w:type="pct"/>
                  <w:tcBorders>
                    <w:tl2br w:val="nil"/>
                    <w:tr2bl w:val="nil"/>
                  </w:tcBorders>
                  <w:vAlign w:val="center"/>
                </w:tcPr>
                <w:p w14:paraId="76E46491">
                  <w:pPr>
                    <w:pStyle w:val="70"/>
                    <w:spacing w:line="240" w:lineRule="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本</w:t>
                  </w:r>
                  <w:r>
                    <w:rPr>
                      <w:rFonts w:hint="default" w:ascii="Times New Roman" w:hAnsi="Times New Roman" w:eastAsia="宋体" w:cs="Times New Roman"/>
                      <w:color w:val="auto"/>
                      <w:sz w:val="21"/>
                      <w:szCs w:val="21"/>
                      <w:lang w:val="en-US" w:eastAsia="zh-CN"/>
                    </w:rPr>
                    <w:t>项目不属于过剩产能行业、高耗能高排放项目。</w:t>
                  </w:r>
                </w:p>
              </w:tc>
              <w:tc>
                <w:tcPr>
                  <w:tcW w:w="383" w:type="pct"/>
                  <w:tcBorders>
                    <w:tl2br w:val="nil"/>
                    <w:tr2bl w:val="nil"/>
                  </w:tcBorders>
                  <w:vAlign w:val="center"/>
                </w:tcPr>
                <w:p w14:paraId="2923D061">
                  <w:pPr>
                    <w:pStyle w:val="70"/>
                    <w:spacing w:line="240" w:lineRule="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符合</w:t>
                  </w:r>
                </w:p>
              </w:tc>
            </w:tr>
            <w:tr w14:paraId="520D352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3" w:type="dxa"/>
                  <w:bottom w:w="0" w:type="dxa"/>
                  <w:right w:w="23" w:type="dxa"/>
                </w:tblCellMar>
              </w:tblPrEx>
              <w:trPr>
                <w:trHeight w:val="340" w:hRule="atLeast"/>
                <w:jc w:val="center"/>
              </w:trPr>
              <w:tc>
                <w:tcPr>
                  <w:tcW w:w="563" w:type="pct"/>
                  <w:vMerge w:val="continue"/>
                  <w:tcBorders>
                    <w:tl2br w:val="nil"/>
                    <w:tr2bl w:val="nil"/>
                  </w:tcBorders>
                  <w:vAlign w:val="center"/>
                </w:tcPr>
                <w:p w14:paraId="0B961F5C">
                  <w:pPr>
                    <w:pStyle w:val="70"/>
                    <w:spacing w:line="240" w:lineRule="auto"/>
                    <w:rPr>
                      <w:rFonts w:hint="default" w:ascii="Times New Roman" w:hAnsi="Times New Roman" w:eastAsia="宋体" w:cs="Times New Roman"/>
                      <w:color w:val="auto"/>
                      <w:sz w:val="21"/>
                      <w:szCs w:val="21"/>
                      <w:lang w:val="en-US" w:eastAsia="zh-CN"/>
                    </w:rPr>
                  </w:pPr>
                </w:p>
              </w:tc>
              <w:tc>
                <w:tcPr>
                  <w:tcW w:w="2492" w:type="pct"/>
                  <w:tcBorders>
                    <w:tl2br w:val="nil"/>
                    <w:tr2bl w:val="nil"/>
                  </w:tcBorders>
                  <w:vAlign w:val="center"/>
                </w:tcPr>
                <w:p w14:paraId="560E0CC3">
                  <w:pPr>
                    <w:pStyle w:val="70"/>
                    <w:spacing w:line="240" w:lineRule="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（3）禁止引入不符合国家、地方重金属污染防治规范的项目。</w:t>
                  </w:r>
                </w:p>
              </w:tc>
              <w:tc>
                <w:tcPr>
                  <w:tcW w:w="1561" w:type="pct"/>
                  <w:tcBorders>
                    <w:tl2br w:val="nil"/>
                    <w:tr2bl w:val="nil"/>
                  </w:tcBorders>
                  <w:vAlign w:val="center"/>
                </w:tcPr>
                <w:p w14:paraId="666691A7">
                  <w:pPr>
                    <w:pStyle w:val="70"/>
                    <w:spacing w:line="240" w:lineRule="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本项目不涉及重金属排放。</w:t>
                  </w:r>
                </w:p>
              </w:tc>
              <w:tc>
                <w:tcPr>
                  <w:tcW w:w="383" w:type="pct"/>
                  <w:tcBorders>
                    <w:tl2br w:val="nil"/>
                    <w:tr2bl w:val="nil"/>
                  </w:tcBorders>
                  <w:vAlign w:val="center"/>
                </w:tcPr>
                <w:p w14:paraId="5AC2E8D5">
                  <w:pPr>
                    <w:pStyle w:val="70"/>
                    <w:spacing w:line="240" w:lineRule="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符合</w:t>
                  </w:r>
                </w:p>
              </w:tc>
            </w:tr>
            <w:tr w14:paraId="18204FD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3" w:type="dxa"/>
                  <w:bottom w:w="0" w:type="dxa"/>
                  <w:right w:w="23" w:type="dxa"/>
                </w:tblCellMar>
              </w:tblPrEx>
              <w:trPr>
                <w:trHeight w:val="340" w:hRule="atLeast"/>
                <w:jc w:val="center"/>
              </w:trPr>
              <w:tc>
                <w:tcPr>
                  <w:tcW w:w="563" w:type="pct"/>
                  <w:vMerge w:val="continue"/>
                  <w:tcBorders>
                    <w:tl2br w:val="nil"/>
                    <w:tr2bl w:val="nil"/>
                  </w:tcBorders>
                  <w:vAlign w:val="center"/>
                </w:tcPr>
                <w:p w14:paraId="72A023DC">
                  <w:pPr>
                    <w:pStyle w:val="70"/>
                    <w:spacing w:line="240" w:lineRule="auto"/>
                    <w:rPr>
                      <w:rFonts w:hint="default" w:ascii="Times New Roman" w:hAnsi="Times New Roman" w:eastAsia="宋体" w:cs="Times New Roman"/>
                      <w:color w:val="auto"/>
                      <w:sz w:val="21"/>
                      <w:szCs w:val="21"/>
                      <w:lang w:val="en-US" w:eastAsia="zh-CN"/>
                    </w:rPr>
                  </w:pPr>
                </w:p>
              </w:tc>
              <w:tc>
                <w:tcPr>
                  <w:tcW w:w="2492" w:type="pct"/>
                  <w:tcBorders>
                    <w:tl2br w:val="nil"/>
                    <w:tr2bl w:val="nil"/>
                  </w:tcBorders>
                  <w:vAlign w:val="center"/>
                </w:tcPr>
                <w:p w14:paraId="6C2F0973">
                  <w:pPr>
                    <w:pStyle w:val="70"/>
                    <w:spacing w:line="240" w:lineRule="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（4）禁止引入清洁生产水平不能达到二级或国内先进水平的项目。</w:t>
                  </w:r>
                </w:p>
              </w:tc>
              <w:tc>
                <w:tcPr>
                  <w:tcW w:w="1561" w:type="pct"/>
                  <w:tcBorders>
                    <w:tl2br w:val="nil"/>
                    <w:tr2bl w:val="nil"/>
                  </w:tcBorders>
                  <w:vAlign w:val="center"/>
                </w:tcPr>
                <w:p w14:paraId="0912E26D">
                  <w:pPr>
                    <w:pStyle w:val="70"/>
                    <w:spacing w:line="240" w:lineRule="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满足清洁生产要求</w:t>
                  </w:r>
                  <w:r>
                    <w:rPr>
                      <w:rFonts w:hint="default" w:ascii="Times New Roman" w:hAnsi="Times New Roman" w:eastAsia="宋体" w:cs="Times New Roman"/>
                      <w:color w:val="auto"/>
                      <w:sz w:val="21"/>
                      <w:szCs w:val="21"/>
                      <w:lang w:val="en-US" w:eastAsia="zh-CN"/>
                    </w:rPr>
                    <w:t>。</w:t>
                  </w:r>
                </w:p>
              </w:tc>
              <w:tc>
                <w:tcPr>
                  <w:tcW w:w="383" w:type="pct"/>
                  <w:tcBorders>
                    <w:tl2br w:val="nil"/>
                    <w:tr2bl w:val="nil"/>
                  </w:tcBorders>
                  <w:vAlign w:val="center"/>
                </w:tcPr>
                <w:p w14:paraId="67859573">
                  <w:pPr>
                    <w:pStyle w:val="70"/>
                    <w:spacing w:line="240" w:lineRule="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符合</w:t>
                  </w:r>
                </w:p>
              </w:tc>
            </w:tr>
            <w:tr w14:paraId="6592F84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3" w:type="dxa"/>
                  <w:bottom w:w="0" w:type="dxa"/>
                  <w:right w:w="23" w:type="dxa"/>
                </w:tblCellMar>
              </w:tblPrEx>
              <w:trPr>
                <w:trHeight w:val="340" w:hRule="atLeast"/>
                <w:jc w:val="center"/>
              </w:trPr>
              <w:tc>
                <w:tcPr>
                  <w:tcW w:w="563" w:type="pct"/>
                  <w:vMerge w:val="continue"/>
                  <w:tcBorders>
                    <w:tl2br w:val="nil"/>
                    <w:tr2bl w:val="nil"/>
                  </w:tcBorders>
                  <w:vAlign w:val="center"/>
                </w:tcPr>
                <w:p w14:paraId="3A9A5731">
                  <w:pPr>
                    <w:pStyle w:val="70"/>
                    <w:spacing w:line="240" w:lineRule="auto"/>
                    <w:rPr>
                      <w:rFonts w:hint="default" w:ascii="Times New Roman" w:hAnsi="Times New Roman" w:eastAsia="宋体" w:cs="Times New Roman"/>
                      <w:color w:val="auto"/>
                      <w:sz w:val="21"/>
                      <w:szCs w:val="21"/>
                      <w:lang w:val="en-US" w:eastAsia="zh-CN"/>
                    </w:rPr>
                  </w:pPr>
                </w:p>
              </w:tc>
              <w:tc>
                <w:tcPr>
                  <w:tcW w:w="2492" w:type="pct"/>
                  <w:tcBorders>
                    <w:tl2br w:val="nil"/>
                    <w:tr2bl w:val="nil"/>
                  </w:tcBorders>
                  <w:vAlign w:val="center"/>
                </w:tcPr>
                <w:p w14:paraId="74E7E914">
                  <w:pPr>
                    <w:pStyle w:val="70"/>
                    <w:spacing w:line="240" w:lineRule="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（5）禁止新建合浆造纸（含废纸合浆）、印染染整、制革、水泥、冶炼及与主导产业不相容的项目。</w:t>
                  </w:r>
                </w:p>
              </w:tc>
              <w:tc>
                <w:tcPr>
                  <w:tcW w:w="1561" w:type="pct"/>
                  <w:tcBorders>
                    <w:tl2br w:val="nil"/>
                    <w:tr2bl w:val="nil"/>
                  </w:tcBorders>
                  <w:vAlign w:val="center"/>
                </w:tcPr>
                <w:p w14:paraId="76555658">
                  <w:pPr>
                    <w:pStyle w:val="70"/>
                    <w:spacing w:line="240" w:lineRule="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本项目不属于</w:t>
                  </w:r>
                  <w:r>
                    <w:rPr>
                      <w:rFonts w:hint="default" w:ascii="Times New Roman" w:hAnsi="Times New Roman" w:eastAsia="宋体" w:cs="Times New Roman"/>
                      <w:color w:val="auto"/>
                      <w:sz w:val="21"/>
                      <w:szCs w:val="21"/>
                      <w:lang w:val="en-US" w:eastAsia="zh-CN"/>
                    </w:rPr>
                    <w:t>合浆造纸（含废纸合浆）、印染染整、制革、水泥、冶炼及与主导产业不相容的项目。</w:t>
                  </w:r>
                </w:p>
              </w:tc>
              <w:tc>
                <w:tcPr>
                  <w:tcW w:w="383" w:type="pct"/>
                  <w:tcBorders>
                    <w:tl2br w:val="nil"/>
                    <w:tr2bl w:val="nil"/>
                  </w:tcBorders>
                  <w:vAlign w:val="center"/>
                </w:tcPr>
                <w:p w14:paraId="4F652F37">
                  <w:pPr>
                    <w:pStyle w:val="70"/>
                    <w:spacing w:line="240" w:lineRule="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符合</w:t>
                  </w:r>
                </w:p>
              </w:tc>
            </w:tr>
            <w:tr w14:paraId="257EA5B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3" w:type="dxa"/>
                  <w:bottom w:w="0" w:type="dxa"/>
                  <w:right w:w="23" w:type="dxa"/>
                </w:tblCellMar>
              </w:tblPrEx>
              <w:trPr>
                <w:trHeight w:val="340" w:hRule="atLeast"/>
                <w:jc w:val="center"/>
              </w:trPr>
              <w:tc>
                <w:tcPr>
                  <w:tcW w:w="563" w:type="pct"/>
                  <w:vMerge w:val="continue"/>
                  <w:tcBorders>
                    <w:tl2br w:val="nil"/>
                    <w:tr2bl w:val="nil"/>
                  </w:tcBorders>
                  <w:vAlign w:val="center"/>
                </w:tcPr>
                <w:p w14:paraId="269A85BA">
                  <w:pPr>
                    <w:pStyle w:val="70"/>
                    <w:spacing w:line="240" w:lineRule="auto"/>
                    <w:rPr>
                      <w:rFonts w:hint="default" w:ascii="Times New Roman" w:hAnsi="Times New Roman" w:eastAsia="宋体" w:cs="Times New Roman"/>
                      <w:color w:val="auto"/>
                      <w:sz w:val="21"/>
                      <w:szCs w:val="21"/>
                      <w:lang w:val="en-US" w:eastAsia="zh-CN"/>
                    </w:rPr>
                  </w:pPr>
                </w:p>
              </w:tc>
              <w:tc>
                <w:tcPr>
                  <w:tcW w:w="2492" w:type="pct"/>
                  <w:tcBorders>
                    <w:tl2br w:val="nil"/>
                    <w:tr2bl w:val="nil"/>
                  </w:tcBorders>
                  <w:vAlign w:val="center"/>
                </w:tcPr>
                <w:p w14:paraId="4B3B9786">
                  <w:pPr>
                    <w:pStyle w:val="70"/>
                    <w:spacing w:line="240" w:lineRule="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（6）禁止高污染燃料。</w:t>
                  </w:r>
                </w:p>
              </w:tc>
              <w:tc>
                <w:tcPr>
                  <w:tcW w:w="1561" w:type="pct"/>
                  <w:tcBorders>
                    <w:tl2br w:val="nil"/>
                    <w:tr2bl w:val="nil"/>
                  </w:tcBorders>
                  <w:vAlign w:val="center"/>
                </w:tcPr>
                <w:p w14:paraId="5B63D012">
                  <w:pPr>
                    <w:pStyle w:val="70"/>
                    <w:spacing w:line="240" w:lineRule="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项目不使用高污染燃料。</w:t>
                  </w:r>
                </w:p>
              </w:tc>
              <w:tc>
                <w:tcPr>
                  <w:tcW w:w="383" w:type="pct"/>
                  <w:tcBorders>
                    <w:tl2br w:val="nil"/>
                    <w:tr2bl w:val="nil"/>
                  </w:tcBorders>
                  <w:vAlign w:val="center"/>
                </w:tcPr>
                <w:p w14:paraId="7E661961">
                  <w:pPr>
                    <w:pStyle w:val="70"/>
                    <w:spacing w:line="240" w:lineRule="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符合</w:t>
                  </w:r>
                </w:p>
              </w:tc>
            </w:tr>
            <w:tr w14:paraId="5194871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3" w:type="dxa"/>
                  <w:bottom w:w="0" w:type="dxa"/>
                  <w:right w:w="23" w:type="dxa"/>
                </w:tblCellMar>
              </w:tblPrEx>
              <w:trPr>
                <w:trHeight w:val="340" w:hRule="atLeast"/>
                <w:jc w:val="center"/>
              </w:trPr>
              <w:tc>
                <w:tcPr>
                  <w:tcW w:w="563" w:type="pct"/>
                  <w:vMerge w:val="restart"/>
                  <w:tcBorders>
                    <w:tl2br w:val="nil"/>
                    <w:tr2bl w:val="nil"/>
                  </w:tcBorders>
                  <w:vAlign w:val="center"/>
                </w:tcPr>
                <w:p w14:paraId="668AB99A">
                  <w:pPr>
                    <w:pStyle w:val="70"/>
                    <w:spacing w:line="240" w:lineRule="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分区管控要求</w:t>
                  </w:r>
                </w:p>
              </w:tc>
              <w:tc>
                <w:tcPr>
                  <w:tcW w:w="2492" w:type="pct"/>
                  <w:tcBorders>
                    <w:tl2br w:val="nil"/>
                    <w:tr2bl w:val="nil"/>
                  </w:tcBorders>
                  <w:vAlign w:val="center"/>
                </w:tcPr>
                <w:p w14:paraId="30360D63">
                  <w:pPr>
                    <w:pStyle w:val="70"/>
                    <w:spacing w:line="240" w:lineRule="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（1）阳台河岸线1km范围内禁止新建、改扩建化工项目（节能、安全环保改造除外）。</w:t>
                  </w:r>
                </w:p>
              </w:tc>
              <w:tc>
                <w:tcPr>
                  <w:tcW w:w="1561" w:type="pct"/>
                  <w:tcBorders>
                    <w:tl2br w:val="nil"/>
                    <w:tr2bl w:val="nil"/>
                  </w:tcBorders>
                  <w:vAlign w:val="center"/>
                </w:tcPr>
                <w:p w14:paraId="13B2D809">
                  <w:pPr>
                    <w:pStyle w:val="70"/>
                    <w:spacing w:line="240" w:lineRule="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本项目属于C384</w:t>
                  </w:r>
                  <w:r>
                    <w:rPr>
                      <w:rFonts w:hint="eastAsia" w:ascii="Times New Roman" w:hAnsi="Times New Roman" w:eastAsia="宋体" w:cs="Times New Roman"/>
                      <w:color w:val="auto"/>
                      <w:sz w:val="21"/>
                      <w:szCs w:val="21"/>
                      <w:lang w:val="en-US" w:eastAsia="zh-CN"/>
                    </w:rPr>
                    <w:t>1 锂离子电池制造</w:t>
                  </w:r>
                  <w:r>
                    <w:rPr>
                      <w:rFonts w:hint="default" w:ascii="Times New Roman" w:hAnsi="Times New Roman" w:eastAsia="宋体" w:cs="Times New Roman"/>
                      <w:color w:val="auto"/>
                      <w:sz w:val="21"/>
                      <w:szCs w:val="21"/>
                      <w:lang w:val="en-US" w:eastAsia="zh-CN"/>
                    </w:rPr>
                    <w:t>，不属于化工项目。</w:t>
                  </w:r>
                </w:p>
              </w:tc>
              <w:tc>
                <w:tcPr>
                  <w:tcW w:w="383" w:type="pct"/>
                  <w:tcBorders>
                    <w:tl2br w:val="nil"/>
                    <w:tr2bl w:val="nil"/>
                  </w:tcBorders>
                  <w:vAlign w:val="center"/>
                </w:tcPr>
                <w:p w14:paraId="76011BDB">
                  <w:pPr>
                    <w:pStyle w:val="70"/>
                    <w:spacing w:line="240" w:lineRule="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符合</w:t>
                  </w:r>
                </w:p>
              </w:tc>
            </w:tr>
            <w:tr w14:paraId="1FF7F53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3" w:type="dxa"/>
                  <w:bottom w:w="0" w:type="dxa"/>
                  <w:right w:w="23" w:type="dxa"/>
                </w:tblCellMar>
              </w:tblPrEx>
              <w:trPr>
                <w:trHeight w:val="340" w:hRule="atLeast"/>
                <w:jc w:val="center"/>
              </w:trPr>
              <w:tc>
                <w:tcPr>
                  <w:tcW w:w="563" w:type="pct"/>
                  <w:vMerge w:val="continue"/>
                  <w:tcBorders>
                    <w:tl2br w:val="nil"/>
                    <w:tr2bl w:val="nil"/>
                  </w:tcBorders>
                  <w:vAlign w:val="center"/>
                </w:tcPr>
                <w:p w14:paraId="294431BA">
                  <w:pPr>
                    <w:pStyle w:val="70"/>
                    <w:spacing w:line="240" w:lineRule="auto"/>
                    <w:rPr>
                      <w:rFonts w:hint="default" w:ascii="Times New Roman" w:hAnsi="Times New Roman" w:eastAsia="宋体" w:cs="Times New Roman"/>
                      <w:color w:val="auto"/>
                      <w:sz w:val="21"/>
                      <w:szCs w:val="21"/>
                      <w:lang w:val="en-US" w:eastAsia="zh-CN"/>
                    </w:rPr>
                  </w:pPr>
                </w:p>
              </w:tc>
              <w:tc>
                <w:tcPr>
                  <w:tcW w:w="2492" w:type="pct"/>
                  <w:tcBorders>
                    <w:tl2br w:val="nil"/>
                    <w:tr2bl w:val="nil"/>
                  </w:tcBorders>
                  <w:vAlign w:val="center"/>
                </w:tcPr>
                <w:p w14:paraId="1C0E7385">
                  <w:pPr>
                    <w:pStyle w:val="70"/>
                    <w:spacing w:line="240" w:lineRule="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（2）禁止引入化学原料药、发酵类抗生素项目。</w:t>
                  </w:r>
                </w:p>
              </w:tc>
              <w:tc>
                <w:tcPr>
                  <w:tcW w:w="1561" w:type="pct"/>
                  <w:tcBorders>
                    <w:tl2br w:val="nil"/>
                    <w:tr2bl w:val="nil"/>
                  </w:tcBorders>
                  <w:vAlign w:val="center"/>
                </w:tcPr>
                <w:p w14:paraId="7E339EEA">
                  <w:pPr>
                    <w:pStyle w:val="70"/>
                    <w:spacing w:line="240" w:lineRule="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本项目不涉及。</w:t>
                  </w:r>
                </w:p>
              </w:tc>
              <w:tc>
                <w:tcPr>
                  <w:tcW w:w="383" w:type="pct"/>
                  <w:tcBorders>
                    <w:tl2br w:val="nil"/>
                    <w:tr2bl w:val="nil"/>
                  </w:tcBorders>
                  <w:vAlign w:val="center"/>
                </w:tcPr>
                <w:p w14:paraId="46CF91FC">
                  <w:pPr>
                    <w:pStyle w:val="70"/>
                    <w:spacing w:line="240" w:lineRule="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符合</w:t>
                  </w:r>
                </w:p>
              </w:tc>
            </w:tr>
            <w:tr w14:paraId="66DCC7C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3" w:type="dxa"/>
                  <w:bottom w:w="0" w:type="dxa"/>
                  <w:right w:w="23" w:type="dxa"/>
                </w:tblCellMar>
              </w:tblPrEx>
              <w:trPr>
                <w:trHeight w:val="340" w:hRule="atLeast"/>
                <w:jc w:val="center"/>
              </w:trPr>
              <w:tc>
                <w:tcPr>
                  <w:tcW w:w="563" w:type="pct"/>
                  <w:vMerge w:val="continue"/>
                  <w:tcBorders>
                    <w:tl2br w:val="nil"/>
                    <w:tr2bl w:val="nil"/>
                  </w:tcBorders>
                  <w:vAlign w:val="center"/>
                </w:tcPr>
                <w:p w14:paraId="6FD8411F">
                  <w:pPr>
                    <w:pStyle w:val="70"/>
                    <w:spacing w:line="240" w:lineRule="auto"/>
                    <w:rPr>
                      <w:rFonts w:hint="default" w:ascii="Times New Roman" w:hAnsi="Times New Roman" w:eastAsia="宋体" w:cs="Times New Roman"/>
                      <w:color w:val="auto"/>
                      <w:sz w:val="21"/>
                      <w:szCs w:val="21"/>
                      <w:lang w:val="en-US" w:eastAsia="zh-CN"/>
                    </w:rPr>
                  </w:pPr>
                </w:p>
              </w:tc>
              <w:tc>
                <w:tcPr>
                  <w:tcW w:w="2492" w:type="pct"/>
                  <w:tcBorders>
                    <w:tl2br w:val="nil"/>
                    <w:tr2bl w:val="nil"/>
                  </w:tcBorders>
                  <w:vAlign w:val="center"/>
                </w:tcPr>
                <w:p w14:paraId="1EA3A84B">
                  <w:pPr>
                    <w:pStyle w:val="70"/>
                    <w:spacing w:line="240" w:lineRule="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（3）禁止引入专业电镀，排放含铅、汞、镉、铬、砷废水的项目。</w:t>
                  </w:r>
                </w:p>
              </w:tc>
              <w:tc>
                <w:tcPr>
                  <w:tcW w:w="1561" w:type="pct"/>
                  <w:tcBorders>
                    <w:tl2br w:val="nil"/>
                    <w:tr2bl w:val="nil"/>
                  </w:tcBorders>
                  <w:vAlign w:val="center"/>
                </w:tcPr>
                <w:p w14:paraId="58F36DC4">
                  <w:pPr>
                    <w:pStyle w:val="70"/>
                    <w:spacing w:line="240" w:lineRule="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本项目</w:t>
                  </w:r>
                  <w:r>
                    <w:rPr>
                      <w:rFonts w:hint="default" w:ascii="Times New Roman" w:hAnsi="Times New Roman" w:eastAsia="宋体" w:cs="Times New Roman"/>
                      <w:color w:val="auto"/>
                      <w:sz w:val="21"/>
                      <w:szCs w:val="21"/>
                    </w:rPr>
                    <w:t>不</w:t>
                  </w:r>
                  <w:r>
                    <w:rPr>
                      <w:rFonts w:hint="default" w:ascii="Times New Roman" w:hAnsi="Times New Roman" w:eastAsia="宋体" w:cs="Times New Roman"/>
                      <w:color w:val="auto"/>
                      <w:sz w:val="21"/>
                      <w:szCs w:val="21"/>
                      <w:lang w:val="en-US" w:eastAsia="zh-CN"/>
                    </w:rPr>
                    <w:t>涉及电镀，外排废水不含重金属。</w:t>
                  </w:r>
                </w:p>
              </w:tc>
              <w:tc>
                <w:tcPr>
                  <w:tcW w:w="383" w:type="pct"/>
                  <w:tcBorders>
                    <w:tl2br w:val="nil"/>
                    <w:tr2bl w:val="nil"/>
                  </w:tcBorders>
                  <w:vAlign w:val="center"/>
                </w:tcPr>
                <w:p w14:paraId="4286B922">
                  <w:pPr>
                    <w:pStyle w:val="70"/>
                    <w:spacing w:line="240" w:lineRule="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符合</w:t>
                  </w:r>
                </w:p>
              </w:tc>
            </w:tr>
            <w:tr w14:paraId="33F8780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3" w:type="dxa"/>
                  <w:bottom w:w="0" w:type="dxa"/>
                  <w:right w:w="23" w:type="dxa"/>
                </w:tblCellMar>
              </w:tblPrEx>
              <w:trPr>
                <w:trHeight w:val="340" w:hRule="atLeast"/>
                <w:jc w:val="center"/>
              </w:trPr>
              <w:tc>
                <w:tcPr>
                  <w:tcW w:w="563" w:type="pct"/>
                  <w:vMerge w:val="continue"/>
                  <w:tcBorders>
                    <w:tl2br w:val="nil"/>
                    <w:tr2bl w:val="nil"/>
                  </w:tcBorders>
                  <w:vAlign w:val="center"/>
                </w:tcPr>
                <w:p w14:paraId="6EC924C2">
                  <w:pPr>
                    <w:pStyle w:val="70"/>
                    <w:spacing w:line="240" w:lineRule="auto"/>
                    <w:rPr>
                      <w:rFonts w:hint="default" w:ascii="Times New Roman" w:hAnsi="Times New Roman" w:eastAsia="宋体" w:cs="Times New Roman"/>
                      <w:color w:val="auto"/>
                      <w:sz w:val="21"/>
                      <w:szCs w:val="21"/>
                      <w:lang w:val="en-US" w:eastAsia="zh-CN"/>
                    </w:rPr>
                  </w:pPr>
                </w:p>
              </w:tc>
              <w:tc>
                <w:tcPr>
                  <w:tcW w:w="2492" w:type="pct"/>
                  <w:tcBorders>
                    <w:tl2br w:val="nil"/>
                    <w:tr2bl w:val="nil"/>
                  </w:tcBorders>
                  <w:vAlign w:val="center"/>
                </w:tcPr>
                <w:p w14:paraId="30C12DA9">
                  <w:pPr>
                    <w:pStyle w:val="70"/>
                    <w:spacing w:line="240" w:lineRule="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（4）禁止引入危化品仓储项目。</w:t>
                  </w:r>
                </w:p>
              </w:tc>
              <w:tc>
                <w:tcPr>
                  <w:tcW w:w="1561" w:type="pct"/>
                  <w:tcBorders>
                    <w:tl2br w:val="nil"/>
                    <w:tr2bl w:val="nil"/>
                  </w:tcBorders>
                  <w:vAlign w:val="center"/>
                </w:tcPr>
                <w:p w14:paraId="60BA9871">
                  <w:pPr>
                    <w:pStyle w:val="70"/>
                    <w:spacing w:line="240" w:lineRule="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本</w:t>
                  </w:r>
                  <w:r>
                    <w:rPr>
                      <w:rFonts w:hint="default" w:ascii="Times New Roman" w:hAnsi="Times New Roman" w:eastAsia="宋体" w:cs="Times New Roman"/>
                      <w:color w:val="auto"/>
                      <w:sz w:val="21"/>
                      <w:szCs w:val="21"/>
                      <w:lang w:val="en-US" w:eastAsia="zh-CN"/>
                    </w:rPr>
                    <w:t>项目不属于危化品仓储项目。</w:t>
                  </w:r>
                </w:p>
              </w:tc>
              <w:tc>
                <w:tcPr>
                  <w:tcW w:w="383" w:type="pct"/>
                  <w:tcBorders>
                    <w:tl2br w:val="nil"/>
                    <w:tr2bl w:val="nil"/>
                  </w:tcBorders>
                  <w:vAlign w:val="center"/>
                </w:tcPr>
                <w:p w14:paraId="2FEAD028">
                  <w:pPr>
                    <w:pStyle w:val="70"/>
                    <w:spacing w:line="240" w:lineRule="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符合</w:t>
                  </w:r>
                </w:p>
              </w:tc>
            </w:tr>
            <w:tr w14:paraId="741B112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3" w:type="dxa"/>
                  <w:bottom w:w="0" w:type="dxa"/>
                  <w:right w:w="23" w:type="dxa"/>
                </w:tblCellMar>
              </w:tblPrEx>
              <w:trPr>
                <w:trHeight w:val="340" w:hRule="atLeast"/>
                <w:jc w:val="center"/>
              </w:trPr>
              <w:tc>
                <w:tcPr>
                  <w:tcW w:w="563" w:type="pct"/>
                  <w:tcBorders>
                    <w:tl2br w:val="nil"/>
                    <w:tr2bl w:val="nil"/>
                  </w:tcBorders>
                  <w:vAlign w:val="center"/>
                </w:tcPr>
                <w:p w14:paraId="51E56D3D">
                  <w:pPr>
                    <w:pStyle w:val="70"/>
                    <w:spacing w:line="240" w:lineRule="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zh-CN" w:eastAsia="zh-CN"/>
                    </w:rPr>
                    <w:t>能源规划</w:t>
                  </w:r>
                </w:p>
              </w:tc>
              <w:tc>
                <w:tcPr>
                  <w:tcW w:w="2492" w:type="pct"/>
                  <w:tcBorders>
                    <w:tl2br w:val="nil"/>
                    <w:tr2bl w:val="nil"/>
                  </w:tcBorders>
                  <w:vAlign w:val="center"/>
                </w:tcPr>
                <w:p w14:paraId="4A6E61CD">
                  <w:pPr>
                    <w:pStyle w:val="70"/>
                    <w:spacing w:line="240" w:lineRule="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zh-CN" w:eastAsia="zh-CN"/>
                    </w:rPr>
                    <w:t>规划以清洁能源天然气和电为主，禁止使用燃煤。鼓励企业新建或改建燃气锅炉安装低氮燃烧器。</w:t>
                  </w:r>
                </w:p>
              </w:tc>
              <w:tc>
                <w:tcPr>
                  <w:tcW w:w="1561" w:type="pct"/>
                  <w:tcBorders>
                    <w:tl2br w:val="nil"/>
                    <w:tr2bl w:val="nil"/>
                  </w:tcBorders>
                  <w:vAlign w:val="center"/>
                </w:tcPr>
                <w:p w14:paraId="7C3405E4">
                  <w:pPr>
                    <w:pStyle w:val="70"/>
                    <w:spacing w:line="240" w:lineRule="auto"/>
                    <w:rPr>
                      <w:rFonts w:hint="default" w:ascii="Times New Roman" w:hAnsi="Times New Roman" w:eastAsia="宋体" w:cs="Times New Roman"/>
                      <w:color w:val="auto"/>
                      <w:sz w:val="21"/>
                      <w:szCs w:val="21"/>
                      <w:lang w:val="en-US" w:eastAsia="zh-CN"/>
                    </w:rPr>
                  </w:pPr>
                  <w:r>
                    <w:rPr>
                      <w:rFonts w:hint="eastAsia"/>
                      <w:color w:val="auto"/>
                      <w:sz w:val="21"/>
                      <w:szCs w:val="21"/>
                      <w:lang w:val="en-US" w:eastAsia="zh-CN"/>
                    </w:rPr>
                    <w:t>项目</w:t>
                  </w:r>
                  <w:r>
                    <w:rPr>
                      <w:rFonts w:hint="eastAsia"/>
                      <w:color w:val="auto"/>
                      <w:sz w:val="21"/>
                      <w:szCs w:val="21"/>
                    </w:rPr>
                    <w:t>使用能源为</w:t>
                  </w:r>
                  <w:r>
                    <w:rPr>
                      <w:color w:val="auto"/>
                      <w:sz w:val="21"/>
                      <w:szCs w:val="21"/>
                      <w:lang w:val="zh-CN"/>
                    </w:rPr>
                    <w:t>电</w:t>
                  </w:r>
                  <w:r>
                    <w:rPr>
                      <w:rFonts w:hint="eastAsia"/>
                      <w:color w:val="auto"/>
                      <w:sz w:val="21"/>
                      <w:szCs w:val="21"/>
                      <w:lang w:val="en-US" w:eastAsia="zh-CN"/>
                    </w:rPr>
                    <w:t>能</w:t>
                  </w:r>
                  <w:r>
                    <w:rPr>
                      <w:rFonts w:hint="default" w:ascii="Times New Roman" w:hAnsi="Times New Roman" w:eastAsia="宋体" w:cs="Times New Roman"/>
                      <w:color w:val="auto"/>
                      <w:sz w:val="21"/>
                      <w:szCs w:val="21"/>
                    </w:rPr>
                    <w:t>。</w:t>
                  </w:r>
                </w:p>
              </w:tc>
              <w:tc>
                <w:tcPr>
                  <w:tcW w:w="383" w:type="pct"/>
                  <w:tcBorders>
                    <w:tl2br w:val="nil"/>
                    <w:tr2bl w:val="nil"/>
                  </w:tcBorders>
                  <w:vAlign w:val="center"/>
                </w:tcPr>
                <w:p w14:paraId="64FC1E5F">
                  <w:pPr>
                    <w:pStyle w:val="70"/>
                    <w:spacing w:line="240" w:lineRule="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符合</w:t>
                  </w:r>
                </w:p>
              </w:tc>
            </w:tr>
            <w:tr w14:paraId="0A378C2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3" w:type="dxa"/>
                  <w:bottom w:w="0" w:type="dxa"/>
                  <w:right w:w="23" w:type="dxa"/>
                </w:tblCellMar>
              </w:tblPrEx>
              <w:trPr>
                <w:trHeight w:val="340" w:hRule="atLeast"/>
                <w:jc w:val="center"/>
              </w:trPr>
              <w:tc>
                <w:tcPr>
                  <w:tcW w:w="563" w:type="pct"/>
                  <w:vMerge w:val="restart"/>
                  <w:tcBorders>
                    <w:tl2br w:val="nil"/>
                    <w:tr2bl w:val="nil"/>
                  </w:tcBorders>
                  <w:vAlign w:val="center"/>
                </w:tcPr>
                <w:p w14:paraId="2CBE4052">
                  <w:pPr>
                    <w:pStyle w:val="70"/>
                    <w:spacing w:line="240" w:lineRule="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zh-CN" w:eastAsia="zh-CN"/>
                    </w:rPr>
                    <w:t>环境保护规划</w:t>
                  </w:r>
                </w:p>
              </w:tc>
              <w:tc>
                <w:tcPr>
                  <w:tcW w:w="2492" w:type="pct"/>
                  <w:tcBorders>
                    <w:tl2br w:val="nil"/>
                    <w:tr2bl w:val="nil"/>
                  </w:tcBorders>
                  <w:vAlign w:val="center"/>
                </w:tcPr>
                <w:p w14:paraId="03739D2E">
                  <w:pPr>
                    <w:pStyle w:val="70"/>
                    <w:spacing w:line="240" w:lineRule="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zh-CN" w:eastAsia="zh-CN"/>
                    </w:rPr>
                    <w:t>水污染防治：通过治理污染，系统组织排放，提高污水处理比率，河流水质达到《地表水环境质量标准》（GB3838-2002）Ⅲ类标准。</w:t>
                  </w:r>
                </w:p>
              </w:tc>
              <w:tc>
                <w:tcPr>
                  <w:tcW w:w="1561" w:type="pct"/>
                  <w:tcBorders>
                    <w:tl2br w:val="nil"/>
                    <w:tr2bl w:val="nil"/>
                  </w:tcBorders>
                  <w:vAlign w:val="center"/>
                </w:tcPr>
                <w:p w14:paraId="318F95B1">
                  <w:pPr>
                    <w:pStyle w:val="70"/>
                    <w:spacing w:line="240" w:lineRule="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项目</w:t>
                  </w:r>
                  <w:r>
                    <w:rPr>
                      <w:rFonts w:hint="eastAsia" w:cs="Times New Roman"/>
                      <w:color w:val="auto"/>
                      <w:sz w:val="21"/>
                      <w:szCs w:val="21"/>
                      <w:lang w:val="en-US" w:eastAsia="zh-CN"/>
                    </w:rPr>
                    <w:t>生产</w:t>
                  </w:r>
                  <w:r>
                    <w:rPr>
                      <w:rFonts w:hint="default" w:ascii="Times New Roman" w:hAnsi="Times New Roman" w:eastAsia="宋体" w:cs="Times New Roman"/>
                      <w:color w:val="auto"/>
                      <w:sz w:val="21"/>
                      <w:szCs w:val="21"/>
                      <w:lang w:val="en-US" w:eastAsia="zh-CN"/>
                    </w:rPr>
                    <w:t>废水</w:t>
                  </w:r>
                  <w:r>
                    <w:rPr>
                      <w:rFonts w:hint="default" w:ascii="Times New Roman" w:hAnsi="Times New Roman" w:eastAsia="宋体" w:cs="Times New Roman"/>
                      <w:color w:val="auto"/>
                      <w:sz w:val="21"/>
                      <w:szCs w:val="21"/>
                    </w:rPr>
                    <w:t>经</w:t>
                  </w:r>
                  <w:r>
                    <w:rPr>
                      <w:rFonts w:hint="default" w:ascii="Times New Roman" w:hAnsi="Times New Roman" w:eastAsia="宋体" w:cs="Times New Roman"/>
                      <w:color w:val="auto"/>
                      <w:sz w:val="21"/>
                      <w:szCs w:val="21"/>
                      <w:lang w:val="en-US" w:eastAsia="zh-CN"/>
                    </w:rPr>
                    <w:t>厂区污水处理设备处理</w:t>
                  </w:r>
                  <w:r>
                    <w:rPr>
                      <w:rFonts w:hint="eastAsia" w:cs="Times New Roman"/>
                      <w:color w:val="auto"/>
                      <w:sz w:val="21"/>
                      <w:szCs w:val="21"/>
                      <w:lang w:val="en-US" w:eastAsia="zh-CN"/>
                    </w:rPr>
                    <w:t>，生活污水和纯水制备浓水经预处理池处理，处理后的废水</w:t>
                  </w:r>
                  <w:r>
                    <w:rPr>
                      <w:rFonts w:hint="default" w:ascii="Times New Roman" w:hAnsi="Times New Roman" w:eastAsia="宋体" w:cs="Times New Roman"/>
                      <w:color w:val="auto"/>
                      <w:sz w:val="21"/>
                      <w:szCs w:val="21"/>
                      <w:lang w:val="en-US" w:eastAsia="zh-CN"/>
                    </w:rPr>
                    <w:t>通过</w:t>
                  </w:r>
                  <w:r>
                    <w:rPr>
                      <w:rFonts w:hint="default" w:ascii="Times New Roman" w:hAnsi="Times New Roman" w:eastAsia="宋体" w:cs="Times New Roman"/>
                      <w:color w:val="auto"/>
                      <w:sz w:val="21"/>
                      <w:szCs w:val="21"/>
                    </w:rPr>
                    <w:t>市政管网送</w:t>
                  </w:r>
                  <w:r>
                    <w:rPr>
                      <w:rFonts w:hint="default" w:ascii="Times New Roman" w:hAnsi="Times New Roman" w:eastAsia="宋体" w:cs="Times New Roman"/>
                      <w:color w:val="auto"/>
                      <w:sz w:val="21"/>
                      <w:szCs w:val="21"/>
                      <w:lang w:val="en-US" w:eastAsia="zh-CN"/>
                    </w:rPr>
                    <w:t>至</w:t>
                  </w:r>
                  <w:r>
                    <w:rPr>
                      <w:rFonts w:hint="default" w:ascii="Times New Roman" w:hAnsi="Times New Roman" w:eastAsia="宋体" w:cs="Times New Roman"/>
                      <w:color w:val="auto"/>
                      <w:sz w:val="21"/>
                      <w:szCs w:val="21"/>
                    </w:rPr>
                    <w:t>经开区污水处理厂处理达标</w:t>
                  </w:r>
                  <w:r>
                    <w:rPr>
                      <w:rFonts w:hint="default" w:ascii="Times New Roman" w:hAnsi="Times New Roman" w:eastAsia="宋体" w:cs="Times New Roman"/>
                      <w:color w:val="auto"/>
                      <w:sz w:val="21"/>
                      <w:szCs w:val="21"/>
                      <w:lang w:val="en-US" w:eastAsia="zh-CN"/>
                    </w:rPr>
                    <w:t>后</w:t>
                  </w:r>
                  <w:r>
                    <w:rPr>
                      <w:rFonts w:hint="default" w:ascii="Times New Roman" w:hAnsi="Times New Roman" w:eastAsia="宋体" w:cs="Times New Roman"/>
                      <w:color w:val="auto"/>
                      <w:sz w:val="21"/>
                      <w:szCs w:val="21"/>
                    </w:rPr>
                    <w:t>排放</w:t>
                  </w:r>
                  <w:r>
                    <w:rPr>
                      <w:rFonts w:hint="default" w:ascii="Times New Roman" w:hAnsi="Times New Roman" w:eastAsia="宋体" w:cs="Times New Roman"/>
                      <w:color w:val="auto"/>
                      <w:sz w:val="21"/>
                      <w:szCs w:val="21"/>
                      <w:lang w:eastAsia="zh-CN"/>
                    </w:rPr>
                    <w:t>。</w:t>
                  </w:r>
                </w:p>
              </w:tc>
              <w:tc>
                <w:tcPr>
                  <w:tcW w:w="383" w:type="pct"/>
                  <w:tcBorders>
                    <w:tl2br w:val="nil"/>
                    <w:tr2bl w:val="nil"/>
                  </w:tcBorders>
                  <w:vAlign w:val="center"/>
                </w:tcPr>
                <w:p w14:paraId="5D960955">
                  <w:pPr>
                    <w:pStyle w:val="70"/>
                    <w:spacing w:line="240" w:lineRule="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符合</w:t>
                  </w:r>
                </w:p>
              </w:tc>
            </w:tr>
            <w:tr w14:paraId="3F3E3A8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3" w:type="dxa"/>
                  <w:bottom w:w="0" w:type="dxa"/>
                  <w:right w:w="23" w:type="dxa"/>
                </w:tblCellMar>
              </w:tblPrEx>
              <w:trPr>
                <w:trHeight w:val="340" w:hRule="atLeast"/>
                <w:jc w:val="center"/>
              </w:trPr>
              <w:tc>
                <w:tcPr>
                  <w:tcW w:w="563" w:type="pct"/>
                  <w:vMerge w:val="continue"/>
                  <w:tcBorders>
                    <w:tl2br w:val="nil"/>
                    <w:tr2bl w:val="nil"/>
                  </w:tcBorders>
                  <w:vAlign w:val="center"/>
                </w:tcPr>
                <w:p w14:paraId="25E50162">
                  <w:pPr>
                    <w:pStyle w:val="70"/>
                    <w:spacing w:line="240" w:lineRule="auto"/>
                    <w:rPr>
                      <w:rFonts w:hint="default" w:ascii="Times New Roman" w:hAnsi="Times New Roman" w:eastAsia="宋体" w:cs="Times New Roman"/>
                      <w:color w:val="auto"/>
                      <w:sz w:val="21"/>
                      <w:szCs w:val="21"/>
                      <w:lang w:val="zh-CN"/>
                    </w:rPr>
                  </w:pPr>
                </w:p>
              </w:tc>
              <w:tc>
                <w:tcPr>
                  <w:tcW w:w="2492" w:type="pct"/>
                  <w:tcBorders>
                    <w:tl2br w:val="nil"/>
                    <w:tr2bl w:val="nil"/>
                  </w:tcBorders>
                  <w:vAlign w:val="center"/>
                </w:tcPr>
                <w:p w14:paraId="3E1A4DCA">
                  <w:pPr>
                    <w:pStyle w:val="70"/>
                    <w:spacing w:line="240" w:lineRule="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zh-CN" w:eastAsia="zh-CN"/>
                    </w:rPr>
                    <w:t>大气污染防治：建设烟尘控制区，且覆盖率达90%以上。在产业结构政策上，严格限制大气污染严重的项目，项目必须科学选址。改善道路和交通状况，减少汽车尾气污染。加强管理和监督，限时施工等措施减少建筑工地扬尘污染，搞好道路和城市区域绿化，减轻大气环境污染影响。</w:t>
                  </w:r>
                </w:p>
              </w:tc>
              <w:tc>
                <w:tcPr>
                  <w:tcW w:w="1561" w:type="pct"/>
                  <w:tcBorders>
                    <w:tl2br w:val="nil"/>
                    <w:tr2bl w:val="nil"/>
                  </w:tcBorders>
                  <w:vAlign w:val="center"/>
                </w:tcPr>
                <w:p w14:paraId="358B23A2">
                  <w:pPr>
                    <w:pStyle w:val="70"/>
                    <w:spacing w:line="240" w:lineRule="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项目各类废气均采取治理措施，能够达标排放，不会对大气环境造成明显影响。</w:t>
                  </w:r>
                </w:p>
              </w:tc>
              <w:tc>
                <w:tcPr>
                  <w:tcW w:w="383" w:type="pct"/>
                  <w:tcBorders>
                    <w:tl2br w:val="nil"/>
                    <w:tr2bl w:val="nil"/>
                  </w:tcBorders>
                  <w:vAlign w:val="center"/>
                </w:tcPr>
                <w:p w14:paraId="2E8560FD">
                  <w:pPr>
                    <w:pStyle w:val="70"/>
                    <w:spacing w:line="240" w:lineRule="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符合</w:t>
                  </w:r>
                </w:p>
              </w:tc>
            </w:tr>
            <w:tr w14:paraId="0846598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3" w:type="dxa"/>
                  <w:bottom w:w="0" w:type="dxa"/>
                  <w:right w:w="23" w:type="dxa"/>
                </w:tblCellMar>
              </w:tblPrEx>
              <w:trPr>
                <w:trHeight w:val="340" w:hRule="atLeast"/>
                <w:jc w:val="center"/>
              </w:trPr>
              <w:tc>
                <w:tcPr>
                  <w:tcW w:w="563" w:type="pct"/>
                  <w:vMerge w:val="continue"/>
                  <w:tcBorders>
                    <w:tl2br w:val="nil"/>
                    <w:tr2bl w:val="nil"/>
                  </w:tcBorders>
                  <w:vAlign w:val="center"/>
                </w:tcPr>
                <w:p w14:paraId="43F82D88">
                  <w:pPr>
                    <w:pStyle w:val="70"/>
                    <w:spacing w:line="240" w:lineRule="auto"/>
                    <w:rPr>
                      <w:rFonts w:hint="default" w:ascii="Times New Roman" w:hAnsi="Times New Roman" w:eastAsia="宋体" w:cs="Times New Roman"/>
                      <w:color w:val="auto"/>
                      <w:sz w:val="21"/>
                      <w:szCs w:val="21"/>
                      <w:lang w:val="zh-CN"/>
                    </w:rPr>
                  </w:pPr>
                </w:p>
              </w:tc>
              <w:tc>
                <w:tcPr>
                  <w:tcW w:w="2492" w:type="pct"/>
                  <w:tcBorders>
                    <w:tl2br w:val="nil"/>
                    <w:tr2bl w:val="nil"/>
                  </w:tcBorders>
                  <w:vAlign w:val="center"/>
                </w:tcPr>
                <w:p w14:paraId="6E5FAF0D">
                  <w:pPr>
                    <w:pStyle w:val="70"/>
                    <w:spacing w:line="240" w:lineRule="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zh-CN" w:eastAsia="zh-CN"/>
                    </w:rPr>
                    <w:t>噪声污染防治：（1）控制噪声源，合理布局各功能区；（2）交通干道两侧建立绿化林带，其余各级道路两侧设置绿化带。</w:t>
                  </w:r>
                </w:p>
              </w:tc>
              <w:tc>
                <w:tcPr>
                  <w:tcW w:w="1561" w:type="pct"/>
                  <w:tcBorders>
                    <w:tl2br w:val="nil"/>
                    <w:tr2bl w:val="nil"/>
                  </w:tcBorders>
                  <w:vAlign w:val="center"/>
                </w:tcPr>
                <w:p w14:paraId="482022C8">
                  <w:pPr>
                    <w:pStyle w:val="70"/>
                    <w:spacing w:line="240" w:lineRule="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项目通过合理布局、选用低噪声设备、距离衰减等措施降低噪声污染。</w:t>
                  </w:r>
                </w:p>
              </w:tc>
              <w:tc>
                <w:tcPr>
                  <w:tcW w:w="383" w:type="pct"/>
                  <w:tcBorders>
                    <w:tl2br w:val="nil"/>
                    <w:tr2bl w:val="nil"/>
                  </w:tcBorders>
                  <w:vAlign w:val="center"/>
                </w:tcPr>
                <w:p w14:paraId="04B7F901">
                  <w:pPr>
                    <w:pStyle w:val="70"/>
                    <w:spacing w:line="240" w:lineRule="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符合</w:t>
                  </w:r>
                </w:p>
              </w:tc>
            </w:tr>
            <w:tr w14:paraId="6D8D481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3" w:type="dxa"/>
                  <w:bottom w:w="0" w:type="dxa"/>
                  <w:right w:w="23" w:type="dxa"/>
                </w:tblCellMar>
              </w:tblPrEx>
              <w:trPr>
                <w:trHeight w:val="340" w:hRule="atLeast"/>
                <w:jc w:val="center"/>
              </w:trPr>
              <w:tc>
                <w:tcPr>
                  <w:tcW w:w="563" w:type="pct"/>
                  <w:vMerge w:val="continue"/>
                  <w:tcBorders>
                    <w:tl2br w:val="nil"/>
                    <w:tr2bl w:val="nil"/>
                  </w:tcBorders>
                  <w:vAlign w:val="center"/>
                </w:tcPr>
                <w:p w14:paraId="026F8986">
                  <w:pPr>
                    <w:pStyle w:val="70"/>
                    <w:spacing w:line="240" w:lineRule="auto"/>
                    <w:rPr>
                      <w:rFonts w:hint="default" w:ascii="Times New Roman" w:hAnsi="Times New Roman" w:eastAsia="宋体" w:cs="Times New Roman"/>
                      <w:color w:val="auto"/>
                      <w:sz w:val="21"/>
                      <w:szCs w:val="21"/>
                      <w:lang w:val="en-US" w:eastAsia="zh-CN"/>
                    </w:rPr>
                  </w:pPr>
                </w:p>
              </w:tc>
              <w:tc>
                <w:tcPr>
                  <w:tcW w:w="2492" w:type="pct"/>
                  <w:tcBorders>
                    <w:tl2br w:val="nil"/>
                    <w:tr2bl w:val="nil"/>
                  </w:tcBorders>
                  <w:vAlign w:val="center"/>
                </w:tcPr>
                <w:p w14:paraId="14EF5083">
                  <w:pPr>
                    <w:pStyle w:val="70"/>
                    <w:spacing w:line="240" w:lineRule="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zh-CN" w:eastAsia="zh-CN"/>
                    </w:rPr>
                    <w:t>固体废物防治：经开区的生活垃圾无害化处理率达到100%，由设置垃圾转运站统一运至巴中市垃圾处理厂处理；危险废物无害化处置率达到100%，规划区各企业自建危险废物暂存间，分类收集暂存各类危险废物，并委托资质单位进行处理。工业固体废弃物综合利用率达到85%以上，统一由企业自身处理后，统一运至巴中市垃圾处理厂处理。</w:t>
                  </w:r>
                </w:p>
              </w:tc>
              <w:tc>
                <w:tcPr>
                  <w:tcW w:w="1561" w:type="pct"/>
                  <w:tcBorders>
                    <w:tl2br w:val="nil"/>
                    <w:tr2bl w:val="nil"/>
                  </w:tcBorders>
                  <w:vAlign w:val="center"/>
                </w:tcPr>
                <w:p w14:paraId="732CB7A2">
                  <w:pPr>
                    <w:pStyle w:val="70"/>
                    <w:spacing w:line="240" w:lineRule="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项目生活垃圾经垃圾桶收集后交由环卫部门统一清运处理；危险废物经</w:t>
                  </w:r>
                  <w:r>
                    <w:rPr>
                      <w:rFonts w:hint="eastAsia" w:cs="Times New Roman"/>
                      <w:color w:val="auto"/>
                      <w:sz w:val="21"/>
                      <w:szCs w:val="21"/>
                      <w:lang w:val="en-US" w:eastAsia="zh-CN"/>
                    </w:rPr>
                    <w:t>危废库</w:t>
                  </w:r>
                  <w:r>
                    <w:rPr>
                      <w:rFonts w:hint="default" w:ascii="Times New Roman" w:hAnsi="Times New Roman" w:eastAsia="宋体" w:cs="Times New Roman"/>
                      <w:color w:val="auto"/>
                      <w:sz w:val="21"/>
                      <w:szCs w:val="21"/>
                      <w:lang w:val="en-US" w:eastAsia="zh-CN"/>
                    </w:rPr>
                    <w:t>收集后交由有资质单位处理；一般固废经一般固废暂存区收集后统一处理。</w:t>
                  </w:r>
                </w:p>
              </w:tc>
              <w:tc>
                <w:tcPr>
                  <w:tcW w:w="383" w:type="pct"/>
                  <w:tcBorders>
                    <w:tl2br w:val="nil"/>
                    <w:tr2bl w:val="nil"/>
                  </w:tcBorders>
                  <w:vAlign w:val="center"/>
                </w:tcPr>
                <w:p w14:paraId="2CA0E68F">
                  <w:pPr>
                    <w:pStyle w:val="70"/>
                    <w:spacing w:line="240" w:lineRule="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符合</w:t>
                  </w:r>
                </w:p>
              </w:tc>
            </w:tr>
          </w:tbl>
          <w:p w14:paraId="0B47FB99">
            <w:pPr>
              <w:pStyle w:val="66"/>
              <w:spacing w:line="360" w:lineRule="auto"/>
              <w:rPr>
                <w:color w:val="auto"/>
              </w:rPr>
            </w:pPr>
            <w:r>
              <w:rPr>
                <w:rFonts w:hint="default" w:ascii="Times New Roman" w:hAnsi="Times New Roman" w:eastAsia="宋体" w:cs="Times New Roman"/>
                <w:color w:val="auto"/>
                <w:spacing w:val="-6"/>
                <w:sz w:val="24"/>
                <w:highlight w:val="none"/>
                <w:lang w:val="en-US" w:eastAsia="zh-CN"/>
              </w:rPr>
              <w:t>综上，本项目符合《四川巴中经济开发区规划修编环境影响报告书》及审查意见要求</w:t>
            </w:r>
            <w:r>
              <w:rPr>
                <w:rFonts w:hint="eastAsia"/>
                <w:color w:val="auto"/>
              </w:rPr>
              <w:t>。</w:t>
            </w:r>
          </w:p>
        </w:tc>
      </w:tr>
      <w:tr w14:paraId="5923861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161" w:hRule="atLeast"/>
          <w:jc w:val="center"/>
        </w:trPr>
        <w:tc>
          <w:tcPr>
            <w:tcW w:w="1714" w:type="dxa"/>
            <w:vAlign w:val="center"/>
          </w:tcPr>
          <w:p w14:paraId="0588C353">
            <w:pPr>
              <w:autoSpaceDE w:val="0"/>
              <w:autoSpaceDN w:val="0"/>
              <w:adjustRightInd w:val="0"/>
              <w:snapToGrid w:val="0"/>
              <w:jc w:val="center"/>
              <w:rPr>
                <w:rFonts w:cs="宋体"/>
                <w:color w:val="auto"/>
                <w:kern w:val="0"/>
                <w:szCs w:val="21"/>
              </w:rPr>
            </w:pPr>
            <w:r>
              <w:rPr>
                <w:rFonts w:hint="eastAsia" w:cs="宋体"/>
                <w:b/>
                <w:bCs/>
                <w:color w:val="auto"/>
                <w:kern w:val="0"/>
                <w:sz w:val="24"/>
                <w:szCs w:val="24"/>
              </w:rPr>
              <w:t>其他符合性分析</w:t>
            </w:r>
          </w:p>
        </w:tc>
        <w:tc>
          <w:tcPr>
            <w:tcW w:w="7156" w:type="dxa"/>
            <w:gridSpan w:val="3"/>
            <w:vAlign w:val="center"/>
          </w:tcPr>
          <w:p w14:paraId="6AB9F382">
            <w:pPr>
              <w:pStyle w:val="66"/>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firstLine="482" w:firstLineChars="200"/>
              <w:textAlignment w:val="auto"/>
              <w:rPr>
                <w:rFonts w:hint="default" w:ascii="Times New Roman" w:hAnsi="Times New Roman" w:eastAsia="宋体" w:cs="Times New Roman"/>
                <w:b/>
                <w:bCs/>
                <w:color w:val="auto"/>
                <w:highlight w:val="none"/>
                <w:lang w:val="en-US" w:eastAsia="zh-CN"/>
              </w:rPr>
            </w:pPr>
            <w:r>
              <w:rPr>
                <w:rFonts w:hint="eastAsia" w:ascii="Times New Roman" w:hAnsi="Times New Roman" w:eastAsia="宋体" w:cs="Times New Roman"/>
                <w:b/>
                <w:bCs/>
                <w:color w:val="auto"/>
                <w:highlight w:val="none"/>
                <w:lang w:val="en-US" w:eastAsia="zh-CN"/>
              </w:rPr>
              <w:t>1</w:t>
            </w:r>
            <w:r>
              <w:rPr>
                <w:rFonts w:hint="default" w:ascii="Times New Roman" w:hAnsi="Times New Roman" w:eastAsia="宋体" w:cs="Times New Roman"/>
                <w:b/>
                <w:bCs/>
                <w:color w:val="auto"/>
                <w:highlight w:val="none"/>
                <w:lang w:val="en-US" w:eastAsia="zh-CN"/>
              </w:rPr>
              <w:t>、</w:t>
            </w:r>
            <w:r>
              <w:rPr>
                <w:rFonts w:hint="eastAsia" w:ascii="Times New Roman" w:hAnsi="Times New Roman" w:eastAsia="宋体" w:cs="Times New Roman"/>
                <w:b/>
                <w:bCs/>
                <w:color w:val="auto"/>
                <w:highlight w:val="none"/>
                <w:lang w:val="en-US" w:eastAsia="zh-CN"/>
              </w:rPr>
              <w:t>产业政策的符合性分析</w:t>
            </w:r>
          </w:p>
          <w:p w14:paraId="24A9CEEA">
            <w:pPr>
              <w:spacing w:line="360" w:lineRule="auto"/>
              <w:ind w:firstLine="480" w:firstLineChars="200"/>
              <w:rPr>
                <w:rFonts w:hint="eastAsia" w:ascii="Times New Roman" w:hAnsi="Times New Roman"/>
                <w:color w:val="auto"/>
                <w:sz w:val="24"/>
                <w:highlight w:val="none"/>
              </w:rPr>
            </w:pPr>
            <w:r>
              <w:rPr>
                <w:rFonts w:hint="eastAsia" w:ascii="Times New Roman" w:hAnsi="Times New Roman" w:eastAsia="宋体" w:cs="Times New Roman"/>
                <w:color w:val="auto"/>
                <w:kern w:val="0"/>
                <w:sz w:val="24"/>
                <w:highlight w:val="none"/>
              </w:rPr>
              <w:t>根据《国民经济行业分类》（GB/T4754-2017），本项目属于C</w:t>
            </w:r>
            <w:r>
              <w:rPr>
                <w:rFonts w:hint="eastAsia" w:ascii="Times New Roman" w:hAnsi="Times New Roman" w:eastAsia="宋体" w:cs="Times New Roman"/>
                <w:color w:val="auto"/>
                <w:kern w:val="0"/>
                <w:sz w:val="24"/>
                <w:highlight w:val="none"/>
                <w:lang w:val="en-US" w:eastAsia="zh-CN"/>
              </w:rPr>
              <w:t>3841 锂离子电池制造</w:t>
            </w:r>
            <w:r>
              <w:rPr>
                <w:rFonts w:hint="eastAsia" w:ascii="Times New Roman" w:hAnsi="Times New Roman"/>
                <w:color w:val="auto"/>
                <w:sz w:val="24"/>
                <w:highlight w:val="none"/>
              </w:rPr>
              <w:t>，属于《产业结构调整指导目录（</w:t>
            </w:r>
            <w:r>
              <w:rPr>
                <w:rFonts w:hint="eastAsia" w:ascii="Times New Roman" w:hAnsi="Times New Roman"/>
                <w:color w:val="auto"/>
                <w:sz w:val="24"/>
                <w:highlight w:val="none"/>
                <w:lang w:val="en-US" w:eastAsia="zh-CN"/>
              </w:rPr>
              <w:t>2024</w:t>
            </w:r>
            <w:r>
              <w:rPr>
                <w:rFonts w:hint="eastAsia" w:ascii="Times New Roman" w:hAnsi="Times New Roman"/>
                <w:color w:val="auto"/>
                <w:sz w:val="24"/>
                <w:highlight w:val="none"/>
              </w:rPr>
              <w:t>年本）》</w:t>
            </w:r>
            <w:r>
              <w:rPr>
                <w:rFonts w:hint="eastAsia" w:ascii="Times New Roman" w:hAnsi="Times New Roman"/>
                <w:color w:val="auto"/>
                <w:sz w:val="24"/>
                <w:highlight w:val="none"/>
                <w:lang w:val="en-US" w:eastAsia="zh-CN"/>
              </w:rPr>
              <w:t>中的</w:t>
            </w:r>
            <w:r>
              <w:rPr>
                <w:rFonts w:hint="eastAsia" w:ascii="Times New Roman" w:hAnsi="Times New Roman"/>
                <w:color w:val="auto"/>
                <w:sz w:val="24"/>
                <w:highlight w:val="none"/>
              </w:rPr>
              <w:t>鼓励类</w:t>
            </w:r>
            <w:r>
              <w:rPr>
                <w:rFonts w:hint="eastAsia" w:ascii="Times New Roman" w:hAnsi="Times New Roman"/>
                <w:color w:val="auto"/>
                <w:sz w:val="24"/>
                <w:highlight w:val="none"/>
                <w:lang w:val="en-US" w:eastAsia="zh-CN"/>
              </w:rPr>
              <w:t>项目</w:t>
            </w:r>
            <w:r>
              <w:rPr>
                <w:rFonts w:hint="eastAsia" w:ascii="Times New Roman" w:hAnsi="Times New Roman"/>
                <w:color w:val="auto"/>
                <w:sz w:val="24"/>
                <w:highlight w:val="none"/>
              </w:rPr>
              <w:t>。</w:t>
            </w:r>
          </w:p>
          <w:p w14:paraId="0E9559B8">
            <w:pPr>
              <w:spacing w:line="360" w:lineRule="auto"/>
              <w:ind w:firstLine="480" w:firstLineChars="200"/>
              <w:rPr>
                <w:rFonts w:hint="eastAsia" w:ascii="Times New Roman" w:hAnsi="Times New Roman"/>
                <w:color w:val="auto"/>
                <w:sz w:val="24"/>
                <w:highlight w:val="none"/>
              </w:rPr>
            </w:pPr>
            <w:r>
              <w:rPr>
                <w:rFonts w:hint="eastAsia" w:ascii="Times New Roman" w:hAnsi="Times New Roman"/>
                <w:color w:val="auto"/>
                <w:sz w:val="24"/>
                <w:highlight w:val="none"/>
              </w:rPr>
              <w:t>同时，本项目生产过程中所用的设备均不在国家禁止使用的落后、淘汰生产设备之列。</w:t>
            </w:r>
          </w:p>
          <w:p w14:paraId="639368B1">
            <w:pPr>
              <w:spacing w:line="360" w:lineRule="auto"/>
              <w:ind w:firstLine="480" w:firstLineChars="200"/>
              <w:rPr>
                <w:rFonts w:hint="eastAsia" w:ascii="Times New Roman" w:hAnsi="Times New Roman"/>
                <w:color w:val="auto"/>
                <w:sz w:val="24"/>
                <w:highlight w:val="none"/>
              </w:rPr>
            </w:pPr>
            <w:r>
              <w:rPr>
                <w:rFonts w:hint="eastAsia" w:ascii="Times New Roman" w:hAnsi="Times New Roman"/>
                <w:color w:val="auto"/>
                <w:sz w:val="24"/>
                <w:highlight w:val="none"/>
              </w:rPr>
              <w:t>本项目已取得</w:t>
            </w:r>
            <w:r>
              <w:rPr>
                <w:rFonts w:hint="eastAsia" w:ascii="Times New Roman" w:hAnsi="Times New Roman"/>
                <w:color w:val="auto"/>
                <w:sz w:val="24"/>
                <w:highlight w:val="none"/>
                <w:lang w:val="en-US" w:eastAsia="zh-CN"/>
              </w:rPr>
              <w:t>四川巴中经济开发区经济发展局</w:t>
            </w:r>
            <w:r>
              <w:rPr>
                <w:rFonts w:hint="eastAsia" w:ascii="Times New Roman" w:hAnsi="Times New Roman"/>
                <w:color w:val="auto"/>
                <w:sz w:val="24"/>
                <w:highlight w:val="none"/>
              </w:rPr>
              <w:t>出具的备案文件（备案文号：川投资备【</w:t>
            </w:r>
            <w:r>
              <w:rPr>
                <w:rFonts w:hint="eastAsia" w:ascii="Times New Roman" w:hAnsi="Times New Roman"/>
                <w:color w:val="auto"/>
                <w:sz w:val="24"/>
                <w:highlight w:val="none"/>
                <w:lang w:val="en-US" w:eastAsia="zh-CN"/>
              </w:rPr>
              <w:t>2601-511924</w:t>
            </w:r>
            <w:r>
              <w:rPr>
                <w:rFonts w:hint="eastAsia" w:ascii="Times New Roman" w:hAnsi="Times New Roman"/>
                <w:color w:val="auto"/>
                <w:sz w:val="24"/>
                <w:highlight w:val="none"/>
              </w:rPr>
              <w:t>-</w:t>
            </w:r>
            <w:r>
              <w:rPr>
                <w:rFonts w:hint="eastAsia" w:ascii="Times New Roman" w:hAnsi="Times New Roman"/>
                <w:color w:val="auto"/>
                <w:sz w:val="24"/>
                <w:highlight w:val="none"/>
                <w:lang w:val="en-US" w:eastAsia="zh-CN"/>
              </w:rPr>
              <w:t>04</w:t>
            </w:r>
            <w:r>
              <w:rPr>
                <w:rFonts w:hint="eastAsia" w:ascii="Times New Roman" w:hAnsi="Times New Roman"/>
                <w:color w:val="auto"/>
                <w:sz w:val="24"/>
                <w:highlight w:val="none"/>
              </w:rPr>
              <w:t>-0</w:t>
            </w:r>
            <w:r>
              <w:rPr>
                <w:rFonts w:hint="eastAsia" w:ascii="Times New Roman" w:hAnsi="Times New Roman"/>
                <w:color w:val="auto"/>
                <w:sz w:val="24"/>
                <w:highlight w:val="none"/>
                <w:lang w:val="en-US" w:eastAsia="zh-CN"/>
              </w:rPr>
              <w:t>1</w:t>
            </w:r>
            <w:r>
              <w:rPr>
                <w:rFonts w:hint="eastAsia" w:ascii="Times New Roman" w:hAnsi="Times New Roman"/>
                <w:color w:val="auto"/>
                <w:sz w:val="24"/>
                <w:highlight w:val="none"/>
              </w:rPr>
              <w:t>-</w:t>
            </w:r>
            <w:r>
              <w:rPr>
                <w:rFonts w:hint="eastAsia" w:ascii="Times New Roman" w:hAnsi="Times New Roman"/>
                <w:color w:val="auto"/>
                <w:sz w:val="24"/>
                <w:highlight w:val="none"/>
                <w:lang w:val="en-US" w:eastAsia="zh-CN"/>
              </w:rPr>
              <w:t>983495</w:t>
            </w:r>
            <w:r>
              <w:rPr>
                <w:rFonts w:hint="eastAsia" w:ascii="Times New Roman" w:hAnsi="Times New Roman"/>
                <w:color w:val="auto"/>
                <w:sz w:val="24"/>
                <w:highlight w:val="none"/>
              </w:rPr>
              <w:t>】</w:t>
            </w:r>
            <w:r>
              <w:rPr>
                <w:rFonts w:hint="eastAsia" w:ascii="Times New Roman" w:hAnsi="Times New Roman"/>
                <w:color w:val="auto"/>
                <w:sz w:val="24"/>
                <w:highlight w:val="none"/>
                <w:lang w:val="en-US" w:eastAsia="zh-CN"/>
              </w:rPr>
              <w:t>FGQB</w:t>
            </w:r>
            <w:r>
              <w:rPr>
                <w:rFonts w:hint="eastAsia" w:ascii="Times New Roman" w:hAnsi="Times New Roman"/>
                <w:color w:val="auto"/>
                <w:sz w:val="24"/>
                <w:highlight w:val="none"/>
              </w:rPr>
              <w:t>-</w:t>
            </w:r>
            <w:r>
              <w:rPr>
                <w:rFonts w:hint="eastAsia" w:ascii="Times New Roman" w:hAnsi="Times New Roman"/>
                <w:color w:val="auto"/>
                <w:sz w:val="24"/>
                <w:highlight w:val="none"/>
                <w:lang w:val="en-US" w:eastAsia="zh-CN"/>
              </w:rPr>
              <w:t>0019</w:t>
            </w:r>
            <w:r>
              <w:rPr>
                <w:rFonts w:hint="eastAsia" w:ascii="Times New Roman" w:hAnsi="Times New Roman"/>
                <w:color w:val="auto"/>
                <w:sz w:val="24"/>
                <w:highlight w:val="none"/>
              </w:rPr>
              <w:t>号），同意本项目建设。</w:t>
            </w:r>
          </w:p>
          <w:p w14:paraId="7ABFB071">
            <w:pPr>
              <w:pStyle w:val="66"/>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firstLine="480" w:firstLineChars="200"/>
              <w:textAlignment w:val="auto"/>
              <w:rPr>
                <w:rFonts w:hint="default" w:ascii="Times New Roman" w:hAnsi="Times New Roman" w:eastAsia="宋体" w:cs="Times New Roman"/>
                <w:color w:val="auto"/>
                <w:highlight w:val="none"/>
                <w:lang w:val="en-US" w:eastAsia="zh-CN"/>
              </w:rPr>
            </w:pPr>
            <w:r>
              <w:rPr>
                <w:rFonts w:hint="eastAsia" w:ascii="Times New Roman" w:hAnsi="Times New Roman"/>
                <w:color w:val="auto"/>
                <w:sz w:val="24"/>
                <w:highlight w:val="none"/>
              </w:rPr>
              <w:t>因此，本项目的建设符合国家现行产业政策</w:t>
            </w:r>
            <w:r>
              <w:rPr>
                <w:rFonts w:hint="eastAsia" w:ascii="Times New Roman" w:hAnsi="Times New Roman" w:eastAsia="宋体" w:cs="Times New Roman"/>
                <w:color w:val="auto"/>
                <w:highlight w:val="none"/>
                <w:lang w:val="en-US" w:eastAsia="zh-CN"/>
              </w:rPr>
              <w:t>。</w:t>
            </w:r>
          </w:p>
          <w:p w14:paraId="26E0E6AC">
            <w:pPr>
              <w:pStyle w:val="66"/>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firstLine="482" w:firstLineChars="200"/>
              <w:textAlignment w:val="auto"/>
              <w:rPr>
                <w:rFonts w:hint="default" w:ascii="Times New Roman" w:hAnsi="Times New Roman" w:eastAsia="宋体" w:cs="Times New Roman"/>
                <w:b/>
                <w:bCs/>
                <w:color w:val="auto"/>
                <w:highlight w:val="none"/>
                <w:lang w:val="en-US" w:eastAsia="zh-CN"/>
              </w:rPr>
            </w:pPr>
            <w:r>
              <w:rPr>
                <w:rFonts w:hint="eastAsia" w:ascii="Times New Roman" w:hAnsi="Times New Roman" w:eastAsia="宋体" w:cs="Times New Roman"/>
                <w:b/>
                <w:bCs/>
                <w:color w:val="auto"/>
                <w:highlight w:val="none"/>
                <w:lang w:val="en-US" w:eastAsia="zh-CN"/>
              </w:rPr>
              <w:t>2</w:t>
            </w:r>
            <w:r>
              <w:rPr>
                <w:rFonts w:hint="default" w:ascii="Times New Roman" w:hAnsi="Times New Roman" w:eastAsia="宋体" w:cs="Times New Roman"/>
                <w:b/>
                <w:bCs/>
                <w:color w:val="auto"/>
                <w:highlight w:val="none"/>
                <w:lang w:val="en-US" w:eastAsia="zh-CN"/>
              </w:rPr>
              <w:t>、</w:t>
            </w:r>
            <w:r>
              <w:rPr>
                <w:rFonts w:hint="eastAsia" w:ascii="Times New Roman" w:hAnsi="Times New Roman" w:eastAsia="宋体" w:cs="Times New Roman"/>
                <w:b/>
                <w:bCs/>
                <w:color w:val="auto"/>
                <w:highlight w:val="none"/>
                <w:lang w:val="en-US" w:eastAsia="zh-CN"/>
              </w:rPr>
              <w:t>与生态环境分区管控要求的符合性分析</w:t>
            </w:r>
          </w:p>
          <w:p w14:paraId="46B373FC">
            <w:pPr>
              <w:pStyle w:val="66"/>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firstLine="480" w:firstLineChars="200"/>
              <w:textAlignment w:val="auto"/>
              <w:rPr>
                <w:rFonts w:hint="eastAsia" w:ascii="Times New Roman" w:hAnsi="Times New Roman" w:eastAsia="宋体" w:cs="Times New Roman"/>
                <w:color w:val="auto"/>
                <w:highlight w:val="none"/>
                <w:lang w:val="en-US" w:eastAsia="zh-CN"/>
              </w:rPr>
            </w:pPr>
            <w:r>
              <w:rPr>
                <w:rFonts w:hint="default" w:ascii="Times New Roman" w:hAnsi="Times New Roman" w:cs="Times New Roman"/>
                <w:color w:val="auto"/>
                <w:lang w:val="en-US" w:eastAsia="zh-CN"/>
              </w:rPr>
              <w:t>本项目所在四川巴中经济开发区</w:t>
            </w:r>
            <w:r>
              <w:rPr>
                <w:rFonts w:hint="default" w:ascii="Times New Roman" w:hAnsi="Times New Roman" w:cs="Times New Roman"/>
                <w:color w:val="auto"/>
                <w:sz w:val="24"/>
              </w:rPr>
              <w:t>环评</w:t>
            </w:r>
            <w:r>
              <w:rPr>
                <w:rFonts w:hint="default" w:ascii="Times New Roman" w:hAnsi="Times New Roman" w:cs="Times New Roman"/>
                <w:color w:val="auto"/>
                <w:sz w:val="24"/>
                <w:lang w:val="en-US" w:eastAsia="zh-CN"/>
              </w:rPr>
              <w:t>文件中</w:t>
            </w:r>
            <w:r>
              <w:rPr>
                <w:rFonts w:hint="default" w:ascii="Times New Roman" w:hAnsi="Times New Roman" w:cs="Times New Roman"/>
                <w:color w:val="auto"/>
                <w:sz w:val="24"/>
              </w:rPr>
              <w:t>已</w:t>
            </w:r>
            <w:r>
              <w:rPr>
                <w:rFonts w:hint="default" w:ascii="Times New Roman" w:hAnsi="Times New Roman" w:cs="Times New Roman"/>
                <w:color w:val="auto"/>
                <w:sz w:val="24"/>
                <w:lang w:val="en-US" w:eastAsia="zh-CN"/>
              </w:rPr>
              <w:t>开展</w:t>
            </w:r>
            <w:r>
              <w:rPr>
                <w:rFonts w:hint="eastAsia" w:cs="Times New Roman"/>
                <w:color w:val="auto"/>
                <w:sz w:val="24"/>
                <w:lang w:eastAsia="zh-CN"/>
              </w:rPr>
              <w:t>“</w:t>
            </w:r>
            <w:r>
              <w:rPr>
                <w:rFonts w:hint="default" w:ascii="Times New Roman" w:hAnsi="Times New Roman" w:cs="Times New Roman"/>
                <w:color w:val="auto"/>
                <w:sz w:val="24"/>
              </w:rPr>
              <w:t>三线一单</w:t>
            </w:r>
            <w:r>
              <w:rPr>
                <w:rFonts w:hint="eastAsia" w:cs="Times New Roman"/>
                <w:color w:val="auto"/>
                <w:sz w:val="24"/>
                <w:lang w:eastAsia="zh-CN"/>
              </w:rPr>
              <w:t>”</w:t>
            </w:r>
            <w:r>
              <w:rPr>
                <w:rFonts w:hint="default" w:ascii="Times New Roman" w:hAnsi="Times New Roman" w:cs="Times New Roman"/>
                <w:color w:val="auto"/>
                <w:sz w:val="24"/>
                <w:lang w:val="en-US" w:eastAsia="zh-CN"/>
              </w:rPr>
              <w:t>符合性分析</w:t>
            </w:r>
            <w:r>
              <w:rPr>
                <w:rFonts w:hint="default" w:ascii="Times New Roman" w:hAnsi="Times New Roman" w:cs="Times New Roman"/>
                <w:color w:val="auto"/>
                <w:sz w:val="24"/>
                <w:lang w:eastAsia="zh-CN"/>
              </w:rPr>
              <w:t>。</w:t>
            </w:r>
            <w:r>
              <w:rPr>
                <w:rFonts w:hint="default" w:ascii="Times New Roman" w:hAnsi="Times New Roman" w:cs="Times New Roman"/>
                <w:color w:val="auto"/>
                <w:sz w:val="24"/>
              </w:rPr>
              <w:t>根据四川省生态环境厅办公室《关于印发</w:t>
            </w:r>
            <w:r>
              <w:rPr>
                <w:rFonts w:hint="eastAsia" w:cs="Times New Roman"/>
                <w:color w:val="auto"/>
                <w:sz w:val="24"/>
                <w:lang w:eastAsia="zh-CN"/>
              </w:rPr>
              <w:t>〈</w:t>
            </w:r>
            <w:r>
              <w:rPr>
                <w:rFonts w:hint="default" w:ascii="Times New Roman" w:hAnsi="Times New Roman" w:cs="Times New Roman"/>
                <w:color w:val="auto"/>
                <w:sz w:val="24"/>
              </w:rPr>
              <w:t>产业园区规划环评</w:t>
            </w:r>
            <w:r>
              <w:rPr>
                <w:rFonts w:hint="eastAsia" w:cs="Times New Roman"/>
                <w:color w:val="auto"/>
                <w:sz w:val="24"/>
                <w:lang w:eastAsia="zh-CN"/>
              </w:rPr>
              <w:t>“</w:t>
            </w:r>
            <w:r>
              <w:rPr>
                <w:rFonts w:hint="default" w:ascii="Times New Roman" w:hAnsi="Times New Roman" w:cs="Times New Roman"/>
                <w:color w:val="auto"/>
                <w:sz w:val="24"/>
              </w:rPr>
              <w:t>三线一单</w:t>
            </w:r>
            <w:r>
              <w:rPr>
                <w:rFonts w:hint="eastAsia" w:cs="Times New Roman"/>
                <w:color w:val="auto"/>
                <w:sz w:val="24"/>
                <w:lang w:eastAsia="zh-CN"/>
              </w:rPr>
              <w:t>”</w:t>
            </w:r>
            <w:r>
              <w:rPr>
                <w:rFonts w:hint="default" w:ascii="Times New Roman" w:hAnsi="Times New Roman" w:cs="Times New Roman"/>
                <w:color w:val="auto"/>
                <w:sz w:val="24"/>
              </w:rPr>
              <w:t>符合性分析技术要点（试行）</w:t>
            </w:r>
            <w:r>
              <w:rPr>
                <w:rFonts w:hint="eastAsia" w:cs="Times New Roman"/>
                <w:color w:val="auto"/>
                <w:sz w:val="24"/>
                <w:lang w:eastAsia="zh-CN"/>
              </w:rPr>
              <w:t>〉</w:t>
            </w:r>
            <w:r>
              <w:rPr>
                <w:rFonts w:hint="default" w:ascii="Times New Roman" w:hAnsi="Times New Roman" w:cs="Times New Roman"/>
                <w:color w:val="auto"/>
                <w:sz w:val="24"/>
              </w:rPr>
              <w:t>和</w:t>
            </w:r>
            <w:r>
              <w:rPr>
                <w:rFonts w:hint="eastAsia" w:cs="Times New Roman"/>
                <w:color w:val="auto"/>
                <w:sz w:val="24"/>
                <w:lang w:eastAsia="zh-CN"/>
              </w:rPr>
              <w:t>〈</w:t>
            </w:r>
            <w:r>
              <w:rPr>
                <w:rFonts w:hint="default" w:ascii="Times New Roman" w:hAnsi="Times New Roman" w:cs="Times New Roman"/>
                <w:color w:val="auto"/>
                <w:sz w:val="24"/>
              </w:rPr>
              <w:t>项目环评</w:t>
            </w:r>
            <w:r>
              <w:rPr>
                <w:rFonts w:hint="eastAsia" w:cs="Times New Roman"/>
                <w:color w:val="auto"/>
                <w:sz w:val="24"/>
                <w:lang w:eastAsia="zh-CN"/>
              </w:rPr>
              <w:t>“</w:t>
            </w:r>
            <w:r>
              <w:rPr>
                <w:rFonts w:hint="default" w:ascii="Times New Roman" w:hAnsi="Times New Roman" w:cs="Times New Roman"/>
                <w:color w:val="auto"/>
                <w:sz w:val="24"/>
              </w:rPr>
              <w:t>三线一单</w:t>
            </w:r>
            <w:r>
              <w:rPr>
                <w:rFonts w:hint="eastAsia" w:cs="Times New Roman"/>
                <w:color w:val="auto"/>
                <w:sz w:val="24"/>
                <w:lang w:eastAsia="zh-CN"/>
              </w:rPr>
              <w:t>”</w:t>
            </w:r>
            <w:r>
              <w:rPr>
                <w:rFonts w:hint="default" w:ascii="Times New Roman" w:hAnsi="Times New Roman" w:cs="Times New Roman"/>
                <w:color w:val="auto"/>
                <w:sz w:val="24"/>
              </w:rPr>
              <w:t>符合性分析技术要点（试行）</w:t>
            </w:r>
            <w:r>
              <w:rPr>
                <w:rFonts w:hint="eastAsia" w:cs="Times New Roman"/>
                <w:color w:val="auto"/>
                <w:sz w:val="24"/>
                <w:lang w:eastAsia="zh-CN"/>
              </w:rPr>
              <w:t>〉的通知》</w:t>
            </w:r>
            <w:r>
              <w:rPr>
                <w:rFonts w:hint="default" w:ascii="Times New Roman" w:hAnsi="Times New Roman" w:cs="Times New Roman"/>
                <w:color w:val="auto"/>
                <w:sz w:val="24"/>
              </w:rPr>
              <w:t>（川环办函〔2021〕469号）文件的要求，本项目仅</w:t>
            </w:r>
            <w:r>
              <w:rPr>
                <w:rFonts w:hint="default" w:ascii="Times New Roman" w:hAnsi="Times New Roman" w:cs="Times New Roman"/>
                <w:color w:val="auto"/>
                <w:sz w:val="24"/>
                <w:lang w:val="en-US" w:eastAsia="zh-CN"/>
              </w:rPr>
              <w:t>需</w:t>
            </w:r>
            <w:r>
              <w:rPr>
                <w:rFonts w:hint="default" w:ascii="Times New Roman" w:hAnsi="Times New Roman" w:cs="Times New Roman"/>
                <w:color w:val="auto"/>
                <w:sz w:val="24"/>
              </w:rPr>
              <w:t>分析与</w:t>
            </w:r>
            <w:r>
              <w:rPr>
                <w:rFonts w:hint="eastAsia" w:cs="Times New Roman"/>
                <w:color w:val="auto"/>
                <w:sz w:val="24"/>
                <w:lang w:eastAsia="zh-CN"/>
              </w:rPr>
              <w:t>“</w:t>
            </w:r>
            <w:r>
              <w:rPr>
                <w:rFonts w:hint="default" w:ascii="Times New Roman" w:hAnsi="Times New Roman" w:cs="Times New Roman"/>
                <w:color w:val="auto"/>
                <w:sz w:val="24"/>
              </w:rPr>
              <w:t>生态环境分区管控</w:t>
            </w:r>
            <w:r>
              <w:rPr>
                <w:rFonts w:hint="eastAsia" w:cs="Times New Roman"/>
                <w:color w:val="auto"/>
                <w:sz w:val="24"/>
                <w:lang w:eastAsia="zh-CN"/>
              </w:rPr>
              <w:t>”</w:t>
            </w:r>
            <w:r>
              <w:rPr>
                <w:rFonts w:hint="default" w:ascii="Times New Roman" w:hAnsi="Times New Roman" w:cs="Times New Roman"/>
                <w:color w:val="auto"/>
                <w:sz w:val="24"/>
                <w:lang w:val="en-US" w:eastAsia="zh-CN"/>
              </w:rPr>
              <w:t>中</w:t>
            </w:r>
            <w:r>
              <w:rPr>
                <w:rFonts w:hint="default" w:ascii="Times New Roman" w:hAnsi="Times New Roman" w:cs="Times New Roman"/>
                <w:color w:val="auto"/>
                <w:sz w:val="24"/>
              </w:rPr>
              <w:t>生态环境准入清单</w:t>
            </w:r>
            <w:r>
              <w:rPr>
                <w:rFonts w:hint="default" w:ascii="Times New Roman" w:hAnsi="Times New Roman" w:cs="Times New Roman"/>
                <w:color w:val="auto"/>
                <w:sz w:val="24"/>
                <w:lang w:val="en-US" w:eastAsia="zh-CN"/>
              </w:rPr>
              <w:t>的</w:t>
            </w:r>
            <w:r>
              <w:rPr>
                <w:rFonts w:hint="default" w:ascii="Times New Roman" w:hAnsi="Times New Roman" w:cs="Times New Roman"/>
                <w:color w:val="auto"/>
                <w:sz w:val="24"/>
              </w:rPr>
              <w:t>符合性。本项目与区域</w:t>
            </w:r>
            <w:r>
              <w:rPr>
                <w:rFonts w:hint="eastAsia" w:cs="Times New Roman"/>
                <w:color w:val="auto"/>
                <w:sz w:val="24"/>
                <w:lang w:eastAsia="zh-CN"/>
              </w:rPr>
              <w:t>“</w:t>
            </w:r>
            <w:r>
              <w:rPr>
                <w:rFonts w:hint="default" w:ascii="Times New Roman" w:hAnsi="Times New Roman" w:cs="Times New Roman"/>
                <w:color w:val="auto"/>
                <w:sz w:val="24"/>
              </w:rPr>
              <w:t>生态环境分区管控</w:t>
            </w:r>
            <w:r>
              <w:rPr>
                <w:rFonts w:hint="eastAsia" w:cs="Times New Roman"/>
                <w:color w:val="auto"/>
                <w:sz w:val="24"/>
                <w:lang w:eastAsia="zh-CN"/>
              </w:rPr>
              <w:t>”</w:t>
            </w:r>
            <w:r>
              <w:rPr>
                <w:rFonts w:hint="default" w:ascii="Times New Roman" w:hAnsi="Times New Roman" w:cs="Times New Roman"/>
                <w:color w:val="auto"/>
                <w:sz w:val="24"/>
              </w:rPr>
              <w:t>符合性分析如下</w:t>
            </w:r>
            <w:r>
              <w:rPr>
                <w:rFonts w:hint="eastAsia" w:ascii="Times New Roman" w:hAnsi="Times New Roman" w:cs="Times New Roman"/>
                <w:color w:val="auto"/>
                <w:sz w:val="24"/>
                <w:lang w:eastAsia="zh-CN"/>
              </w:rPr>
              <w:t>：</w:t>
            </w:r>
          </w:p>
          <w:p w14:paraId="63B6F7C2">
            <w:pPr>
              <w:pStyle w:val="66"/>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firstLine="480" w:firstLineChars="200"/>
              <w:textAlignment w:val="auto"/>
              <w:rPr>
                <w:rFonts w:hint="default" w:ascii="Times New Roman" w:hAnsi="Times New Roman" w:cs="Times New Roman"/>
                <w:b w:val="0"/>
                <w:bCs w:val="0"/>
                <w:color w:val="auto"/>
                <w:sz w:val="24"/>
              </w:rPr>
            </w:pPr>
            <w:r>
              <w:rPr>
                <w:rFonts w:hint="eastAsia" w:ascii="Times New Roman" w:hAnsi="Times New Roman" w:eastAsia="宋体" w:cs="Times New Roman"/>
                <w:color w:val="auto"/>
                <w:sz w:val="24"/>
                <w:highlight w:val="none"/>
                <w:lang w:val="en-US" w:eastAsia="zh-CN"/>
              </w:rPr>
              <w:t>（1）</w:t>
            </w:r>
            <w:r>
              <w:rPr>
                <w:rFonts w:hint="default" w:ascii="Times New Roman" w:hAnsi="Times New Roman" w:cs="Times New Roman"/>
                <w:b w:val="0"/>
                <w:bCs w:val="0"/>
                <w:color w:val="auto"/>
                <w:sz w:val="24"/>
                <w:lang w:val="en-US" w:eastAsia="zh-CN"/>
              </w:rPr>
              <w:t>巴中</w:t>
            </w:r>
            <w:r>
              <w:rPr>
                <w:rFonts w:hint="default" w:ascii="Times New Roman" w:hAnsi="Times New Roman" w:cs="Times New Roman"/>
                <w:b w:val="0"/>
                <w:bCs w:val="0"/>
                <w:color w:val="auto"/>
                <w:sz w:val="24"/>
              </w:rPr>
              <w:t>市</w:t>
            </w:r>
            <w:r>
              <w:rPr>
                <w:rFonts w:hint="default" w:ascii="Times New Roman" w:hAnsi="Times New Roman" w:cs="Times New Roman"/>
                <w:b w:val="0"/>
                <w:bCs w:val="0"/>
                <w:color w:val="auto"/>
                <w:sz w:val="24"/>
                <w:lang w:val="en-US" w:eastAsia="zh-CN"/>
              </w:rPr>
              <w:t>生态</w:t>
            </w:r>
            <w:r>
              <w:rPr>
                <w:rFonts w:hint="default" w:ascii="Times New Roman" w:hAnsi="Times New Roman" w:cs="Times New Roman"/>
                <w:b w:val="0"/>
                <w:bCs w:val="0"/>
                <w:color w:val="auto"/>
                <w:sz w:val="24"/>
              </w:rPr>
              <w:t>环境管控单元</w:t>
            </w:r>
          </w:p>
          <w:p w14:paraId="566F5E1F">
            <w:pPr>
              <w:pStyle w:val="66"/>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firstLine="480" w:firstLineChars="200"/>
              <w:jc w:val="both"/>
              <w:textAlignment w:val="auto"/>
              <w:rPr>
                <w:rFonts w:hint="default" w:ascii="Times New Roman" w:hAnsi="Times New Roman" w:cs="Times New Roman"/>
                <w:b/>
                <w:bCs/>
                <w:color w:val="auto"/>
                <w:sz w:val="24"/>
                <w:lang w:val="en-US" w:eastAsia="zh-CN"/>
              </w:rPr>
            </w:pPr>
            <w:r>
              <w:rPr>
                <w:color w:val="auto"/>
                <w:sz w:val="24"/>
              </w:rPr>
              <mc:AlternateContent>
                <mc:Choice Requires="wps">
                  <w:drawing>
                    <wp:anchor distT="0" distB="0" distL="114300" distR="114300" simplePos="0" relativeHeight="251659264" behindDoc="0" locked="0" layoutInCell="1" allowOverlap="1">
                      <wp:simplePos x="0" y="0"/>
                      <wp:positionH relativeFrom="column">
                        <wp:posOffset>1751330</wp:posOffset>
                      </wp:positionH>
                      <wp:positionV relativeFrom="paragraph">
                        <wp:posOffset>2826385</wp:posOffset>
                      </wp:positionV>
                      <wp:extent cx="1158875" cy="452755"/>
                      <wp:effectExtent l="141605" t="6350" r="13970" b="474345"/>
                      <wp:wrapNone/>
                      <wp:docPr id="3" name="矩形标注 3"/>
                      <wp:cNvGraphicFramePr/>
                      <a:graphic xmlns:a="http://schemas.openxmlformats.org/drawingml/2006/main">
                        <a:graphicData uri="http://schemas.microsoft.com/office/word/2010/wordprocessingShape">
                          <wps:wsp>
                            <wps:cNvSpPr/>
                            <wps:spPr>
                              <a:xfrm>
                                <a:off x="3838575" y="4526915"/>
                                <a:ext cx="1158875" cy="452755"/>
                              </a:xfrm>
                              <a:prstGeom prst="wedgeRectCallout">
                                <a:avLst>
                                  <a:gd name="adj1" fmla="val -59863"/>
                                  <a:gd name="adj2" fmla="val 146633"/>
                                </a:avLst>
                              </a:prstGeom>
                              <a:noFill/>
                              <a:ln>
                                <a:solidFill>
                                  <a:srgbClr val="FF0000"/>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3A035097">
                                  <w:pPr>
                                    <w:jc w:val="center"/>
                                    <w:rPr>
                                      <w:rFonts w:hint="eastAsia" w:eastAsia="宋体"/>
                                      <w:color w:val="FF0000"/>
                                      <w:lang w:val="en-US" w:eastAsia="zh-CN"/>
                                    </w:rPr>
                                  </w:pPr>
                                  <w:r>
                                    <w:rPr>
                                      <w:rFonts w:hint="eastAsia"/>
                                      <w:color w:val="FF0000"/>
                                      <w:lang w:val="en-US" w:eastAsia="zh-CN"/>
                                    </w:rPr>
                                    <w:t>本项目</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1" type="#_x0000_t61" style="position:absolute;left:0pt;margin-left:137.9pt;margin-top:222.55pt;height:35.65pt;width:91.25pt;z-index:251659264;v-text-anchor:middle;mso-width-relative:page;mso-height-relative:page;" filled="f" stroked="t" coordsize="21600,21600" o:gfxdata="UEsDBAoAAAAAAIdO4kAAAAAAAAAAAAAAAAAEAAAAZHJzL1BLAwQUAAAACACHTuJAOr6G0toAAAAL&#10;AQAADwAAAGRycy9kb3ducmV2LnhtbE2PQU+DQBSE7yb+h80z8WLsAoWWII+mmnjxpKWJ1wVegZR9&#10;i+yW4r93PelxMpOZb/Ldogcx02R7wwjhKgBBXJum5xbhWL4+piCsU9yowTAhfJOFXXF7k6usMVf+&#10;oPngWuFL2GYKoXNuzKS0dUda2ZUZib13MpNWzsuplc2krr5cDzIKgo3Uqme/0KmRXjqqz4eLRlje&#10;1g8mLT/L/VdUHc/R+Dy/7xfE+7sweALhaHF/YfjF9+hQeKbKXLixYkCItolHdwhxnIQgfCJO0jWI&#10;CiEJNzHIIpf/PxQ/UEsDBBQAAAAIAIdO4kAcUqc9twIAAEcFAAAOAAAAZHJzL2Uyb0RvYy54bWyt&#10;VM1u00AQviPxDqu9t46TOHGjOlWUKAipohUFcd6s1/ai/WN3E6e8AI9RxAnOnHkcymswu3bbUDj0&#10;QA7OjPfzNzPfzOzp2V4KtGPWca0KnB4PMGKK6pKrusBv36yPcoycJ6okQitW4Gvm8Nn8+bPT1szY&#10;UDdalMwiIFFu1poCN96bWZI42jBJ3LE2TMFhpa0kHlxbJ6UlLbBLkQwHg0nSalsaqylzDt6uukPc&#10;M9qnEOqq4pStNN1KpnzHapkgHkpyDTcOz2O2VcWov6gqxzwSBYZKfXxCELA34ZnMT8mstsQ0nPYp&#10;kKek8KgmSbiCoPdUK+IJ2lr+F5Xk1GqnK39MtUy6QqIiUEU6eKTNVUMMi7WA1M7ci+7+Hy19tbu0&#10;iJcFHmGkiISG/7r59vPHl9vPn26/f0WjoFBr3AyAV+bS9p4DM5S7r6wM/1AI2gNHPsqzaYbRdYHH&#10;2XBykmadwmzvEQVAmmZ5HgC0Q0yzCEgemIx1/gXTEgWjwC0ra/Ya2rgkQuitjyKT3bnzUe2yz5mU&#10;71OMKimgeTsi0FF2kk9i7tCSA9DwEJSOJ5NRBEH8nhOsuwxCAKXXXIg4JEKhFgoYTgcwO5TA5Fcw&#10;cWBKA+o5VWNERA0rRb2NWToteBk+D0TO1pulsAiSK/B6PYBfUAbC/QELsVfENR0uHnUCSu5h6wSX&#10;Bc7Dx3dfCwUkoT9dR4Ll95t936aNLq+hvVZ3c+8MXXOIcE6cvyQWtIJS4CrwF/CohIb6dG9h1Gj7&#10;8V/vAx7mD04xamFxoPYPW2IZRuKlgsk8ScfjsGnRGWfTITj28GRzeKK2cqlBEugeZBfNgPfizqys&#10;lu/gxliEqHBEFIXYncq9s/TdQsOdQ9liEWGwXYb4c3VlaCDvernYel1xH3QPQnXq9A7sV2xHfxeE&#10;BT70I+rh/pv/Bl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CoFAABbQ29udGVudF9UeXBlc10ueG1sUEsBAhQACgAAAAAAh07iQAAAAAAAAAAAAAAA&#10;AAYAAAAAAAAAAAAQAAAADAQAAF9yZWxzL1BLAQIUABQAAAAIAIdO4kCKFGY80QAAAJQBAAALAAAA&#10;AAAAAAEAIAAAADAEAABfcmVscy8ucmVsc1BLAQIUAAoAAAAAAIdO4kAAAAAAAAAAAAAAAAAEAAAA&#10;AAAAAAAAEAAAAAAAAABkcnMvUEsBAhQAFAAAAAgAh07iQDq+htLaAAAACwEAAA8AAAAAAAAAAQAg&#10;AAAAIgAAAGRycy9kb3ducmV2LnhtbFBLAQIUABQAAAAIAIdO4kAcUqc9twIAAEcFAAAOAAAAAAAA&#10;AAEAIAAAACkBAABkcnMvZTJvRG9jLnhtbFBLBQYAAAAABgAGAFkBAABSBgAAAAA=&#10;" adj="-2130,42473">
                      <v:fill on="f" focussize="0,0"/>
                      <v:stroke weight="1pt" color="#FF0000 [2404]" miterlimit="8" joinstyle="miter"/>
                      <v:imagedata o:title=""/>
                      <o:lock v:ext="edit" aspectratio="f"/>
                      <v:textbox>
                        <w:txbxContent>
                          <w:p w14:paraId="3A035097">
                            <w:pPr>
                              <w:jc w:val="center"/>
                              <w:rPr>
                                <w:rFonts w:hint="eastAsia" w:eastAsia="宋体"/>
                                <w:color w:val="FF0000"/>
                                <w:lang w:val="en-US" w:eastAsia="zh-CN"/>
                              </w:rPr>
                            </w:pPr>
                            <w:r>
                              <w:rPr>
                                <w:rFonts w:hint="eastAsia"/>
                                <w:color w:val="FF0000"/>
                                <w:lang w:val="en-US" w:eastAsia="zh-CN"/>
                              </w:rPr>
                              <w:t>本项目</w:t>
                            </w:r>
                          </w:p>
                        </w:txbxContent>
                      </v:textbox>
                    </v:shape>
                  </w:pict>
                </mc:Fallback>
              </mc:AlternateContent>
            </w:r>
            <w:r>
              <w:rPr>
                <w:color w:val="auto"/>
                <w:sz w:val="24"/>
              </w:rPr>
              <mc:AlternateContent>
                <mc:Choice Requires="wps">
                  <w:drawing>
                    <wp:anchor distT="0" distB="0" distL="114300" distR="114300" simplePos="0" relativeHeight="251660288" behindDoc="0" locked="0" layoutInCell="1" allowOverlap="1">
                      <wp:simplePos x="0" y="0"/>
                      <wp:positionH relativeFrom="column">
                        <wp:posOffset>1575435</wp:posOffset>
                      </wp:positionH>
                      <wp:positionV relativeFrom="paragraph">
                        <wp:posOffset>3691255</wp:posOffset>
                      </wp:positionV>
                      <wp:extent cx="75565" cy="75565"/>
                      <wp:effectExtent l="19050" t="21590" r="19685" b="17145"/>
                      <wp:wrapNone/>
                      <wp:docPr id="5" name="五角星 5"/>
                      <wp:cNvGraphicFramePr/>
                      <a:graphic xmlns:a="http://schemas.openxmlformats.org/drawingml/2006/main">
                        <a:graphicData uri="http://schemas.microsoft.com/office/word/2010/wordprocessingShape">
                          <wps:wsp>
                            <wps:cNvSpPr/>
                            <wps:spPr>
                              <a:xfrm>
                                <a:off x="3696335" y="5073650"/>
                                <a:ext cx="75565" cy="75565"/>
                              </a:xfrm>
                              <a:prstGeom prst="star5">
                                <a:avLst/>
                              </a:prstGeom>
                              <a:solidFill>
                                <a:srgbClr val="FF0000"/>
                              </a:solidFill>
                              <a:ln>
                                <a:solidFill>
                                  <a:srgbClr val="FF000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style="position:absolute;left:0pt;margin-left:124.05pt;margin-top:290.65pt;height:5.95pt;width:5.95pt;z-index:251660288;v-text-anchor:middle;mso-width-relative:page;mso-height-relative:page;" fillcolor="#FF0000" filled="t" stroked="t" coordsize="75565,75565" o:gfxdata="UEsDBAoAAAAAAIdO4kAAAAAAAAAAAAAAAAAEAAAAZHJzL1BLAwQUAAAACACHTuJAkt0bZNsAAAAL&#10;AQAADwAAAGRycy9kb3ducmV2LnhtbE2PwU7DMAyG70i8Q2QkLogl7cZUStMdQBPigka3A8esMW21&#10;xilNto63x5zG0fan399frM6uFyccQ+dJQzJTIJBqbztqNOy26/sMRIiGrOk9oYYfDLAqr68Kk1s/&#10;0QeeqtgIDqGQGw1tjEMuZahbdCbM/IDEty8/OhN5HBtpRzNxuOtlqtRSOtMRf2jNgM8t1ofq6DR8&#10;2mr3+jYcps333VpuusVW9e8vWt/eJOoJRMRzvMDwp8/qULLT3h/JBtFrSBdZwqiGhyyZg2AiXSpu&#10;t+fN4zwFWRbyf4fyF1BLAwQUAAAACACHTuJAkuD3n3oCAAABBQAADgAAAGRycy9lMm9Eb2MueG1s&#10;rVRLbtswEN0X6B0I7hv5E9mJETkwYrgoEDQB0qJrmqIsAvyVpC2nxyi66K7L3qHnKYoeo4+SnF+7&#10;yKJeyDOa0ZuZxzc8O99rRXbCB2lNQYdHA0qE4baUZlPQ9+9Wr04oCZGZkilrREFvRaDn85cvzho3&#10;EyNbW1UKTwBiwqxxBa1jdLMsC7wWmoUj64RBsLJeswjXb7LSswboWmWjwWCSNdaXzlsuQsDbZRek&#10;PaJ/DqCtKsnF0vKtFiZ2qF4oFjFSqKULdN52W1WCx6uqCiISVVBMGtsnisBep2c2P2OzjWeulrxv&#10;gT2nhSczaSYNit5BLVlkZOvlX1Bacm+DreIRtzrrBmkZwRTDwRNubmrmRDsLqA7ujvTw/2D52921&#10;J7IsaE6JYRoH/vPHl9/fP//6+o3kiZ7GhRmybty1770AM826r7xO/5iC7As6npxOxmPA3AJsMB1P&#10;8p5esY+EI2Ga5xOEOeKdCbzsHsb5EF8Lq0kyCgoN+rzllO0uQ+xyDzmpbLBKliupVOv4zfpCebJj&#10;OOjVaoBfah7wj9KUIQ1EP5oiTDiDfCvIBqZ2oCCYDSVMbbAXPPq29qOvw/OKpCaXLNRdMy1CpzMt&#10;I1ZHSV3Qk9ThoUVl0GniuWM2WWtb3uJgvO0UGxxfScBeshCvmYdE0T+WOF7hUSmLoWxvUVJb/+lf&#10;71M+lIMoJQ0kj4E/bpkXlKg3Bpo6HR4fpx1pneN8OoLjH0bWDyNmqy8syB7iunC8NVN+VAez8lZ/&#10;wK4vUlWEmOGo3VHbOxexW0XcFlwsFm0a9sKxeGluHE/g6XCNXWyjrWQrgnt2etKwGe1B91ucVu+h&#10;32bd31zzP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O4EAABbQ29udGVudF9UeXBlc10ueG1sUEsBAhQACgAAAAAAh07iQAAAAAAAAAAAAAAAAAYA&#10;AAAAAAAAAAAQAAAA0AMAAF9yZWxzL1BLAQIUABQAAAAIAIdO4kCKFGY80QAAAJQBAAALAAAAAAAA&#10;AAEAIAAAAPQDAABfcmVscy8ucmVsc1BLAQIUAAoAAAAAAIdO4kAAAAAAAAAAAAAAAAAEAAAAAAAA&#10;AAAAEAAAAAAAAABkcnMvUEsBAhQAFAAAAAgAh07iQJLdG2TbAAAACwEAAA8AAAAAAAAAAQAgAAAA&#10;IgAAAGRycy9kb3ducmV2LnhtbFBLAQIUABQAAAAIAIdO4kCS4PefegIAAAEFAAAOAAAAAAAAAAEA&#10;IAAAACoBAABkcnMvZTJvRG9jLnhtbFBLBQYAAAAABgAGAFkBAAAWBgAAAAA=&#10;" path="m0,28863l28863,28863,37782,0,46701,28863,75564,28863,52213,46701,61133,75564,37782,57726,14431,75564,23351,46701xe">
                      <v:path o:connectlocs="37782,0;0,28863;14431,75564;61133,75564;75564,28863" o:connectangles="247,164,82,82,0"/>
                      <v:fill on="t" focussize="0,0"/>
                      <v:stroke weight="1pt" color="#FF0000 [2404]" miterlimit="8" joinstyle="miter"/>
                      <v:imagedata o:title=""/>
                      <o:lock v:ext="edit" aspectratio="f"/>
                    </v:shape>
                  </w:pict>
                </mc:Fallback>
              </mc:AlternateContent>
            </w:r>
            <w:r>
              <w:rPr>
                <w:rFonts w:hint="default" w:ascii="Times New Roman" w:hAnsi="Times New Roman" w:eastAsia="宋体" w:cs="Times New Roman"/>
                <w:color w:val="auto"/>
                <w:sz w:val="24"/>
                <w:szCs w:val="24"/>
                <w:lang w:val="en-US" w:eastAsia="zh-CN"/>
              </w:rPr>
              <w:t>根据</w:t>
            </w:r>
            <w:r>
              <w:rPr>
                <w:rFonts w:hint="default" w:ascii="Times New Roman" w:hAnsi="Times New Roman" w:eastAsia="宋体" w:cs="Times New Roman"/>
                <w:b w:val="0"/>
                <w:color w:val="auto"/>
                <w:kern w:val="0"/>
                <w:sz w:val="24"/>
                <w:szCs w:val="20"/>
                <w:highlight w:val="none"/>
                <w:lang w:val="en-US" w:eastAsia="zh-CN" w:bidi="ar-SA"/>
              </w:rPr>
              <w:t>《巴中市生态环境保护委员会办公室关于加强生态环境分区管控的通知》（巴环委办〔2024〕3号）</w:t>
            </w:r>
            <w:r>
              <w:rPr>
                <w:rFonts w:hint="default" w:ascii="Times New Roman" w:hAnsi="Times New Roman" w:eastAsia="宋体" w:cs="Times New Roman"/>
                <w:color w:val="auto"/>
                <w:sz w:val="24"/>
                <w:szCs w:val="24"/>
                <w:lang w:val="en-US" w:eastAsia="zh-CN"/>
              </w:rPr>
              <w:t>，全市从生态环境保护角度共划定环境管控单元3</w:t>
            </w:r>
            <w:r>
              <w:rPr>
                <w:rFonts w:hint="default" w:ascii="Times New Roman" w:hAnsi="Times New Roman" w:cs="Times New Roman"/>
                <w:color w:val="auto"/>
                <w:sz w:val="24"/>
                <w:szCs w:val="24"/>
                <w:lang w:val="en-US" w:eastAsia="zh-CN"/>
              </w:rPr>
              <w:t>8</w:t>
            </w:r>
            <w:r>
              <w:rPr>
                <w:rFonts w:hint="default" w:ascii="Times New Roman" w:hAnsi="Times New Roman" w:eastAsia="宋体" w:cs="Times New Roman"/>
                <w:color w:val="auto"/>
                <w:sz w:val="24"/>
                <w:szCs w:val="24"/>
                <w:lang w:val="en-US" w:eastAsia="zh-CN"/>
              </w:rPr>
              <w:t>个，其中优先保护单元13个，重点管控单元2</w:t>
            </w:r>
            <w:r>
              <w:rPr>
                <w:rFonts w:hint="default" w:ascii="Times New Roman" w:hAnsi="Times New Roman" w:cs="Times New Roman"/>
                <w:color w:val="auto"/>
                <w:sz w:val="24"/>
                <w:szCs w:val="24"/>
                <w:lang w:val="en-US" w:eastAsia="zh-CN"/>
              </w:rPr>
              <w:t>0</w:t>
            </w:r>
            <w:r>
              <w:rPr>
                <w:rFonts w:hint="default" w:ascii="Times New Roman" w:hAnsi="Times New Roman" w:eastAsia="宋体" w:cs="Times New Roman"/>
                <w:color w:val="auto"/>
                <w:sz w:val="24"/>
                <w:szCs w:val="24"/>
                <w:lang w:val="en-US" w:eastAsia="zh-CN"/>
              </w:rPr>
              <w:t>个，一般管控单元5个。本项目位于四川省巴中市</w:t>
            </w:r>
            <w:r>
              <w:rPr>
                <w:rFonts w:hint="eastAsia" w:cs="Times New Roman"/>
                <w:color w:val="auto"/>
                <w:sz w:val="24"/>
                <w:szCs w:val="24"/>
                <w:highlight w:val="none"/>
                <w:lang w:val="en-US" w:eastAsia="zh-CN"/>
              </w:rPr>
              <w:t>经济开发区</w:t>
            </w:r>
            <w:r>
              <w:rPr>
                <w:rFonts w:hint="default" w:ascii="Times New Roman" w:hAnsi="Times New Roman"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lang w:val="en-US" w:eastAsia="zh-CN"/>
              </w:rPr>
              <w:t>属于</w:t>
            </w:r>
            <w:r>
              <w:rPr>
                <w:rFonts w:hint="default" w:ascii="Times New Roman" w:hAnsi="Times New Roman" w:cs="Times New Roman"/>
                <w:color w:val="auto"/>
                <w:sz w:val="24"/>
                <w:szCs w:val="24"/>
                <w:highlight w:val="none"/>
                <w:lang w:val="en-US" w:eastAsia="zh-CN"/>
              </w:rPr>
              <w:t>工业</w:t>
            </w:r>
            <w:r>
              <w:rPr>
                <w:rFonts w:hint="default" w:ascii="Times New Roman" w:hAnsi="Times New Roman" w:eastAsia="宋体" w:cs="Times New Roman"/>
                <w:color w:val="auto"/>
                <w:sz w:val="24"/>
                <w:szCs w:val="24"/>
                <w:highlight w:val="none"/>
                <w:lang w:val="en-US" w:eastAsia="zh-CN"/>
              </w:rPr>
              <w:t>重点管控单元。</w:t>
            </w:r>
            <w:r>
              <w:rPr>
                <w:rFonts w:hint="default" w:ascii="Times New Roman" w:hAnsi="Times New Roman" w:eastAsia="宋体" w:cs="Times New Roman"/>
                <w:color w:val="auto"/>
                <w:sz w:val="24"/>
                <w:szCs w:val="24"/>
                <w:lang w:val="en-US" w:eastAsia="zh-CN"/>
              </w:rPr>
              <w:t>本项目与巴中市环境管控单元位置关系图如下</w:t>
            </w:r>
            <w:r>
              <w:rPr>
                <w:rFonts w:hint="eastAsia" w:ascii="Times New Roman" w:hAnsi="Times New Roman" w:eastAsia="宋体" w:cs="Times New Roman"/>
                <w:color w:val="auto"/>
                <w:sz w:val="24"/>
                <w:szCs w:val="24"/>
                <w:lang w:val="en-US" w:eastAsia="zh-CN"/>
              </w:rPr>
              <w:t>：</w:t>
            </w:r>
            <w:r>
              <w:rPr>
                <w:rFonts w:hint="eastAsia" w:ascii="Times New Roman" w:hAnsi="Times New Roman" w:eastAsia="宋体" w:cs="Times New Roman"/>
                <w:color w:val="auto"/>
                <w:sz w:val="24"/>
                <w:szCs w:val="24"/>
                <w:lang w:val="en-US" w:eastAsia="zh-CN"/>
              </w:rPr>
              <w:br w:type="textWrapping"/>
            </w:r>
            <w:r>
              <w:rPr>
                <w:rFonts w:ascii="宋体" w:hAnsi="宋体" w:eastAsia="宋体" w:cs="宋体"/>
                <w:color w:val="auto"/>
                <w:sz w:val="24"/>
                <w:szCs w:val="24"/>
              </w:rPr>
              <w:drawing>
                <wp:inline distT="0" distB="0" distL="114300" distR="114300">
                  <wp:extent cx="4403725" cy="3117215"/>
                  <wp:effectExtent l="0" t="0" r="15875" b="6985"/>
                  <wp:docPr id="1"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IMG_256"/>
                          <pic:cNvPicPr>
                            <a:picLocks noChangeAspect="1"/>
                          </pic:cNvPicPr>
                        </pic:nvPicPr>
                        <pic:blipFill>
                          <a:blip r:embed="rId8"/>
                          <a:stretch>
                            <a:fillRect/>
                          </a:stretch>
                        </pic:blipFill>
                        <pic:spPr>
                          <a:xfrm>
                            <a:off x="0" y="0"/>
                            <a:ext cx="4403725" cy="3117215"/>
                          </a:xfrm>
                          <a:prstGeom prst="rect">
                            <a:avLst/>
                          </a:prstGeom>
                          <a:noFill/>
                          <a:ln w="9525">
                            <a:noFill/>
                          </a:ln>
                        </pic:spPr>
                      </pic:pic>
                    </a:graphicData>
                  </a:graphic>
                </wp:inline>
              </w:drawing>
            </w:r>
          </w:p>
          <w:p w14:paraId="60958CE4">
            <w:pPr>
              <w:pStyle w:val="66"/>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jc w:val="center"/>
              <w:textAlignment w:val="auto"/>
              <w:rPr>
                <w:rStyle w:val="206"/>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highlight w:val="none"/>
                <w:lang w:val="en-US" w:eastAsia="zh-CN"/>
              </w:rPr>
              <w:t xml:space="preserve">图1-1 </w:t>
            </w:r>
            <w:r>
              <w:rPr>
                <w:rStyle w:val="206"/>
                <w:rFonts w:hint="default" w:ascii="Times New Roman" w:hAnsi="Times New Roman" w:eastAsia="宋体" w:cs="Times New Roman"/>
                <w:b/>
                <w:bCs/>
                <w:color w:val="auto"/>
                <w:sz w:val="21"/>
                <w:szCs w:val="21"/>
              </w:rPr>
              <w:t>项目与</w:t>
            </w:r>
            <w:r>
              <w:rPr>
                <w:rStyle w:val="206"/>
                <w:rFonts w:hint="default" w:ascii="Times New Roman" w:hAnsi="Times New Roman" w:eastAsia="宋体" w:cs="Times New Roman"/>
                <w:b/>
                <w:bCs/>
                <w:color w:val="auto"/>
                <w:sz w:val="21"/>
                <w:szCs w:val="21"/>
                <w:lang w:val="en-US" w:eastAsia="zh-CN"/>
              </w:rPr>
              <w:t>巴中</w:t>
            </w:r>
            <w:r>
              <w:rPr>
                <w:rStyle w:val="206"/>
                <w:rFonts w:hint="default" w:ascii="Times New Roman" w:hAnsi="Times New Roman" w:eastAsia="宋体" w:cs="Times New Roman"/>
                <w:b/>
                <w:bCs/>
                <w:color w:val="auto"/>
                <w:sz w:val="21"/>
                <w:szCs w:val="21"/>
              </w:rPr>
              <w:t>市环境管控单元位置关系图</w:t>
            </w:r>
          </w:p>
          <w:p w14:paraId="7A3A9EB0">
            <w:pPr>
              <w:pStyle w:val="66"/>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jc w:val="center"/>
              <w:textAlignment w:val="auto"/>
              <w:rPr>
                <w:rStyle w:val="206"/>
                <w:rFonts w:hint="default" w:ascii="Times New Roman" w:hAnsi="Times New Roman" w:eastAsia="宋体" w:cs="Times New Roman"/>
                <w:b/>
                <w:bCs/>
                <w:color w:val="auto"/>
                <w:sz w:val="21"/>
                <w:szCs w:val="21"/>
              </w:rPr>
            </w:pPr>
          </w:p>
          <w:p w14:paraId="35820432">
            <w:pPr>
              <w:pStyle w:val="66"/>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jc w:val="center"/>
              <w:textAlignment w:val="auto"/>
              <w:rPr>
                <w:rStyle w:val="206"/>
                <w:rFonts w:hint="default" w:ascii="Times New Roman" w:hAnsi="Times New Roman" w:eastAsia="宋体" w:cs="Times New Roman"/>
                <w:b/>
                <w:bCs/>
                <w:color w:val="auto"/>
                <w:sz w:val="21"/>
                <w:szCs w:val="21"/>
              </w:rPr>
            </w:pPr>
          </w:p>
          <w:p w14:paraId="5FE56AE2">
            <w:pPr>
              <w:pStyle w:val="66"/>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jc w:val="center"/>
              <w:textAlignment w:val="auto"/>
              <w:rPr>
                <w:rStyle w:val="206"/>
                <w:rFonts w:hint="default" w:ascii="Times New Roman" w:hAnsi="Times New Roman" w:eastAsia="宋体" w:cs="Times New Roman"/>
                <w:b/>
                <w:bCs/>
                <w:color w:val="auto"/>
                <w:sz w:val="21"/>
                <w:szCs w:val="21"/>
              </w:rPr>
            </w:pPr>
          </w:p>
          <w:p w14:paraId="178E51F2">
            <w:pPr>
              <w:pStyle w:val="66"/>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jc w:val="center"/>
              <w:textAlignment w:val="auto"/>
              <w:rPr>
                <w:rStyle w:val="206"/>
                <w:rFonts w:hint="default" w:ascii="Times New Roman" w:hAnsi="Times New Roman" w:eastAsia="宋体" w:cs="Times New Roman"/>
                <w:b/>
                <w:bCs/>
                <w:color w:val="auto"/>
                <w:sz w:val="21"/>
                <w:szCs w:val="21"/>
              </w:rPr>
            </w:pPr>
          </w:p>
          <w:p w14:paraId="6D8BF73B">
            <w:pPr>
              <w:pStyle w:val="66"/>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jc w:val="center"/>
              <w:textAlignment w:val="auto"/>
              <w:rPr>
                <w:rStyle w:val="206"/>
                <w:rFonts w:hint="default" w:ascii="Times New Roman" w:hAnsi="Times New Roman" w:eastAsia="宋体" w:cs="Times New Roman"/>
                <w:b/>
                <w:bCs/>
                <w:color w:val="auto"/>
                <w:sz w:val="21"/>
                <w:szCs w:val="21"/>
              </w:rPr>
            </w:pPr>
          </w:p>
          <w:p w14:paraId="25223B1B">
            <w:pPr>
              <w:pStyle w:val="66"/>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jc w:val="center"/>
              <w:textAlignment w:val="auto"/>
              <w:rPr>
                <w:rStyle w:val="206"/>
                <w:rFonts w:hint="default" w:ascii="Times New Roman" w:hAnsi="Times New Roman" w:eastAsia="宋体" w:cs="Times New Roman"/>
                <w:b/>
                <w:bCs/>
                <w:color w:val="auto"/>
                <w:sz w:val="21"/>
                <w:szCs w:val="21"/>
              </w:rPr>
            </w:pPr>
          </w:p>
          <w:p w14:paraId="00E64407">
            <w:pPr>
              <w:pStyle w:val="66"/>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jc w:val="center"/>
              <w:textAlignment w:val="auto"/>
              <w:rPr>
                <w:rStyle w:val="206"/>
                <w:rFonts w:hint="default" w:ascii="Times New Roman" w:hAnsi="Times New Roman" w:eastAsia="宋体" w:cs="Times New Roman"/>
                <w:b/>
                <w:bCs/>
                <w:color w:val="auto"/>
                <w:sz w:val="21"/>
                <w:szCs w:val="21"/>
              </w:rPr>
            </w:pPr>
          </w:p>
          <w:p w14:paraId="1393CC30">
            <w:pPr>
              <w:pStyle w:val="66"/>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jc w:val="center"/>
              <w:textAlignment w:val="auto"/>
              <w:rPr>
                <w:rStyle w:val="206"/>
                <w:rFonts w:hint="default" w:ascii="Times New Roman" w:hAnsi="Times New Roman" w:eastAsia="宋体" w:cs="Times New Roman"/>
                <w:b/>
                <w:bCs/>
                <w:color w:val="auto"/>
                <w:sz w:val="21"/>
                <w:szCs w:val="21"/>
              </w:rPr>
            </w:pPr>
          </w:p>
          <w:p w14:paraId="269980A8">
            <w:pPr>
              <w:pStyle w:val="66"/>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jc w:val="center"/>
              <w:textAlignment w:val="auto"/>
              <w:rPr>
                <w:rStyle w:val="206"/>
                <w:rFonts w:hint="default" w:ascii="Times New Roman" w:hAnsi="Times New Roman" w:eastAsia="宋体" w:cs="Times New Roman"/>
                <w:b/>
                <w:bCs/>
                <w:color w:val="auto"/>
                <w:sz w:val="21"/>
                <w:szCs w:val="21"/>
              </w:rPr>
            </w:pPr>
          </w:p>
          <w:p w14:paraId="537C814C">
            <w:pPr>
              <w:pStyle w:val="66"/>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jc w:val="center"/>
              <w:textAlignment w:val="auto"/>
              <w:rPr>
                <w:rStyle w:val="206"/>
                <w:rFonts w:hint="default" w:ascii="Times New Roman" w:hAnsi="Times New Roman" w:eastAsia="宋体" w:cs="Times New Roman"/>
                <w:b/>
                <w:bCs/>
                <w:color w:val="auto"/>
                <w:sz w:val="21"/>
                <w:szCs w:val="21"/>
              </w:rPr>
            </w:pPr>
          </w:p>
          <w:p w14:paraId="354FFF71">
            <w:pPr>
              <w:pStyle w:val="66"/>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jc w:val="center"/>
              <w:textAlignment w:val="auto"/>
              <w:rPr>
                <w:rStyle w:val="206"/>
                <w:rFonts w:hint="default" w:ascii="Times New Roman" w:hAnsi="Times New Roman" w:eastAsia="宋体" w:cs="Times New Roman"/>
                <w:b/>
                <w:bCs/>
                <w:color w:val="auto"/>
                <w:sz w:val="21"/>
                <w:szCs w:val="21"/>
              </w:rPr>
            </w:pPr>
          </w:p>
          <w:p w14:paraId="25D716AE">
            <w:pPr>
              <w:pStyle w:val="66"/>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jc w:val="center"/>
              <w:textAlignment w:val="auto"/>
              <w:rPr>
                <w:rStyle w:val="206"/>
                <w:rFonts w:hint="default" w:ascii="Times New Roman" w:hAnsi="Times New Roman" w:eastAsia="宋体" w:cs="Times New Roman"/>
                <w:b/>
                <w:bCs/>
                <w:color w:val="auto"/>
                <w:sz w:val="21"/>
                <w:szCs w:val="21"/>
              </w:rPr>
            </w:pPr>
          </w:p>
          <w:p w14:paraId="728EA0B5">
            <w:pPr>
              <w:pStyle w:val="66"/>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jc w:val="center"/>
              <w:textAlignment w:val="auto"/>
              <w:rPr>
                <w:rStyle w:val="206"/>
                <w:rFonts w:hint="default" w:ascii="Times New Roman" w:hAnsi="Times New Roman" w:eastAsia="宋体" w:cs="Times New Roman"/>
                <w:b/>
                <w:bCs/>
                <w:color w:val="auto"/>
                <w:sz w:val="21"/>
                <w:szCs w:val="21"/>
                <w:lang w:val="en-US" w:eastAsia="zh-CN"/>
              </w:rPr>
            </w:pPr>
          </w:p>
          <w:p w14:paraId="136784C3">
            <w:pPr>
              <w:pStyle w:val="66"/>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jc w:val="center"/>
              <w:textAlignment w:val="auto"/>
              <w:rPr>
                <w:rFonts w:hint="eastAsia" w:ascii="Times New Roman" w:hAnsi="Times New Roman" w:eastAsia="宋体" w:cs="Times New Roman"/>
                <w:color w:val="auto"/>
                <w:sz w:val="24"/>
                <w:highlight w:val="none"/>
                <w:lang w:val="en-US" w:eastAsia="zh-CN"/>
              </w:rPr>
            </w:pPr>
            <w:r>
              <w:rPr>
                <w:color w:val="auto"/>
                <w:sz w:val="24"/>
              </w:rPr>
              <mc:AlternateContent>
                <mc:Choice Requires="wps">
                  <w:drawing>
                    <wp:anchor distT="0" distB="0" distL="114300" distR="114300" simplePos="0" relativeHeight="251670528" behindDoc="0" locked="0" layoutInCell="1" allowOverlap="1">
                      <wp:simplePos x="0" y="0"/>
                      <wp:positionH relativeFrom="column">
                        <wp:posOffset>269875</wp:posOffset>
                      </wp:positionH>
                      <wp:positionV relativeFrom="paragraph">
                        <wp:posOffset>123190</wp:posOffset>
                      </wp:positionV>
                      <wp:extent cx="3948430" cy="5368925"/>
                      <wp:effectExtent l="6350" t="6350" r="7620" b="15875"/>
                      <wp:wrapNone/>
                      <wp:docPr id="29" name="矩形 29"/>
                      <wp:cNvGraphicFramePr/>
                      <a:graphic xmlns:a="http://schemas.openxmlformats.org/drawingml/2006/main">
                        <a:graphicData uri="http://schemas.microsoft.com/office/word/2010/wordprocessingShape">
                          <wps:wsp>
                            <wps:cNvSpPr/>
                            <wps:spPr>
                              <a:xfrm>
                                <a:off x="2390775" y="1209675"/>
                                <a:ext cx="3948430" cy="5368925"/>
                              </a:xfrm>
                              <a:prstGeom prst="rect">
                                <a:avLst/>
                              </a:prstGeom>
                              <a:noFill/>
                              <a:ln>
                                <a:solidFill>
                                  <a:schemeClr val="tx1"/>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1.25pt;margin-top:9.7pt;height:422.75pt;width:310.9pt;z-index:251670528;v-text-anchor:middle;mso-width-relative:page;mso-height-relative:page;" filled="f" stroked="t" coordsize="21600,21600" o:gfxdata="UEsDBAoAAAAAAIdO4kAAAAAAAAAAAAAAAAAEAAAAZHJzL1BLAwQUAAAACACHTuJAz1xlpNgAAAAJ&#10;AQAADwAAAGRycy9kb3ducmV2LnhtbE2PwU7DMBBE70j8g7VI3Kjd4kRtiNNDEAcEEqJw4baNlyQQ&#10;25HtJOXvMSd6nJ3RzNtyfzIDm8mH3lkF65UARrZxuretgve3h5stsBDRahycJQU/FGBfXV6UWGi3&#10;2FeaD7FlqcSGAhV0MY4F56HpyGBYuZFs8j6dNxiT9C3XHpdUbga+ESLnBnubFjocqe6o+T5MRsFH&#10;9sVf+nrB6fnx/imbvRO1dEpdX63FHbBIp/gfhj/8hA5VYjq6yerABgVyk6Vkuu8ksOTnubwFdlSw&#10;zeUOeFXy8w+qX1BLAwQUAAAACACHTuJAsD3143QCAADaBAAADgAAAGRycy9lMm9Eb2MueG1srVRL&#10;bhQxEN0jcQfLe9I9n2Q+Sk80yigIKSKRAmLtcbunLfmH7fmEyyCx4xAcB3ENnt2dZAgssmAWnqqu&#10;8iu/5yqfXxy0Ijvhg7SmooOTkhJhuK2l2VT044erN1NKQmSmZsoaUdF7EejF4vWr872bi6FtraqF&#10;JwAxYb53FW1jdPOiCLwVmoUT64RBsLFeswjXb4rasz3QtSqGZXlW7K2vnbdchICvqy5Ie0T/EkDb&#10;NJKLleVbLUzsUL1QLIJSaKULdJFP2zSCx5umCSISVVEwjXlFEdjrtBaLczbfeOZayfsjsJcc4Rkn&#10;zaRB0UeoFYuMbL38C0pL7m2wTTzhVhcdkawIWAzKZ9rctcyJzAVSB/coevh/sPz97tYTWVd0OKPE&#10;MI0b//X1+88f3wg+QJ29C3Mk3blb33sBZqJ6aLxO/yBBDtg/mpWTySkl9+iqYTk7g53VFYdIOBJG&#10;s/F0PILwHBmno7PpbJgziico50N8K6wmyaiox/VlVdnuOkSAIfUhJVU29koqlYsoQ/ap7qRMBRj6&#10;skE/wNQO3ILZUMLUBg3Po8+QwSpZp+0JKPjN+lJ5smOpTfIvnR3l/khLtVcstF1eDnUUtYyYCSV1&#10;RafHu5UBSFKw0yxZa1vfQ3Fvu1YMjl9JwF6zEG+ZR+/h/JjOeIOlURakbG9R0lr/5V/fUz5aAlFK&#10;9uhlEP68ZV5Qot4ZNMtsMB4DNmZnfDoZwvHHkfVxxGz1pYUOA7wDjmcz5Uf1YDbe6k8Y4mWqihAz&#10;HLU7aXvnMnYzhmeAi+Uyp6HhHYvX5s7xBN5d4HIbbSPz3T6p04uGls930I9nmqljP2c9PUmL3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OUEAABb&#10;Q29udGVudF9UeXBlc10ueG1sUEsBAhQACgAAAAAAh07iQAAAAAAAAAAAAAAAAAYAAAAAAAAAAAAQ&#10;AAAAxwMAAF9yZWxzL1BLAQIUABQAAAAIAIdO4kCKFGY80QAAAJQBAAALAAAAAAAAAAEAIAAAAOsD&#10;AABfcmVscy8ucmVsc1BLAQIUAAoAAAAAAIdO4kAAAAAAAAAAAAAAAAAEAAAAAAAAAAAAEAAAAAAA&#10;AABkcnMvUEsBAhQAFAAAAAgAh07iQM9cZaTYAAAACQEAAA8AAAAAAAAAAQAgAAAAIgAAAGRycy9k&#10;b3ducmV2LnhtbFBLAQIUABQAAAAIAIdO4kCwPfXjdAIAANoEAAAOAAAAAAAAAAEAIAAAACcBAABk&#10;cnMvZTJvRG9jLnhtbFBLBQYAAAAABgAGAFkBAAANBgAAAAA=&#10;">
                      <v:fill on="f" focussize="0,0"/>
                      <v:stroke weight="1pt" color="#000000 [3213]" miterlimit="8" joinstyle="miter"/>
                      <v:imagedata o:title=""/>
                      <o:lock v:ext="edit" aspectratio="f"/>
                    </v:rect>
                  </w:pict>
                </mc:Fallback>
              </mc:AlternateContent>
            </w:r>
            <w:r>
              <w:rPr>
                <w:color w:val="auto"/>
                <w:sz w:val="24"/>
              </w:rPr>
              <mc:AlternateContent>
                <mc:Choice Requires="wps">
                  <w:drawing>
                    <wp:anchor distT="0" distB="0" distL="114300" distR="114300" simplePos="0" relativeHeight="251669504" behindDoc="0" locked="0" layoutInCell="1" allowOverlap="1">
                      <wp:simplePos x="0" y="0"/>
                      <wp:positionH relativeFrom="column">
                        <wp:posOffset>2025650</wp:posOffset>
                      </wp:positionH>
                      <wp:positionV relativeFrom="paragraph">
                        <wp:posOffset>2160270</wp:posOffset>
                      </wp:positionV>
                      <wp:extent cx="1158875" cy="452755"/>
                      <wp:effectExtent l="141605" t="6350" r="13970" b="474345"/>
                      <wp:wrapNone/>
                      <wp:docPr id="28" name="矩形标注 28"/>
                      <wp:cNvGraphicFramePr/>
                      <a:graphic xmlns:a="http://schemas.openxmlformats.org/drawingml/2006/main">
                        <a:graphicData uri="http://schemas.microsoft.com/office/word/2010/wordprocessingShape">
                          <wps:wsp>
                            <wps:cNvSpPr/>
                            <wps:spPr>
                              <a:xfrm>
                                <a:off x="0" y="0"/>
                                <a:ext cx="1158875" cy="452755"/>
                              </a:xfrm>
                              <a:prstGeom prst="wedgeRectCallout">
                                <a:avLst>
                                  <a:gd name="adj1" fmla="val -59863"/>
                                  <a:gd name="adj2" fmla="val 146633"/>
                                </a:avLst>
                              </a:prstGeom>
                              <a:noFill/>
                              <a:ln>
                                <a:solidFill>
                                  <a:srgbClr val="FF0000"/>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5CED8F1C">
                                  <w:pPr>
                                    <w:jc w:val="center"/>
                                    <w:rPr>
                                      <w:rFonts w:hint="eastAsia" w:eastAsia="宋体"/>
                                      <w:color w:val="FF0000"/>
                                      <w:lang w:val="en-US" w:eastAsia="zh-CN"/>
                                    </w:rPr>
                                  </w:pPr>
                                  <w:r>
                                    <w:rPr>
                                      <w:rFonts w:hint="eastAsia"/>
                                      <w:color w:val="FF0000"/>
                                      <w:lang w:val="en-US" w:eastAsia="zh-CN"/>
                                    </w:rPr>
                                    <w:t>本项目</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1" type="#_x0000_t61" style="position:absolute;left:0pt;margin-left:159.5pt;margin-top:170.1pt;height:35.65pt;width:91.25pt;z-index:251669504;v-text-anchor:middle;mso-width-relative:page;mso-height-relative:page;" filled="f" stroked="t" coordsize="21600,21600" o:gfxdata="UEsDBAoAAAAAAIdO4kAAAAAAAAAAAAAAAAAEAAAAZHJzL1BLAwQUAAAACACHTuJAIEziR9oAAAAL&#10;AQAADwAAAGRycy9kb3ducmV2LnhtbE2PwU7DMBBE70j8g7VIXBC1k7aohDhVQeLCCZpKXJ14SaLG&#10;6xC7afh7lhO9zWhHs2/y7ex6MeEYOk8akoUCgVR721Gj4VC+3m9AhGjImt4TavjBANvi+io3mfVn&#10;+sBpHxvBJRQyo6GNccikDHWLzoSFH5D49uVHZyLbsZF2NGcud71MlXqQznTEH1oz4EuL9XF/chrm&#10;t+Wd35Sf5e47rQ7HdHie3nez1rc3iXoCEXGO/2H4w2d0KJip8ieyQfQalskjb4ksVioFwYm1StYg&#10;Kg2rhIUscnm5ofgFUEsDBBQAAAAIAIdO4kAH08T4rQIAAD0FAAAOAAAAZHJzL2Uyb0RvYy54bWyt&#10;VM1uEzEQviPxDpbv7Wa32SSNuqmiREFIFa0oiLPjtbNG/sN2sikvwGOAOMGZM49DeQ3G3m0bCgcO&#10;5LCZ8Yxn5vtmxmfneyXRjjkvjK5wfjzAiGlqaqE3FX79anU0wcgHomsijWYVvmEen8+ePjlr7ZQV&#10;pjGyZg5BEO2nra1wE4KdZpmnDVPEHxvLNBi5cYoEUN0mqx1pIbqSWTEYjLLWuNo6Q5n3cLrsjLiP&#10;6P4loOFcULY0dKuYDl1UxyQJAMk3wno8S9Vyzmi45NyzgGSFAWlIX0gC8jp+s9kZmW4csY2gfQnk&#10;X0p4hEkRoSHpfaglCQRtnfgjlBLUGW94OKZGZR2QxAigyAePuLluiGUJC1Dt7T3p/v+FpS92Vw6J&#10;usIF9F0TBR3/+fHrj++fbz99uP32BcExcNRaPwXXa3vles2DGAHvuVPxH6CgfeL15p5Xtg+IwmGe&#10;l5PJuMSIgm1YFuOyjEGzh9vW+fCMGYWiUOGW1Rv2Epq3IFKabUjUkt2FD4njui+U1G9zjLiS0LId&#10;keioPJ2MTvqeHjgVh075cDQ6SU6Qv48J0l0FMYE2KyFlGg2pUQsAivEAJoYSmHcOcwaissCZ1xuM&#10;iNzAItHgUpXeSFHH6zGQd5v1QjoExVV4tRrArwf+m1vMvSS+6fySqQOhRIBdk0JVeBIv392WGtiL&#10;Pem6EKWwX+/71qxNfQNNdaabdm/pSkCGC+LDFXHAFUCBByBcwodLA/hML2HUGPf+b+fRH6YOrBi1&#10;sC6A/d2WOIaRfK5hHk/z4TDuV1KG5bgAxR1a1ocWvVULA5RA96C6JEb/IO9E7ox6A+/EPGYFE9EU&#10;cncs98oidGsMLw1l83lyg52yJFzoa0tj8K6X820wXIQ4cJGojp1ega1Kc9i/AHFtD/Xk9fDqzX4B&#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IAUA&#10;AFtDb250ZW50X1R5cGVzXS54bWxQSwECFAAKAAAAAACHTuJAAAAAAAAAAAAAAAAABgAAAAAAAAAA&#10;ABAAAAACBAAAX3JlbHMvUEsBAhQAFAAAAAgAh07iQIoUZjzRAAAAlAEAAAsAAAAAAAAAAQAgAAAA&#10;JgQAAF9yZWxzLy5yZWxzUEsBAhQACgAAAAAAh07iQAAAAAAAAAAAAAAAAAQAAAAAAAAAAAAQAAAA&#10;AAAAAGRycy9QSwECFAAUAAAACACHTuJAIEziR9oAAAALAQAADwAAAAAAAAABACAAAAAiAAAAZHJz&#10;L2Rvd25yZXYueG1sUEsBAhQAFAAAAAgAh07iQAfTxPitAgAAPQUAAA4AAAAAAAAAAQAgAAAAKQEA&#10;AGRycy9lMm9Eb2MueG1sUEsFBgAAAAAGAAYAWQEAAEgGAAAAAA==&#10;" adj="-2130,42473">
                      <v:fill on="f" focussize="0,0"/>
                      <v:stroke weight="1pt" color="#FF0000 [2404]" miterlimit="8" joinstyle="miter"/>
                      <v:imagedata o:title=""/>
                      <o:lock v:ext="edit" aspectratio="f"/>
                      <v:textbox>
                        <w:txbxContent>
                          <w:p w14:paraId="5CED8F1C">
                            <w:pPr>
                              <w:jc w:val="center"/>
                              <w:rPr>
                                <w:rFonts w:hint="eastAsia" w:eastAsia="宋体"/>
                                <w:color w:val="FF0000"/>
                                <w:lang w:val="en-US" w:eastAsia="zh-CN"/>
                              </w:rPr>
                            </w:pPr>
                            <w:r>
                              <w:rPr>
                                <w:rFonts w:hint="eastAsia"/>
                                <w:color w:val="FF0000"/>
                                <w:lang w:val="en-US" w:eastAsia="zh-CN"/>
                              </w:rPr>
                              <w:t>本项目</w:t>
                            </w:r>
                          </w:p>
                        </w:txbxContent>
                      </v:textbox>
                    </v:shape>
                  </w:pict>
                </mc:Fallback>
              </mc:AlternateContent>
            </w:r>
            <w:r>
              <w:rPr>
                <w:color w:val="auto"/>
                <w:sz w:val="24"/>
              </w:rPr>
              <mc:AlternateContent>
                <mc:Choice Requires="wps">
                  <w:drawing>
                    <wp:anchor distT="0" distB="0" distL="114300" distR="114300" simplePos="0" relativeHeight="251668480" behindDoc="0" locked="0" layoutInCell="1" allowOverlap="1">
                      <wp:simplePos x="0" y="0"/>
                      <wp:positionH relativeFrom="column">
                        <wp:posOffset>1802765</wp:posOffset>
                      </wp:positionH>
                      <wp:positionV relativeFrom="paragraph">
                        <wp:posOffset>3045460</wp:posOffset>
                      </wp:positionV>
                      <wp:extent cx="75565" cy="75565"/>
                      <wp:effectExtent l="19050" t="21590" r="19685" b="17145"/>
                      <wp:wrapNone/>
                      <wp:docPr id="27" name="五角星 27"/>
                      <wp:cNvGraphicFramePr/>
                      <a:graphic xmlns:a="http://schemas.openxmlformats.org/drawingml/2006/main">
                        <a:graphicData uri="http://schemas.microsoft.com/office/word/2010/wordprocessingShape">
                          <wps:wsp>
                            <wps:cNvSpPr/>
                            <wps:spPr>
                              <a:xfrm>
                                <a:off x="0" y="0"/>
                                <a:ext cx="75565" cy="75565"/>
                              </a:xfrm>
                              <a:prstGeom prst="star5">
                                <a:avLst/>
                              </a:prstGeom>
                              <a:solidFill>
                                <a:srgbClr val="FF0000"/>
                              </a:solidFill>
                              <a:ln>
                                <a:solidFill>
                                  <a:srgbClr val="FF000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style="position:absolute;left:0pt;margin-left:141.95pt;margin-top:239.8pt;height:5.95pt;width:5.95pt;z-index:251668480;v-text-anchor:middle;mso-width-relative:page;mso-height-relative:page;" fillcolor="#FF0000" filled="t" stroked="t" coordsize="75565,75565" o:gfxdata="UEsDBAoAAAAAAIdO4kAAAAAAAAAAAAAAAAAEAAAAZHJzL1BLAwQUAAAACACHTuJAm6P0VNwAAAAL&#10;AQAADwAAAGRycy9kb3ducmV2LnhtbE2Py07DMBBF90j8gzVIbBC1E/pKiNMFqEJsqpJ20aUbD0lU&#10;P0LsNuXvGVawnJmjO+cWq6s17IJD6LyTkEwEMHS1151rJOx368clsBCV08p4hxK+McCqvL0pVK79&#10;6D7wUsWGUYgLuZLQxtjnnIe6RavCxPfo6PbpB6sijUPD9aBGCreGp0LMuVWdow+t6vGlxfpUna2E&#10;g672b+/9adx+Paz5tpvuhNm8Snl/l4hnYBGv8Q+GX31Sh5Kcjv7sdGBGQrp8ygiVMF1kc2BEpNmM&#10;yhxpkyUz4GXB/3cofwBQSwMEFAAAAAgAh07iQEz50aNwAgAA9wQAAA4AAABkcnMvZTJvRG9jLnht&#10;bK1UzW4TMRC+I/EOlu90k6hpStRNFTUKQqpopYI4O15v1pL/sJ1symMgDtw49h14HoR4DD57t01a&#10;OPRADs6MZ/abmW9mfHa+04pshQ/SmpIOjwaUCMNtJc26pB/eL1+dUhIiMxVT1oiS3opAz2cvX5y1&#10;bipGtrGqEp4AxIRp60raxOimRRF4IzQLR9YJA2NtvWYRql8XlWct0LUqRoPBSdFaXzlvuQgBt4vO&#10;SHtE/xxAW9eSi4XlGy1M7FC9UCyipNBIF+gsZ1vXgserug4iElVSVBrziSCQV+ksZmdsuvbMNZL3&#10;KbDnpPCkJs2kQdAHqAWLjGy8/AtKS+5tsHU84lYXXSGZEVQxHDzh5qZhTuRaQHVwD6SH/wfL322v&#10;PZFVSUcTSgzT6PjPH19/33359e07wR0Ial2Ywu/GXfteCxBTtbva6/SPOsguk3r7QKrYRcJxORmP&#10;T8aUcFg6ERjF/lPnQ3wjrCZJKCkmz48zk2x7GWLne++TQgWrZLWUSmXFr1cXypMtQ3uXywF+KWHA&#10;P3JThrQY9dEEZsIZhrbGsEDUDoUHs6aEqTW2gUefYz/6OjwvSEpywULTJZMRuunSMmJhlNQlPU0Z&#10;3qeoDDJN3HZsJmllq1u0w9tuToPjSwnYSxbiNfMYTOSP1Y1XOGplUZTtJUoa6z//6z75Y15gpaTF&#10;oKPgTxvmBSXqrcEkvR4eH6fNyMrxeDKC4g8tq0OL2egLC7KHeCQcz2Lyj+perL3VH7Hh8xQVJmY4&#10;YnfU9spF7BYQbwQX83l2wzY4Fi/NjeMJPDXX2Pkm2lrmIdiz05OGfciN7nc3Ldyhnr3279XsD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OUEAABb&#10;Q29udGVudF9UeXBlc10ueG1sUEsBAhQACgAAAAAAh07iQAAAAAAAAAAAAAAAAAYAAAAAAAAAAAAQ&#10;AAAAxwMAAF9yZWxzL1BLAQIUABQAAAAIAIdO4kCKFGY80QAAAJQBAAALAAAAAAAAAAEAIAAAAOsD&#10;AABfcmVscy8ucmVsc1BLAQIUAAoAAAAAAIdO4kAAAAAAAAAAAAAAAAAEAAAAAAAAAAAAEAAAAAAA&#10;AABkcnMvUEsBAhQAFAAAAAgAh07iQJuj9FTcAAAACwEAAA8AAAAAAAAAAQAgAAAAIgAAAGRycy9k&#10;b3ducmV2LnhtbFBLAQIUABQAAAAIAIdO4kBM+dGjcAIAAPcEAAAOAAAAAAAAAAEAIAAAACsBAABk&#10;cnMvZTJvRG9jLnhtbFBLBQYAAAAABgAGAFkBAAANBgAAAAA=&#10;" path="m0,28863l28863,28863,37782,0,46701,28863,75564,28863,52213,46701,61133,75564,37782,57726,14431,75564,23351,46701xe">
                      <v:path o:connectlocs="37782,0;0,28863;14431,75564;61133,75564;75564,28863" o:connectangles="247,164,82,82,0"/>
                      <v:fill on="t" focussize="0,0"/>
                      <v:stroke weight="1pt" color="#FF0000 [2404]" miterlimit="8" joinstyle="miter"/>
                      <v:imagedata o:title=""/>
                      <o:lock v:ext="edit" aspectratio="f"/>
                    </v:shape>
                  </w:pict>
                </mc:Fallback>
              </mc:AlternateContent>
            </w:r>
            <w:r>
              <w:rPr>
                <w:color w:val="auto"/>
              </w:rPr>
              <w:drawing>
                <wp:inline distT="0" distB="0" distL="114300" distR="114300">
                  <wp:extent cx="3867150" cy="5466080"/>
                  <wp:effectExtent l="0" t="0" r="0" b="1270"/>
                  <wp:docPr id="26"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10"/>
                          <pic:cNvPicPr>
                            <a:picLocks noChangeAspect="1"/>
                          </pic:cNvPicPr>
                        </pic:nvPicPr>
                        <pic:blipFill>
                          <a:blip r:embed="rId9"/>
                          <a:stretch>
                            <a:fillRect/>
                          </a:stretch>
                        </pic:blipFill>
                        <pic:spPr>
                          <a:xfrm>
                            <a:off x="0" y="0"/>
                            <a:ext cx="3867150" cy="5466080"/>
                          </a:xfrm>
                          <a:prstGeom prst="rect">
                            <a:avLst/>
                          </a:prstGeom>
                          <a:noFill/>
                          <a:ln>
                            <a:noFill/>
                          </a:ln>
                        </pic:spPr>
                      </pic:pic>
                    </a:graphicData>
                  </a:graphic>
                </wp:inline>
              </w:drawing>
            </w:r>
          </w:p>
          <w:p w14:paraId="63551860">
            <w:pPr>
              <w:pStyle w:val="66"/>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jc w:val="center"/>
              <w:textAlignment w:val="auto"/>
              <w:rPr>
                <w:rStyle w:val="206"/>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highlight w:val="none"/>
                <w:lang w:val="en-US" w:eastAsia="zh-CN"/>
              </w:rPr>
              <w:t>图1-</w:t>
            </w:r>
            <w:r>
              <w:rPr>
                <w:rFonts w:hint="eastAsia" w:cs="Times New Roman"/>
                <w:b/>
                <w:bCs/>
                <w:color w:val="auto"/>
                <w:sz w:val="21"/>
                <w:szCs w:val="21"/>
                <w:highlight w:val="none"/>
                <w:lang w:val="en-US" w:eastAsia="zh-CN"/>
              </w:rPr>
              <w:t>2</w:t>
            </w:r>
            <w:r>
              <w:rPr>
                <w:rFonts w:hint="default" w:ascii="Times New Roman" w:hAnsi="Times New Roman" w:eastAsia="宋体" w:cs="Times New Roman"/>
                <w:b/>
                <w:bCs/>
                <w:color w:val="auto"/>
                <w:sz w:val="21"/>
                <w:szCs w:val="21"/>
                <w:highlight w:val="none"/>
                <w:lang w:val="en-US" w:eastAsia="zh-CN"/>
              </w:rPr>
              <w:t xml:space="preserve"> </w:t>
            </w:r>
            <w:r>
              <w:rPr>
                <w:rStyle w:val="206"/>
                <w:rFonts w:hint="default" w:ascii="Times New Roman" w:hAnsi="Times New Roman" w:eastAsia="宋体" w:cs="Times New Roman"/>
                <w:b/>
                <w:bCs/>
                <w:color w:val="auto"/>
                <w:sz w:val="21"/>
                <w:szCs w:val="21"/>
              </w:rPr>
              <w:t>项目与</w:t>
            </w:r>
            <w:r>
              <w:rPr>
                <w:rStyle w:val="206"/>
                <w:rFonts w:hint="default" w:ascii="Times New Roman" w:hAnsi="Times New Roman" w:eastAsia="宋体" w:cs="Times New Roman"/>
                <w:b/>
                <w:bCs/>
                <w:color w:val="auto"/>
                <w:sz w:val="21"/>
                <w:szCs w:val="21"/>
                <w:lang w:val="en-US" w:eastAsia="zh-CN"/>
              </w:rPr>
              <w:t>巴中</w:t>
            </w:r>
            <w:r>
              <w:rPr>
                <w:rStyle w:val="206"/>
                <w:rFonts w:hint="default" w:ascii="Times New Roman" w:hAnsi="Times New Roman" w:eastAsia="宋体" w:cs="Times New Roman"/>
                <w:b/>
                <w:bCs/>
                <w:color w:val="auto"/>
                <w:sz w:val="21"/>
                <w:szCs w:val="21"/>
              </w:rPr>
              <w:t>市</w:t>
            </w:r>
            <w:r>
              <w:rPr>
                <w:rStyle w:val="206"/>
                <w:rFonts w:hint="eastAsia" w:ascii="Times New Roman" w:hAnsi="Times New Roman" w:eastAsia="宋体" w:cs="Times New Roman"/>
                <w:b/>
                <w:bCs/>
                <w:color w:val="auto"/>
                <w:sz w:val="21"/>
                <w:szCs w:val="21"/>
                <w:lang w:val="en-US" w:eastAsia="zh-CN"/>
              </w:rPr>
              <w:t>生态保护红线</w:t>
            </w:r>
            <w:r>
              <w:rPr>
                <w:rStyle w:val="206"/>
                <w:rFonts w:hint="default" w:ascii="Times New Roman" w:hAnsi="Times New Roman" w:eastAsia="宋体" w:cs="Times New Roman"/>
                <w:b/>
                <w:bCs/>
                <w:color w:val="auto"/>
                <w:sz w:val="21"/>
                <w:szCs w:val="21"/>
              </w:rPr>
              <w:t>位置关系图</w:t>
            </w:r>
          </w:p>
          <w:p w14:paraId="55EE58EF">
            <w:pPr>
              <w:pStyle w:val="66"/>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firstLine="480" w:firstLineChars="200"/>
              <w:textAlignment w:val="auto"/>
              <w:rPr>
                <w:rFonts w:hint="default" w:ascii="Times New Roman" w:hAnsi="Times New Roman" w:eastAsia="宋体" w:cs="Times New Roman"/>
                <w:color w:val="auto"/>
                <w:sz w:val="24"/>
                <w:highlight w:val="none"/>
                <w:lang w:val="en-US" w:eastAsia="zh-CN"/>
              </w:rPr>
            </w:pPr>
            <w:r>
              <w:rPr>
                <w:rFonts w:hint="eastAsia" w:ascii="Times New Roman" w:hAnsi="Times New Roman" w:eastAsia="宋体" w:cs="Times New Roman"/>
                <w:color w:val="auto"/>
                <w:sz w:val="24"/>
                <w:highlight w:val="none"/>
                <w:lang w:val="en-US" w:eastAsia="zh-CN"/>
              </w:rPr>
              <w:t>（</w:t>
            </w:r>
            <w:r>
              <w:rPr>
                <w:rFonts w:hint="default" w:ascii="Times New Roman" w:hAnsi="Times New Roman" w:eastAsia="宋体" w:cs="Times New Roman"/>
                <w:color w:val="auto"/>
                <w:sz w:val="24"/>
                <w:highlight w:val="none"/>
                <w:lang w:eastAsia="zh-CN"/>
              </w:rPr>
              <w:t>2</w:t>
            </w:r>
            <w:r>
              <w:rPr>
                <w:rFonts w:hint="eastAsia" w:ascii="Times New Roman" w:hAnsi="Times New Roman" w:eastAsia="宋体" w:cs="Times New Roman"/>
                <w:color w:val="auto"/>
                <w:sz w:val="24"/>
                <w:highlight w:val="none"/>
                <w:lang w:val="en-US" w:eastAsia="zh-CN"/>
              </w:rPr>
              <w:t>）生态环境分区管控单元</w:t>
            </w:r>
          </w:p>
          <w:p w14:paraId="01B99EC2">
            <w:pPr>
              <w:autoSpaceDE w:val="0"/>
              <w:autoSpaceDN w:val="0"/>
              <w:spacing w:line="360" w:lineRule="auto"/>
              <w:ind w:firstLine="480" w:firstLineChars="200"/>
              <w:rPr>
                <w:rFonts w:hint="default" w:ascii="Times New Roman" w:hAnsi="Times New Roman"/>
                <w:b w:val="0"/>
                <w:bCs w:val="0"/>
                <w:color w:val="auto"/>
                <w:sz w:val="24"/>
                <w:highlight w:val="none"/>
                <w:lang w:val="en-US" w:eastAsia="zh-CN"/>
              </w:rPr>
            </w:pPr>
            <w:r>
              <w:rPr>
                <w:rFonts w:hint="eastAsia" w:ascii="Times New Roman" w:hAnsi="Times New Roman"/>
                <w:b w:val="0"/>
                <w:bCs w:val="0"/>
                <w:color w:val="auto"/>
                <w:sz w:val="24"/>
                <w:highlight w:val="none"/>
                <w:lang w:val="en-US" w:eastAsia="zh-CN"/>
              </w:rPr>
              <w:t>本项目位</w:t>
            </w:r>
            <w:r>
              <w:rPr>
                <w:rFonts w:hint="eastAsia" w:ascii="Times New Roman" w:hAnsi="Times New Roman" w:eastAsia="宋体" w:cs="Times New Roman"/>
                <w:b w:val="0"/>
                <w:bCs w:val="0"/>
                <w:color w:val="auto"/>
                <w:sz w:val="24"/>
                <w:highlight w:val="none"/>
                <w:lang w:val="en-US" w:eastAsia="zh-CN"/>
              </w:rPr>
              <w:t>于四川省巴中市经开区创业路低空</w:t>
            </w:r>
            <w:r>
              <w:rPr>
                <w:rFonts w:hint="eastAsia" w:cs="Times New Roman"/>
                <w:b w:val="0"/>
                <w:bCs w:val="0"/>
                <w:color w:val="auto"/>
                <w:sz w:val="24"/>
                <w:highlight w:val="none"/>
                <w:lang w:val="en-US" w:eastAsia="zh-CN"/>
              </w:rPr>
              <w:t>数字</w:t>
            </w:r>
            <w:r>
              <w:rPr>
                <w:rFonts w:hint="eastAsia" w:ascii="Times New Roman" w:hAnsi="Times New Roman" w:eastAsia="宋体" w:cs="Times New Roman"/>
                <w:b w:val="0"/>
                <w:bCs w:val="0"/>
                <w:color w:val="auto"/>
                <w:sz w:val="24"/>
                <w:highlight w:val="none"/>
                <w:lang w:val="en-US" w:eastAsia="zh-CN"/>
              </w:rPr>
              <w:t>经济产业园，中心经纬度为（</w:t>
            </w:r>
            <w:r>
              <w:rPr>
                <w:rFonts w:hint="eastAsia" w:ascii="Times New Roman" w:hAnsi="Times New Roman" w:eastAsia="宋体"/>
                <w:color w:val="auto"/>
                <w:sz w:val="24"/>
                <w:highlight w:val="none"/>
                <w:lang w:val="en-US" w:eastAsia="zh-CN"/>
              </w:rPr>
              <w:t>10</w:t>
            </w:r>
            <w:r>
              <w:rPr>
                <w:rFonts w:hint="default" w:ascii="Times New Roman" w:hAnsi="Times New Roman" w:eastAsia="宋体"/>
                <w:color w:val="auto"/>
                <w:sz w:val="24"/>
                <w:highlight w:val="none"/>
                <w:lang w:eastAsia="zh-CN"/>
              </w:rPr>
              <w:t>6</w:t>
            </w:r>
            <w:r>
              <w:rPr>
                <w:rFonts w:hint="eastAsia" w:ascii="Times New Roman" w:hAnsi="Times New Roman"/>
                <w:color w:val="auto"/>
                <w:sz w:val="24"/>
                <w:highlight w:val="none"/>
                <w:lang w:val="en-US" w:eastAsia="zh-CN"/>
              </w:rPr>
              <w:t>°</w:t>
            </w:r>
            <w:r>
              <w:rPr>
                <w:rFonts w:hint="default" w:ascii="Times New Roman" w:hAnsi="Times New Roman"/>
                <w:color w:val="auto"/>
                <w:sz w:val="24"/>
                <w:highlight w:val="none"/>
                <w:lang w:eastAsia="zh-CN"/>
              </w:rPr>
              <w:t>53</w:t>
            </w:r>
            <w:r>
              <w:rPr>
                <w:rFonts w:hint="eastAsia" w:ascii="Times New Roman" w:hAnsi="Times New Roman"/>
                <w:color w:val="auto"/>
                <w:sz w:val="24"/>
                <w:highlight w:val="none"/>
                <w:lang w:val="en-US" w:eastAsia="zh-CN"/>
              </w:rPr>
              <w:t>′</w:t>
            </w:r>
            <w:r>
              <w:rPr>
                <w:rFonts w:hint="default" w:ascii="Times New Roman" w:hAnsi="Times New Roman"/>
                <w:color w:val="auto"/>
                <w:sz w:val="24"/>
                <w:highlight w:val="none"/>
                <w:lang w:eastAsia="zh-CN"/>
              </w:rPr>
              <w:t>41.840</w:t>
            </w:r>
            <w:r>
              <w:rPr>
                <w:rFonts w:hint="eastAsia" w:ascii="Times New Roman" w:hAnsi="Times New Roman"/>
                <w:color w:val="auto"/>
                <w:sz w:val="24"/>
                <w:highlight w:val="none"/>
                <w:lang w:val="en-US" w:eastAsia="zh-CN"/>
              </w:rPr>
              <w:t>″</w:t>
            </w:r>
            <w:r>
              <w:rPr>
                <w:rFonts w:hint="eastAsia" w:ascii="Times New Roman" w:hAnsi="Times New Roman"/>
                <w:color w:val="auto"/>
                <w:sz w:val="24"/>
                <w:highlight w:val="none"/>
              </w:rPr>
              <w:t>，</w:t>
            </w:r>
            <w:r>
              <w:rPr>
                <w:rFonts w:hint="default" w:ascii="Times New Roman" w:hAnsi="Times New Roman"/>
                <w:color w:val="auto"/>
                <w:sz w:val="24"/>
                <w:highlight w:val="none"/>
              </w:rPr>
              <w:t>3</w:t>
            </w:r>
            <w:r>
              <w:rPr>
                <w:rFonts w:hint="eastAsia"/>
                <w:color w:val="auto"/>
                <w:sz w:val="24"/>
                <w:highlight w:val="none"/>
                <w:lang w:val="en-US" w:eastAsia="zh-CN"/>
              </w:rPr>
              <w:t>1</w:t>
            </w:r>
            <w:r>
              <w:rPr>
                <w:rFonts w:hint="eastAsia" w:ascii="Times New Roman" w:hAnsi="Times New Roman"/>
                <w:color w:val="auto"/>
                <w:sz w:val="24"/>
                <w:highlight w:val="none"/>
                <w:lang w:val="en-US" w:eastAsia="zh-CN"/>
              </w:rPr>
              <w:t>°</w:t>
            </w:r>
            <w:r>
              <w:rPr>
                <w:rFonts w:hint="eastAsia"/>
                <w:color w:val="auto"/>
                <w:sz w:val="24"/>
                <w:highlight w:val="none"/>
                <w:lang w:val="en-US" w:eastAsia="zh-CN"/>
              </w:rPr>
              <w:t>51</w:t>
            </w:r>
            <w:r>
              <w:rPr>
                <w:rFonts w:hint="eastAsia" w:ascii="Times New Roman" w:hAnsi="Times New Roman"/>
                <w:color w:val="auto"/>
                <w:sz w:val="24"/>
                <w:highlight w:val="none"/>
                <w:lang w:val="en-US" w:eastAsia="zh-CN"/>
              </w:rPr>
              <w:t>′</w:t>
            </w:r>
            <w:r>
              <w:rPr>
                <w:rFonts w:hint="eastAsia"/>
                <w:color w:val="auto"/>
                <w:sz w:val="24"/>
                <w:highlight w:val="none"/>
                <w:lang w:val="en-US" w:eastAsia="zh-CN"/>
              </w:rPr>
              <w:t>22.378</w:t>
            </w:r>
            <w:r>
              <w:rPr>
                <w:rFonts w:hint="eastAsia" w:ascii="Times New Roman" w:hAnsi="Times New Roman"/>
                <w:color w:val="auto"/>
                <w:sz w:val="24"/>
                <w:highlight w:val="none"/>
                <w:lang w:val="en-US" w:eastAsia="zh-CN"/>
              </w:rPr>
              <w:t>″），经查四川省政务服务网“</w:t>
            </w:r>
            <w:r>
              <w:rPr>
                <w:rFonts w:hint="eastAsia" w:ascii="Times New Roman" w:hAnsi="Times New Roman" w:eastAsia="宋体" w:cs="Times New Roman"/>
                <w:b w:val="0"/>
                <w:bCs w:val="0"/>
                <w:color w:val="auto"/>
                <w:sz w:val="24"/>
                <w:lang w:val="en-US" w:eastAsia="zh-CN"/>
              </w:rPr>
              <w:t>四川省生态环境分区管控智能应用</w:t>
            </w:r>
            <w:r>
              <w:rPr>
                <w:rFonts w:hint="eastAsia" w:ascii="Times New Roman" w:hAnsi="Times New Roman"/>
                <w:color w:val="auto"/>
                <w:sz w:val="24"/>
                <w:highlight w:val="none"/>
                <w:lang w:val="en-US" w:eastAsia="zh-CN"/>
              </w:rPr>
              <w:t>”在线系统，本项目涉及管控单元信息如下：</w:t>
            </w:r>
          </w:p>
          <w:p w14:paraId="24EB2B6C">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b/>
                <w:bCs/>
                <w:color w:val="auto"/>
                <w:sz w:val="21"/>
                <w:szCs w:val="21"/>
                <w:highlight w:val="none"/>
                <w:vertAlign w:val="baseline"/>
                <w:lang w:val="en-US" w:eastAsia="zh-CN"/>
              </w:rPr>
            </w:pPr>
            <w:r>
              <w:rPr>
                <w:rFonts w:hint="eastAsia" w:ascii="Times New Roman" w:hAnsi="Times New Roman"/>
                <w:b/>
                <w:bCs/>
                <w:color w:val="auto"/>
                <w:sz w:val="21"/>
                <w:szCs w:val="21"/>
                <w:highlight w:val="none"/>
              </w:rPr>
              <w:t>表1-</w:t>
            </w:r>
            <w:r>
              <w:rPr>
                <w:rFonts w:hint="eastAsia" w:ascii="Times New Roman" w:hAnsi="Times New Roman"/>
                <w:b/>
                <w:bCs/>
                <w:color w:val="auto"/>
                <w:sz w:val="21"/>
                <w:szCs w:val="21"/>
                <w:highlight w:val="none"/>
                <w:lang w:val="en-US" w:eastAsia="zh-CN"/>
              </w:rPr>
              <w:t>3 本项目涉及的生态环境管控单元情况表</w:t>
            </w:r>
          </w:p>
          <w:tbl>
            <w:tblPr>
              <w:tblStyle w:val="42"/>
              <w:tblW w:w="6953"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712"/>
              <w:gridCol w:w="2209"/>
              <w:gridCol w:w="1186"/>
              <w:gridCol w:w="1846"/>
            </w:tblGrid>
            <w:tr w14:paraId="2187D09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86" w:hRule="atLeast"/>
                <w:jc w:val="center"/>
              </w:trPr>
              <w:tc>
                <w:tcPr>
                  <w:tcW w:w="1712" w:type="dxa"/>
                  <w:tcBorders>
                    <w:tl2br w:val="nil"/>
                    <w:tr2bl w:val="nil"/>
                  </w:tcBorders>
                  <w:shd w:val="clear" w:color="auto" w:fill="auto"/>
                  <w:noWrap w:val="0"/>
                  <w:vAlign w:val="center"/>
                </w:tcPr>
                <w:p w14:paraId="3BB054E2">
                  <w:pPr>
                    <w:autoSpaceDE w:val="0"/>
                    <w:autoSpaceDN w:val="0"/>
                    <w:adjustRightInd w:val="0"/>
                    <w:snapToGrid w:val="0"/>
                    <w:spacing w:line="240" w:lineRule="auto"/>
                    <w:jc w:val="center"/>
                    <w:rPr>
                      <w:rFonts w:hint="default" w:ascii="宋体" w:hAnsi="宋体" w:eastAsia="宋体" w:cs="宋体"/>
                      <w:b/>
                      <w:bCs/>
                      <w:color w:val="auto"/>
                      <w:kern w:val="0"/>
                      <w:szCs w:val="21"/>
                      <w:highlight w:val="none"/>
                      <w:lang w:val="en-US" w:eastAsia="zh-CN"/>
                    </w:rPr>
                  </w:pPr>
                  <w:r>
                    <w:rPr>
                      <w:rFonts w:hint="eastAsia" w:ascii="宋体" w:hAnsi="宋体" w:eastAsia="宋体" w:cs="宋体"/>
                      <w:b/>
                      <w:bCs/>
                      <w:color w:val="auto"/>
                      <w:kern w:val="0"/>
                      <w:szCs w:val="21"/>
                      <w:highlight w:val="none"/>
                    </w:rPr>
                    <w:t>环境管控单元编码</w:t>
                  </w:r>
                </w:p>
              </w:tc>
              <w:tc>
                <w:tcPr>
                  <w:tcW w:w="2209" w:type="dxa"/>
                  <w:tcBorders>
                    <w:tl2br w:val="nil"/>
                    <w:tr2bl w:val="nil"/>
                  </w:tcBorders>
                  <w:shd w:val="clear" w:color="auto" w:fill="auto"/>
                  <w:noWrap w:val="0"/>
                  <w:vAlign w:val="center"/>
                </w:tcPr>
                <w:p w14:paraId="42B19996">
                  <w:pPr>
                    <w:autoSpaceDE w:val="0"/>
                    <w:autoSpaceDN w:val="0"/>
                    <w:adjustRightInd w:val="0"/>
                    <w:snapToGrid w:val="0"/>
                    <w:spacing w:line="240" w:lineRule="auto"/>
                    <w:jc w:val="center"/>
                    <w:rPr>
                      <w:rFonts w:hint="eastAsia" w:ascii="宋体" w:hAnsi="宋体" w:eastAsia="宋体" w:cs="宋体"/>
                      <w:b/>
                      <w:bCs/>
                      <w:color w:val="auto"/>
                      <w:kern w:val="0"/>
                      <w:szCs w:val="21"/>
                      <w:highlight w:val="none"/>
                      <w:lang w:val="en-US" w:eastAsia="zh-CN"/>
                    </w:rPr>
                  </w:pPr>
                  <w:r>
                    <w:rPr>
                      <w:rFonts w:hint="eastAsia" w:ascii="宋体" w:hAnsi="宋体" w:eastAsia="宋体" w:cs="宋体"/>
                      <w:b/>
                      <w:bCs/>
                      <w:color w:val="auto"/>
                      <w:kern w:val="0"/>
                      <w:szCs w:val="21"/>
                      <w:highlight w:val="none"/>
                      <w:lang w:val="en-US" w:eastAsia="zh-CN"/>
                    </w:rPr>
                    <w:t>环境管控单元名称</w:t>
                  </w:r>
                </w:p>
              </w:tc>
              <w:tc>
                <w:tcPr>
                  <w:tcW w:w="1186" w:type="dxa"/>
                  <w:tcBorders>
                    <w:tl2br w:val="nil"/>
                    <w:tr2bl w:val="nil"/>
                  </w:tcBorders>
                  <w:shd w:val="clear" w:color="auto" w:fill="auto"/>
                  <w:noWrap w:val="0"/>
                  <w:vAlign w:val="center"/>
                </w:tcPr>
                <w:p w14:paraId="5C5CFABC">
                  <w:pPr>
                    <w:autoSpaceDE w:val="0"/>
                    <w:autoSpaceDN w:val="0"/>
                    <w:adjustRightInd w:val="0"/>
                    <w:snapToGrid w:val="0"/>
                    <w:spacing w:line="240" w:lineRule="auto"/>
                    <w:jc w:val="center"/>
                    <w:rPr>
                      <w:rFonts w:hint="default" w:ascii="宋体" w:hAnsi="宋体" w:eastAsia="宋体" w:cs="宋体"/>
                      <w:b/>
                      <w:bCs/>
                      <w:color w:val="auto"/>
                      <w:kern w:val="0"/>
                      <w:szCs w:val="21"/>
                      <w:highlight w:val="none"/>
                      <w:lang w:val="en-US" w:eastAsia="zh-CN"/>
                    </w:rPr>
                  </w:pPr>
                  <w:r>
                    <w:rPr>
                      <w:rFonts w:hint="eastAsia" w:ascii="宋体" w:hAnsi="宋体" w:eastAsia="宋体" w:cs="宋体"/>
                      <w:b/>
                      <w:bCs/>
                      <w:color w:val="auto"/>
                      <w:kern w:val="0"/>
                      <w:szCs w:val="21"/>
                      <w:highlight w:val="none"/>
                      <w:lang w:val="en-US" w:eastAsia="zh-CN"/>
                    </w:rPr>
                    <w:t>行政区划</w:t>
                  </w:r>
                </w:p>
              </w:tc>
              <w:tc>
                <w:tcPr>
                  <w:tcW w:w="1846" w:type="dxa"/>
                  <w:tcBorders>
                    <w:tl2br w:val="nil"/>
                    <w:tr2bl w:val="nil"/>
                  </w:tcBorders>
                  <w:shd w:val="clear" w:color="auto" w:fill="auto"/>
                  <w:noWrap w:val="0"/>
                  <w:vAlign w:val="center"/>
                </w:tcPr>
                <w:p w14:paraId="22B76947">
                  <w:pPr>
                    <w:autoSpaceDE w:val="0"/>
                    <w:autoSpaceDN w:val="0"/>
                    <w:adjustRightInd w:val="0"/>
                    <w:snapToGrid w:val="0"/>
                    <w:spacing w:line="240" w:lineRule="auto"/>
                    <w:jc w:val="center"/>
                    <w:rPr>
                      <w:rFonts w:hint="eastAsia" w:ascii="宋体" w:hAnsi="宋体" w:eastAsia="宋体" w:cs="宋体"/>
                      <w:b/>
                      <w:bCs/>
                      <w:color w:val="auto"/>
                      <w:kern w:val="0"/>
                      <w:szCs w:val="21"/>
                      <w:highlight w:val="none"/>
                      <w:lang w:val="en-US" w:eastAsia="zh-CN"/>
                    </w:rPr>
                  </w:pPr>
                  <w:r>
                    <w:rPr>
                      <w:rFonts w:hint="eastAsia" w:ascii="宋体" w:hAnsi="宋体" w:eastAsia="宋体" w:cs="宋体"/>
                      <w:b/>
                      <w:bCs/>
                      <w:color w:val="auto"/>
                      <w:kern w:val="0"/>
                      <w:szCs w:val="21"/>
                      <w:highlight w:val="none"/>
                      <w:lang w:val="en-US" w:eastAsia="zh-CN"/>
                    </w:rPr>
                    <w:t>环境管控单元类型</w:t>
                  </w:r>
                </w:p>
              </w:tc>
            </w:tr>
            <w:tr w14:paraId="4D2B706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trHeight w:val="844" w:hRule="atLeast"/>
                <w:jc w:val="center"/>
              </w:trPr>
              <w:tc>
                <w:tcPr>
                  <w:tcW w:w="1712" w:type="dxa"/>
                  <w:tcBorders>
                    <w:tl2br w:val="nil"/>
                    <w:tr2bl w:val="nil"/>
                  </w:tcBorders>
                  <w:noWrap w:val="0"/>
                  <w:vAlign w:val="center"/>
                </w:tcPr>
                <w:p w14:paraId="3AD4E704">
                  <w:pPr>
                    <w:autoSpaceDE w:val="0"/>
                    <w:autoSpaceDN w:val="0"/>
                    <w:adjustRightInd w:val="0"/>
                    <w:snapToGrid w:val="0"/>
                    <w:spacing w:line="240" w:lineRule="auto"/>
                    <w:jc w:val="center"/>
                    <w:rPr>
                      <w:rFonts w:hint="default" w:ascii="Times New Roman" w:hAnsi="Times New Roman" w:eastAsia="宋体" w:cs="Times New Roman"/>
                      <w:color w:val="auto"/>
                      <w:kern w:val="0"/>
                      <w:szCs w:val="21"/>
                      <w:highlight w:val="none"/>
                      <w:lang w:val="en-US" w:eastAsia="zh-CN"/>
                    </w:rPr>
                  </w:pPr>
                  <w:r>
                    <w:rPr>
                      <w:rFonts w:ascii="Times New Roman" w:hAnsi="Times New Roman" w:eastAsia="宋体" w:cs="Times New Roman"/>
                      <w:color w:val="auto"/>
                      <w:kern w:val="0"/>
                      <w:szCs w:val="21"/>
                      <w:highlight w:val="none"/>
                    </w:rPr>
                    <w:t>ZH51190220006</w:t>
                  </w:r>
                </w:p>
              </w:tc>
              <w:tc>
                <w:tcPr>
                  <w:tcW w:w="2209" w:type="dxa"/>
                  <w:tcBorders>
                    <w:tl2br w:val="nil"/>
                    <w:tr2bl w:val="nil"/>
                  </w:tcBorders>
                  <w:noWrap w:val="0"/>
                  <w:vAlign w:val="center"/>
                </w:tcPr>
                <w:p w14:paraId="73D47D9C">
                  <w:pPr>
                    <w:autoSpaceDE w:val="0"/>
                    <w:autoSpaceDN w:val="0"/>
                    <w:adjustRightInd w:val="0"/>
                    <w:snapToGrid w:val="0"/>
                    <w:spacing w:line="240" w:lineRule="auto"/>
                    <w:jc w:val="center"/>
                    <w:rPr>
                      <w:rFonts w:hint="default" w:ascii="Times New Roman" w:hAnsi="Times New Roman" w:eastAsia="宋体" w:cs="Times New Roman"/>
                      <w:color w:val="auto"/>
                      <w:kern w:val="0"/>
                      <w:szCs w:val="21"/>
                      <w:highlight w:val="none"/>
                      <w:lang w:val="en-US" w:eastAsia="zh-CN"/>
                    </w:rPr>
                  </w:pPr>
                  <w:r>
                    <w:rPr>
                      <w:rFonts w:ascii="Times New Roman" w:hAnsi="Times New Roman" w:eastAsia="宋体" w:cs="Times New Roman"/>
                      <w:color w:val="auto"/>
                      <w:kern w:val="0"/>
                      <w:szCs w:val="21"/>
                      <w:highlight w:val="none"/>
                    </w:rPr>
                    <w:t>四川巴中经开区（核心区块、金堂区块）</w:t>
                  </w:r>
                </w:p>
              </w:tc>
              <w:tc>
                <w:tcPr>
                  <w:tcW w:w="1186" w:type="dxa"/>
                  <w:tcBorders>
                    <w:tl2br w:val="nil"/>
                    <w:tr2bl w:val="nil"/>
                  </w:tcBorders>
                  <w:noWrap w:val="0"/>
                  <w:vAlign w:val="center"/>
                </w:tcPr>
                <w:p w14:paraId="4EDD4FBC">
                  <w:pPr>
                    <w:autoSpaceDE w:val="0"/>
                    <w:autoSpaceDN w:val="0"/>
                    <w:adjustRightInd w:val="0"/>
                    <w:snapToGrid w:val="0"/>
                    <w:spacing w:line="240" w:lineRule="auto"/>
                    <w:jc w:val="center"/>
                    <w:rPr>
                      <w:rFonts w:hint="default" w:ascii="Times New Roman" w:hAnsi="Times New Roman" w:eastAsia="宋体" w:cs="Times New Roman"/>
                      <w:color w:val="auto"/>
                      <w:kern w:val="0"/>
                      <w:szCs w:val="21"/>
                      <w:highlight w:val="none"/>
                      <w:lang w:val="en-US" w:eastAsia="zh-CN"/>
                    </w:rPr>
                  </w:pPr>
                  <w:r>
                    <w:rPr>
                      <w:rFonts w:ascii="Times New Roman" w:hAnsi="Times New Roman" w:eastAsia="宋体" w:cs="Times New Roman"/>
                      <w:color w:val="auto"/>
                      <w:kern w:val="0"/>
                      <w:szCs w:val="21"/>
                      <w:highlight w:val="none"/>
                    </w:rPr>
                    <w:t>巴中市巴州区</w:t>
                  </w:r>
                </w:p>
              </w:tc>
              <w:tc>
                <w:tcPr>
                  <w:tcW w:w="1846" w:type="dxa"/>
                  <w:tcBorders>
                    <w:tl2br w:val="nil"/>
                    <w:tr2bl w:val="nil"/>
                  </w:tcBorders>
                  <w:noWrap w:val="0"/>
                  <w:vAlign w:val="center"/>
                </w:tcPr>
                <w:p w14:paraId="490CB5B4">
                  <w:pPr>
                    <w:autoSpaceDE w:val="0"/>
                    <w:autoSpaceDN w:val="0"/>
                    <w:adjustRightInd w:val="0"/>
                    <w:snapToGrid w:val="0"/>
                    <w:spacing w:line="240" w:lineRule="auto"/>
                    <w:jc w:val="center"/>
                    <w:rPr>
                      <w:rFonts w:hint="default" w:ascii="Times New Roman" w:hAnsi="Times New Roman" w:eastAsia="宋体" w:cs="Times New Roman"/>
                      <w:color w:val="auto"/>
                      <w:kern w:val="0"/>
                      <w:szCs w:val="21"/>
                      <w:highlight w:val="none"/>
                      <w:lang w:val="en-US" w:eastAsia="zh-CN"/>
                    </w:rPr>
                  </w:pPr>
                  <w:r>
                    <w:rPr>
                      <w:rFonts w:ascii="Times New Roman" w:hAnsi="Times New Roman" w:eastAsia="宋体" w:cs="Times New Roman"/>
                      <w:color w:val="auto"/>
                      <w:kern w:val="0"/>
                      <w:szCs w:val="21"/>
                      <w:highlight w:val="none"/>
                    </w:rPr>
                    <w:t>工业重点管控单元</w:t>
                  </w:r>
                </w:p>
              </w:tc>
            </w:tr>
          </w:tbl>
          <w:p w14:paraId="18DF0E6A">
            <w:pPr>
              <w:keepNext w:val="0"/>
              <w:keepLines w:val="0"/>
              <w:pageBreakBefore w:val="0"/>
              <w:widowControl w:val="0"/>
              <w:kinsoku/>
              <w:wordWrap/>
              <w:overflowPunct/>
              <w:topLinePunct w:val="0"/>
              <w:autoSpaceDE w:val="0"/>
              <w:autoSpaceDN w:val="0"/>
              <w:bidi w:val="0"/>
              <w:adjustRightInd/>
              <w:snapToGrid/>
              <w:spacing w:line="240" w:lineRule="auto"/>
              <w:ind w:firstLine="422" w:firstLineChars="200"/>
              <w:jc w:val="center"/>
              <w:textAlignment w:val="auto"/>
              <w:rPr>
                <w:rFonts w:hint="eastAsia" w:ascii="Times New Roman" w:hAnsi="Times New Roman" w:eastAsia="宋体" w:cs="Times New Roman"/>
                <w:b w:val="0"/>
                <w:bCs w:val="0"/>
                <w:color w:val="auto"/>
                <w:sz w:val="24"/>
                <w:highlight w:val="none"/>
                <w:lang w:val="en-US" w:eastAsia="zh-CN"/>
              </w:rPr>
            </w:pPr>
            <w:r>
              <w:rPr>
                <w:rFonts w:hint="eastAsia" w:ascii="Times New Roman" w:hAnsi="Times New Roman"/>
                <w:b/>
                <w:bCs/>
                <w:color w:val="auto"/>
                <w:sz w:val="21"/>
                <w:szCs w:val="21"/>
                <w:highlight w:val="none"/>
              </w:rPr>
              <w:t>表1-</w:t>
            </w:r>
            <w:r>
              <w:rPr>
                <w:rFonts w:hint="eastAsia" w:ascii="Times New Roman" w:hAnsi="Times New Roman"/>
                <w:b/>
                <w:bCs/>
                <w:color w:val="auto"/>
                <w:sz w:val="21"/>
                <w:szCs w:val="21"/>
                <w:highlight w:val="none"/>
                <w:lang w:val="en-US" w:eastAsia="zh-CN"/>
              </w:rPr>
              <w:t>4 本项目涉及的环境要素管控分区情况表</w:t>
            </w:r>
          </w:p>
          <w:tbl>
            <w:tblPr>
              <w:tblStyle w:val="42"/>
              <w:tblW w:w="6953"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771"/>
              <w:gridCol w:w="1691"/>
              <w:gridCol w:w="1282"/>
              <w:gridCol w:w="1009"/>
              <w:gridCol w:w="845"/>
              <w:gridCol w:w="1355"/>
            </w:tblGrid>
            <w:tr w14:paraId="4807E14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86" w:hRule="atLeast"/>
                <w:jc w:val="center"/>
              </w:trPr>
              <w:tc>
                <w:tcPr>
                  <w:tcW w:w="771" w:type="dxa"/>
                  <w:tcBorders>
                    <w:tl2br w:val="nil"/>
                    <w:tr2bl w:val="nil"/>
                  </w:tcBorders>
                  <w:shd w:val="clear" w:color="auto" w:fill="auto"/>
                  <w:noWrap w:val="0"/>
                  <w:vAlign w:val="center"/>
                </w:tcPr>
                <w:p w14:paraId="12BF74D7">
                  <w:pPr>
                    <w:autoSpaceDE w:val="0"/>
                    <w:autoSpaceDN w:val="0"/>
                    <w:adjustRightInd w:val="0"/>
                    <w:snapToGrid w:val="0"/>
                    <w:spacing w:line="240" w:lineRule="auto"/>
                    <w:jc w:val="center"/>
                    <w:rPr>
                      <w:rFonts w:hint="default" w:ascii="宋体" w:hAnsi="宋体" w:eastAsia="宋体" w:cs="宋体"/>
                      <w:b/>
                      <w:bCs/>
                      <w:color w:val="auto"/>
                      <w:kern w:val="0"/>
                      <w:szCs w:val="21"/>
                      <w:highlight w:val="none"/>
                      <w:lang w:val="en-US" w:eastAsia="zh-CN"/>
                    </w:rPr>
                  </w:pPr>
                  <w:r>
                    <w:rPr>
                      <w:rFonts w:hint="eastAsia" w:ascii="宋体" w:hAnsi="宋体" w:eastAsia="宋体" w:cs="宋体"/>
                      <w:b/>
                      <w:bCs/>
                      <w:color w:val="auto"/>
                      <w:kern w:val="0"/>
                      <w:szCs w:val="21"/>
                      <w:highlight w:val="none"/>
                      <w:lang w:val="en-US" w:eastAsia="zh-CN"/>
                    </w:rPr>
                    <w:t>序号</w:t>
                  </w:r>
                </w:p>
              </w:tc>
              <w:tc>
                <w:tcPr>
                  <w:tcW w:w="1691" w:type="dxa"/>
                  <w:tcBorders>
                    <w:tl2br w:val="nil"/>
                    <w:tr2bl w:val="nil"/>
                  </w:tcBorders>
                  <w:shd w:val="clear" w:color="auto" w:fill="auto"/>
                  <w:noWrap w:val="0"/>
                  <w:vAlign w:val="center"/>
                </w:tcPr>
                <w:p w14:paraId="32EB0259">
                  <w:pPr>
                    <w:autoSpaceDE w:val="0"/>
                    <w:autoSpaceDN w:val="0"/>
                    <w:adjustRightInd w:val="0"/>
                    <w:snapToGrid w:val="0"/>
                    <w:spacing w:line="240" w:lineRule="auto"/>
                    <w:jc w:val="center"/>
                    <w:rPr>
                      <w:rFonts w:hint="default" w:ascii="宋体" w:hAnsi="宋体" w:eastAsia="宋体" w:cs="宋体"/>
                      <w:b/>
                      <w:bCs/>
                      <w:color w:val="auto"/>
                      <w:kern w:val="0"/>
                      <w:szCs w:val="21"/>
                      <w:highlight w:val="none"/>
                      <w:lang w:val="en-US" w:eastAsia="zh-CN"/>
                    </w:rPr>
                  </w:pPr>
                  <w:r>
                    <w:rPr>
                      <w:rFonts w:hint="eastAsia" w:ascii="宋体" w:hAnsi="宋体" w:eastAsia="宋体" w:cs="宋体"/>
                      <w:b/>
                      <w:bCs/>
                      <w:color w:val="auto"/>
                      <w:kern w:val="0"/>
                      <w:szCs w:val="21"/>
                      <w:highlight w:val="none"/>
                      <w:lang w:val="en-US" w:eastAsia="zh-CN"/>
                    </w:rPr>
                    <w:t>环境要素管控分区名称</w:t>
                  </w:r>
                </w:p>
              </w:tc>
              <w:tc>
                <w:tcPr>
                  <w:tcW w:w="1282" w:type="dxa"/>
                  <w:tcBorders>
                    <w:tl2br w:val="nil"/>
                    <w:tr2bl w:val="nil"/>
                  </w:tcBorders>
                  <w:shd w:val="clear" w:color="auto" w:fill="auto"/>
                  <w:noWrap w:val="0"/>
                  <w:vAlign w:val="center"/>
                </w:tcPr>
                <w:p w14:paraId="6B3E06CC">
                  <w:pPr>
                    <w:autoSpaceDE w:val="0"/>
                    <w:autoSpaceDN w:val="0"/>
                    <w:adjustRightInd w:val="0"/>
                    <w:snapToGrid w:val="0"/>
                    <w:spacing w:line="240" w:lineRule="auto"/>
                    <w:jc w:val="center"/>
                    <w:rPr>
                      <w:rFonts w:hint="eastAsia" w:ascii="宋体" w:hAnsi="宋体" w:eastAsia="宋体" w:cs="宋体"/>
                      <w:b/>
                      <w:bCs/>
                      <w:color w:val="auto"/>
                      <w:kern w:val="0"/>
                      <w:szCs w:val="21"/>
                      <w:highlight w:val="none"/>
                      <w:lang w:val="en-US" w:eastAsia="zh-CN"/>
                    </w:rPr>
                  </w:pPr>
                  <w:r>
                    <w:rPr>
                      <w:rFonts w:hint="eastAsia" w:ascii="宋体" w:hAnsi="宋体" w:eastAsia="宋体" w:cs="宋体"/>
                      <w:b/>
                      <w:bCs/>
                      <w:color w:val="auto"/>
                      <w:kern w:val="0"/>
                      <w:szCs w:val="21"/>
                      <w:highlight w:val="none"/>
                    </w:rPr>
                    <w:t>环境要素管控分区编码</w:t>
                  </w:r>
                </w:p>
              </w:tc>
              <w:tc>
                <w:tcPr>
                  <w:tcW w:w="1009" w:type="dxa"/>
                  <w:tcBorders>
                    <w:tl2br w:val="nil"/>
                    <w:tr2bl w:val="nil"/>
                  </w:tcBorders>
                  <w:shd w:val="clear" w:color="auto" w:fill="auto"/>
                  <w:noWrap w:val="0"/>
                  <w:vAlign w:val="center"/>
                </w:tcPr>
                <w:p w14:paraId="126B58B4">
                  <w:pPr>
                    <w:autoSpaceDE w:val="0"/>
                    <w:autoSpaceDN w:val="0"/>
                    <w:adjustRightInd w:val="0"/>
                    <w:snapToGrid w:val="0"/>
                    <w:spacing w:line="240" w:lineRule="auto"/>
                    <w:jc w:val="center"/>
                    <w:rPr>
                      <w:rFonts w:hint="default" w:ascii="宋体" w:hAnsi="宋体" w:eastAsia="宋体" w:cs="宋体"/>
                      <w:b/>
                      <w:bCs/>
                      <w:color w:val="auto"/>
                      <w:kern w:val="0"/>
                      <w:szCs w:val="21"/>
                      <w:highlight w:val="none"/>
                      <w:lang w:val="en-US" w:eastAsia="zh-CN"/>
                    </w:rPr>
                  </w:pPr>
                  <w:r>
                    <w:rPr>
                      <w:rFonts w:hint="eastAsia" w:ascii="宋体" w:hAnsi="宋体" w:eastAsia="宋体" w:cs="宋体"/>
                      <w:b/>
                      <w:bCs/>
                      <w:color w:val="auto"/>
                      <w:kern w:val="0"/>
                      <w:szCs w:val="21"/>
                      <w:highlight w:val="none"/>
                    </w:rPr>
                    <w:t>行政区划</w:t>
                  </w:r>
                </w:p>
              </w:tc>
              <w:tc>
                <w:tcPr>
                  <w:tcW w:w="845" w:type="dxa"/>
                  <w:tcBorders>
                    <w:tl2br w:val="nil"/>
                    <w:tr2bl w:val="nil"/>
                  </w:tcBorders>
                  <w:shd w:val="clear" w:color="auto" w:fill="auto"/>
                  <w:noWrap w:val="0"/>
                  <w:vAlign w:val="center"/>
                </w:tcPr>
                <w:p w14:paraId="646E230E">
                  <w:pPr>
                    <w:autoSpaceDE w:val="0"/>
                    <w:autoSpaceDN w:val="0"/>
                    <w:adjustRightInd w:val="0"/>
                    <w:snapToGrid w:val="0"/>
                    <w:spacing w:line="240" w:lineRule="auto"/>
                    <w:jc w:val="center"/>
                    <w:rPr>
                      <w:rFonts w:hint="eastAsia" w:ascii="宋体" w:hAnsi="宋体" w:eastAsia="宋体" w:cs="宋体"/>
                      <w:b/>
                      <w:bCs/>
                      <w:color w:val="auto"/>
                      <w:kern w:val="0"/>
                      <w:szCs w:val="21"/>
                      <w:highlight w:val="none"/>
                      <w:lang w:val="en-US" w:eastAsia="zh-CN"/>
                    </w:rPr>
                  </w:pPr>
                  <w:r>
                    <w:rPr>
                      <w:rFonts w:hint="eastAsia" w:ascii="宋体" w:hAnsi="宋体" w:eastAsia="宋体" w:cs="宋体"/>
                      <w:b/>
                      <w:bCs/>
                      <w:color w:val="auto"/>
                      <w:kern w:val="0"/>
                      <w:szCs w:val="21"/>
                      <w:highlight w:val="none"/>
                    </w:rPr>
                    <w:t>环境要素类型</w:t>
                  </w:r>
                </w:p>
              </w:tc>
              <w:tc>
                <w:tcPr>
                  <w:tcW w:w="1355" w:type="dxa"/>
                  <w:tcBorders>
                    <w:tl2br w:val="nil"/>
                    <w:tr2bl w:val="nil"/>
                  </w:tcBorders>
                  <w:shd w:val="clear" w:color="auto" w:fill="auto"/>
                  <w:noWrap w:val="0"/>
                  <w:vAlign w:val="center"/>
                </w:tcPr>
                <w:p w14:paraId="42E340FD">
                  <w:pPr>
                    <w:autoSpaceDE w:val="0"/>
                    <w:autoSpaceDN w:val="0"/>
                    <w:adjustRightInd w:val="0"/>
                    <w:snapToGrid w:val="0"/>
                    <w:spacing w:line="240" w:lineRule="auto"/>
                    <w:jc w:val="center"/>
                    <w:rPr>
                      <w:rFonts w:hint="eastAsia" w:ascii="宋体" w:hAnsi="宋体" w:eastAsia="宋体" w:cs="宋体"/>
                      <w:b/>
                      <w:bCs/>
                      <w:color w:val="auto"/>
                      <w:kern w:val="0"/>
                      <w:szCs w:val="21"/>
                      <w:highlight w:val="none"/>
                      <w:lang w:val="en-US" w:eastAsia="zh-CN"/>
                    </w:rPr>
                  </w:pPr>
                  <w:r>
                    <w:rPr>
                      <w:rFonts w:hint="eastAsia" w:ascii="宋体" w:hAnsi="宋体" w:eastAsia="宋体" w:cs="宋体"/>
                      <w:b/>
                      <w:bCs/>
                      <w:color w:val="auto"/>
                      <w:kern w:val="0"/>
                      <w:szCs w:val="21"/>
                      <w:highlight w:val="none"/>
                    </w:rPr>
                    <w:t>环境要素细类</w:t>
                  </w:r>
                </w:p>
              </w:tc>
            </w:tr>
            <w:tr w14:paraId="1456107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844" w:hRule="atLeast"/>
                <w:jc w:val="center"/>
              </w:trPr>
              <w:tc>
                <w:tcPr>
                  <w:tcW w:w="771" w:type="dxa"/>
                  <w:tcBorders>
                    <w:tl2br w:val="nil"/>
                    <w:tr2bl w:val="nil"/>
                  </w:tcBorders>
                  <w:noWrap w:val="0"/>
                  <w:vAlign w:val="center"/>
                </w:tcPr>
                <w:p w14:paraId="22F92399">
                  <w:pPr>
                    <w:autoSpaceDE w:val="0"/>
                    <w:autoSpaceDN w:val="0"/>
                    <w:adjustRightInd w:val="0"/>
                    <w:snapToGrid w:val="0"/>
                    <w:spacing w:line="240" w:lineRule="auto"/>
                    <w:jc w:val="center"/>
                    <w:rPr>
                      <w:rFonts w:hint="default" w:ascii="Times New Roman" w:hAnsi="Times New Roman" w:eastAsia="宋体" w:cs="Times New Roman"/>
                      <w:color w:val="auto"/>
                      <w:kern w:val="0"/>
                      <w:szCs w:val="21"/>
                      <w:highlight w:val="none"/>
                      <w:lang w:val="en-US" w:eastAsia="zh-CN"/>
                    </w:rPr>
                  </w:pPr>
                  <w:r>
                    <w:rPr>
                      <w:rFonts w:hint="eastAsia" w:ascii="Times New Roman" w:hAnsi="Times New Roman" w:eastAsia="宋体" w:cs="Times New Roman"/>
                      <w:color w:val="auto"/>
                      <w:kern w:val="0"/>
                      <w:szCs w:val="21"/>
                      <w:highlight w:val="none"/>
                      <w:lang w:val="en-US" w:eastAsia="zh-CN"/>
                    </w:rPr>
                    <w:t>1</w:t>
                  </w:r>
                </w:p>
              </w:tc>
              <w:tc>
                <w:tcPr>
                  <w:tcW w:w="1691" w:type="dxa"/>
                  <w:tcBorders>
                    <w:tl2br w:val="nil"/>
                    <w:tr2bl w:val="nil"/>
                  </w:tcBorders>
                  <w:noWrap w:val="0"/>
                  <w:vAlign w:val="center"/>
                </w:tcPr>
                <w:p w14:paraId="366C9EBA">
                  <w:pPr>
                    <w:autoSpaceDE w:val="0"/>
                    <w:autoSpaceDN w:val="0"/>
                    <w:adjustRightInd w:val="0"/>
                    <w:snapToGrid w:val="0"/>
                    <w:spacing w:line="240" w:lineRule="auto"/>
                    <w:jc w:val="center"/>
                    <w:rPr>
                      <w:rFonts w:hint="default" w:ascii="Times New Roman" w:hAnsi="Times New Roman" w:eastAsia="宋体" w:cs="Times New Roman"/>
                      <w:color w:val="auto"/>
                      <w:kern w:val="0"/>
                      <w:szCs w:val="21"/>
                      <w:highlight w:val="none"/>
                      <w:lang w:val="en-US" w:eastAsia="zh-CN"/>
                    </w:rPr>
                  </w:pPr>
                  <w:r>
                    <w:rPr>
                      <w:rFonts w:ascii="Times New Roman" w:hAnsi="Times New Roman" w:eastAsia="宋体" w:cs="Times New Roman"/>
                      <w:color w:val="auto"/>
                      <w:kern w:val="0"/>
                      <w:szCs w:val="21"/>
                      <w:highlight w:val="none"/>
                    </w:rPr>
                    <w:t>巴河-巴州区-金碑-控制单元</w:t>
                  </w:r>
                </w:p>
              </w:tc>
              <w:tc>
                <w:tcPr>
                  <w:tcW w:w="1282" w:type="dxa"/>
                  <w:tcBorders>
                    <w:tl2br w:val="nil"/>
                    <w:tr2bl w:val="nil"/>
                  </w:tcBorders>
                  <w:noWrap w:val="0"/>
                  <w:vAlign w:val="center"/>
                </w:tcPr>
                <w:p w14:paraId="1754DB60">
                  <w:pPr>
                    <w:autoSpaceDE w:val="0"/>
                    <w:autoSpaceDN w:val="0"/>
                    <w:adjustRightInd w:val="0"/>
                    <w:snapToGrid w:val="0"/>
                    <w:spacing w:line="240" w:lineRule="auto"/>
                    <w:jc w:val="center"/>
                    <w:rPr>
                      <w:rFonts w:hint="default" w:ascii="Times New Roman" w:hAnsi="Times New Roman" w:eastAsia="宋体" w:cs="Times New Roman"/>
                      <w:color w:val="auto"/>
                      <w:kern w:val="0"/>
                      <w:szCs w:val="21"/>
                      <w:highlight w:val="none"/>
                      <w:lang w:val="en-US" w:eastAsia="zh-CN"/>
                    </w:rPr>
                  </w:pPr>
                  <w:r>
                    <w:rPr>
                      <w:rFonts w:ascii="Times New Roman" w:hAnsi="Times New Roman" w:eastAsia="宋体" w:cs="Times New Roman"/>
                      <w:color w:val="auto"/>
                      <w:kern w:val="0"/>
                      <w:szCs w:val="21"/>
                      <w:highlight w:val="none"/>
                    </w:rPr>
                    <w:t>YS5119022210002</w:t>
                  </w:r>
                </w:p>
              </w:tc>
              <w:tc>
                <w:tcPr>
                  <w:tcW w:w="1009" w:type="dxa"/>
                  <w:tcBorders>
                    <w:tl2br w:val="nil"/>
                    <w:tr2bl w:val="nil"/>
                  </w:tcBorders>
                  <w:noWrap w:val="0"/>
                  <w:vAlign w:val="center"/>
                </w:tcPr>
                <w:p w14:paraId="712D7E66">
                  <w:pPr>
                    <w:autoSpaceDE w:val="0"/>
                    <w:autoSpaceDN w:val="0"/>
                    <w:adjustRightInd w:val="0"/>
                    <w:snapToGrid w:val="0"/>
                    <w:spacing w:line="240" w:lineRule="auto"/>
                    <w:jc w:val="center"/>
                    <w:rPr>
                      <w:rFonts w:hint="default" w:ascii="Times New Roman" w:hAnsi="Times New Roman" w:eastAsia="宋体" w:cs="Times New Roman"/>
                      <w:color w:val="auto"/>
                      <w:kern w:val="0"/>
                      <w:szCs w:val="21"/>
                      <w:highlight w:val="none"/>
                      <w:lang w:val="en-US" w:eastAsia="zh-CN"/>
                    </w:rPr>
                  </w:pPr>
                  <w:r>
                    <w:rPr>
                      <w:rFonts w:ascii="Times New Roman" w:hAnsi="Times New Roman" w:eastAsia="宋体" w:cs="Times New Roman"/>
                      <w:color w:val="auto"/>
                      <w:kern w:val="0"/>
                      <w:szCs w:val="21"/>
                      <w:highlight w:val="none"/>
                    </w:rPr>
                    <w:t>巴中市巴州区</w:t>
                  </w:r>
                </w:p>
              </w:tc>
              <w:tc>
                <w:tcPr>
                  <w:tcW w:w="845" w:type="dxa"/>
                  <w:tcBorders>
                    <w:tl2br w:val="nil"/>
                    <w:tr2bl w:val="nil"/>
                  </w:tcBorders>
                  <w:noWrap w:val="0"/>
                  <w:vAlign w:val="center"/>
                </w:tcPr>
                <w:p w14:paraId="779EA9F3">
                  <w:pPr>
                    <w:autoSpaceDE w:val="0"/>
                    <w:autoSpaceDN w:val="0"/>
                    <w:adjustRightInd w:val="0"/>
                    <w:snapToGrid w:val="0"/>
                    <w:spacing w:line="240" w:lineRule="auto"/>
                    <w:jc w:val="center"/>
                    <w:rPr>
                      <w:rFonts w:hint="default" w:ascii="Times New Roman" w:hAnsi="Times New Roman" w:eastAsia="宋体" w:cs="Times New Roman"/>
                      <w:color w:val="auto"/>
                      <w:kern w:val="0"/>
                      <w:szCs w:val="21"/>
                      <w:highlight w:val="none"/>
                      <w:lang w:val="en-US" w:eastAsia="zh-CN"/>
                    </w:rPr>
                  </w:pPr>
                  <w:r>
                    <w:rPr>
                      <w:rFonts w:ascii="Times New Roman" w:hAnsi="Times New Roman" w:eastAsia="宋体" w:cs="Times New Roman"/>
                      <w:color w:val="auto"/>
                      <w:kern w:val="0"/>
                      <w:szCs w:val="21"/>
                      <w:highlight w:val="none"/>
                    </w:rPr>
                    <w:t>水</w:t>
                  </w:r>
                </w:p>
              </w:tc>
              <w:tc>
                <w:tcPr>
                  <w:tcW w:w="1355" w:type="dxa"/>
                  <w:tcBorders>
                    <w:tl2br w:val="nil"/>
                    <w:tr2bl w:val="nil"/>
                  </w:tcBorders>
                  <w:noWrap w:val="0"/>
                  <w:vAlign w:val="center"/>
                </w:tcPr>
                <w:p w14:paraId="1015E799">
                  <w:pPr>
                    <w:autoSpaceDE w:val="0"/>
                    <w:autoSpaceDN w:val="0"/>
                    <w:adjustRightInd w:val="0"/>
                    <w:snapToGrid w:val="0"/>
                    <w:spacing w:line="240" w:lineRule="auto"/>
                    <w:jc w:val="center"/>
                    <w:rPr>
                      <w:rFonts w:hint="default" w:ascii="Times New Roman" w:hAnsi="Times New Roman" w:eastAsia="宋体" w:cs="Times New Roman"/>
                      <w:color w:val="auto"/>
                      <w:kern w:val="0"/>
                      <w:szCs w:val="21"/>
                      <w:highlight w:val="none"/>
                      <w:lang w:val="en-US" w:eastAsia="zh-CN"/>
                    </w:rPr>
                  </w:pPr>
                  <w:r>
                    <w:rPr>
                      <w:rFonts w:ascii="Times New Roman" w:hAnsi="Times New Roman" w:eastAsia="宋体" w:cs="Times New Roman"/>
                      <w:color w:val="auto"/>
                      <w:kern w:val="0"/>
                      <w:szCs w:val="21"/>
                      <w:highlight w:val="none"/>
                    </w:rPr>
                    <w:t>水环境工业污染重点管控区</w:t>
                  </w:r>
                </w:p>
              </w:tc>
            </w:tr>
            <w:tr w14:paraId="08E9789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844" w:hRule="atLeast"/>
                <w:jc w:val="center"/>
              </w:trPr>
              <w:tc>
                <w:tcPr>
                  <w:tcW w:w="771" w:type="dxa"/>
                  <w:tcBorders>
                    <w:tl2br w:val="nil"/>
                    <w:tr2bl w:val="nil"/>
                  </w:tcBorders>
                  <w:noWrap w:val="0"/>
                  <w:vAlign w:val="center"/>
                </w:tcPr>
                <w:p w14:paraId="2FE1C431">
                  <w:pPr>
                    <w:autoSpaceDE w:val="0"/>
                    <w:autoSpaceDN w:val="0"/>
                    <w:adjustRightInd w:val="0"/>
                    <w:snapToGrid w:val="0"/>
                    <w:spacing w:line="240" w:lineRule="auto"/>
                    <w:jc w:val="center"/>
                    <w:rPr>
                      <w:rFonts w:hint="default" w:ascii="Times New Roman" w:hAnsi="Times New Roman" w:eastAsia="宋体" w:cs="Times New Roman"/>
                      <w:color w:val="auto"/>
                      <w:kern w:val="0"/>
                      <w:szCs w:val="21"/>
                      <w:highlight w:val="none"/>
                      <w:lang w:val="en-US" w:eastAsia="zh-CN"/>
                    </w:rPr>
                  </w:pPr>
                  <w:r>
                    <w:rPr>
                      <w:rFonts w:hint="eastAsia" w:ascii="Times New Roman" w:hAnsi="Times New Roman" w:eastAsia="宋体" w:cs="Times New Roman"/>
                      <w:color w:val="auto"/>
                      <w:kern w:val="0"/>
                      <w:szCs w:val="21"/>
                      <w:highlight w:val="none"/>
                      <w:lang w:val="en-US" w:eastAsia="zh-CN"/>
                    </w:rPr>
                    <w:t>2</w:t>
                  </w:r>
                </w:p>
              </w:tc>
              <w:tc>
                <w:tcPr>
                  <w:tcW w:w="1691" w:type="dxa"/>
                  <w:tcBorders>
                    <w:tl2br w:val="nil"/>
                    <w:tr2bl w:val="nil"/>
                  </w:tcBorders>
                  <w:noWrap w:val="0"/>
                  <w:vAlign w:val="center"/>
                </w:tcPr>
                <w:p w14:paraId="0D6D218F">
                  <w:pPr>
                    <w:autoSpaceDE w:val="0"/>
                    <w:autoSpaceDN w:val="0"/>
                    <w:adjustRightInd w:val="0"/>
                    <w:snapToGrid w:val="0"/>
                    <w:spacing w:line="240" w:lineRule="auto"/>
                    <w:jc w:val="center"/>
                    <w:rPr>
                      <w:rFonts w:hint="default" w:ascii="Times New Roman" w:hAnsi="Times New Roman" w:eastAsia="宋体" w:cs="Times New Roman"/>
                      <w:color w:val="auto"/>
                      <w:kern w:val="0"/>
                      <w:szCs w:val="21"/>
                      <w:highlight w:val="none"/>
                      <w:lang w:val="en-US" w:eastAsia="zh-CN"/>
                    </w:rPr>
                  </w:pPr>
                  <w:r>
                    <w:rPr>
                      <w:rFonts w:ascii="Times New Roman" w:hAnsi="Times New Roman" w:eastAsia="宋体" w:cs="Times New Roman"/>
                      <w:color w:val="auto"/>
                      <w:kern w:val="0"/>
                      <w:szCs w:val="21"/>
                      <w:highlight w:val="none"/>
                    </w:rPr>
                    <w:t>四川巴中经开区（核心区块、金堂区块）</w:t>
                  </w:r>
                </w:p>
              </w:tc>
              <w:tc>
                <w:tcPr>
                  <w:tcW w:w="1282" w:type="dxa"/>
                  <w:tcBorders>
                    <w:tl2br w:val="nil"/>
                    <w:tr2bl w:val="nil"/>
                  </w:tcBorders>
                  <w:noWrap w:val="0"/>
                  <w:vAlign w:val="center"/>
                </w:tcPr>
                <w:p w14:paraId="41C0378B">
                  <w:pPr>
                    <w:autoSpaceDE w:val="0"/>
                    <w:autoSpaceDN w:val="0"/>
                    <w:adjustRightInd w:val="0"/>
                    <w:snapToGrid w:val="0"/>
                    <w:spacing w:line="240" w:lineRule="auto"/>
                    <w:jc w:val="center"/>
                    <w:rPr>
                      <w:rFonts w:hint="default" w:ascii="Times New Roman" w:hAnsi="Times New Roman" w:eastAsia="宋体" w:cs="Times New Roman"/>
                      <w:color w:val="auto"/>
                      <w:kern w:val="0"/>
                      <w:szCs w:val="21"/>
                      <w:highlight w:val="none"/>
                      <w:lang w:val="en-US" w:eastAsia="zh-CN"/>
                    </w:rPr>
                  </w:pPr>
                  <w:r>
                    <w:rPr>
                      <w:rFonts w:ascii="Times New Roman" w:hAnsi="Times New Roman" w:eastAsia="宋体" w:cs="Times New Roman"/>
                      <w:color w:val="auto"/>
                      <w:kern w:val="0"/>
                      <w:szCs w:val="21"/>
                      <w:highlight w:val="none"/>
                    </w:rPr>
                    <w:t>YS5119022310005</w:t>
                  </w:r>
                </w:p>
              </w:tc>
              <w:tc>
                <w:tcPr>
                  <w:tcW w:w="1009" w:type="dxa"/>
                  <w:tcBorders>
                    <w:tl2br w:val="nil"/>
                    <w:tr2bl w:val="nil"/>
                  </w:tcBorders>
                  <w:noWrap w:val="0"/>
                  <w:vAlign w:val="center"/>
                </w:tcPr>
                <w:p w14:paraId="570968AE">
                  <w:pPr>
                    <w:autoSpaceDE w:val="0"/>
                    <w:autoSpaceDN w:val="0"/>
                    <w:adjustRightInd w:val="0"/>
                    <w:snapToGrid w:val="0"/>
                    <w:spacing w:line="240" w:lineRule="auto"/>
                    <w:jc w:val="center"/>
                    <w:rPr>
                      <w:rFonts w:hint="default" w:ascii="Times New Roman" w:hAnsi="Times New Roman" w:eastAsia="宋体" w:cs="Times New Roman"/>
                      <w:color w:val="auto"/>
                      <w:kern w:val="0"/>
                      <w:szCs w:val="21"/>
                      <w:highlight w:val="none"/>
                      <w:lang w:val="en-US" w:eastAsia="zh-CN"/>
                    </w:rPr>
                  </w:pPr>
                  <w:r>
                    <w:rPr>
                      <w:rFonts w:ascii="Times New Roman" w:hAnsi="Times New Roman" w:eastAsia="宋体" w:cs="Times New Roman"/>
                      <w:color w:val="auto"/>
                      <w:kern w:val="0"/>
                      <w:szCs w:val="21"/>
                      <w:highlight w:val="none"/>
                    </w:rPr>
                    <w:t>巴中市巴州区</w:t>
                  </w:r>
                </w:p>
              </w:tc>
              <w:tc>
                <w:tcPr>
                  <w:tcW w:w="845" w:type="dxa"/>
                  <w:tcBorders>
                    <w:tl2br w:val="nil"/>
                    <w:tr2bl w:val="nil"/>
                  </w:tcBorders>
                  <w:noWrap w:val="0"/>
                  <w:vAlign w:val="center"/>
                </w:tcPr>
                <w:p w14:paraId="4B5DC657">
                  <w:pPr>
                    <w:autoSpaceDE w:val="0"/>
                    <w:autoSpaceDN w:val="0"/>
                    <w:adjustRightInd w:val="0"/>
                    <w:snapToGrid w:val="0"/>
                    <w:spacing w:line="240" w:lineRule="auto"/>
                    <w:jc w:val="center"/>
                    <w:rPr>
                      <w:rFonts w:hint="default" w:ascii="Times New Roman" w:hAnsi="Times New Roman" w:eastAsia="宋体" w:cs="Times New Roman"/>
                      <w:color w:val="auto"/>
                      <w:kern w:val="0"/>
                      <w:szCs w:val="21"/>
                      <w:highlight w:val="none"/>
                      <w:lang w:val="en-US" w:eastAsia="zh-CN"/>
                    </w:rPr>
                  </w:pPr>
                  <w:r>
                    <w:rPr>
                      <w:rFonts w:ascii="Times New Roman" w:hAnsi="Times New Roman" w:eastAsia="宋体" w:cs="Times New Roman"/>
                      <w:color w:val="auto"/>
                      <w:kern w:val="0"/>
                      <w:szCs w:val="21"/>
                      <w:highlight w:val="none"/>
                    </w:rPr>
                    <w:t>大气</w:t>
                  </w:r>
                </w:p>
              </w:tc>
              <w:tc>
                <w:tcPr>
                  <w:tcW w:w="1355" w:type="dxa"/>
                  <w:tcBorders>
                    <w:tl2br w:val="nil"/>
                    <w:tr2bl w:val="nil"/>
                  </w:tcBorders>
                  <w:noWrap w:val="0"/>
                  <w:vAlign w:val="center"/>
                </w:tcPr>
                <w:p w14:paraId="17F8A1A0">
                  <w:pPr>
                    <w:autoSpaceDE w:val="0"/>
                    <w:autoSpaceDN w:val="0"/>
                    <w:adjustRightInd w:val="0"/>
                    <w:snapToGrid w:val="0"/>
                    <w:spacing w:line="240" w:lineRule="auto"/>
                    <w:jc w:val="center"/>
                    <w:rPr>
                      <w:rFonts w:hint="default" w:ascii="Times New Roman" w:hAnsi="Times New Roman" w:eastAsia="宋体" w:cs="Times New Roman"/>
                      <w:color w:val="auto"/>
                      <w:kern w:val="0"/>
                      <w:szCs w:val="21"/>
                      <w:highlight w:val="none"/>
                      <w:lang w:val="en-US" w:eastAsia="zh-CN"/>
                    </w:rPr>
                  </w:pPr>
                  <w:r>
                    <w:rPr>
                      <w:rFonts w:ascii="Times New Roman" w:hAnsi="Times New Roman" w:eastAsia="宋体" w:cs="Times New Roman"/>
                      <w:color w:val="auto"/>
                      <w:kern w:val="0"/>
                      <w:szCs w:val="21"/>
                      <w:highlight w:val="none"/>
                    </w:rPr>
                    <w:t>大气环境高排放重点管控区</w:t>
                  </w:r>
                </w:p>
              </w:tc>
            </w:tr>
            <w:tr w14:paraId="59050B3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844" w:hRule="atLeast"/>
                <w:jc w:val="center"/>
              </w:trPr>
              <w:tc>
                <w:tcPr>
                  <w:tcW w:w="771" w:type="dxa"/>
                  <w:tcBorders>
                    <w:tl2br w:val="nil"/>
                    <w:tr2bl w:val="nil"/>
                  </w:tcBorders>
                  <w:noWrap w:val="0"/>
                  <w:vAlign w:val="center"/>
                </w:tcPr>
                <w:p w14:paraId="256CC8D0">
                  <w:pPr>
                    <w:autoSpaceDE w:val="0"/>
                    <w:autoSpaceDN w:val="0"/>
                    <w:adjustRightInd w:val="0"/>
                    <w:snapToGrid w:val="0"/>
                    <w:spacing w:line="240" w:lineRule="auto"/>
                    <w:jc w:val="center"/>
                    <w:rPr>
                      <w:rFonts w:hint="default" w:ascii="Times New Roman" w:hAnsi="Times New Roman" w:eastAsia="宋体" w:cs="Times New Roman"/>
                      <w:color w:val="auto"/>
                      <w:kern w:val="0"/>
                      <w:szCs w:val="21"/>
                      <w:highlight w:val="none"/>
                      <w:lang w:val="en-US" w:eastAsia="zh-CN"/>
                    </w:rPr>
                  </w:pPr>
                  <w:r>
                    <w:rPr>
                      <w:rFonts w:hint="eastAsia" w:ascii="Times New Roman" w:hAnsi="Times New Roman" w:eastAsia="宋体" w:cs="Times New Roman"/>
                      <w:color w:val="auto"/>
                      <w:kern w:val="0"/>
                      <w:szCs w:val="21"/>
                      <w:highlight w:val="none"/>
                      <w:lang w:val="en-US" w:eastAsia="zh-CN"/>
                    </w:rPr>
                    <w:t>3</w:t>
                  </w:r>
                </w:p>
              </w:tc>
              <w:tc>
                <w:tcPr>
                  <w:tcW w:w="1691" w:type="dxa"/>
                  <w:tcBorders>
                    <w:tl2br w:val="nil"/>
                    <w:tr2bl w:val="nil"/>
                  </w:tcBorders>
                  <w:noWrap w:val="0"/>
                  <w:vAlign w:val="center"/>
                </w:tcPr>
                <w:p w14:paraId="46E96696">
                  <w:pPr>
                    <w:autoSpaceDE w:val="0"/>
                    <w:autoSpaceDN w:val="0"/>
                    <w:adjustRightInd w:val="0"/>
                    <w:snapToGrid w:val="0"/>
                    <w:spacing w:line="240" w:lineRule="auto"/>
                    <w:jc w:val="center"/>
                    <w:rPr>
                      <w:rFonts w:hint="default" w:ascii="Times New Roman" w:hAnsi="Times New Roman" w:eastAsia="宋体" w:cs="Times New Roman"/>
                      <w:color w:val="auto"/>
                      <w:kern w:val="0"/>
                      <w:szCs w:val="21"/>
                      <w:highlight w:val="none"/>
                      <w:lang w:val="en-US" w:eastAsia="zh-CN"/>
                    </w:rPr>
                  </w:pPr>
                  <w:r>
                    <w:rPr>
                      <w:rFonts w:ascii="Times New Roman" w:hAnsi="Times New Roman" w:eastAsia="宋体" w:cs="Times New Roman"/>
                      <w:color w:val="auto"/>
                      <w:kern w:val="0"/>
                      <w:szCs w:val="21"/>
                      <w:highlight w:val="none"/>
                    </w:rPr>
                    <w:t>巴州区城镇开发边界</w:t>
                  </w:r>
                </w:p>
              </w:tc>
              <w:tc>
                <w:tcPr>
                  <w:tcW w:w="1282" w:type="dxa"/>
                  <w:tcBorders>
                    <w:tl2br w:val="nil"/>
                    <w:tr2bl w:val="nil"/>
                  </w:tcBorders>
                  <w:noWrap w:val="0"/>
                  <w:vAlign w:val="center"/>
                </w:tcPr>
                <w:p w14:paraId="49167F84">
                  <w:pPr>
                    <w:autoSpaceDE w:val="0"/>
                    <w:autoSpaceDN w:val="0"/>
                    <w:adjustRightInd w:val="0"/>
                    <w:snapToGrid w:val="0"/>
                    <w:spacing w:line="240" w:lineRule="auto"/>
                    <w:jc w:val="center"/>
                    <w:rPr>
                      <w:rFonts w:hint="default" w:ascii="Times New Roman" w:hAnsi="Times New Roman" w:eastAsia="宋体" w:cs="Times New Roman"/>
                      <w:color w:val="auto"/>
                      <w:kern w:val="0"/>
                      <w:szCs w:val="21"/>
                      <w:highlight w:val="none"/>
                      <w:lang w:val="en-US" w:eastAsia="zh-CN"/>
                    </w:rPr>
                  </w:pPr>
                  <w:r>
                    <w:rPr>
                      <w:rFonts w:ascii="Times New Roman" w:hAnsi="Times New Roman" w:eastAsia="宋体" w:cs="Times New Roman"/>
                      <w:color w:val="auto"/>
                      <w:kern w:val="0"/>
                      <w:szCs w:val="21"/>
                      <w:highlight w:val="none"/>
                    </w:rPr>
                    <w:t>YS5119022530001</w:t>
                  </w:r>
                </w:p>
              </w:tc>
              <w:tc>
                <w:tcPr>
                  <w:tcW w:w="1009" w:type="dxa"/>
                  <w:tcBorders>
                    <w:tl2br w:val="nil"/>
                    <w:tr2bl w:val="nil"/>
                  </w:tcBorders>
                  <w:noWrap w:val="0"/>
                  <w:vAlign w:val="center"/>
                </w:tcPr>
                <w:p w14:paraId="7E2BBB95">
                  <w:pPr>
                    <w:autoSpaceDE w:val="0"/>
                    <w:autoSpaceDN w:val="0"/>
                    <w:adjustRightInd w:val="0"/>
                    <w:snapToGrid w:val="0"/>
                    <w:spacing w:line="240" w:lineRule="auto"/>
                    <w:jc w:val="center"/>
                    <w:rPr>
                      <w:rFonts w:hint="default" w:ascii="Times New Roman" w:hAnsi="Times New Roman" w:eastAsia="宋体" w:cs="Times New Roman"/>
                      <w:color w:val="auto"/>
                      <w:kern w:val="0"/>
                      <w:szCs w:val="21"/>
                      <w:highlight w:val="none"/>
                      <w:lang w:val="en-US" w:eastAsia="zh-CN"/>
                    </w:rPr>
                  </w:pPr>
                  <w:r>
                    <w:rPr>
                      <w:rFonts w:ascii="Times New Roman" w:hAnsi="Times New Roman" w:eastAsia="宋体" w:cs="Times New Roman"/>
                      <w:color w:val="auto"/>
                      <w:kern w:val="0"/>
                      <w:szCs w:val="21"/>
                      <w:highlight w:val="none"/>
                    </w:rPr>
                    <w:t>巴中市巴州区</w:t>
                  </w:r>
                </w:p>
              </w:tc>
              <w:tc>
                <w:tcPr>
                  <w:tcW w:w="845" w:type="dxa"/>
                  <w:tcBorders>
                    <w:tl2br w:val="nil"/>
                    <w:tr2bl w:val="nil"/>
                  </w:tcBorders>
                  <w:noWrap w:val="0"/>
                  <w:vAlign w:val="center"/>
                </w:tcPr>
                <w:p w14:paraId="34218ECF">
                  <w:pPr>
                    <w:autoSpaceDE w:val="0"/>
                    <w:autoSpaceDN w:val="0"/>
                    <w:adjustRightInd w:val="0"/>
                    <w:snapToGrid w:val="0"/>
                    <w:spacing w:line="240" w:lineRule="auto"/>
                    <w:jc w:val="center"/>
                    <w:rPr>
                      <w:rFonts w:hint="default" w:ascii="Times New Roman" w:hAnsi="Times New Roman" w:eastAsia="宋体" w:cs="Times New Roman"/>
                      <w:color w:val="auto"/>
                      <w:kern w:val="0"/>
                      <w:szCs w:val="21"/>
                      <w:highlight w:val="none"/>
                      <w:lang w:val="en-US" w:eastAsia="zh-CN"/>
                    </w:rPr>
                  </w:pPr>
                  <w:r>
                    <w:rPr>
                      <w:rFonts w:ascii="Times New Roman" w:hAnsi="Times New Roman" w:eastAsia="宋体" w:cs="Times New Roman"/>
                      <w:color w:val="auto"/>
                      <w:kern w:val="0"/>
                      <w:szCs w:val="21"/>
                      <w:highlight w:val="none"/>
                    </w:rPr>
                    <w:t>自然资源</w:t>
                  </w:r>
                </w:p>
              </w:tc>
              <w:tc>
                <w:tcPr>
                  <w:tcW w:w="1355" w:type="dxa"/>
                  <w:tcBorders>
                    <w:tl2br w:val="nil"/>
                    <w:tr2bl w:val="nil"/>
                  </w:tcBorders>
                  <w:noWrap w:val="0"/>
                  <w:vAlign w:val="center"/>
                </w:tcPr>
                <w:p w14:paraId="5B0FEB51">
                  <w:pPr>
                    <w:autoSpaceDE w:val="0"/>
                    <w:autoSpaceDN w:val="0"/>
                    <w:adjustRightInd w:val="0"/>
                    <w:snapToGrid w:val="0"/>
                    <w:spacing w:line="240" w:lineRule="auto"/>
                    <w:jc w:val="center"/>
                    <w:rPr>
                      <w:rFonts w:hint="default" w:ascii="Times New Roman" w:hAnsi="Times New Roman" w:eastAsia="宋体" w:cs="Times New Roman"/>
                      <w:color w:val="auto"/>
                      <w:kern w:val="0"/>
                      <w:szCs w:val="21"/>
                      <w:highlight w:val="none"/>
                      <w:lang w:val="en-US" w:eastAsia="zh-CN"/>
                    </w:rPr>
                  </w:pPr>
                  <w:r>
                    <w:rPr>
                      <w:rFonts w:ascii="Times New Roman" w:hAnsi="Times New Roman" w:eastAsia="宋体" w:cs="Times New Roman"/>
                      <w:color w:val="auto"/>
                      <w:kern w:val="0"/>
                      <w:szCs w:val="21"/>
                      <w:highlight w:val="none"/>
                    </w:rPr>
                    <w:t>土地资源重点管控区</w:t>
                  </w:r>
                </w:p>
              </w:tc>
            </w:tr>
            <w:tr w14:paraId="23F625F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844" w:hRule="atLeast"/>
                <w:jc w:val="center"/>
              </w:trPr>
              <w:tc>
                <w:tcPr>
                  <w:tcW w:w="771" w:type="dxa"/>
                  <w:tcBorders>
                    <w:tl2br w:val="nil"/>
                    <w:tr2bl w:val="nil"/>
                  </w:tcBorders>
                  <w:noWrap w:val="0"/>
                  <w:vAlign w:val="center"/>
                </w:tcPr>
                <w:p w14:paraId="69E499AD">
                  <w:pPr>
                    <w:autoSpaceDE w:val="0"/>
                    <w:autoSpaceDN w:val="0"/>
                    <w:adjustRightInd w:val="0"/>
                    <w:snapToGrid w:val="0"/>
                    <w:spacing w:line="240" w:lineRule="auto"/>
                    <w:jc w:val="center"/>
                    <w:rPr>
                      <w:rFonts w:hint="default" w:ascii="Times New Roman" w:hAnsi="Times New Roman" w:eastAsia="宋体" w:cs="Times New Roman"/>
                      <w:color w:val="auto"/>
                      <w:kern w:val="0"/>
                      <w:szCs w:val="21"/>
                      <w:highlight w:val="none"/>
                      <w:lang w:val="en-US" w:eastAsia="zh-CN"/>
                    </w:rPr>
                  </w:pPr>
                  <w:r>
                    <w:rPr>
                      <w:rFonts w:hint="eastAsia" w:ascii="Times New Roman" w:hAnsi="Times New Roman" w:eastAsia="宋体" w:cs="Times New Roman"/>
                      <w:color w:val="auto"/>
                      <w:kern w:val="0"/>
                      <w:szCs w:val="21"/>
                      <w:highlight w:val="none"/>
                      <w:lang w:val="en-US" w:eastAsia="zh-CN"/>
                    </w:rPr>
                    <w:t>4</w:t>
                  </w:r>
                </w:p>
              </w:tc>
              <w:tc>
                <w:tcPr>
                  <w:tcW w:w="1691" w:type="dxa"/>
                  <w:tcBorders>
                    <w:tl2br w:val="nil"/>
                    <w:tr2bl w:val="nil"/>
                  </w:tcBorders>
                  <w:noWrap w:val="0"/>
                  <w:vAlign w:val="center"/>
                </w:tcPr>
                <w:p w14:paraId="246233FE">
                  <w:pPr>
                    <w:autoSpaceDE w:val="0"/>
                    <w:autoSpaceDN w:val="0"/>
                    <w:adjustRightInd w:val="0"/>
                    <w:snapToGrid w:val="0"/>
                    <w:spacing w:line="240" w:lineRule="auto"/>
                    <w:jc w:val="center"/>
                    <w:rPr>
                      <w:rFonts w:hint="default" w:ascii="Times New Roman" w:hAnsi="Times New Roman" w:eastAsia="宋体" w:cs="Times New Roman"/>
                      <w:color w:val="auto"/>
                      <w:kern w:val="0"/>
                      <w:szCs w:val="21"/>
                      <w:highlight w:val="none"/>
                      <w:lang w:val="en-US" w:eastAsia="zh-CN"/>
                    </w:rPr>
                  </w:pPr>
                  <w:r>
                    <w:rPr>
                      <w:rFonts w:ascii="Times New Roman" w:hAnsi="Times New Roman" w:eastAsia="宋体" w:cs="Times New Roman"/>
                      <w:color w:val="auto"/>
                      <w:kern w:val="0"/>
                      <w:szCs w:val="21"/>
                      <w:highlight w:val="none"/>
                    </w:rPr>
                    <w:t>巴州区自然资源重点管控区</w:t>
                  </w:r>
                </w:p>
              </w:tc>
              <w:tc>
                <w:tcPr>
                  <w:tcW w:w="1282" w:type="dxa"/>
                  <w:tcBorders>
                    <w:tl2br w:val="nil"/>
                    <w:tr2bl w:val="nil"/>
                  </w:tcBorders>
                  <w:noWrap w:val="0"/>
                  <w:vAlign w:val="center"/>
                </w:tcPr>
                <w:p w14:paraId="55FE6B0C">
                  <w:pPr>
                    <w:autoSpaceDE w:val="0"/>
                    <w:autoSpaceDN w:val="0"/>
                    <w:adjustRightInd w:val="0"/>
                    <w:snapToGrid w:val="0"/>
                    <w:spacing w:line="240" w:lineRule="auto"/>
                    <w:jc w:val="center"/>
                    <w:rPr>
                      <w:rFonts w:hint="default" w:ascii="Times New Roman" w:hAnsi="Times New Roman" w:eastAsia="宋体" w:cs="Times New Roman"/>
                      <w:color w:val="auto"/>
                      <w:kern w:val="0"/>
                      <w:szCs w:val="21"/>
                      <w:highlight w:val="none"/>
                      <w:lang w:val="en-US" w:eastAsia="zh-CN"/>
                    </w:rPr>
                  </w:pPr>
                  <w:r>
                    <w:rPr>
                      <w:rFonts w:ascii="Times New Roman" w:hAnsi="Times New Roman" w:eastAsia="宋体" w:cs="Times New Roman"/>
                      <w:color w:val="auto"/>
                      <w:kern w:val="0"/>
                      <w:szCs w:val="21"/>
                      <w:highlight w:val="none"/>
                    </w:rPr>
                    <w:t>YS5119022550001</w:t>
                  </w:r>
                </w:p>
              </w:tc>
              <w:tc>
                <w:tcPr>
                  <w:tcW w:w="1009" w:type="dxa"/>
                  <w:tcBorders>
                    <w:tl2br w:val="nil"/>
                    <w:tr2bl w:val="nil"/>
                  </w:tcBorders>
                  <w:noWrap w:val="0"/>
                  <w:vAlign w:val="center"/>
                </w:tcPr>
                <w:p w14:paraId="64FCB705">
                  <w:pPr>
                    <w:autoSpaceDE w:val="0"/>
                    <w:autoSpaceDN w:val="0"/>
                    <w:adjustRightInd w:val="0"/>
                    <w:snapToGrid w:val="0"/>
                    <w:spacing w:line="240" w:lineRule="auto"/>
                    <w:jc w:val="center"/>
                    <w:rPr>
                      <w:rFonts w:hint="default" w:ascii="Times New Roman" w:hAnsi="Times New Roman" w:eastAsia="宋体" w:cs="Times New Roman"/>
                      <w:color w:val="auto"/>
                      <w:kern w:val="0"/>
                      <w:szCs w:val="21"/>
                      <w:highlight w:val="none"/>
                      <w:lang w:val="en-US" w:eastAsia="zh-CN"/>
                    </w:rPr>
                  </w:pPr>
                  <w:r>
                    <w:rPr>
                      <w:rFonts w:ascii="Times New Roman" w:hAnsi="Times New Roman" w:eastAsia="宋体" w:cs="Times New Roman"/>
                      <w:color w:val="auto"/>
                      <w:kern w:val="0"/>
                      <w:szCs w:val="21"/>
                      <w:highlight w:val="none"/>
                    </w:rPr>
                    <w:t>巴中市巴州区</w:t>
                  </w:r>
                </w:p>
              </w:tc>
              <w:tc>
                <w:tcPr>
                  <w:tcW w:w="845" w:type="dxa"/>
                  <w:tcBorders>
                    <w:tl2br w:val="nil"/>
                    <w:tr2bl w:val="nil"/>
                  </w:tcBorders>
                  <w:noWrap w:val="0"/>
                  <w:vAlign w:val="center"/>
                </w:tcPr>
                <w:p w14:paraId="717DF8FC">
                  <w:pPr>
                    <w:autoSpaceDE w:val="0"/>
                    <w:autoSpaceDN w:val="0"/>
                    <w:adjustRightInd w:val="0"/>
                    <w:snapToGrid w:val="0"/>
                    <w:spacing w:line="240" w:lineRule="auto"/>
                    <w:jc w:val="center"/>
                    <w:rPr>
                      <w:rFonts w:hint="default" w:ascii="Times New Roman" w:hAnsi="Times New Roman" w:eastAsia="宋体" w:cs="Times New Roman"/>
                      <w:color w:val="auto"/>
                      <w:kern w:val="0"/>
                      <w:szCs w:val="21"/>
                      <w:highlight w:val="none"/>
                      <w:lang w:val="en-US" w:eastAsia="zh-CN"/>
                    </w:rPr>
                  </w:pPr>
                  <w:r>
                    <w:rPr>
                      <w:rFonts w:ascii="Times New Roman" w:hAnsi="Times New Roman" w:eastAsia="宋体" w:cs="Times New Roman"/>
                      <w:color w:val="auto"/>
                      <w:kern w:val="0"/>
                      <w:szCs w:val="21"/>
                      <w:highlight w:val="none"/>
                    </w:rPr>
                    <w:t>自然资源</w:t>
                  </w:r>
                </w:p>
              </w:tc>
              <w:tc>
                <w:tcPr>
                  <w:tcW w:w="1355" w:type="dxa"/>
                  <w:tcBorders>
                    <w:tl2br w:val="nil"/>
                    <w:tr2bl w:val="nil"/>
                  </w:tcBorders>
                  <w:noWrap w:val="0"/>
                  <w:vAlign w:val="center"/>
                </w:tcPr>
                <w:p w14:paraId="1E1F7E1F">
                  <w:pPr>
                    <w:autoSpaceDE w:val="0"/>
                    <w:autoSpaceDN w:val="0"/>
                    <w:adjustRightInd w:val="0"/>
                    <w:snapToGrid w:val="0"/>
                    <w:spacing w:line="240" w:lineRule="auto"/>
                    <w:jc w:val="center"/>
                    <w:rPr>
                      <w:rFonts w:hint="default" w:ascii="Times New Roman" w:hAnsi="Times New Roman" w:eastAsia="宋体" w:cs="Times New Roman"/>
                      <w:color w:val="auto"/>
                      <w:kern w:val="0"/>
                      <w:szCs w:val="21"/>
                      <w:highlight w:val="none"/>
                      <w:lang w:val="en-US" w:eastAsia="zh-CN"/>
                    </w:rPr>
                  </w:pPr>
                  <w:r>
                    <w:rPr>
                      <w:rFonts w:ascii="Times New Roman" w:hAnsi="Times New Roman" w:eastAsia="宋体" w:cs="Times New Roman"/>
                      <w:color w:val="auto"/>
                      <w:kern w:val="0"/>
                      <w:szCs w:val="21"/>
                      <w:highlight w:val="none"/>
                    </w:rPr>
                    <w:t>自然资源重点管控区</w:t>
                  </w:r>
                </w:p>
              </w:tc>
            </w:tr>
            <w:tr w14:paraId="6781344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844" w:hRule="atLeast"/>
                <w:jc w:val="center"/>
              </w:trPr>
              <w:tc>
                <w:tcPr>
                  <w:tcW w:w="771" w:type="dxa"/>
                  <w:tcBorders>
                    <w:tl2br w:val="nil"/>
                    <w:tr2bl w:val="nil"/>
                  </w:tcBorders>
                  <w:noWrap w:val="0"/>
                  <w:vAlign w:val="center"/>
                </w:tcPr>
                <w:p w14:paraId="10906343">
                  <w:pPr>
                    <w:autoSpaceDE w:val="0"/>
                    <w:autoSpaceDN w:val="0"/>
                    <w:adjustRightInd w:val="0"/>
                    <w:snapToGrid w:val="0"/>
                    <w:spacing w:line="240" w:lineRule="auto"/>
                    <w:jc w:val="center"/>
                    <w:rPr>
                      <w:rFonts w:hint="default" w:ascii="Times New Roman" w:hAnsi="Times New Roman" w:eastAsia="宋体" w:cs="Times New Roman"/>
                      <w:color w:val="auto"/>
                      <w:kern w:val="0"/>
                      <w:szCs w:val="21"/>
                      <w:highlight w:val="none"/>
                      <w:lang w:val="en-US" w:eastAsia="zh-CN"/>
                    </w:rPr>
                  </w:pPr>
                  <w:r>
                    <w:rPr>
                      <w:rFonts w:hint="eastAsia" w:ascii="Times New Roman" w:hAnsi="Times New Roman" w:eastAsia="宋体" w:cs="Times New Roman"/>
                      <w:color w:val="auto"/>
                      <w:kern w:val="0"/>
                      <w:szCs w:val="21"/>
                      <w:highlight w:val="none"/>
                      <w:lang w:val="en-US" w:eastAsia="zh-CN"/>
                    </w:rPr>
                    <w:t>5</w:t>
                  </w:r>
                </w:p>
              </w:tc>
              <w:tc>
                <w:tcPr>
                  <w:tcW w:w="1691" w:type="dxa"/>
                  <w:tcBorders>
                    <w:tl2br w:val="nil"/>
                    <w:tr2bl w:val="nil"/>
                  </w:tcBorders>
                  <w:noWrap w:val="0"/>
                  <w:vAlign w:val="center"/>
                </w:tcPr>
                <w:p w14:paraId="564CC432">
                  <w:pPr>
                    <w:autoSpaceDE w:val="0"/>
                    <w:autoSpaceDN w:val="0"/>
                    <w:adjustRightInd w:val="0"/>
                    <w:snapToGrid w:val="0"/>
                    <w:spacing w:line="240" w:lineRule="auto"/>
                    <w:jc w:val="center"/>
                    <w:rPr>
                      <w:rFonts w:hint="default" w:ascii="Times New Roman" w:hAnsi="Times New Roman" w:eastAsia="宋体" w:cs="Times New Roman"/>
                      <w:color w:val="auto"/>
                      <w:kern w:val="0"/>
                      <w:szCs w:val="21"/>
                      <w:highlight w:val="none"/>
                      <w:lang w:val="en-US" w:eastAsia="zh-CN"/>
                    </w:rPr>
                  </w:pPr>
                  <w:r>
                    <w:rPr>
                      <w:rFonts w:ascii="Times New Roman" w:hAnsi="Times New Roman" w:eastAsia="宋体" w:cs="Times New Roman"/>
                      <w:color w:val="auto"/>
                      <w:kern w:val="0"/>
                      <w:szCs w:val="21"/>
                      <w:highlight w:val="none"/>
                    </w:rPr>
                    <w:t>巴州区其他区域</w:t>
                  </w:r>
                </w:p>
              </w:tc>
              <w:tc>
                <w:tcPr>
                  <w:tcW w:w="1282" w:type="dxa"/>
                  <w:tcBorders>
                    <w:tl2br w:val="nil"/>
                    <w:tr2bl w:val="nil"/>
                  </w:tcBorders>
                  <w:noWrap w:val="0"/>
                  <w:vAlign w:val="center"/>
                </w:tcPr>
                <w:p w14:paraId="7891386E">
                  <w:pPr>
                    <w:autoSpaceDE w:val="0"/>
                    <w:autoSpaceDN w:val="0"/>
                    <w:adjustRightInd w:val="0"/>
                    <w:snapToGrid w:val="0"/>
                    <w:spacing w:line="240" w:lineRule="auto"/>
                    <w:jc w:val="center"/>
                    <w:rPr>
                      <w:rFonts w:hint="default" w:ascii="Times New Roman" w:hAnsi="Times New Roman" w:eastAsia="宋体" w:cs="Times New Roman"/>
                      <w:color w:val="auto"/>
                      <w:kern w:val="0"/>
                      <w:szCs w:val="21"/>
                      <w:highlight w:val="none"/>
                      <w:lang w:val="en-US" w:eastAsia="zh-CN"/>
                    </w:rPr>
                  </w:pPr>
                  <w:r>
                    <w:rPr>
                      <w:rFonts w:ascii="Times New Roman" w:hAnsi="Times New Roman" w:eastAsia="宋体" w:cs="Times New Roman"/>
                      <w:color w:val="auto"/>
                      <w:kern w:val="0"/>
                      <w:szCs w:val="21"/>
                      <w:highlight w:val="none"/>
                    </w:rPr>
                    <w:t>YS5119023110001</w:t>
                  </w:r>
                </w:p>
              </w:tc>
              <w:tc>
                <w:tcPr>
                  <w:tcW w:w="1009" w:type="dxa"/>
                  <w:tcBorders>
                    <w:tl2br w:val="nil"/>
                    <w:tr2bl w:val="nil"/>
                  </w:tcBorders>
                  <w:noWrap w:val="0"/>
                  <w:vAlign w:val="center"/>
                </w:tcPr>
                <w:p w14:paraId="48A04148">
                  <w:pPr>
                    <w:autoSpaceDE w:val="0"/>
                    <w:autoSpaceDN w:val="0"/>
                    <w:adjustRightInd w:val="0"/>
                    <w:snapToGrid w:val="0"/>
                    <w:spacing w:line="240" w:lineRule="auto"/>
                    <w:jc w:val="center"/>
                    <w:rPr>
                      <w:rFonts w:hint="default" w:ascii="Times New Roman" w:hAnsi="Times New Roman" w:eastAsia="宋体" w:cs="Times New Roman"/>
                      <w:color w:val="auto"/>
                      <w:kern w:val="0"/>
                      <w:szCs w:val="21"/>
                      <w:highlight w:val="none"/>
                      <w:lang w:val="en-US" w:eastAsia="zh-CN"/>
                    </w:rPr>
                  </w:pPr>
                  <w:r>
                    <w:rPr>
                      <w:rFonts w:ascii="Times New Roman" w:hAnsi="Times New Roman" w:eastAsia="宋体" w:cs="Times New Roman"/>
                      <w:color w:val="auto"/>
                      <w:kern w:val="0"/>
                      <w:szCs w:val="21"/>
                      <w:highlight w:val="none"/>
                    </w:rPr>
                    <w:t>巴中市巴州区</w:t>
                  </w:r>
                </w:p>
              </w:tc>
              <w:tc>
                <w:tcPr>
                  <w:tcW w:w="845" w:type="dxa"/>
                  <w:tcBorders>
                    <w:tl2br w:val="nil"/>
                    <w:tr2bl w:val="nil"/>
                  </w:tcBorders>
                  <w:noWrap w:val="0"/>
                  <w:vAlign w:val="center"/>
                </w:tcPr>
                <w:p w14:paraId="2B988FDA">
                  <w:pPr>
                    <w:autoSpaceDE w:val="0"/>
                    <w:autoSpaceDN w:val="0"/>
                    <w:adjustRightInd w:val="0"/>
                    <w:snapToGrid w:val="0"/>
                    <w:spacing w:line="240" w:lineRule="auto"/>
                    <w:jc w:val="center"/>
                    <w:rPr>
                      <w:rFonts w:hint="default" w:ascii="Times New Roman" w:hAnsi="Times New Roman" w:eastAsia="宋体" w:cs="Times New Roman"/>
                      <w:color w:val="auto"/>
                      <w:kern w:val="0"/>
                      <w:szCs w:val="21"/>
                      <w:highlight w:val="none"/>
                      <w:lang w:val="en-US" w:eastAsia="zh-CN"/>
                    </w:rPr>
                  </w:pPr>
                  <w:r>
                    <w:rPr>
                      <w:rFonts w:ascii="Times New Roman" w:hAnsi="Times New Roman" w:eastAsia="宋体" w:cs="Times New Roman"/>
                      <w:color w:val="auto"/>
                      <w:kern w:val="0"/>
                      <w:szCs w:val="21"/>
                      <w:highlight w:val="none"/>
                    </w:rPr>
                    <w:t>生态</w:t>
                  </w:r>
                </w:p>
              </w:tc>
              <w:tc>
                <w:tcPr>
                  <w:tcW w:w="1355" w:type="dxa"/>
                  <w:tcBorders>
                    <w:tl2br w:val="nil"/>
                    <w:tr2bl w:val="nil"/>
                  </w:tcBorders>
                  <w:noWrap w:val="0"/>
                  <w:vAlign w:val="center"/>
                </w:tcPr>
                <w:p w14:paraId="314D685B">
                  <w:pPr>
                    <w:autoSpaceDE w:val="0"/>
                    <w:autoSpaceDN w:val="0"/>
                    <w:adjustRightInd w:val="0"/>
                    <w:snapToGrid w:val="0"/>
                    <w:spacing w:line="240" w:lineRule="auto"/>
                    <w:jc w:val="center"/>
                    <w:rPr>
                      <w:rFonts w:hint="default" w:ascii="Times New Roman" w:hAnsi="Times New Roman" w:eastAsia="宋体" w:cs="Times New Roman"/>
                      <w:color w:val="auto"/>
                      <w:kern w:val="0"/>
                      <w:szCs w:val="21"/>
                      <w:highlight w:val="none"/>
                      <w:lang w:val="en-US" w:eastAsia="zh-CN"/>
                    </w:rPr>
                  </w:pPr>
                  <w:r>
                    <w:rPr>
                      <w:rFonts w:ascii="Times New Roman" w:hAnsi="Times New Roman" w:eastAsia="宋体" w:cs="Times New Roman"/>
                      <w:color w:val="auto"/>
                      <w:kern w:val="0"/>
                      <w:szCs w:val="21"/>
                      <w:highlight w:val="none"/>
                    </w:rPr>
                    <w:t>一般管控区</w:t>
                  </w:r>
                </w:p>
              </w:tc>
            </w:tr>
          </w:tbl>
          <w:p w14:paraId="2B399908">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ascii="Times New Roman" w:hAnsi="Times New Roman"/>
                <w:b w:val="0"/>
                <w:bCs w:val="0"/>
                <w:color w:val="auto"/>
                <w:sz w:val="24"/>
                <w:highlight w:val="none"/>
                <w:lang w:val="en-US" w:eastAsia="zh-CN"/>
              </w:rPr>
            </w:pPr>
            <w:r>
              <w:rPr>
                <w:rFonts w:hint="eastAsia" w:ascii="Times New Roman" w:hAnsi="Times New Roman"/>
                <w:b w:val="0"/>
                <w:bCs w:val="0"/>
                <w:color w:val="auto"/>
                <w:sz w:val="24"/>
                <w:highlight w:val="none"/>
                <w:lang w:val="en-US" w:eastAsia="zh-CN"/>
              </w:rPr>
              <w:t>本项目与管控单元相对位置如下图所示：</w:t>
            </w:r>
          </w:p>
          <w:p w14:paraId="5E8A62D2">
            <w:pPr>
              <w:pStyle w:val="66"/>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jc w:val="center"/>
              <w:textAlignment w:val="auto"/>
              <w:rPr>
                <w:rFonts w:hint="default" w:ascii="Times New Roman" w:hAnsi="Times New Roman" w:eastAsia="宋体" w:cs="Times New Roman"/>
                <w:color w:val="auto"/>
                <w:sz w:val="24"/>
                <w:lang w:val="en-US" w:eastAsia="zh-CN"/>
              </w:rPr>
            </w:pPr>
            <w:r>
              <w:rPr>
                <w:color w:val="auto"/>
                <w:sz w:val="24"/>
              </w:rPr>
              <mc:AlternateContent>
                <mc:Choice Requires="wps">
                  <w:drawing>
                    <wp:anchor distT="0" distB="0" distL="114300" distR="114300" simplePos="0" relativeHeight="251661312" behindDoc="0" locked="0" layoutInCell="1" allowOverlap="1">
                      <wp:simplePos x="0" y="0"/>
                      <wp:positionH relativeFrom="column">
                        <wp:posOffset>2076450</wp:posOffset>
                      </wp:positionH>
                      <wp:positionV relativeFrom="paragraph">
                        <wp:posOffset>534035</wp:posOffset>
                      </wp:positionV>
                      <wp:extent cx="732790" cy="304800"/>
                      <wp:effectExtent l="282575" t="6350" r="13335" b="184150"/>
                      <wp:wrapNone/>
                      <wp:docPr id="11" name="矩形标注 11"/>
                      <wp:cNvGraphicFramePr/>
                      <a:graphic xmlns:a="http://schemas.openxmlformats.org/drawingml/2006/main">
                        <a:graphicData uri="http://schemas.microsoft.com/office/word/2010/wordprocessingShape">
                          <wps:wsp>
                            <wps:cNvSpPr/>
                            <wps:spPr>
                              <a:xfrm>
                                <a:off x="4197350" y="5038090"/>
                                <a:ext cx="732790" cy="304800"/>
                              </a:xfrm>
                              <a:prstGeom prst="wedgeRectCallout">
                                <a:avLst>
                                  <a:gd name="adj1" fmla="val -81889"/>
                                  <a:gd name="adj2" fmla="val 100000"/>
                                </a:avLst>
                              </a:prstGeom>
                              <a:noFill/>
                              <a:ln>
                                <a:solidFill>
                                  <a:srgbClr val="FF0000"/>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118D0B6C">
                                  <w:pPr>
                                    <w:jc w:val="center"/>
                                    <w:rPr>
                                      <w:rFonts w:hint="eastAsia" w:eastAsia="宋体"/>
                                      <w:color w:val="FF0000"/>
                                      <w:lang w:val="en-US" w:eastAsia="zh-CN"/>
                                    </w:rPr>
                                  </w:pPr>
                                  <w:r>
                                    <w:rPr>
                                      <w:rFonts w:hint="eastAsia"/>
                                      <w:color w:val="FF0000"/>
                                      <w:lang w:val="en-US" w:eastAsia="zh-CN"/>
                                    </w:rPr>
                                    <w:t>本项目</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1" type="#_x0000_t61" style="position:absolute;left:0pt;margin-left:163.5pt;margin-top:42.05pt;height:24pt;width:57.7pt;z-index:251661312;v-text-anchor:middle;mso-width-relative:page;mso-height-relative:page;" filled="f" stroked="t" coordsize="21600,21600" o:gfxdata="UEsDBAoAAAAAAIdO4kAAAAAAAAAAAAAAAAAEAAAAZHJzL1BLAwQUAAAACACHTuJAJC86I9gAAAAK&#10;AQAADwAAAGRycy9kb3ducmV2LnhtbE2Py07DMBBF90j8gzVI7KjjNCppiFMhJDZILPqQ2DrxkETE&#10;4xC7afh7pitYjubo3HvL3eIGMeMUek8a1CoBgdR421Or4XR8fchBhGjImsETavjBALvq9qY0hfUX&#10;2uN8iK1gCYXCaOhiHAspQ9OhM2HlRyT+ffrJmcjn1Eo7mQvL3SDTJNlIZ3rihM6M+NJh83U4Ow15&#10;tgn7MfvIg/pe7Hx8227r53et7+9U8gQi4hL/YLjW5+pQcafan8kGMWhYp4+8JV5lCgQDWZZmIGom&#10;16kCWZXy/4TqF1BLAwQUAAAACACHTuJACjobpLECAABIBQAADgAAAGRycy9lMm9Eb2MueG1srVTN&#10;bhMxEL4j8Q6W7+1ufkp+1E0VJQpCqmhFQZwdrze7yH/YTjblBXgMECc4c+ZxKK/B591tGwqHHsjB&#10;mfHMfjPzzYxPz/ZKkp1wvjI6o73jlBKhuckrvcnom9erozElPjCdM2m0yOi18PRs9vTJaW2nom9K&#10;I3PhCEC0n9Y2o2UIdpoknpdCMX9srNAwFsYpFqC6TZI7VgNdyaSfps+S2rjcOsOF97hdtkbaIbrH&#10;AJqiqLhYGr5VQocW1QnJAkryZWU9nTXZFoXg4aIovAhEZhSVhuZEEMjreCazUzbdOGbLincpsMek&#10;8KAmxSqNoHdQSxYY2brqLyhVcWe8KcIxNyppC2kYQRW99AE3VyWzoqkFVHt7R7r/f7D85e7SkSrH&#10;JPQo0Uyh478+ffv548vN5483378SXIOj2vopXK/spes0DzEWvC+civ8ohewzOuxNRoMTsHud0ZN0&#10;ME4nHcdiHwiHw2jQH+GOcDgM0uE4bezJPZB1PjwXRpEoZLQW+Ua8Qh8XTEqzDQ3LbHfuQ0N33uXM&#10;8nfIv1AS3dsxSY7GvfF40rX3wKl/6NRL4y86IX6HCek2gxhAm1UlZTMlUpMaNPVH+IRwhtEvMHIQ&#10;lQV9Xm8oYXKDneLBNVl6I6s8fh6BvNusF9IRJJfR1eog8B9uMfaS+bL1a0xtEaoKWDtZqYyCs/u0&#10;pUb2sT1tQ6IU9ut916W1ya/RX2fawfeWrypEOGc+XDIHrlAK3oJwgaOQBvWZTqKkNO7Dv+6jPwYQ&#10;VkpqbA5qf79lTlAiX2iM5qQ3HAI2NMrwZNSH4g4t60OL3qqFASXoHrJrxOgf5K1YOKPe4smYx6gw&#10;Mc0Ru2W5Uxah3Wg8OlzM540b1suycK6vLI/gbS/n22CKKsSGR6JadjoFC9bMQfcYxA0+1Buv+wdw&#10;9ht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i&#10;BQAAW0NvbnRlbnRfVHlwZXNdLnhtbFBLAQIUAAoAAAAAAIdO4kAAAAAAAAAAAAAAAAAGAAAAAAAA&#10;AAAAEAAAAAQEAABfcmVscy9QSwECFAAUAAAACACHTuJAihRmPNEAAACUAQAACwAAAAAAAAABACAA&#10;AAAoBAAAX3JlbHMvLnJlbHNQSwECFAAKAAAAAACHTuJAAAAAAAAAAAAAAAAABAAAAAAAAAAAABAA&#10;AAAAAAAAZHJzL1BLAQIUABQAAAAIAIdO4kAkLzoj2AAAAAoBAAAPAAAAAAAAAAEAIAAAACIAAABk&#10;cnMvZG93bnJldi54bWxQSwECFAAUAAAACACHTuJACjobpLECAABIBQAADgAAAAAAAAABACAAAAAn&#10;AQAAZHJzL2Uyb0RvYy54bWxQSwUGAAAAAAYABgBZAQAASgYAAAAA&#10;" adj="-6888,32400">
                      <v:fill on="f" focussize="0,0"/>
                      <v:stroke weight="1pt" color="#FF0000 [2404]" miterlimit="8" joinstyle="miter"/>
                      <v:imagedata o:title=""/>
                      <o:lock v:ext="edit" aspectratio="f"/>
                      <v:textbox>
                        <w:txbxContent>
                          <w:p w14:paraId="118D0B6C">
                            <w:pPr>
                              <w:jc w:val="center"/>
                              <w:rPr>
                                <w:rFonts w:hint="eastAsia" w:eastAsia="宋体"/>
                                <w:color w:val="FF0000"/>
                                <w:lang w:val="en-US" w:eastAsia="zh-CN"/>
                              </w:rPr>
                            </w:pPr>
                            <w:r>
                              <w:rPr>
                                <w:rFonts w:hint="eastAsia"/>
                                <w:color w:val="FF0000"/>
                                <w:lang w:val="en-US" w:eastAsia="zh-CN"/>
                              </w:rPr>
                              <w:t>本项目</w:t>
                            </w:r>
                          </w:p>
                        </w:txbxContent>
                      </v:textbox>
                    </v:shape>
                  </w:pict>
                </mc:Fallback>
              </mc:AlternateContent>
            </w:r>
            <w:r>
              <w:rPr>
                <w:rFonts w:hint="default" w:ascii="Times New Roman" w:hAnsi="Times New Roman" w:eastAsia="宋体" w:cs="Times New Roman"/>
                <w:color w:val="auto"/>
                <w:sz w:val="24"/>
                <w:lang w:val="en-US" w:eastAsia="zh-CN"/>
              </w:rPr>
              <w:drawing>
                <wp:inline distT="0" distB="0" distL="114300" distR="114300">
                  <wp:extent cx="4274820" cy="1928495"/>
                  <wp:effectExtent l="0" t="0" r="11430" b="14605"/>
                  <wp:docPr id="7" name="图片 7" descr="地图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地图 (5)"/>
                          <pic:cNvPicPr>
                            <a:picLocks noChangeAspect="1"/>
                          </pic:cNvPicPr>
                        </pic:nvPicPr>
                        <pic:blipFill>
                          <a:blip r:embed="rId10"/>
                          <a:stretch>
                            <a:fillRect/>
                          </a:stretch>
                        </pic:blipFill>
                        <pic:spPr>
                          <a:xfrm>
                            <a:off x="0" y="0"/>
                            <a:ext cx="4274820" cy="1928495"/>
                          </a:xfrm>
                          <a:prstGeom prst="rect">
                            <a:avLst/>
                          </a:prstGeom>
                        </pic:spPr>
                      </pic:pic>
                    </a:graphicData>
                  </a:graphic>
                </wp:inline>
              </w:drawing>
            </w:r>
          </w:p>
          <w:p w14:paraId="30FC55AB">
            <w:pPr>
              <w:autoSpaceDE w:val="0"/>
              <w:autoSpaceDN w:val="0"/>
              <w:spacing w:line="360" w:lineRule="auto"/>
              <w:jc w:val="center"/>
              <w:rPr>
                <w:rFonts w:hint="eastAsia" w:ascii="Times New Roman" w:hAnsi="Times New Roman"/>
                <w:b/>
                <w:bCs/>
                <w:color w:val="auto"/>
                <w:sz w:val="21"/>
                <w:szCs w:val="21"/>
                <w:highlight w:val="none"/>
              </w:rPr>
            </w:pPr>
            <w:r>
              <w:rPr>
                <w:rFonts w:hint="eastAsia" w:ascii="Times New Roman" w:hAnsi="Times New Roman"/>
                <w:b/>
                <w:bCs/>
                <w:color w:val="auto"/>
                <w:sz w:val="21"/>
                <w:szCs w:val="21"/>
                <w:highlight w:val="none"/>
              </w:rPr>
              <w:t>图1-</w:t>
            </w:r>
            <w:r>
              <w:rPr>
                <w:rFonts w:hint="eastAsia"/>
                <w:b/>
                <w:bCs/>
                <w:color w:val="auto"/>
                <w:sz w:val="21"/>
                <w:szCs w:val="21"/>
                <w:highlight w:val="none"/>
                <w:lang w:val="en-US" w:eastAsia="zh-CN"/>
              </w:rPr>
              <w:t>3</w:t>
            </w:r>
            <w:r>
              <w:rPr>
                <w:rFonts w:hint="eastAsia" w:ascii="Times New Roman" w:hAnsi="Times New Roman"/>
                <w:b/>
                <w:bCs/>
                <w:color w:val="auto"/>
                <w:sz w:val="21"/>
                <w:szCs w:val="21"/>
                <w:highlight w:val="none"/>
                <w:lang w:val="en-US" w:eastAsia="zh-CN"/>
              </w:rPr>
              <w:t xml:space="preserve"> </w:t>
            </w:r>
            <w:r>
              <w:rPr>
                <w:rFonts w:hint="eastAsia" w:ascii="Times New Roman" w:hAnsi="Times New Roman"/>
                <w:b/>
                <w:bCs/>
                <w:color w:val="auto"/>
                <w:sz w:val="21"/>
                <w:szCs w:val="21"/>
                <w:highlight w:val="none"/>
              </w:rPr>
              <w:t>本项目</w:t>
            </w:r>
            <w:r>
              <w:rPr>
                <w:rFonts w:hint="eastAsia" w:ascii="Times New Roman" w:hAnsi="Times New Roman"/>
                <w:b/>
                <w:bCs/>
                <w:color w:val="auto"/>
                <w:sz w:val="21"/>
                <w:szCs w:val="21"/>
                <w:highlight w:val="none"/>
                <w:lang w:val="en-US" w:eastAsia="zh-CN"/>
              </w:rPr>
              <w:t>与生态环境管控单元的位置关系</w:t>
            </w:r>
            <w:r>
              <w:rPr>
                <w:rFonts w:hint="eastAsia" w:ascii="Times New Roman" w:hAnsi="Times New Roman"/>
                <w:b/>
                <w:bCs/>
                <w:color w:val="auto"/>
                <w:sz w:val="21"/>
                <w:szCs w:val="21"/>
                <w:highlight w:val="none"/>
              </w:rPr>
              <w:t>图</w:t>
            </w:r>
          </w:p>
          <w:p w14:paraId="3E5F9DDE">
            <w:pPr>
              <w:pStyle w:val="66"/>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firstLine="480" w:firstLineChars="200"/>
              <w:textAlignment w:val="auto"/>
              <w:rPr>
                <w:rFonts w:hint="default" w:ascii="Times New Roman" w:hAnsi="Times New Roman" w:eastAsia="宋体" w:cs="Times New Roman"/>
                <w:color w:val="auto"/>
                <w:sz w:val="24"/>
                <w:highlight w:val="none"/>
                <w:lang w:val="en-US" w:eastAsia="zh-CN"/>
              </w:rPr>
            </w:pPr>
            <w:r>
              <w:rPr>
                <w:rFonts w:hint="eastAsia" w:ascii="Times New Roman" w:hAnsi="Times New Roman" w:eastAsia="宋体" w:cs="Times New Roman"/>
                <w:color w:val="auto"/>
                <w:sz w:val="24"/>
                <w:highlight w:val="none"/>
                <w:lang w:val="en-US" w:eastAsia="zh-CN"/>
              </w:rPr>
              <w:t>（3）所属经济区管控要求</w:t>
            </w:r>
          </w:p>
          <w:p w14:paraId="4DA05182">
            <w:pPr>
              <w:pStyle w:val="66"/>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firstLine="480" w:firstLineChars="200"/>
              <w:textAlignment w:val="auto"/>
              <w:rPr>
                <w:rFonts w:hint="default" w:ascii="Times New Roman" w:hAnsi="Times New Roman" w:eastAsia="宋体" w:cs="Times New Roman"/>
                <w:color w:val="auto"/>
                <w:sz w:val="24"/>
                <w:highlight w:val="none"/>
                <w:lang w:val="en-US" w:eastAsia="zh-CN"/>
              </w:rPr>
            </w:pPr>
            <w:r>
              <w:rPr>
                <w:rFonts w:hint="eastAsia" w:ascii="Times New Roman" w:hAnsi="Times New Roman" w:eastAsia="宋体" w:cs="Times New Roman"/>
                <w:color w:val="auto"/>
                <w:sz w:val="24"/>
                <w:highlight w:val="none"/>
                <w:lang w:val="en-US" w:eastAsia="zh-CN"/>
              </w:rPr>
              <w:t>本项目位于川东北经济区内。本项目与川东北经济区管控要求符合性分析如下：</w:t>
            </w:r>
          </w:p>
          <w:p w14:paraId="293616F8">
            <w:pPr>
              <w:keepNext w:val="0"/>
              <w:keepLines w:val="0"/>
              <w:pageBreakBefore w:val="0"/>
              <w:widowControl w:val="0"/>
              <w:kinsoku/>
              <w:wordWrap/>
              <w:overflowPunct/>
              <w:topLinePunct w:val="0"/>
              <w:autoSpaceDE w:val="0"/>
              <w:autoSpaceDN w:val="0"/>
              <w:bidi w:val="0"/>
              <w:adjustRightInd/>
              <w:snapToGrid/>
              <w:spacing w:line="240" w:lineRule="auto"/>
              <w:ind w:firstLine="422" w:firstLineChars="200"/>
              <w:jc w:val="center"/>
              <w:textAlignment w:val="auto"/>
              <w:rPr>
                <w:rFonts w:hint="default" w:ascii="Times New Roman" w:hAnsi="Times New Roman" w:eastAsia="宋体" w:cs="Times New Roman"/>
                <w:b w:val="0"/>
                <w:bCs w:val="0"/>
                <w:color w:val="auto"/>
                <w:sz w:val="24"/>
                <w:highlight w:val="none"/>
                <w:lang w:val="en-US" w:eastAsia="zh-CN"/>
              </w:rPr>
            </w:pPr>
            <w:r>
              <w:rPr>
                <w:rFonts w:hint="eastAsia" w:ascii="Times New Roman" w:hAnsi="Times New Roman"/>
                <w:b/>
                <w:bCs/>
                <w:color w:val="auto"/>
                <w:sz w:val="21"/>
                <w:szCs w:val="21"/>
                <w:highlight w:val="none"/>
              </w:rPr>
              <w:t>表1</w:t>
            </w:r>
            <w:r>
              <w:rPr>
                <w:rFonts w:hint="eastAsia" w:ascii="Times New Roman" w:hAnsi="Times New Roman"/>
                <w:b/>
                <w:bCs/>
                <w:color w:val="auto"/>
                <w:sz w:val="21"/>
                <w:szCs w:val="21"/>
                <w:highlight w:val="none"/>
                <w:lang w:val="en-US" w:eastAsia="zh-CN"/>
              </w:rPr>
              <w:t>-5 本项目与川东北经济区管控要求符合性分析</w:t>
            </w:r>
          </w:p>
          <w:tbl>
            <w:tblPr>
              <w:tblStyle w:val="42"/>
              <w:tblW w:w="6981"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696"/>
              <w:gridCol w:w="855"/>
              <w:gridCol w:w="2960"/>
              <w:gridCol w:w="1735"/>
              <w:gridCol w:w="735"/>
            </w:tblGrid>
            <w:tr w14:paraId="606D7C8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86" w:hRule="atLeast"/>
                <w:jc w:val="center"/>
              </w:trPr>
              <w:tc>
                <w:tcPr>
                  <w:tcW w:w="696" w:type="dxa"/>
                  <w:tcBorders>
                    <w:tl2br w:val="nil"/>
                    <w:tr2bl w:val="nil"/>
                  </w:tcBorders>
                  <w:shd w:val="clear" w:color="auto" w:fill="auto"/>
                  <w:noWrap w:val="0"/>
                  <w:vAlign w:val="center"/>
                </w:tcPr>
                <w:p w14:paraId="1DD82B72">
                  <w:pPr>
                    <w:pStyle w:val="70"/>
                    <w:spacing w:line="240" w:lineRule="auto"/>
                    <w:rPr>
                      <w:rFonts w:hint="default" w:ascii="Times New Roman" w:hAnsi="Times New Roman" w:eastAsia="宋体" w:cs="Times New Roman"/>
                      <w:b/>
                      <w:color w:val="auto"/>
                      <w:sz w:val="21"/>
                      <w:szCs w:val="21"/>
                      <w:lang w:val="en-US" w:eastAsia="zh-CN"/>
                    </w:rPr>
                  </w:pPr>
                  <w:r>
                    <w:rPr>
                      <w:rFonts w:hint="eastAsia" w:ascii="Times New Roman" w:hAnsi="Times New Roman" w:eastAsia="宋体" w:cs="Times New Roman"/>
                      <w:b/>
                      <w:color w:val="auto"/>
                      <w:sz w:val="21"/>
                      <w:szCs w:val="21"/>
                      <w:lang w:val="en-US" w:eastAsia="zh-CN"/>
                    </w:rPr>
                    <w:t>名称</w:t>
                  </w:r>
                </w:p>
              </w:tc>
              <w:tc>
                <w:tcPr>
                  <w:tcW w:w="855" w:type="dxa"/>
                  <w:tcBorders>
                    <w:tl2br w:val="nil"/>
                    <w:tr2bl w:val="nil"/>
                  </w:tcBorders>
                  <w:shd w:val="clear" w:color="auto" w:fill="auto"/>
                  <w:noWrap w:val="0"/>
                  <w:vAlign w:val="center"/>
                </w:tcPr>
                <w:p w14:paraId="4C22E44E">
                  <w:pPr>
                    <w:pStyle w:val="70"/>
                    <w:spacing w:line="240" w:lineRule="auto"/>
                    <w:rPr>
                      <w:rFonts w:hint="eastAsia" w:ascii="Times New Roman" w:hAnsi="Times New Roman" w:eastAsia="宋体" w:cs="Times New Roman"/>
                      <w:b/>
                      <w:color w:val="auto"/>
                      <w:sz w:val="21"/>
                      <w:szCs w:val="21"/>
                      <w:lang w:val="en-US" w:eastAsia="zh-CN"/>
                    </w:rPr>
                  </w:pPr>
                  <w:r>
                    <w:rPr>
                      <w:rFonts w:hint="default" w:ascii="Times New Roman" w:hAnsi="Times New Roman" w:eastAsia="宋体" w:cs="Times New Roman"/>
                      <w:b/>
                      <w:color w:val="auto"/>
                      <w:sz w:val="21"/>
                      <w:szCs w:val="21"/>
                      <w:lang w:val="en-US" w:eastAsia="zh-CN"/>
                    </w:rPr>
                    <w:t>标题</w:t>
                  </w:r>
                </w:p>
              </w:tc>
              <w:tc>
                <w:tcPr>
                  <w:tcW w:w="2960" w:type="dxa"/>
                  <w:tcBorders>
                    <w:tl2br w:val="nil"/>
                    <w:tr2bl w:val="nil"/>
                  </w:tcBorders>
                  <w:shd w:val="clear" w:color="auto" w:fill="auto"/>
                  <w:noWrap w:val="0"/>
                  <w:vAlign w:val="center"/>
                </w:tcPr>
                <w:p w14:paraId="61CC9494">
                  <w:pPr>
                    <w:pStyle w:val="70"/>
                    <w:spacing w:line="240" w:lineRule="auto"/>
                    <w:rPr>
                      <w:rFonts w:hint="default" w:ascii="Times New Roman" w:hAnsi="Times New Roman" w:eastAsia="宋体" w:cs="Times New Roman"/>
                      <w:b/>
                      <w:color w:val="auto"/>
                      <w:sz w:val="21"/>
                      <w:szCs w:val="21"/>
                      <w:lang w:val="en-US" w:eastAsia="zh-CN"/>
                    </w:rPr>
                  </w:pPr>
                  <w:r>
                    <w:rPr>
                      <w:rFonts w:hint="default" w:ascii="Times New Roman" w:hAnsi="Times New Roman" w:eastAsia="宋体" w:cs="Times New Roman"/>
                      <w:b/>
                      <w:color w:val="auto"/>
                      <w:sz w:val="21"/>
                      <w:szCs w:val="21"/>
                      <w:lang w:val="en-US" w:eastAsia="zh-CN"/>
                    </w:rPr>
                    <w:t>内容</w:t>
                  </w:r>
                </w:p>
              </w:tc>
              <w:tc>
                <w:tcPr>
                  <w:tcW w:w="1735" w:type="dxa"/>
                  <w:tcBorders>
                    <w:tl2br w:val="nil"/>
                    <w:tr2bl w:val="nil"/>
                  </w:tcBorders>
                  <w:shd w:val="clear" w:color="auto" w:fill="auto"/>
                  <w:noWrap w:val="0"/>
                  <w:vAlign w:val="center"/>
                </w:tcPr>
                <w:p w14:paraId="4873AF28">
                  <w:pPr>
                    <w:pStyle w:val="70"/>
                    <w:spacing w:line="240" w:lineRule="auto"/>
                    <w:rPr>
                      <w:rFonts w:hint="eastAsia" w:ascii="Times New Roman" w:hAnsi="Times New Roman" w:eastAsia="宋体" w:cs="Times New Roman"/>
                      <w:b/>
                      <w:color w:val="auto"/>
                      <w:sz w:val="21"/>
                      <w:szCs w:val="21"/>
                      <w:lang w:val="en-US" w:eastAsia="zh-CN"/>
                    </w:rPr>
                  </w:pPr>
                  <w:r>
                    <w:rPr>
                      <w:rFonts w:hint="default" w:ascii="Times New Roman" w:hAnsi="Times New Roman" w:eastAsia="宋体" w:cs="Times New Roman"/>
                      <w:b/>
                      <w:color w:val="auto"/>
                      <w:sz w:val="21"/>
                      <w:szCs w:val="21"/>
                      <w:lang w:val="en-US" w:eastAsia="zh-CN"/>
                    </w:rPr>
                    <w:t>本项目情况</w:t>
                  </w:r>
                </w:p>
              </w:tc>
              <w:tc>
                <w:tcPr>
                  <w:tcW w:w="735" w:type="dxa"/>
                  <w:tcBorders>
                    <w:tl2br w:val="nil"/>
                    <w:tr2bl w:val="nil"/>
                  </w:tcBorders>
                  <w:shd w:val="clear" w:color="auto" w:fill="auto"/>
                  <w:noWrap w:val="0"/>
                  <w:vAlign w:val="center"/>
                </w:tcPr>
                <w:p w14:paraId="00C7BA65">
                  <w:pPr>
                    <w:pStyle w:val="70"/>
                    <w:spacing w:line="240" w:lineRule="auto"/>
                    <w:rPr>
                      <w:rFonts w:hint="eastAsia" w:ascii="Times New Roman" w:hAnsi="Times New Roman" w:eastAsia="宋体" w:cs="Times New Roman"/>
                      <w:b/>
                      <w:color w:val="auto"/>
                      <w:sz w:val="21"/>
                      <w:szCs w:val="21"/>
                      <w:lang w:val="en-US" w:eastAsia="zh-CN"/>
                    </w:rPr>
                  </w:pPr>
                  <w:r>
                    <w:rPr>
                      <w:rFonts w:hint="default" w:ascii="Times New Roman" w:hAnsi="Times New Roman" w:eastAsia="宋体" w:cs="Times New Roman"/>
                      <w:b/>
                      <w:color w:val="auto"/>
                      <w:sz w:val="21"/>
                      <w:szCs w:val="21"/>
                      <w:lang w:val="en-US" w:eastAsia="zh-CN"/>
                    </w:rPr>
                    <w:t>符合性</w:t>
                  </w:r>
                </w:p>
              </w:tc>
            </w:tr>
            <w:tr w14:paraId="25DC2E0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9" w:hRule="atLeast"/>
                <w:jc w:val="center"/>
              </w:trPr>
              <w:tc>
                <w:tcPr>
                  <w:tcW w:w="696" w:type="dxa"/>
                  <w:vMerge w:val="restart"/>
                  <w:tcBorders>
                    <w:tl2br w:val="nil"/>
                    <w:tr2bl w:val="nil"/>
                  </w:tcBorders>
                  <w:noWrap w:val="0"/>
                  <w:vAlign w:val="center"/>
                </w:tcPr>
                <w:p w14:paraId="1737EC09">
                  <w:pPr>
                    <w:pStyle w:val="70"/>
                    <w:spacing w:line="240" w:lineRule="auto"/>
                    <w:jc w:val="both"/>
                    <w:rPr>
                      <w:rFonts w:hint="default" w:ascii="Times New Roman" w:hAnsi="Times New Roman" w:eastAsia="宋体" w:cs="Times New Roman"/>
                      <w:color w:val="auto"/>
                      <w:sz w:val="21"/>
                      <w:szCs w:val="21"/>
                      <w:lang w:val="en-US" w:eastAsia="zh-CN"/>
                    </w:rPr>
                  </w:pPr>
                  <w:r>
                    <w:rPr>
                      <w:rFonts w:ascii="Times New Roman" w:hAnsi="Times New Roman" w:eastAsia="宋体" w:cs="Times New Roman"/>
                      <w:color w:val="auto"/>
                      <w:sz w:val="21"/>
                      <w:szCs w:val="21"/>
                    </w:rPr>
                    <w:t>川东北经济区</w:t>
                  </w:r>
                </w:p>
              </w:tc>
              <w:tc>
                <w:tcPr>
                  <w:tcW w:w="855" w:type="dxa"/>
                  <w:tcBorders>
                    <w:tl2br w:val="nil"/>
                    <w:tr2bl w:val="nil"/>
                  </w:tcBorders>
                  <w:noWrap w:val="0"/>
                  <w:vAlign w:val="center"/>
                </w:tcPr>
                <w:p w14:paraId="55D4607F">
                  <w:pPr>
                    <w:pStyle w:val="70"/>
                    <w:spacing w:line="240" w:lineRule="auto"/>
                    <w:jc w:val="center"/>
                    <w:rPr>
                      <w:rFonts w:hint="default" w:ascii="Times New Roman" w:hAnsi="Times New Roman" w:eastAsia="宋体" w:cs="Times New Roman"/>
                      <w:color w:val="auto"/>
                      <w:sz w:val="21"/>
                      <w:szCs w:val="21"/>
                      <w:lang w:val="en-US" w:eastAsia="zh-CN"/>
                    </w:rPr>
                  </w:pPr>
                  <w:r>
                    <w:rPr>
                      <w:rFonts w:ascii="Times New Roman" w:hAnsi="Times New Roman" w:eastAsia="宋体" w:cs="Times New Roman"/>
                      <w:color w:val="auto"/>
                      <w:sz w:val="21"/>
                      <w:szCs w:val="21"/>
                    </w:rPr>
                    <w:t>区域特点</w:t>
                  </w:r>
                </w:p>
              </w:tc>
              <w:tc>
                <w:tcPr>
                  <w:tcW w:w="2960" w:type="dxa"/>
                  <w:tcBorders>
                    <w:tl2br w:val="nil"/>
                    <w:tr2bl w:val="nil"/>
                  </w:tcBorders>
                  <w:noWrap w:val="0"/>
                  <w:vAlign w:val="center"/>
                </w:tcPr>
                <w:p w14:paraId="7A4033C1">
                  <w:pPr>
                    <w:pStyle w:val="70"/>
                    <w:spacing w:line="240" w:lineRule="auto"/>
                    <w:jc w:val="both"/>
                    <w:rPr>
                      <w:rFonts w:hint="default" w:ascii="Times New Roman" w:hAnsi="Times New Roman" w:eastAsia="宋体" w:cs="Times New Roman"/>
                      <w:color w:val="auto"/>
                      <w:sz w:val="21"/>
                      <w:szCs w:val="21"/>
                      <w:lang w:val="en-US" w:eastAsia="zh-CN"/>
                    </w:rPr>
                  </w:pPr>
                  <w:r>
                    <w:rPr>
                      <w:rFonts w:ascii="Times New Roman" w:hAnsi="Times New Roman" w:eastAsia="宋体" w:cs="Times New Roman"/>
                      <w:color w:val="auto"/>
                      <w:sz w:val="21"/>
                      <w:szCs w:val="21"/>
                    </w:rPr>
                    <w:t>南充、达州、广安、广元、巴中5市内大部分区域属于省级层面重点开发区，是一般管控单元的集中分布区域。该区域发展定位为东向北向出川综合交通枢纽和川渝陕甘结合部区域经济中心。</w:t>
                  </w:r>
                </w:p>
              </w:tc>
              <w:tc>
                <w:tcPr>
                  <w:tcW w:w="1735" w:type="dxa"/>
                  <w:tcBorders>
                    <w:tl2br w:val="nil"/>
                    <w:tr2bl w:val="nil"/>
                  </w:tcBorders>
                  <w:noWrap w:val="0"/>
                  <w:vAlign w:val="center"/>
                </w:tcPr>
                <w:p w14:paraId="7FC52C3A">
                  <w:pPr>
                    <w:pStyle w:val="18"/>
                    <w:bidi w:val="0"/>
                    <w:spacing w:line="240" w:lineRule="auto"/>
                    <w:ind w:left="0" w:leftChars="0" w:firstLine="0" w:firstLineChars="0"/>
                    <w:jc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kern w:val="0"/>
                      <w:sz w:val="21"/>
                      <w:szCs w:val="21"/>
                      <w:lang w:val="en-US" w:eastAsia="zh-CN" w:bidi="ar-SA"/>
                    </w:rPr>
                    <w:t>本项目位于四川巴中经开区，属于工业重点管控单元。</w:t>
                  </w:r>
                </w:p>
              </w:tc>
              <w:tc>
                <w:tcPr>
                  <w:tcW w:w="735" w:type="dxa"/>
                  <w:tcBorders>
                    <w:tl2br w:val="nil"/>
                    <w:tr2bl w:val="nil"/>
                  </w:tcBorders>
                  <w:noWrap w:val="0"/>
                  <w:vAlign w:val="center"/>
                </w:tcPr>
                <w:p w14:paraId="0633BCAE">
                  <w:pPr>
                    <w:pStyle w:val="18"/>
                    <w:bidi w:val="0"/>
                    <w:spacing w:line="240" w:lineRule="auto"/>
                    <w:ind w:left="0" w:leftChars="0" w:firstLine="0" w:firstLineChars="0"/>
                    <w:jc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kern w:val="0"/>
                      <w:sz w:val="21"/>
                      <w:szCs w:val="21"/>
                      <w:lang w:val="en-US" w:eastAsia="zh-CN" w:bidi="ar-SA"/>
                    </w:rPr>
                    <w:t>/</w:t>
                  </w:r>
                </w:p>
              </w:tc>
            </w:tr>
            <w:tr w14:paraId="7FE5F6D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844" w:hRule="atLeast"/>
                <w:jc w:val="center"/>
              </w:trPr>
              <w:tc>
                <w:tcPr>
                  <w:tcW w:w="696" w:type="dxa"/>
                  <w:vMerge w:val="continue"/>
                  <w:tcBorders>
                    <w:tl2br w:val="nil"/>
                    <w:tr2bl w:val="nil"/>
                  </w:tcBorders>
                  <w:noWrap w:val="0"/>
                  <w:vAlign w:val="center"/>
                </w:tcPr>
                <w:p w14:paraId="4C2CFB81">
                  <w:pPr>
                    <w:pStyle w:val="70"/>
                    <w:spacing w:line="240" w:lineRule="auto"/>
                    <w:jc w:val="both"/>
                    <w:rPr>
                      <w:rFonts w:hint="default" w:ascii="Times New Roman" w:hAnsi="Times New Roman" w:eastAsia="宋体" w:cs="Times New Roman"/>
                      <w:color w:val="auto"/>
                      <w:sz w:val="21"/>
                      <w:szCs w:val="21"/>
                      <w:lang w:val="en-US" w:eastAsia="zh-CN"/>
                    </w:rPr>
                  </w:pPr>
                </w:p>
              </w:tc>
              <w:tc>
                <w:tcPr>
                  <w:tcW w:w="855" w:type="dxa"/>
                  <w:tcBorders>
                    <w:tl2br w:val="nil"/>
                    <w:tr2bl w:val="nil"/>
                  </w:tcBorders>
                  <w:noWrap w:val="0"/>
                  <w:vAlign w:val="center"/>
                </w:tcPr>
                <w:p w14:paraId="0B2BD648">
                  <w:pPr>
                    <w:pStyle w:val="70"/>
                    <w:spacing w:line="240" w:lineRule="auto"/>
                    <w:jc w:val="both"/>
                    <w:rPr>
                      <w:rFonts w:hint="default" w:ascii="Times New Roman" w:hAnsi="Times New Roman" w:eastAsia="宋体" w:cs="Times New Roman"/>
                      <w:color w:val="auto"/>
                      <w:sz w:val="21"/>
                      <w:szCs w:val="21"/>
                      <w:lang w:val="en-US" w:eastAsia="zh-CN"/>
                    </w:rPr>
                  </w:pPr>
                  <w:r>
                    <w:rPr>
                      <w:rFonts w:ascii="Times New Roman" w:hAnsi="Times New Roman" w:eastAsia="宋体" w:cs="Times New Roman"/>
                      <w:color w:val="auto"/>
                      <w:sz w:val="21"/>
                      <w:szCs w:val="21"/>
                    </w:rPr>
                    <w:t>发展定位与目标</w:t>
                  </w:r>
                </w:p>
              </w:tc>
              <w:tc>
                <w:tcPr>
                  <w:tcW w:w="2960" w:type="dxa"/>
                  <w:tcBorders>
                    <w:tl2br w:val="nil"/>
                    <w:tr2bl w:val="nil"/>
                  </w:tcBorders>
                  <w:noWrap w:val="0"/>
                  <w:vAlign w:val="center"/>
                </w:tcPr>
                <w:p w14:paraId="50B40647">
                  <w:pPr>
                    <w:pStyle w:val="70"/>
                    <w:spacing w:line="240" w:lineRule="auto"/>
                    <w:jc w:val="both"/>
                    <w:rPr>
                      <w:rFonts w:hint="default" w:ascii="Times New Roman" w:hAnsi="Times New Roman" w:eastAsia="宋体" w:cs="Times New Roman"/>
                      <w:color w:val="auto"/>
                      <w:sz w:val="21"/>
                      <w:szCs w:val="21"/>
                      <w:lang w:val="en-US" w:eastAsia="zh-CN"/>
                    </w:rPr>
                  </w:pPr>
                  <w:r>
                    <w:rPr>
                      <w:rFonts w:ascii="Times New Roman" w:hAnsi="Times New Roman" w:eastAsia="宋体" w:cs="Times New Roman"/>
                      <w:color w:val="auto"/>
                      <w:sz w:val="21"/>
                      <w:szCs w:val="21"/>
                    </w:rPr>
                    <w:t>围绕做强支撑更有力的次级增长极，对省域经济副中心、区域中心城市、其他市（州）以及国省新区、各类高新区经开区提出明确要求；围绕推动欠发达地区跨越发展，提出加快补齐发展短板，巩固拓展脱贫攻坚成果，增强脱贫群众内生发展动力，形成先发带后发、先富帮后富的区域发展新格局。同时大力推动成渝地区双城经济圈建设，进一步加强与重庆方面全方位协作，强化双核联动、双圈互动，突出成渝主轴、南北两翼，合力打造带动全国高质量发展的重要增长极和新的动力源。</w:t>
                  </w:r>
                </w:p>
              </w:tc>
              <w:tc>
                <w:tcPr>
                  <w:tcW w:w="1735" w:type="dxa"/>
                  <w:tcBorders>
                    <w:tl2br w:val="nil"/>
                    <w:tr2bl w:val="nil"/>
                  </w:tcBorders>
                  <w:noWrap w:val="0"/>
                  <w:vAlign w:val="center"/>
                </w:tcPr>
                <w:p w14:paraId="13A814E6">
                  <w:pPr>
                    <w:pStyle w:val="18"/>
                    <w:bidi w:val="0"/>
                    <w:spacing w:line="240" w:lineRule="auto"/>
                    <w:ind w:left="0" w:leftChars="0" w:firstLine="0" w:firstLineChars="0"/>
                    <w:jc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kern w:val="0"/>
                      <w:sz w:val="21"/>
                      <w:szCs w:val="21"/>
                      <w:lang w:val="en-US" w:eastAsia="zh-CN" w:bidi="ar-SA"/>
                    </w:rPr>
                    <w:t>本项目建成后能带动当地经济发展，符合区域发展定位与目标</w:t>
                  </w:r>
                </w:p>
              </w:tc>
              <w:tc>
                <w:tcPr>
                  <w:tcW w:w="735" w:type="dxa"/>
                  <w:tcBorders>
                    <w:tl2br w:val="nil"/>
                    <w:tr2bl w:val="nil"/>
                  </w:tcBorders>
                  <w:noWrap w:val="0"/>
                  <w:vAlign w:val="center"/>
                </w:tcPr>
                <w:p w14:paraId="238EC970">
                  <w:pPr>
                    <w:pStyle w:val="18"/>
                    <w:bidi w:val="0"/>
                    <w:spacing w:line="240" w:lineRule="auto"/>
                    <w:ind w:left="0" w:leftChars="0" w:firstLine="0" w:firstLineChars="0"/>
                    <w:jc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kern w:val="0"/>
                      <w:sz w:val="21"/>
                      <w:szCs w:val="21"/>
                      <w:lang w:val="en-US" w:eastAsia="zh-CN" w:bidi="ar-SA"/>
                    </w:rPr>
                    <w:t>符合</w:t>
                  </w:r>
                </w:p>
              </w:tc>
            </w:tr>
            <w:tr w14:paraId="442C735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844" w:hRule="atLeast"/>
                <w:jc w:val="center"/>
              </w:trPr>
              <w:tc>
                <w:tcPr>
                  <w:tcW w:w="696" w:type="dxa"/>
                  <w:vMerge w:val="continue"/>
                  <w:tcBorders>
                    <w:tl2br w:val="nil"/>
                    <w:tr2bl w:val="nil"/>
                  </w:tcBorders>
                  <w:noWrap w:val="0"/>
                  <w:vAlign w:val="center"/>
                </w:tcPr>
                <w:p w14:paraId="5348928F">
                  <w:pPr>
                    <w:pStyle w:val="70"/>
                    <w:spacing w:line="240" w:lineRule="auto"/>
                    <w:jc w:val="both"/>
                    <w:rPr>
                      <w:rFonts w:hint="default" w:ascii="Times New Roman" w:hAnsi="Times New Roman" w:eastAsia="宋体" w:cs="Times New Roman"/>
                      <w:color w:val="auto"/>
                      <w:sz w:val="21"/>
                      <w:szCs w:val="21"/>
                      <w:lang w:val="en-US" w:eastAsia="zh-CN"/>
                    </w:rPr>
                  </w:pPr>
                </w:p>
              </w:tc>
              <w:tc>
                <w:tcPr>
                  <w:tcW w:w="855" w:type="dxa"/>
                  <w:tcBorders>
                    <w:tl2br w:val="nil"/>
                    <w:tr2bl w:val="nil"/>
                  </w:tcBorders>
                  <w:noWrap w:val="0"/>
                  <w:vAlign w:val="center"/>
                </w:tcPr>
                <w:p w14:paraId="43E5B08B">
                  <w:pPr>
                    <w:pStyle w:val="70"/>
                    <w:spacing w:line="240" w:lineRule="auto"/>
                    <w:jc w:val="both"/>
                    <w:rPr>
                      <w:rFonts w:hint="default" w:ascii="Times New Roman" w:hAnsi="Times New Roman" w:eastAsia="宋体" w:cs="Times New Roman"/>
                      <w:color w:val="auto"/>
                      <w:sz w:val="21"/>
                      <w:szCs w:val="21"/>
                      <w:lang w:val="en-US" w:eastAsia="zh-CN"/>
                    </w:rPr>
                  </w:pPr>
                  <w:r>
                    <w:rPr>
                      <w:rFonts w:ascii="Times New Roman" w:hAnsi="Times New Roman" w:eastAsia="宋体" w:cs="Times New Roman"/>
                      <w:color w:val="auto"/>
                      <w:sz w:val="21"/>
                      <w:szCs w:val="21"/>
                    </w:rPr>
                    <w:t>区域突出生态环境问题</w:t>
                  </w:r>
                </w:p>
              </w:tc>
              <w:tc>
                <w:tcPr>
                  <w:tcW w:w="2960" w:type="dxa"/>
                  <w:tcBorders>
                    <w:tl2br w:val="nil"/>
                    <w:tr2bl w:val="nil"/>
                  </w:tcBorders>
                  <w:noWrap w:val="0"/>
                  <w:vAlign w:val="center"/>
                </w:tcPr>
                <w:p w14:paraId="59826D42">
                  <w:pPr>
                    <w:pStyle w:val="70"/>
                    <w:spacing w:line="240" w:lineRule="auto"/>
                    <w:jc w:val="both"/>
                    <w:rPr>
                      <w:rFonts w:hint="default" w:ascii="Times New Roman" w:hAnsi="Times New Roman" w:eastAsia="宋体" w:cs="Times New Roman"/>
                      <w:color w:val="auto"/>
                      <w:sz w:val="21"/>
                      <w:szCs w:val="21"/>
                      <w:lang w:val="en-US" w:eastAsia="zh-CN"/>
                    </w:rPr>
                  </w:pPr>
                  <w:r>
                    <w:rPr>
                      <w:rFonts w:ascii="Times New Roman" w:hAnsi="Times New Roman" w:eastAsia="宋体" w:cs="Times New Roman"/>
                      <w:color w:val="auto"/>
                      <w:sz w:val="21"/>
                      <w:szCs w:val="21"/>
                    </w:rPr>
                    <w:t>1、小流域污染问题突出，嘉陵江及渠江部分支流部分河段水环境承载力不足，乡镇污水基础设施建设滞后；出川断面多，水质要求高，保护压力大。2、区域嘉陵江流域存在输入性水环境风险问题。3、达州、广安大气污染问题须重视。</w:t>
                  </w:r>
                </w:p>
              </w:tc>
              <w:tc>
                <w:tcPr>
                  <w:tcW w:w="1735" w:type="dxa"/>
                  <w:vMerge w:val="restart"/>
                  <w:tcBorders>
                    <w:tl2br w:val="nil"/>
                    <w:tr2bl w:val="nil"/>
                  </w:tcBorders>
                  <w:noWrap w:val="0"/>
                  <w:vAlign w:val="center"/>
                </w:tcPr>
                <w:p w14:paraId="74D3915F">
                  <w:pPr>
                    <w:pStyle w:val="70"/>
                    <w:spacing w:line="240" w:lineRule="auto"/>
                    <w:jc w:val="both"/>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项目</w:t>
                  </w:r>
                  <w:r>
                    <w:rPr>
                      <w:rFonts w:hint="eastAsia" w:cs="Times New Roman"/>
                      <w:color w:val="auto"/>
                      <w:sz w:val="21"/>
                      <w:szCs w:val="21"/>
                      <w:lang w:val="en-US" w:eastAsia="zh-CN"/>
                    </w:rPr>
                    <w:t>生产</w:t>
                  </w:r>
                  <w:r>
                    <w:rPr>
                      <w:rFonts w:hint="default" w:ascii="Times New Roman" w:hAnsi="Times New Roman" w:eastAsia="宋体" w:cs="Times New Roman"/>
                      <w:color w:val="auto"/>
                      <w:sz w:val="21"/>
                      <w:szCs w:val="21"/>
                      <w:lang w:val="en-US" w:eastAsia="zh-CN"/>
                    </w:rPr>
                    <w:t>废水</w:t>
                  </w:r>
                  <w:r>
                    <w:rPr>
                      <w:rFonts w:hint="default" w:ascii="Times New Roman" w:hAnsi="Times New Roman" w:eastAsia="宋体" w:cs="Times New Roman"/>
                      <w:color w:val="auto"/>
                      <w:sz w:val="21"/>
                      <w:szCs w:val="21"/>
                    </w:rPr>
                    <w:t>经</w:t>
                  </w:r>
                  <w:r>
                    <w:rPr>
                      <w:rFonts w:hint="default" w:ascii="Times New Roman" w:hAnsi="Times New Roman" w:eastAsia="宋体" w:cs="Times New Roman"/>
                      <w:color w:val="auto"/>
                      <w:sz w:val="21"/>
                      <w:szCs w:val="21"/>
                      <w:lang w:val="en-US" w:eastAsia="zh-CN"/>
                    </w:rPr>
                    <w:t>厂区污水处理设备处理</w:t>
                  </w:r>
                  <w:r>
                    <w:rPr>
                      <w:rFonts w:hint="eastAsia" w:cs="Times New Roman"/>
                      <w:color w:val="auto"/>
                      <w:sz w:val="21"/>
                      <w:szCs w:val="21"/>
                      <w:lang w:val="en-US" w:eastAsia="zh-CN"/>
                    </w:rPr>
                    <w:t>，生活污水和纯水制备浓水经预处理池处理，处理后的废水</w:t>
                  </w:r>
                  <w:r>
                    <w:rPr>
                      <w:rFonts w:hint="default" w:ascii="Times New Roman" w:hAnsi="Times New Roman" w:eastAsia="宋体" w:cs="Times New Roman"/>
                      <w:color w:val="auto"/>
                      <w:sz w:val="21"/>
                      <w:szCs w:val="21"/>
                      <w:lang w:val="en-US" w:eastAsia="zh-CN"/>
                    </w:rPr>
                    <w:t>通过</w:t>
                  </w:r>
                  <w:r>
                    <w:rPr>
                      <w:rFonts w:hint="default" w:ascii="Times New Roman" w:hAnsi="Times New Roman" w:eastAsia="宋体" w:cs="Times New Roman"/>
                      <w:color w:val="auto"/>
                      <w:sz w:val="21"/>
                      <w:szCs w:val="21"/>
                    </w:rPr>
                    <w:t>市政管网送</w:t>
                  </w:r>
                  <w:r>
                    <w:rPr>
                      <w:rFonts w:hint="default" w:ascii="Times New Roman" w:hAnsi="Times New Roman" w:eastAsia="宋体" w:cs="Times New Roman"/>
                      <w:color w:val="auto"/>
                      <w:sz w:val="21"/>
                      <w:szCs w:val="21"/>
                      <w:lang w:val="en-US" w:eastAsia="zh-CN"/>
                    </w:rPr>
                    <w:t>至</w:t>
                  </w:r>
                  <w:r>
                    <w:rPr>
                      <w:rFonts w:hint="default" w:ascii="Times New Roman" w:hAnsi="Times New Roman" w:eastAsia="宋体" w:cs="Times New Roman"/>
                      <w:color w:val="auto"/>
                      <w:sz w:val="21"/>
                      <w:szCs w:val="21"/>
                    </w:rPr>
                    <w:t>经开区污水处理厂处理达标</w:t>
                  </w:r>
                  <w:r>
                    <w:rPr>
                      <w:rFonts w:hint="default" w:ascii="Times New Roman" w:hAnsi="Times New Roman" w:eastAsia="宋体" w:cs="Times New Roman"/>
                      <w:color w:val="auto"/>
                      <w:sz w:val="21"/>
                      <w:szCs w:val="21"/>
                      <w:lang w:val="en-US" w:eastAsia="zh-CN"/>
                    </w:rPr>
                    <w:t>后</w:t>
                  </w:r>
                  <w:r>
                    <w:rPr>
                      <w:rFonts w:hint="default" w:ascii="Times New Roman" w:hAnsi="Times New Roman" w:eastAsia="宋体" w:cs="Times New Roman"/>
                      <w:color w:val="auto"/>
                      <w:sz w:val="21"/>
                      <w:szCs w:val="21"/>
                    </w:rPr>
                    <w:t>排放。</w:t>
                  </w:r>
                </w:p>
              </w:tc>
              <w:tc>
                <w:tcPr>
                  <w:tcW w:w="735" w:type="dxa"/>
                  <w:tcBorders>
                    <w:tl2br w:val="nil"/>
                    <w:tr2bl w:val="nil"/>
                  </w:tcBorders>
                  <w:noWrap w:val="0"/>
                  <w:vAlign w:val="center"/>
                </w:tcPr>
                <w:p w14:paraId="734C185A">
                  <w:pPr>
                    <w:pStyle w:val="70"/>
                    <w:spacing w:line="240" w:lineRule="auto"/>
                    <w:jc w:val="both"/>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符合</w:t>
                  </w:r>
                </w:p>
              </w:tc>
            </w:tr>
            <w:tr w14:paraId="6185687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844" w:hRule="atLeast"/>
                <w:jc w:val="center"/>
              </w:trPr>
              <w:tc>
                <w:tcPr>
                  <w:tcW w:w="696" w:type="dxa"/>
                  <w:vMerge w:val="continue"/>
                  <w:tcBorders>
                    <w:tl2br w:val="nil"/>
                    <w:tr2bl w:val="nil"/>
                  </w:tcBorders>
                  <w:noWrap w:val="0"/>
                  <w:vAlign w:val="center"/>
                </w:tcPr>
                <w:p w14:paraId="462C8CEF">
                  <w:pPr>
                    <w:pStyle w:val="70"/>
                    <w:spacing w:line="240" w:lineRule="auto"/>
                    <w:jc w:val="both"/>
                    <w:rPr>
                      <w:rFonts w:hint="default" w:ascii="Times New Roman" w:hAnsi="Times New Roman" w:eastAsia="宋体" w:cs="Times New Roman"/>
                      <w:color w:val="auto"/>
                      <w:sz w:val="21"/>
                      <w:szCs w:val="21"/>
                      <w:lang w:val="en-US" w:eastAsia="zh-CN"/>
                    </w:rPr>
                  </w:pPr>
                </w:p>
              </w:tc>
              <w:tc>
                <w:tcPr>
                  <w:tcW w:w="855" w:type="dxa"/>
                  <w:tcBorders>
                    <w:tl2br w:val="nil"/>
                    <w:tr2bl w:val="nil"/>
                  </w:tcBorders>
                  <w:noWrap w:val="0"/>
                  <w:vAlign w:val="center"/>
                </w:tcPr>
                <w:p w14:paraId="141F3144">
                  <w:pPr>
                    <w:pStyle w:val="70"/>
                    <w:spacing w:line="240" w:lineRule="auto"/>
                    <w:jc w:val="both"/>
                    <w:rPr>
                      <w:rFonts w:hint="default" w:ascii="Times New Roman" w:hAnsi="Times New Roman" w:eastAsia="宋体" w:cs="Times New Roman"/>
                      <w:color w:val="auto"/>
                      <w:sz w:val="21"/>
                      <w:szCs w:val="21"/>
                      <w:lang w:val="en-US" w:eastAsia="zh-CN"/>
                    </w:rPr>
                  </w:pPr>
                  <w:r>
                    <w:rPr>
                      <w:rFonts w:ascii="Times New Roman" w:hAnsi="Times New Roman" w:eastAsia="宋体" w:cs="Times New Roman"/>
                      <w:color w:val="auto"/>
                      <w:sz w:val="21"/>
                      <w:szCs w:val="21"/>
                    </w:rPr>
                    <w:t>总体管控要求</w:t>
                  </w:r>
                </w:p>
              </w:tc>
              <w:tc>
                <w:tcPr>
                  <w:tcW w:w="2960" w:type="dxa"/>
                  <w:tcBorders>
                    <w:tl2br w:val="nil"/>
                    <w:tr2bl w:val="nil"/>
                  </w:tcBorders>
                  <w:noWrap w:val="0"/>
                  <w:vAlign w:val="center"/>
                </w:tcPr>
                <w:p w14:paraId="5B5A35A3">
                  <w:pPr>
                    <w:pStyle w:val="70"/>
                    <w:spacing w:line="240" w:lineRule="auto"/>
                    <w:jc w:val="both"/>
                    <w:rPr>
                      <w:rFonts w:hint="default" w:ascii="Times New Roman" w:hAnsi="Times New Roman" w:eastAsia="宋体" w:cs="Times New Roman"/>
                      <w:color w:val="auto"/>
                      <w:sz w:val="21"/>
                      <w:szCs w:val="21"/>
                      <w:lang w:val="en-US" w:eastAsia="zh-CN"/>
                    </w:rPr>
                  </w:pPr>
                  <w:r>
                    <w:rPr>
                      <w:rFonts w:ascii="Times New Roman" w:hAnsi="Times New Roman" w:eastAsia="宋体" w:cs="Times New Roman"/>
                      <w:color w:val="auto"/>
                      <w:sz w:val="21"/>
                      <w:szCs w:val="21"/>
                    </w:rPr>
                    <w:t>1、控制农村面源污染，提高污水收集处理率，加快乡镇污水处理基础设施建设。2、建设流域水环境风险联防联控体系。提高大气污染治理水平。</w:t>
                  </w:r>
                </w:p>
              </w:tc>
              <w:tc>
                <w:tcPr>
                  <w:tcW w:w="1735" w:type="dxa"/>
                  <w:vMerge w:val="continue"/>
                  <w:tcBorders>
                    <w:tl2br w:val="nil"/>
                    <w:tr2bl w:val="nil"/>
                  </w:tcBorders>
                  <w:noWrap w:val="0"/>
                  <w:vAlign w:val="center"/>
                </w:tcPr>
                <w:p w14:paraId="6081EA3C">
                  <w:pPr>
                    <w:pStyle w:val="70"/>
                    <w:spacing w:line="240" w:lineRule="auto"/>
                    <w:jc w:val="both"/>
                    <w:rPr>
                      <w:rFonts w:hint="default" w:ascii="Times New Roman" w:hAnsi="Times New Roman" w:eastAsia="宋体" w:cs="Times New Roman"/>
                      <w:color w:val="auto"/>
                      <w:sz w:val="21"/>
                      <w:szCs w:val="21"/>
                      <w:lang w:val="en-US" w:eastAsia="zh-CN"/>
                    </w:rPr>
                  </w:pPr>
                </w:p>
              </w:tc>
              <w:tc>
                <w:tcPr>
                  <w:tcW w:w="735" w:type="dxa"/>
                  <w:tcBorders>
                    <w:tl2br w:val="nil"/>
                    <w:tr2bl w:val="nil"/>
                  </w:tcBorders>
                  <w:noWrap w:val="0"/>
                  <w:vAlign w:val="center"/>
                </w:tcPr>
                <w:p w14:paraId="54E04AC1">
                  <w:pPr>
                    <w:pStyle w:val="70"/>
                    <w:spacing w:line="240" w:lineRule="auto"/>
                    <w:jc w:val="both"/>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符合</w:t>
                  </w:r>
                </w:p>
              </w:tc>
            </w:tr>
          </w:tbl>
          <w:p w14:paraId="437CEAE3">
            <w:pPr>
              <w:pStyle w:val="66"/>
              <w:keepNext w:val="0"/>
              <w:keepLines w:val="0"/>
              <w:pageBreakBefore w:val="0"/>
              <w:widowControl w:val="0"/>
              <w:kinsoku/>
              <w:wordWrap/>
              <w:overflowPunct/>
              <w:topLinePunct w:val="0"/>
              <w:autoSpaceDE w:val="0"/>
              <w:autoSpaceDN w:val="0"/>
              <w:bidi w:val="0"/>
              <w:adjustRightInd w:val="0"/>
              <w:snapToGrid w:val="0"/>
              <w:spacing w:line="360" w:lineRule="auto"/>
              <w:textAlignment w:val="auto"/>
              <w:rPr>
                <w:rFonts w:hint="default" w:eastAsia="宋体"/>
                <w:color w:val="auto"/>
                <w:lang w:val="en-US" w:eastAsia="zh-CN"/>
              </w:rPr>
            </w:pPr>
            <w:r>
              <w:rPr>
                <w:rFonts w:hint="eastAsia"/>
                <w:color w:val="auto"/>
                <w:lang w:val="en-US" w:eastAsia="zh-CN"/>
              </w:rPr>
              <w:t>综上，本项目与川东北经济区管控要求相符合。</w:t>
            </w:r>
          </w:p>
          <w:p w14:paraId="6FCCA67D">
            <w:pPr>
              <w:pStyle w:val="66"/>
              <w:keepNext w:val="0"/>
              <w:keepLines w:val="0"/>
              <w:pageBreakBefore w:val="0"/>
              <w:widowControl w:val="0"/>
              <w:numPr>
                <w:ilvl w:val="0"/>
                <w:numId w:val="2"/>
              </w:numPr>
              <w:kinsoku/>
              <w:wordWrap/>
              <w:overflowPunct/>
              <w:topLinePunct w:val="0"/>
              <w:autoSpaceDE w:val="0"/>
              <w:autoSpaceDN w:val="0"/>
              <w:bidi w:val="0"/>
              <w:adjustRightInd w:val="0"/>
              <w:snapToGrid w:val="0"/>
              <w:spacing w:line="360" w:lineRule="auto"/>
              <w:ind w:firstLine="480" w:firstLineChars="200"/>
              <w:textAlignment w:val="auto"/>
              <w:rPr>
                <w:rFonts w:hint="eastAsia" w:ascii="Times New Roman" w:hAnsi="Times New Roman" w:eastAsia="宋体" w:cs="Times New Roman"/>
                <w:color w:val="auto"/>
                <w:sz w:val="24"/>
                <w:highlight w:val="none"/>
                <w:lang w:val="en-US" w:eastAsia="zh-CN"/>
              </w:rPr>
            </w:pPr>
            <w:r>
              <w:rPr>
                <w:rFonts w:hint="eastAsia" w:ascii="Times New Roman" w:hAnsi="Times New Roman" w:eastAsia="宋体" w:cs="Times New Roman"/>
                <w:color w:val="auto"/>
                <w:sz w:val="24"/>
                <w:highlight w:val="none"/>
                <w:lang w:val="en-US" w:eastAsia="zh-CN"/>
              </w:rPr>
              <w:t>生态环境准入清单</w:t>
            </w:r>
          </w:p>
          <w:p w14:paraId="2444B1FE">
            <w:pPr>
              <w:pStyle w:val="66"/>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jc w:val="both"/>
              <w:textAlignment w:val="auto"/>
              <w:rPr>
                <w:rFonts w:hint="eastAsia" w:ascii="Times New Roman" w:hAnsi="Times New Roman" w:eastAsia="宋体" w:cs="Times New Roman"/>
                <w:color w:val="auto"/>
                <w:sz w:val="24"/>
                <w:highlight w:val="none"/>
                <w:lang w:val="en-US" w:eastAsia="zh-CN"/>
              </w:rPr>
            </w:pPr>
          </w:p>
          <w:p w14:paraId="166ACC99">
            <w:pPr>
              <w:pStyle w:val="66"/>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jc w:val="both"/>
              <w:textAlignment w:val="auto"/>
              <w:rPr>
                <w:rFonts w:hint="eastAsia" w:ascii="Times New Roman" w:hAnsi="Times New Roman" w:eastAsia="宋体" w:cs="Times New Roman"/>
                <w:color w:val="auto"/>
                <w:sz w:val="24"/>
                <w:highlight w:val="none"/>
                <w:lang w:val="en-US" w:eastAsia="zh-CN"/>
              </w:rPr>
            </w:pPr>
          </w:p>
          <w:p w14:paraId="3D4D6446">
            <w:pPr>
              <w:pStyle w:val="66"/>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jc w:val="both"/>
              <w:textAlignment w:val="auto"/>
              <w:rPr>
                <w:rFonts w:hint="eastAsia" w:ascii="Times New Roman" w:hAnsi="Times New Roman" w:eastAsia="宋体" w:cs="Times New Roman"/>
                <w:color w:val="auto"/>
                <w:sz w:val="24"/>
                <w:highlight w:val="none"/>
                <w:lang w:val="en-US" w:eastAsia="zh-CN"/>
              </w:rPr>
            </w:pPr>
          </w:p>
          <w:p w14:paraId="7268C25E">
            <w:pPr>
              <w:pStyle w:val="66"/>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jc w:val="both"/>
              <w:textAlignment w:val="auto"/>
              <w:rPr>
                <w:rFonts w:hint="eastAsia" w:ascii="Times New Roman" w:hAnsi="Times New Roman" w:eastAsia="宋体" w:cs="Times New Roman"/>
                <w:color w:val="auto"/>
                <w:sz w:val="24"/>
                <w:highlight w:val="none"/>
                <w:lang w:val="en-US" w:eastAsia="zh-CN"/>
              </w:rPr>
            </w:pPr>
          </w:p>
          <w:p w14:paraId="3EF3B7F0">
            <w:pPr>
              <w:pStyle w:val="66"/>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jc w:val="both"/>
              <w:textAlignment w:val="auto"/>
              <w:rPr>
                <w:rFonts w:hint="eastAsia" w:ascii="Times New Roman" w:hAnsi="Times New Roman" w:eastAsia="宋体" w:cs="Times New Roman"/>
                <w:color w:val="auto"/>
                <w:sz w:val="24"/>
                <w:highlight w:val="none"/>
                <w:lang w:val="en-US" w:eastAsia="zh-CN"/>
              </w:rPr>
            </w:pPr>
          </w:p>
          <w:p w14:paraId="2ABED514">
            <w:pPr>
              <w:pStyle w:val="66"/>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jc w:val="both"/>
              <w:textAlignment w:val="auto"/>
              <w:rPr>
                <w:rFonts w:hint="eastAsia" w:ascii="Times New Roman" w:hAnsi="Times New Roman" w:eastAsia="宋体" w:cs="Times New Roman"/>
                <w:color w:val="auto"/>
                <w:sz w:val="24"/>
                <w:highlight w:val="none"/>
                <w:lang w:val="en-US" w:eastAsia="zh-CN"/>
              </w:rPr>
            </w:pPr>
          </w:p>
        </w:tc>
      </w:tr>
    </w:tbl>
    <w:p w14:paraId="4E6D09BF">
      <w:pPr>
        <w:pStyle w:val="37"/>
        <w:jc w:val="center"/>
        <w:outlineLvl w:val="9"/>
        <w:rPr>
          <w:rFonts w:hint="eastAsia" w:ascii="黑体" w:hAnsi="黑体" w:eastAsia="黑体"/>
          <w:snapToGrid w:val="0"/>
          <w:color w:val="auto"/>
          <w:sz w:val="30"/>
          <w:szCs w:val="30"/>
        </w:rPr>
        <w:sectPr>
          <w:footerReference r:id="rId5" w:type="default"/>
          <w:pgSz w:w="11906" w:h="16838"/>
          <w:pgMar w:top="1701" w:right="1531" w:bottom="1701" w:left="1531" w:header="851" w:footer="1021" w:gutter="0"/>
          <w:pgNumType w:start="1"/>
          <w:cols w:space="720" w:num="1"/>
          <w:docGrid w:linePitch="312" w:charSpace="0"/>
        </w:sectPr>
      </w:pPr>
    </w:p>
    <w:p w14:paraId="0A56D625">
      <w:pPr>
        <w:pStyle w:val="68"/>
        <w:rPr>
          <w:rFonts w:hint="default" w:ascii="Times New Roman" w:hAnsi="Times New Roman" w:eastAsia="宋体" w:cs="Times New Roman"/>
          <w:b/>
          <w:bCs/>
          <w:color w:val="auto"/>
        </w:rPr>
      </w:pPr>
      <w:r>
        <w:rPr>
          <w:rFonts w:hint="eastAsia" w:ascii="Times New Roman" w:hAnsi="Times New Roman" w:eastAsia="宋体" w:cs="Times New Roman"/>
          <w:b/>
          <w:bCs/>
          <w:color w:val="auto"/>
        </w:rPr>
        <w:t>表1-</w:t>
      </w:r>
      <w:r>
        <w:rPr>
          <w:rFonts w:hint="eastAsia" w:eastAsia="宋体" w:cs="Times New Roman"/>
          <w:b/>
          <w:bCs/>
          <w:color w:val="auto"/>
          <w:lang w:val="en-US" w:eastAsia="zh-CN"/>
        </w:rPr>
        <w:t>6</w:t>
      </w:r>
      <w:r>
        <w:rPr>
          <w:rFonts w:hint="eastAsia" w:ascii="Times New Roman" w:hAnsi="Times New Roman" w:eastAsia="宋体" w:cs="Times New Roman"/>
          <w:b/>
          <w:bCs/>
          <w:color w:val="auto"/>
        </w:rPr>
        <w:t xml:space="preserve">  本项目与</w:t>
      </w:r>
      <w:r>
        <w:rPr>
          <w:rFonts w:hint="eastAsia" w:ascii="Times New Roman" w:hAnsi="Times New Roman" w:eastAsia="宋体" w:cs="Times New Roman"/>
          <w:b/>
          <w:bCs/>
          <w:color w:val="auto"/>
          <w:lang w:val="en-US" w:eastAsia="zh-CN"/>
        </w:rPr>
        <w:t>生态环境准入清单</w:t>
      </w:r>
      <w:r>
        <w:rPr>
          <w:rFonts w:hint="eastAsia" w:ascii="Times New Roman" w:hAnsi="Times New Roman" w:eastAsia="宋体" w:cs="Times New Roman"/>
          <w:b/>
          <w:bCs/>
          <w:color w:val="auto"/>
        </w:rPr>
        <w:t>的符合性分析</w:t>
      </w:r>
    </w:p>
    <w:tbl>
      <w:tblPr>
        <w:tblStyle w:val="42"/>
        <w:tblW w:w="0" w:type="auto"/>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2016"/>
        <w:gridCol w:w="1370"/>
        <w:gridCol w:w="1547"/>
        <w:gridCol w:w="1710"/>
        <w:gridCol w:w="3403"/>
        <w:gridCol w:w="2677"/>
        <w:gridCol w:w="929"/>
      </w:tblGrid>
      <w:tr w14:paraId="5D2027B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0046" w:type="dxa"/>
            <w:gridSpan w:val="5"/>
            <w:vAlign w:val="center"/>
          </w:tcPr>
          <w:p w14:paraId="50B2BD84">
            <w:pPr>
              <w:pStyle w:val="70"/>
              <w:spacing w:line="240" w:lineRule="auto"/>
              <w:rPr>
                <w:rFonts w:hint="eastAsia" w:ascii="Times New Roman" w:hAnsi="Times New Roman" w:eastAsia="宋体" w:cs="Times New Roman"/>
                <w:b/>
                <w:color w:val="auto"/>
                <w:sz w:val="21"/>
                <w:szCs w:val="21"/>
              </w:rPr>
            </w:pPr>
            <w:r>
              <w:rPr>
                <w:rFonts w:hint="eastAsia" w:ascii="Times New Roman" w:hAnsi="Times New Roman" w:eastAsia="宋体" w:cs="Times New Roman"/>
                <w:b/>
                <w:color w:val="auto"/>
                <w:sz w:val="21"/>
                <w:szCs w:val="21"/>
                <w:lang w:val="en-US" w:eastAsia="zh-CN"/>
              </w:rPr>
              <w:t>具体要求</w:t>
            </w:r>
          </w:p>
        </w:tc>
        <w:tc>
          <w:tcPr>
            <w:tcW w:w="2677" w:type="dxa"/>
            <w:vMerge w:val="restart"/>
            <w:vAlign w:val="center"/>
          </w:tcPr>
          <w:p w14:paraId="3528C247">
            <w:pPr>
              <w:widowControl w:val="0"/>
              <w:autoSpaceDE w:val="0"/>
              <w:autoSpaceDN w:val="0"/>
              <w:bidi w:val="0"/>
              <w:adjustRightInd w:val="0"/>
              <w:snapToGrid w:val="0"/>
              <w:spacing w:line="240" w:lineRule="auto"/>
              <w:jc w:val="center"/>
              <w:rPr>
                <w:rFonts w:hint="eastAsia" w:ascii="Times New Roman" w:hAnsi="Times New Roman" w:eastAsia="宋体" w:cs="Times New Roman"/>
                <w:b/>
                <w:color w:val="auto"/>
                <w:sz w:val="21"/>
                <w:szCs w:val="21"/>
              </w:rPr>
            </w:pPr>
            <w:r>
              <w:rPr>
                <w:rFonts w:hint="default" w:ascii="Times New Roman" w:hAnsi="Times New Roman" w:eastAsia="宋体" w:cs="Times New Roman"/>
                <w:b/>
                <w:color w:val="auto"/>
                <w:kern w:val="0"/>
                <w:sz w:val="21"/>
                <w:szCs w:val="21"/>
                <w:lang w:val="en-US" w:eastAsia="zh-CN" w:bidi="ar-SA"/>
              </w:rPr>
              <w:t>项目对应情况介绍</w:t>
            </w:r>
          </w:p>
        </w:tc>
        <w:tc>
          <w:tcPr>
            <w:tcW w:w="929" w:type="dxa"/>
            <w:vMerge w:val="restart"/>
            <w:vAlign w:val="center"/>
          </w:tcPr>
          <w:p w14:paraId="218B59D7">
            <w:pPr>
              <w:widowControl w:val="0"/>
              <w:autoSpaceDE w:val="0"/>
              <w:autoSpaceDN w:val="0"/>
              <w:bidi w:val="0"/>
              <w:adjustRightInd w:val="0"/>
              <w:snapToGrid w:val="0"/>
              <w:spacing w:line="240" w:lineRule="auto"/>
              <w:jc w:val="center"/>
              <w:rPr>
                <w:rFonts w:hint="eastAsia" w:ascii="Times New Roman" w:hAnsi="Times New Roman" w:eastAsia="宋体" w:cs="Times New Roman"/>
                <w:b/>
                <w:color w:val="auto"/>
                <w:sz w:val="21"/>
                <w:szCs w:val="21"/>
              </w:rPr>
            </w:pPr>
            <w:r>
              <w:rPr>
                <w:rFonts w:hint="default" w:ascii="Times New Roman" w:hAnsi="Times New Roman" w:eastAsia="宋体" w:cs="Times New Roman"/>
                <w:b/>
                <w:color w:val="auto"/>
                <w:kern w:val="0"/>
                <w:sz w:val="21"/>
                <w:szCs w:val="21"/>
                <w:lang w:val="en-US" w:eastAsia="zh-CN" w:bidi="ar-SA"/>
              </w:rPr>
              <w:t>符合性</w:t>
            </w:r>
          </w:p>
        </w:tc>
      </w:tr>
      <w:tr w14:paraId="49B0C25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933" w:type="dxa"/>
            <w:gridSpan w:val="3"/>
            <w:vAlign w:val="center"/>
          </w:tcPr>
          <w:p w14:paraId="754BA405">
            <w:pPr>
              <w:pStyle w:val="70"/>
              <w:spacing w:line="240" w:lineRule="auto"/>
              <w:rPr>
                <w:rFonts w:hint="default" w:ascii="Times New Roman" w:hAnsi="Times New Roman" w:eastAsia="宋体" w:cs="Times New Roman"/>
                <w:b/>
                <w:color w:val="auto"/>
                <w:kern w:val="0"/>
                <w:sz w:val="21"/>
                <w:szCs w:val="21"/>
                <w:lang w:val="en-US" w:eastAsia="zh-CN" w:bidi="ar-SA"/>
              </w:rPr>
            </w:pPr>
            <w:r>
              <w:rPr>
                <w:rFonts w:hint="default" w:ascii="Times New Roman" w:hAnsi="Times New Roman" w:eastAsia="宋体" w:cs="Times New Roman"/>
                <w:b/>
                <w:color w:val="auto"/>
                <w:kern w:val="0"/>
                <w:sz w:val="21"/>
                <w:szCs w:val="21"/>
                <w:lang w:val="en-US" w:eastAsia="zh-CN" w:bidi="ar-SA"/>
              </w:rPr>
              <w:t>类别</w:t>
            </w:r>
          </w:p>
        </w:tc>
        <w:tc>
          <w:tcPr>
            <w:tcW w:w="5113" w:type="dxa"/>
            <w:gridSpan w:val="2"/>
            <w:vAlign w:val="center"/>
          </w:tcPr>
          <w:p w14:paraId="2F97B920">
            <w:pPr>
              <w:pStyle w:val="70"/>
              <w:spacing w:line="240" w:lineRule="auto"/>
              <w:rPr>
                <w:rFonts w:hint="eastAsia" w:ascii="Times New Roman" w:hAnsi="Times New Roman" w:eastAsia="宋体" w:cs="Times New Roman"/>
                <w:color w:val="auto"/>
                <w:sz w:val="21"/>
                <w:szCs w:val="21"/>
              </w:rPr>
            </w:pPr>
            <w:r>
              <w:rPr>
                <w:rFonts w:hint="default" w:ascii="Times New Roman" w:hAnsi="Times New Roman" w:eastAsia="宋体" w:cs="Times New Roman"/>
                <w:b/>
                <w:color w:val="auto"/>
                <w:kern w:val="0"/>
                <w:sz w:val="21"/>
                <w:szCs w:val="21"/>
                <w:lang w:val="en-US" w:eastAsia="zh-CN" w:bidi="ar-SA"/>
              </w:rPr>
              <w:t>对应管控要求</w:t>
            </w:r>
          </w:p>
        </w:tc>
        <w:tc>
          <w:tcPr>
            <w:tcW w:w="2677" w:type="dxa"/>
            <w:vMerge w:val="continue"/>
            <w:vAlign w:val="center"/>
          </w:tcPr>
          <w:p w14:paraId="0AAED6D8">
            <w:pPr>
              <w:pStyle w:val="70"/>
              <w:spacing w:line="240" w:lineRule="auto"/>
              <w:rPr>
                <w:rFonts w:hint="eastAsia" w:ascii="Times New Roman" w:hAnsi="Times New Roman" w:eastAsia="宋体" w:cs="Times New Roman"/>
                <w:color w:val="auto"/>
                <w:sz w:val="21"/>
                <w:szCs w:val="21"/>
              </w:rPr>
            </w:pPr>
          </w:p>
        </w:tc>
        <w:tc>
          <w:tcPr>
            <w:tcW w:w="929" w:type="dxa"/>
            <w:vMerge w:val="continue"/>
            <w:vAlign w:val="center"/>
          </w:tcPr>
          <w:p w14:paraId="58BFFDBD">
            <w:pPr>
              <w:pStyle w:val="70"/>
              <w:spacing w:line="240" w:lineRule="auto"/>
              <w:rPr>
                <w:rFonts w:hint="eastAsia" w:ascii="Times New Roman" w:hAnsi="Times New Roman" w:eastAsia="宋体" w:cs="Times New Roman"/>
                <w:color w:val="auto"/>
                <w:sz w:val="21"/>
                <w:szCs w:val="21"/>
              </w:rPr>
            </w:pPr>
          </w:p>
        </w:tc>
      </w:tr>
      <w:tr w14:paraId="1CB5A28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016" w:type="dxa"/>
            <w:vMerge w:val="restart"/>
            <w:vAlign w:val="center"/>
          </w:tcPr>
          <w:p w14:paraId="6C709C6B">
            <w:pPr>
              <w:pStyle w:val="70"/>
              <w:spacing w:line="240" w:lineRule="auto"/>
              <w:jc w:val="center"/>
              <w:rPr>
                <w:rFonts w:hint="eastAsia" w:ascii="Times New Roman" w:hAnsi="Times New Roman" w:eastAsia="宋体" w:cs="Times New Roman"/>
                <w:color w:val="auto"/>
                <w:sz w:val="21"/>
                <w:szCs w:val="21"/>
              </w:rPr>
            </w:pPr>
            <w:r>
              <w:rPr>
                <w:rFonts w:ascii="Times New Roman" w:hAnsi="Times New Roman" w:eastAsia="宋体" w:cs="Times New Roman"/>
                <w:color w:val="auto"/>
                <w:sz w:val="21"/>
                <w:szCs w:val="21"/>
              </w:rPr>
              <w:t>巴中市</w:t>
            </w:r>
          </w:p>
        </w:tc>
        <w:tc>
          <w:tcPr>
            <w:tcW w:w="1370" w:type="dxa"/>
            <w:vMerge w:val="restart"/>
            <w:vAlign w:val="center"/>
          </w:tcPr>
          <w:p w14:paraId="4B43BD6C">
            <w:pPr>
              <w:pStyle w:val="70"/>
              <w:spacing w:line="240" w:lineRule="auto"/>
              <w:jc w:val="both"/>
              <w:rPr>
                <w:rFonts w:hint="eastAsia" w:ascii="Times New Roman" w:hAnsi="Times New Roman" w:eastAsia="宋体" w:cs="Times New Roman"/>
                <w:color w:val="auto"/>
                <w:sz w:val="21"/>
                <w:szCs w:val="21"/>
              </w:rPr>
            </w:pPr>
            <w:r>
              <w:rPr>
                <w:rFonts w:ascii="Times New Roman" w:hAnsi="Times New Roman" w:eastAsia="宋体" w:cs="Times New Roman"/>
                <w:color w:val="auto"/>
                <w:sz w:val="21"/>
                <w:szCs w:val="21"/>
              </w:rPr>
              <w:t>巴州区+恩阳区+通江县+南江县+平昌县</w:t>
            </w:r>
          </w:p>
        </w:tc>
        <w:tc>
          <w:tcPr>
            <w:tcW w:w="1547" w:type="dxa"/>
            <w:vMerge w:val="restart"/>
            <w:vAlign w:val="center"/>
          </w:tcPr>
          <w:p w14:paraId="1AC947CC">
            <w:pPr>
              <w:pStyle w:val="70"/>
              <w:spacing w:line="240" w:lineRule="auto"/>
              <w:jc w:val="both"/>
              <w:rPr>
                <w:rFonts w:hint="eastAsia" w:ascii="Times New Roman" w:hAnsi="Times New Roman" w:eastAsia="宋体" w:cs="Times New Roman"/>
                <w:color w:val="auto"/>
                <w:sz w:val="21"/>
                <w:szCs w:val="21"/>
              </w:rPr>
            </w:pPr>
            <w:r>
              <w:rPr>
                <w:rFonts w:ascii="Times New Roman" w:hAnsi="Times New Roman" w:eastAsia="宋体" w:cs="Times New Roman"/>
                <w:color w:val="auto"/>
                <w:sz w:val="21"/>
                <w:szCs w:val="21"/>
              </w:rPr>
              <w:t>空间布局约束</w:t>
            </w:r>
          </w:p>
        </w:tc>
        <w:tc>
          <w:tcPr>
            <w:tcW w:w="1710" w:type="dxa"/>
            <w:vAlign w:val="center"/>
          </w:tcPr>
          <w:p w14:paraId="599824E5">
            <w:pPr>
              <w:pStyle w:val="70"/>
              <w:spacing w:line="240" w:lineRule="auto"/>
              <w:jc w:val="both"/>
              <w:rPr>
                <w:rFonts w:hint="eastAsia" w:ascii="Times New Roman" w:hAnsi="Times New Roman" w:eastAsia="宋体" w:cs="Times New Roman"/>
                <w:color w:val="auto"/>
                <w:sz w:val="21"/>
                <w:szCs w:val="21"/>
              </w:rPr>
            </w:pPr>
            <w:r>
              <w:rPr>
                <w:rFonts w:ascii="Times New Roman" w:hAnsi="Times New Roman" w:eastAsia="宋体" w:cs="Times New Roman"/>
                <w:color w:val="auto"/>
                <w:sz w:val="21"/>
                <w:szCs w:val="21"/>
              </w:rPr>
              <w:t>禁止开发建设活动的要求</w:t>
            </w:r>
          </w:p>
        </w:tc>
        <w:tc>
          <w:tcPr>
            <w:tcW w:w="3403" w:type="dxa"/>
            <w:vAlign w:val="center"/>
          </w:tcPr>
          <w:p w14:paraId="4840528B">
            <w:pPr>
              <w:pStyle w:val="70"/>
              <w:spacing w:line="240" w:lineRule="auto"/>
              <w:jc w:val="both"/>
              <w:rPr>
                <w:rFonts w:hint="eastAsia" w:ascii="Times New Roman" w:hAnsi="Times New Roman" w:eastAsia="宋体" w:cs="Times New Roman"/>
                <w:color w:val="auto"/>
                <w:sz w:val="21"/>
                <w:szCs w:val="21"/>
                <w:lang w:eastAsia="zh-CN"/>
              </w:rPr>
            </w:pPr>
            <w:r>
              <w:rPr>
                <w:rFonts w:ascii="Times New Roman" w:hAnsi="Times New Roman" w:eastAsia="宋体" w:cs="Times New Roman"/>
                <w:color w:val="auto"/>
                <w:sz w:val="21"/>
                <w:szCs w:val="21"/>
              </w:rPr>
              <w:t>-禁止在长江干支流、重要湖泊岸线一公里范围内新建、扩建化工园区和化工项目。禁止在长江干流岸线三公里范围内和重要支流岸线一公里范围内新建、改建、扩建尾矿库（以提升安全、生态环境保护水平为目的的改建除外）。-禁止在长江流域河湖管理范围内倾倒、填埋、堆放、弃置、处理固体废物。-在禁燃区内禁止销售、燃用高污染燃料。禁燃区内禁止新建、扩建燃用高污染燃料的设施。-未通过认定的化工园区，不得新建、改扩建化工项目（安全、环保、节能和智能化改造项目除外），按属地原则依法依规妥善做好未通过认定化工园区及园内企业的转型、关闭、处置及监管工作</w:t>
            </w:r>
            <w:r>
              <w:rPr>
                <w:rFonts w:hint="eastAsia" w:ascii="Times New Roman" w:hAnsi="Times New Roman" w:eastAsia="宋体" w:cs="Times New Roman"/>
                <w:color w:val="auto"/>
                <w:sz w:val="21"/>
                <w:szCs w:val="21"/>
                <w:lang w:eastAsia="zh-CN"/>
              </w:rPr>
              <w:t>。</w:t>
            </w:r>
          </w:p>
        </w:tc>
        <w:tc>
          <w:tcPr>
            <w:tcW w:w="2677" w:type="dxa"/>
            <w:vAlign w:val="center"/>
          </w:tcPr>
          <w:p w14:paraId="1EE6235C">
            <w:pPr>
              <w:pStyle w:val="70"/>
              <w:spacing w:line="240" w:lineRule="auto"/>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本项目不属于</w:t>
            </w:r>
            <w:r>
              <w:rPr>
                <w:rFonts w:ascii="Times New Roman" w:hAnsi="Times New Roman" w:eastAsia="宋体" w:cs="Times New Roman"/>
                <w:color w:val="auto"/>
                <w:sz w:val="21"/>
                <w:szCs w:val="21"/>
              </w:rPr>
              <w:t>化工园区</w:t>
            </w:r>
            <w:r>
              <w:rPr>
                <w:rFonts w:hint="eastAsia" w:ascii="Times New Roman" w:hAnsi="Times New Roman" w:eastAsia="宋体" w:cs="Times New Roman"/>
                <w:color w:val="auto"/>
                <w:sz w:val="21"/>
                <w:szCs w:val="21"/>
                <w:lang w:eastAsia="zh-CN"/>
              </w:rPr>
              <w:t>、</w:t>
            </w:r>
            <w:r>
              <w:rPr>
                <w:rFonts w:ascii="Times New Roman" w:hAnsi="Times New Roman" w:eastAsia="宋体" w:cs="Times New Roman"/>
                <w:color w:val="auto"/>
                <w:sz w:val="21"/>
                <w:szCs w:val="21"/>
              </w:rPr>
              <w:t>化工项目</w:t>
            </w:r>
            <w:r>
              <w:rPr>
                <w:rFonts w:hint="eastAsia" w:ascii="Times New Roman" w:hAnsi="Times New Roman" w:eastAsia="宋体" w:cs="Times New Roman"/>
                <w:color w:val="auto"/>
                <w:sz w:val="21"/>
                <w:szCs w:val="21"/>
                <w:lang w:val="en-US" w:eastAsia="zh-CN"/>
              </w:rPr>
              <w:t>及</w:t>
            </w:r>
            <w:r>
              <w:rPr>
                <w:rFonts w:ascii="Times New Roman" w:hAnsi="Times New Roman" w:eastAsia="宋体" w:cs="Times New Roman"/>
                <w:color w:val="auto"/>
                <w:sz w:val="21"/>
                <w:szCs w:val="21"/>
              </w:rPr>
              <w:t>尾矿库</w:t>
            </w:r>
            <w:r>
              <w:rPr>
                <w:rFonts w:hint="eastAsia" w:ascii="Times New Roman" w:hAnsi="Times New Roman" w:eastAsia="宋体" w:cs="Times New Roman"/>
                <w:color w:val="auto"/>
                <w:sz w:val="21"/>
                <w:szCs w:val="21"/>
                <w:lang w:val="en-US" w:eastAsia="zh-CN"/>
              </w:rPr>
              <w:t>项目，项目</w:t>
            </w:r>
            <w:r>
              <w:rPr>
                <w:rFonts w:hint="default" w:ascii="Times New Roman" w:hAnsi="Times New Roman" w:eastAsia="宋体" w:cs="Times New Roman"/>
                <w:color w:val="auto"/>
                <w:sz w:val="21"/>
                <w:szCs w:val="21"/>
                <w:lang w:val="en-US" w:eastAsia="zh-CN"/>
              </w:rPr>
              <w:t>固体废弃物均合理处置，</w:t>
            </w:r>
            <w:r>
              <w:rPr>
                <w:rFonts w:hint="eastAsia" w:eastAsia="宋体" w:cs="Times New Roman"/>
                <w:color w:val="auto"/>
                <w:sz w:val="21"/>
                <w:szCs w:val="21"/>
                <w:lang w:val="en-US" w:eastAsia="zh-CN"/>
              </w:rPr>
              <w:t>不涉及使用高污染燃料及</w:t>
            </w:r>
            <w:r>
              <w:rPr>
                <w:rFonts w:ascii="Times New Roman" w:hAnsi="Times New Roman" w:eastAsia="宋体" w:cs="Times New Roman"/>
                <w:color w:val="auto"/>
                <w:sz w:val="21"/>
                <w:szCs w:val="21"/>
              </w:rPr>
              <w:t>用高污染燃料的设施</w:t>
            </w:r>
          </w:p>
        </w:tc>
        <w:tc>
          <w:tcPr>
            <w:tcW w:w="929" w:type="dxa"/>
            <w:vAlign w:val="center"/>
          </w:tcPr>
          <w:p w14:paraId="32920AB1">
            <w:pPr>
              <w:pStyle w:val="70"/>
              <w:spacing w:line="240" w:lineRule="auto"/>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符合</w:t>
            </w:r>
          </w:p>
        </w:tc>
      </w:tr>
      <w:tr w14:paraId="5D5F8BE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016" w:type="dxa"/>
            <w:vMerge w:val="continue"/>
            <w:vAlign w:val="center"/>
          </w:tcPr>
          <w:p w14:paraId="2CFD3622">
            <w:pPr>
              <w:pStyle w:val="70"/>
              <w:spacing w:line="240" w:lineRule="auto"/>
              <w:rPr>
                <w:rFonts w:hint="eastAsia" w:ascii="Times New Roman" w:hAnsi="Times New Roman" w:eastAsia="宋体" w:cs="Times New Roman"/>
                <w:color w:val="auto"/>
                <w:sz w:val="21"/>
                <w:szCs w:val="21"/>
              </w:rPr>
            </w:pPr>
          </w:p>
        </w:tc>
        <w:tc>
          <w:tcPr>
            <w:tcW w:w="1370" w:type="dxa"/>
            <w:vMerge w:val="continue"/>
            <w:vAlign w:val="center"/>
          </w:tcPr>
          <w:p w14:paraId="32B1A431">
            <w:pPr>
              <w:pStyle w:val="70"/>
              <w:spacing w:line="240" w:lineRule="auto"/>
              <w:rPr>
                <w:rFonts w:hint="eastAsia" w:ascii="Times New Roman" w:hAnsi="Times New Roman" w:eastAsia="宋体" w:cs="Times New Roman"/>
                <w:color w:val="auto"/>
                <w:sz w:val="21"/>
                <w:szCs w:val="21"/>
              </w:rPr>
            </w:pPr>
          </w:p>
        </w:tc>
        <w:tc>
          <w:tcPr>
            <w:tcW w:w="1547" w:type="dxa"/>
            <w:vMerge w:val="continue"/>
            <w:vAlign w:val="center"/>
          </w:tcPr>
          <w:p w14:paraId="3B65B96D">
            <w:pPr>
              <w:pStyle w:val="70"/>
              <w:spacing w:line="240" w:lineRule="auto"/>
              <w:rPr>
                <w:rFonts w:hint="eastAsia" w:ascii="Times New Roman" w:hAnsi="Times New Roman" w:eastAsia="宋体" w:cs="Times New Roman"/>
                <w:color w:val="auto"/>
                <w:sz w:val="21"/>
                <w:szCs w:val="21"/>
              </w:rPr>
            </w:pPr>
          </w:p>
        </w:tc>
        <w:tc>
          <w:tcPr>
            <w:tcW w:w="1710" w:type="dxa"/>
            <w:vAlign w:val="center"/>
          </w:tcPr>
          <w:p w14:paraId="262BCB01">
            <w:pPr>
              <w:pStyle w:val="70"/>
              <w:spacing w:line="240" w:lineRule="auto"/>
              <w:jc w:val="both"/>
              <w:rPr>
                <w:rFonts w:hint="eastAsia" w:ascii="Times New Roman" w:hAnsi="Times New Roman" w:eastAsia="宋体" w:cs="Times New Roman"/>
                <w:color w:val="auto"/>
                <w:sz w:val="21"/>
                <w:szCs w:val="21"/>
              </w:rPr>
            </w:pPr>
            <w:r>
              <w:rPr>
                <w:rFonts w:ascii="Times New Roman" w:hAnsi="Times New Roman" w:eastAsia="宋体" w:cs="Times New Roman"/>
                <w:color w:val="auto"/>
                <w:sz w:val="21"/>
                <w:szCs w:val="21"/>
              </w:rPr>
              <w:t>限制开发建设活动的要求</w:t>
            </w:r>
          </w:p>
        </w:tc>
        <w:tc>
          <w:tcPr>
            <w:tcW w:w="3403" w:type="dxa"/>
            <w:vAlign w:val="center"/>
          </w:tcPr>
          <w:p w14:paraId="70ACC4C6">
            <w:pPr>
              <w:pStyle w:val="70"/>
              <w:spacing w:line="240" w:lineRule="auto"/>
              <w:jc w:val="both"/>
              <w:rPr>
                <w:rFonts w:hint="eastAsia" w:ascii="Times New Roman" w:hAnsi="Times New Roman" w:eastAsia="宋体" w:cs="Times New Roman"/>
                <w:color w:val="auto"/>
                <w:sz w:val="21"/>
                <w:szCs w:val="21"/>
              </w:rPr>
            </w:pPr>
            <w:r>
              <w:rPr>
                <w:rFonts w:ascii="Times New Roman" w:hAnsi="Times New Roman" w:eastAsia="宋体" w:cs="Times New Roman"/>
                <w:color w:val="auto"/>
                <w:sz w:val="21"/>
                <w:szCs w:val="21"/>
              </w:rPr>
              <w:t>-继续化解过剩产能，严禁钢铁、水泥、电解铝、平板玻璃等行业新增产能，对确有必要新建的必须实施等量或减量置换。-严格执行《矿产资源开采</w:t>
            </w:r>
            <w:r>
              <w:rPr>
                <w:rFonts w:hint="eastAsia" w:cs="Times New Roman"/>
                <w:color w:val="auto"/>
                <w:sz w:val="21"/>
                <w:szCs w:val="21"/>
                <w:lang w:eastAsia="zh-CN"/>
              </w:rPr>
              <w:t>登记</w:t>
            </w:r>
            <w:bookmarkStart w:id="25" w:name="_GoBack"/>
            <w:bookmarkEnd w:id="25"/>
            <w:r>
              <w:rPr>
                <w:rFonts w:ascii="Times New Roman" w:hAnsi="Times New Roman" w:eastAsia="宋体" w:cs="Times New Roman"/>
                <w:color w:val="auto"/>
                <w:sz w:val="21"/>
                <w:szCs w:val="21"/>
              </w:rPr>
              <w:t>管理办法》的相关规定。</w:t>
            </w:r>
          </w:p>
        </w:tc>
        <w:tc>
          <w:tcPr>
            <w:tcW w:w="2677" w:type="dxa"/>
            <w:vAlign w:val="center"/>
          </w:tcPr>
          <w:p w14:paraId="0780873F">
            <w:pPr>
              <w:pStyle w:val="70"/>
              <w:spacing w:line="240" w:lineRule="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本项目不属于</w:t>
            </w:r>
            <w:r>
              <w:rPr>
                <w:rFonts w:ascii="Times New Roman" w:hAnsi="Times New Roman" w:eastAsia="宋体" w:cs="Times New Roman"/>
                <w:color w:val="auto"/>
                <w:sz w:val="21"/>
                <w:szCs w:val="21"/>
              </w:rPr>
              <w:t>钢铁、水泥、电解铝、平板玻璃等行业</w:t>
            </w:r>
          </w:p>
        </w:tc>
        <w:tc>
          <w:tcPr>
            <w:tcW w:w="929" w:type="dxa"/>
            <w:vAlign w:val="center"/>
          </w:tcPr>
          <w:p w14:paraId="454B0830">
            <w:pPr>
              <w:pStyle w:val="70"/>
              <w:spacing w:line="240" w:lineRule="auto"/>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符合</w:t>
            </w:r>
          </w:p>
        </w:tc>
      </w:tr>
      <w:tr w14:paraId="443D4B9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016" w:type="dxa"/>
            <w:vMerge w:val="continue"/>
            <w:vAlign w:val="center"/>
          </w:tcPr>
          <w:p w14:paraId="0C3CC23E">
            <w:pPr>
              <w:pStyle w:val="70"/>
              <w:spacing w:line="240" w:lineRule="auto"/>
              <w:rPr>
                <w:rFonts w:hint="eastAsia" w:ascii="Times New Roman" w:hAnsi="Times New Roman" w:eastAsia="宋体" w:cs="Times New Roman"/>
                <w:color w:val="auto"/>
                <w:sz w:val="21"/>
                <w:szCs w:val="21"/>
              </w:rPr>
            </w:pPr>
          </w:p>
        </w:tc>
        <w:tc>
          <w:tcPr>
            <w:tcW w:w="1370" w:type="dxa"/>
            <w:vMerge w:val="continue"/>
            <w:vAlign w:val="center"/>
          </w:tcPr>
          <w:p w14:paraId="747684CF">
            <w:pPr>
              <w:pStyle w:val="70"/>
              <w:spacing w:line="240" w:lineRule="auto"/>
              <w:rPr>
                <w:rFonts w:hint="eastAsia" w:ascii="Times New Roman" w:hAnsi="Times New Roman" w:eastAsia="宋体" w:cs="Times New Roman"/>
                <w:color w:val="auto"/>
                <w:sz w:val="21"/>
                <w:szCs w:val="21"/>
              </w:rPr>
            </w:pPr>
          </w:p>
        </w:tc>
        <w:tc>
          <w:tcPr>
            <w:tcW w:w="1547" w:type="dxa"/>
            <w:vMerge w:val="continue"/>
            <w:vAlign w:val="center"/>
          </w:tcPr>
          <w:p w14:paraId="756917F7">
            <w:pPr>
              <w:pStyle w:val="70"/>
              <w:spacing w:line="240" w:lineRule="auto"/>
              <w:rPr>
                <w:rFonts w:hint="eastAsia" w:ascii="Times New Roman" w:hAnsi="Times New Roman" w:eastAsia="宋体" w:cs="Times New Roman"/>
                <w:color w:val="auto"/>
                <w:sz w:val="21"/>
                <w:szCs w:val="21"/>
              </w:rPr>
            </w:pPr>
          </w:p>
        </w:tc>
        <w:tc>
          <w:tcPr>
            <w:tcW w:w="1710" w:type="dxa"/>
            <w:vAlign w:val="center"/>
          </w:tcPr>
          <w:p w14:paraId="4164F03A">
            <w:pPr>
              <w:pStyle w:val="70"/>
              <w:spacing w:line="240" w:lineRule="auto"/>
              <w:jc w:val="both"/>
              <w:rPr>
                <w:rFonts w:hint="eastAsia" w:ascii="Times New Roman" w:hAnsi="Times New Roman" w:eastAsia="宋体" w:cs="Times New Roman"/>
                <w:color w:val="auto"/>
                <w:sz w:val="21"/>
                <w:szCs w:val="21"/>
              </w:rPr>
            </w:pPr>
            <w:r>
              <w:rPr>
                <w:rFonts w:ascii="Times New Roman" w:hAnsi="Times New Roman" w:eastAsia="宋体" w:cs="Times New Roman"/>
                <w:color w:val="auto"/>
                <w:sz w:val="21"/>
                <w:szCs w:val="21"/>
              </w:rPr>
              <w:t>允许开发建设活动的要求</w:t>
            </w:r>
          </w:p>
        </w:tc>
        <w:tc>
          <w:tcPr>
            <w:tcW w:w="3403" w:type="dxa"/>
            <w:vAlign w:val="center"/>
          </w:tcPr>
          <w:p w14:paraId="2DA63298">
            <w:pPr>
              <w:pStyle w:val="70"/>
              <w:spacing w:line="240" w:lineRule="auto"/>
              <w:jc w:val="both"/>
              <w:rPr>
                <w:rFonts w:hint="eastAsia" w:ascii="Times New Roman" w:hAnsi="Times New Roman" w:eastAsia="宋体" w:cs="Times New Roman"/>
                <w:color w:val="auto"/>
                <w:sz w:val="21"/>
                <w:szCs w:val="21"/>
              </w:rPr>
            </w:pPr>
            <w:r>
              <w:rPr>
                <w:rFonts w:ascii="Times New Roman" w:hAnsi="Times New Roman" w:eastAsia="宋体" w:cs="Times New Roman"/>
                <w:color w:val="auto"/>
                <w:sz w:val="21"/>
                <w:szCs w:val="21"/>
              </w:rPr>
              <w:t>现有属于园区禁止引入产业门类的企业，原则上限制发展，污染物排放只降不增，允许以提升安全、生态环境保护水平为目的的改建，引导企业结合产业升级等适时搬迁。</w:t>
            </w:r>
          </w:p>
        </w:tc>
        <w:tc>
          <w:tcPr>
            <w:tcW w:w="2677" w:type="dxa"/>
            <w:vAlign w:val="center"/>
          </w:tcPr>
          <w:p w14:paraId="745BC09C">
            <w:pPr>
              <w:pStyle w:val="70"/>
              <w:spacing w:line="240" w:lineRule="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本项目属于园区</w:t>
            </w:r>
            <w:r>
              <w:rPr>
                <w:rFonts w:hint="default" w:ascii="Times New Roman" w:hAnsi="Times New Roman" w:eastAsia="宋体" w:cs="Times New Roman"/>
                <w:color w:val="auto"/>
                <w:sz w:val="21"/>
                <w:szCs w:val="21"/>
                <w:lang w:val="en-US" w:eastAsia="zh-CN"/>
              </w:rPr>
              <w:t>允许类项目</w:t>
            </w:r>
          </w:p>
        </w:tc>
        <w:tc>
          <w:tcPr>
            <w:tcW w:w="929" w:type="dxa"/>
            <w:vAlign w:val="center"/>
          </w:tcPr>
          <w:p w14:paraId="5F31AFEE">
            <w:pPr>
              <w:pStyle w:val="70"/>
              <w:spacing w:line="240" w:lineRule="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项目</w:t>
            </w:r>
          </w:p>
        </w:tc>
      </w:tr>
      <w:tr w14:paraId="627FA33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016" w:type="dxa"/>
            <w:vMerge w:val="continue"/>
            <w:vAlign w:val="center"/>
          </w:tcPr>
          <w:p w14:paraId="2A6628D0">
            <w:pPr>
              <w:pStyle w:val="70"/>
              <w:spacing w:line="240" w:lineRule="auto"/>
              <w:rPr>
                <w:rFonts w:hint="eastAsia" w:ascii="Times New Roman" w:hAnsi="Times New Roman" w:eastAsia="宋体" w:cs="Times New Roman"/>
                <w:color w:val="auto"/>
                <w:sz w:val="21"/>
                <w:szCs w:val="21"/>
              </w:rPr>
            </w:pPr>
          </w:p>
        </w:tc>
        <w:tc>
          <w:tcPr>
            <w:tcW w:w="1370" w:type="dxa"/>
            <w:vMerge w:val="continue"/>
            <w:vAlign w:val="center"/>
          </w:tcPr>
          <w:p w14:paraId="20773C38">
            <w:pPr>
              <w:pStyle w:val="70"/>
              <w:spacing w:line="240" w:lineRule="auto"/>
              <w:rPr>
                <w:rFonts w:hint="eastAsia" w:ascii="Times New Roman" w:hAnsi="Times New Roman" w:eastAsia="宋体" w:cs="Times New Roman"/>
                <w:color w:val="auto"/>
                <w:sz w:val="21"/>
                <w:szCs w:val="21"/>
              </w:rPr>
            </w:pPr>
          </w:p>
        </w:tc>
        <w:tc>
          <w:tcPr>
            <w:tcW w:w="1547" w:type="dxa"/>
            <w:vMerge w:val="continue"/>
            <w:vAlign w:val="center"/>
          </w:tcPr>
          <w:p w14:paraId="761C40EF">
            <w:pPr>
              <w:pStyle w:val="70"/>
              <w:spacing w:line="240" w:lineRule="auto"/>
              <w:rPr>
                <w:rFonts w:hint="eastAsia" w:ascii="Times New Roman" w:hAnsi="Times New Roman" w:eastAsia="宋体" w:cs="Times New Roman"/>
                <w:color w:val="auto"/>
                <w:sz w:val="21"/>
                <w:szCs w:val="21"/>
              </w:rPr>
            </w:pPr>
          </w:p>
        </w:tc>
        <w:tc>
          <w:tcPr>
            <w:tcW w:w="1710" w:type="dxa"/>
            <w:vAlign w:val="center"/>
          </w:tcPr>
          <w:p w14:paraId="313AF342">
            <w:pPr>
              <w:pStyle w:val="70"/>
              <w:spacing w:line="240" w:lineRule="auto"/>
              <w:jc w:val="both"/>
              <w:rPr>
                <w:rFonts w:hint="eastAsia" w:ascii="Times New Roman" w:hAnsi="Times New Roman" w:eastAsia="宋体" w:cs="Times New Roman"/>
                <w:color w:val="auto"/>
                <w:sz w:val="21"/>
                <w:szCs w:val="21"/>
              </w:rPr>
            </w:pPr>
            <w:r>
              <w:rPr>
                <w:rFonts w:ascii="Times New Roman" w:hAnsi="Times New Roman" w:eastAsia="宋体" w:cs="Times New Roman"/>
                <w:color w:val="auto"/>
                <w:sz w:val="21"/>
                <w:szCs w:val="21"/>
              </w:rPr>
              <w:t>不符合空间布局要求活动的退出要求</w:t>
            </w:r>
          </w:p>
        </w:tc>
        <w:tc>
          <w:tcPr>
            <w:tcW w:w="3403" w:type="dxa"/>
            <w:vAlign w:val="center"/>
          </w:tcPr>
          <w:p w14:paraId="16719733">
            <w:pPr>
              <w:pStyle w:val="70"/>
              <w:spacing w:line="240" w:lineRule="auto"/>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w:t>
            </w:r>
          </w:p>
        </w:tc>
        <w:tc>
          <w:tcPr>
            <w:tcW w:w="2677" w:type="dxa"/>
            <w:vAlign w:val="center"/>
          </w:tcPr>
          <w:p w14:paraId="212F2BCE">
            <w:pPr>
              <w:pStyle w:val="70"/>
              <w:spacing w:line="240" w:lineRule="auto"/>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w:t>
            </w:r>
          </w:p>
        </w:tc>
        <w:tc>
          <w:tcPr>
            <w:tcW w:w="929" w:type="dxa"/>
            <w:vAlign w:val="center"/>
          </w:tcPr>
          <w:p w14:paraId="393CBFF4">
            <w:pPr>
              <w:pStyle w:val="70"/>
              <w:spacing w:line="240" w:lineRule="auto"/>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w:t>
            </w:r>
          </w:p>
        </w:tc>
      </w:tr>
      <w:tr w14:paraId="64D8443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016" w:type="dxa"/>
            <w:vMerge w:val="continue"/>
            <w:vAlign w:val="center"/>
          </w:tcPr>
          <w:p w14:paraId="3FA4711F">
            <w:pPr>
              <w:pStyle w:val="70"/>
              <w:spacing w:line="240" w:lineRule="auto"/>
              <w:rPr>
                <w:rFonts w:hint="eastAsia" w:ascii="Times New Roman" w:hAnsi="Times New Roman" w:eastAsia="宋体" w:cs="Times New Roman"/>
                <w:color w:val="auto"/>
                <w:sz w:val="21"/>
                <w:szCs w:val="21"/>
              </w:rPr>
            </w:pPr>
          </w:p>
        </w:tc>
        <w:tc>
          <w:tcPr>
            <w:tcW w:w="1370" w:type="dxa"/>
            <w:vMerge w:val="continue"/>
            <w:vAlign w:val="center"/>
          </w:tcPr>
          <w:p w14:paraId="406F58B2">
            <w:pPr>
              <w:pStyle w:val="70"/>
              <w:spacing w:line="240" w:lineRule="auto"/>
              <w:rPr>
                <w:rFonts w:hint="eastAsia" w:ascii="Times New Roman" w:hAnsi="Times New Roman" w:eastAsia="宋体" w:cs="Times New Roman"/>
                <w:color w:val="auto"/>
                <w:sz w:val="21"/>
                <w:szCs w:val="21"/>
              </w:rPr>
            </w:pPr>
          </w:p>
        </w:tc>
        <w:tc>
          <w:tcPr>
            <w:tcW w:w="1547" w:type="dxa"/>
            <w:vMerge w:val="continue"/>
            <w:vAlign w:val="center"/>
          </w:tcPr>
          <w:p w14:paraId="0CAF013C">
            <w:pPr>
              <w:pStyle w:val="70"/>
              <w:spacing w:line="240" w:lineRule="auto"/>
              <w:rPr>
                <w:rFonts w:hint="eastAsia" w:ascii="Times New Roman" w:hAnsi="Times New Roman" w:eastAsia="宋体" w:cs="Times New Roman"/>
                <w:color w:val="auto"/>
                <w:sz w:val="21"/>
                <w:szCs w:val="21"/>
              </w:rPr>
            </w:pPr>
          </w:p>
        </w:tc>
        <w:tc>
          <w:tcPr>
            <w:tcW w:w="1710" w:type="dxa"/>
            <w:vAlign w:val="center"/>
          </w:tcPr>
          <w:p w14:paraId="0D9F9283">
            <w:pPr>
              <w:pStyle w:val="70"/>
              <w:spacing w:line="240" w:lineRule="auto"/>
              <w:jc w:val="both"/>
              <w:rPr>
                <w:rFonts w:hint="eastAsia" w:ascii="Times New Roman" w:hAnsi="Times New Roman" w:eastAsia="宋体" w:cs="Times New Roman"/>
                <w:color w:val="auto"/>
                <w:sz w:val="21"/>
                <w:szCs w:val="21"/>
              </w:rPr>
            </w:pPr>
            <w:r>
              <w:rPr>
                <w:rFonts w:ascii="Times New Roman" w:hAnsi="Times New Roman" w:eastAsia="宋体" w:cs="Times New Roman"/>
                <w:color w:val="auto"/>
                <w:sz w:val="21"/>
                <w:szCs w:val="21"/>
              </w:rPr>
              <w:t>其他空间布局约束要求</w:t>
            </w:r>
          </w:p>
        </w:tc>
        <w:tc>
          <w:tcPr>
            <w:tcW w:w="3403" w:type="dxa"/>
            <w:vAlign w:val="center"/>
          </w:tcPr>
          <w:p w14:paraId="6BA1E474">
            <w:pPr>
              <w:pStyle w:val="70"/>
              <w:spacing w:line="240" w:lineRule="auto"/>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w:t>
            </w:r>
          </w:p>
        </w:tc>
        <w:tc>
          <w:tcPr>
            <w:tcW w:w="2677" w:type="dxa"/>
            <w:vAlign w:val="center"/>
          </w:tcPr>
          <w:p w14:paraId="08CB0FDE">
            <w:pPr>
              <w:pStyle w:val="70"/>
              <w:spacing w:line="240" w:lineRule="auto"/>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w:t>
            </w:r>
          </w:p>
        </w:tc>
        <w:tc>
          <w:tcPr>
            <w:tcW w:w="929" w:type="dxa"/>
            <w:vAlign w:val="center"/>
          </w:tcPr>
          <w:p w14:paraId="7CF69537">
            <w:pPr>
              <w:pStyle w:val="70"/>
              <w:spacing w:line="240" w:lineRule="auto"/>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w:t>
            </w:r>
          </w:p>
        </w:tc>
      </w:tr>
      <w:tr w14:paraId="7CB40B1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016" w:type="dxa"/>
            <w:vMerge w:val="continue"/>
            <w:vAlign w:val="center"/>
          </w:tcPr>
          <w:p w14:paraId="2799C96D">
            <w:pPr>
              <w:pStyle w:val="70"/>
              <w:spacing w:line="240" w:lineRule="auto"/>
              <w:rPr>
                <w:rFonts w:hint="eastAsia" w:ascii="Times New Roman" w:hAnsi="Times New Roman" w:eastAsia="宋体" w:cs="Times New Roman"/>
                <w:color w:val="auto"/>
                <w:sz w:val="21"/>
                <w:szCs w:val="21"/>
              </w:rPr>
            </w:pPr>
          </w:p>
        </w:tc>
        <w:tc>
          <w:tcPr>
            <w:tcW w:w="1370" w:type="dxa"/>
            <w:vMerge w:val="continue"/>
            <w:vAlign w:val="center"/>
          </w:tcPr>
          <w:p w14:paraId="3872A12E">
            <w:pPr>
              <w:pStyle w:val="70"/>
              <w:spacing w:line="240" w:lineRule="auto"/>
              <w:rPr>
                <w:rFonts w:hint="eastAsia" w:ascii="Times New Roman" w:hAnsi="Times New Roman" w:eastAsia="宋体" w:cs="Times New Roman"/>
                <w:color w:val="auto"/>
                <w:sz w:val="21"/>
                <w:szCs w:val="21"/>
              </w:rPr>
            </w:pPr>
          </w:p>
        </w:tc>
        <w:tc>
          <w:tcPr>
            <w:tcW w:w="1547" w:type="dxa"/>
            <w:vMerge w:val="restart"/>
            <w:vAlign w:val="center"/>
          </w:tcPr>
          <w:p w14:paraId="31A6DA44">
            <w:pPr>
              <w:pStyle w:val="70"/>
              <w:spacing w:line="240" w:lineRule="auto"/>
              <w:rPr>
                <w:rFonts w:hint="eastAsia" w:ascii="Times New Roman" w:hAnsi="Times New Roman" w:eastAsia="宋体" w:cs="Times New Roman"/>
                <w:color w:val="auto"/>
                <w:sz w:val="21"/>
                <w:szCs w:val="21"/>
              </w:rPr>
            </w:pPr>
            <w:r>
              <w:rPr>
                <w:rFonts w:ascii="Times New Roman" w:hAnsi="Times New Roman" w:eastAsia="宋体" w:cs="Times New Roman"/>
                <w:color w:val="auto"/>
                <w:sz w:val="21"/>
                <w:szCs w:val="21"/>
              </w:rPr>
              <w:t>污染物排放管控</w:t>
            </w:r>
          </w:p>
        </w:tc>
        <w:tc>
          <w:tcPr>
            <w:tcW w:w="1710" w:type="dxa"/>
            <w:vAlign w:val="center"/>
          </w:tcPr>
          <w:p w14:paraId="1C166E32">
            <w:pPr>
              <w:pStyle w:val="70"/>
              <w:spacing w:line="240" w:lineRule="auto"/>
              <w:rPr>
                <w:rFonts w:hint="eastAsia" w:ascii="Times New Roman" w:hAnsi="Times New Roman" w:eastAsia="宋体" w:cs="Times New Roman"/>
                <w:color w:val="auto"/>
                <w:sz w:val="21"/>
                <w:szCs w:val="21"/>
              </w:rPr>
            </w:pPr>
            <w:r>
              <w:rPr>
                <w:rFonts w:ascii="Times New Roman" w:hAnsi="Times New Roman" w:eastAsia="宋体" w:cs="Times New Roman"/>
                <w:color w:val="auto"/>
                <w:sz w:val="21"/>
                <w:szCs w:val="21"/>
              </w:rPr>
              <w:t>允许排放量要求</w:t>
            </w:r>
          </w:p>
        </w:tc>
        <w:tc>
          <w:tcPr>
            <w:tcW w:w="3403" w:type="dxa"/>
            <w:vAlign w:val="center"/>
          </w:tcPr>
          <w:p w14:paraId="40FC608E">
            <w:pPr>
              <w:pStyle w:val="70"/>
              <w:spacing w:line="240" w:lineRule="auto"/>
              <w:rPr>
                <w:rFonts w:hint="eastAsia" w:ascii="Times New Roman" w:hAnsi="Times New Roman" w:eastAsia="宋体" w:cs="Times New Roman"/>
                <w:color w:val="auto"/>
                <w:sz w:val="21"/>
                <w:szCs w:val="21"/>
              </w:rPr>
            </w:pPr>
            <w:r>
              <w:rPr>
                <w:rFonts w:ascii="Times New Roman" w:hAnsi="Times New Roman" w:eastAsia="宋体" w:cs="Times New Roman"/>
                <w:color w:val="auto"/>
                <w:sz w:val="21"/>
                <w:szCs w:val="21"/>
              </w:rPr>
              <w:t>（1）为达2025年及2035年环境空气质量目标，14个工业重点管控单元大气污染物允许排放量2025年为：PM</w:t>
            </w:r>
            <w:r>
              <w:rPr>
                <w:rFonts w:ascii="Times New Roman" w:hAnsi="Times New Roman" w:eastAsia="宋体" w:cs="Times New Roman"/>
                <w:color w:val="auto"/>
                <w:sz w:val="21"/>
                <w:szCs w:val="21"/>
                <w:vertAlign w:val="subscript"/>
              </w:rPr>
              <w:t>2.5</w:t>
            </w:r>
            <w:r>
              <w:rPr>
                <w:rFonts w:ascii="Times New Roman" w:hAnsi="Times New Roman" w:eastAsia="宋体" w:cs="Times New Roman"/>
                <w:color w:val="auto"/>
                <w:sz w:val="21"/>
                <w:szCs w:val="21"/>
              </w:rPr>
              <w:t>允许排放量4950吨、SO</w:t>
            </w:r>
            <w:r>
              <w:rPr>
                <w:rFonts w:ascii="Times New Roman" w:hAnsi="Times New Roman" w:eastAsia="宋体" w:cs="Times New Roman"/>
                <w:color w:val="auto"/>
                <w:sz w:val="21"/>
                <w:szCs w:val="21"/>
                <w:vertAlign w:val="subscript"/>
              </w:rPr>
              <w:t>2</w:t>
            </w:r>
            <w:r>
              <w:rPr>
                <w:rFonts w:ascii="Times New Roman" w:hAnsi="Times New Roman" w:eastAsia="宋体" w:cs="Times New Roman"/>
                <w:color w:val="auto"/>
                <w:sz w:val="21"/>
                <w:szCs w:val="21"/>
              </w:rPr>
              <w:t>允许排放量3502吨、NOx允许排放量8906吨、VOCs允许排放量12506吨，2035年为：PM</w:t>
            </w:r>
            <w:r>
              <w:rPr>
                <w:rFonts w:ascii="Times New Roman" w:hAnsi="Times New Roman" w:eastAsia="宋体" w:cs="Times New Roman"/>
                <w:color w:val="auto"/>
                <w:sz w:val="21"/>
                <w:szCs w:val="21"/>
                <w:vertAlign w:val="subscript"/>
              </w:rPr>
              <w:t>2.5</w:t>
            </w:r>
            <w:r>
              <w:rPr>
                <w:rFonts w:ascii="Times New Roman" w:hAnsi="Times New Roman" w:eastAsia="宋体" w:cs="Times New Roman"/>
                <w:color w:val="auto"/>
                <w:sz w:val="21"/>
                <w:szCs w:val="21"/>
              </w:rPr>
              <w:t>允许排放量4595吨、SO</w:t>
            </w:r>
            <w:r>
              <w:rPr>
                <w:rFonts w:ascii="Times New Roman" w:hAnsi="Times New Roman" w:eastAsia="宋体" w:cs="Times New Roman"/>
                <w:color w:val="auto"/>
                <w:sz w:val="21"/>
                <w:szCs w:val="21"/>
                <w:vertAlign w:val="subscript"/>
              </w:rPr>
              <w:t>2</w:t>
            </w:r>
            <w:r>
              <w:rPr>
                <w:rFonts w:ascii="Times New Roman" w:hAnsi="Times New Roman" w:eastAsia="宋体" w:cs="Times New Roman"/>
                <w:color w:val="auto"/>
                <w:sz w:val="21"/>
                <w:szCs w:val="21"/>
              </w:rPr>
              <w:t>允许排放量3133吨、NOx允许排放量8656吨、VOCs允许排放量12098吨。（2）为保证2025、2035年区域地表水控制断面达标，15个工业重点管控单元COD、氨氮、总磷允许排放量2025年控制在233465.09吨、2863.81吨、409.92吨以下，2035年控制在24638.35吨、3007.02吨、430.41吨以下。</w:t>
            </w:r>
          </w:p>
        </w:tc>
        <w:tc>
          <w:tcPr>
            <w:tcW w:w="2677" w:type="dxa"/>
            <w:vAlign w:val="center"/>
          </w:tcPr>
          <w:p w14:paraId="271682F7">
            <w:pPr>
              <w:pStyle w:val="70"/>
              <w:spacing w:line="240" w:lineRule="auto"/>
              <w:rPr>
                <w:rFonts w:hint="eastAsia"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本项目位于巴四川巴中经开区内，污染物排放量均在允许排放量范围内。</w:t>
            </w:r>
          </w:p>
        </w:tc>
        <w:tc>
          <w:tcPr>
            <w:tcW w:w="929" w:type="dxa"/>
            <w:vAlign w:val="center"/>
          </w:tcPr>
          <w:p w14:paraId="7A2E02B6">
            <w:pPr>
              <w:pStyle w:val="70"/>
              <w:spacing w:line="240" w:lineRule="auto"/>
              <w:rPr>
                <w:rFonts w:hint="eastAsia"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符合</w:t>
            </w:r>
          </w:p>
        </w:tc>
      </w:tr>
      <w:tr w14:paraId="2ED9E0C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016" w:type="dxa"/>
            <w:vMerge w:val="continue"/>
            <w:vAlign w:val="center"/>
          </w:tcPr>
          <w:p w14:paraId="4AA13A9A">
            <w:pPr>
              <w:pStyle w:val="70"/>
              <w:spacing w:line="240" w:lineRule="auto"/>
              <w:rPr>
                <w:rFonts w:hint="eastAsia" w:ascii="Times New Roman" w:hAnsi="Times New Roman" w:eastAsia="宋体" w:cs="Times New Roman"/>
                <w:color w:val="auto"/>
                <w:sz w:val="21"/>
                <w:szCs w:val="21"/>
              </w:rPr>
            </w:pPr>
          </w:p>
        </w:tc>
        <w:tc>
          <w:tcPr>
            <w:tcW w:w="1370" w:type="dxa"/>
            <w:vMerge w:val="continue"/>
            <w:vAlign w:val="center"/>
          </w:tcPr>
          <w:p w14:paraId="6ED9B067">
            <w:pPr>
              <w:pStyle w:val="70"/>
              <w:spacing w:line="240" w:lineRule="auto"/>
              <w:rPr>
                <w:rFonts w:hint="eastAsia" w:ascii="Times New Roman" w:hAnsi="Times New Roman" w:eastAsia="宋体" w:cs="Times New Roman"/>
                <w:color w:val="auto"/>
                <w:sz w:val="21"/>
                <w:szCs w:val="21"/>
              </w:rPr>
            </w:pPr>
          </w:p>
        </w:tc>
        <w:tc>
          <w:tcPr>
            <w:tcW w:w="1547" w:type="dxa"/>
            <w:vMerge w:val="continue"/>
            <w:vAlign w:val="center"/>
          </w:tcPr>
          <w:p w14:paraId="4AED1877">
            <w:pPr>
              <w:pStyle w:val="70"/>
              <w:spacing w:line="240" w:lineRule="auto"/>
              <w:rPr>
                <w:rFonts w:hint="eastAsia" w:ascii="Times New Roman" w:hAnsi="Times New Roman" w:eastAsia="宋体" w:cs="Times New Roman"/>
                <w:color w:val="auto"/>
                <w:sz w:val="21"/>
                <w:szCs w:val="21"/>
              </w:rPr>
            </w:pPr>
          </w:p>
        </w:tc>
        <w:tc>
          <w:tcPr>
            <w:tcW w:w="1710" w:type="dxa"/>
            <w:vAlign w:val="center"/>
          </w:tcPr>
          <w:p w14:paraId="18A7E2B8">
            <w:pPr>
              <w:pStyle w:val="70"/>
              <w:spacing w:line="240" w:lineRule="auto"/>
              <w:rPr>
                <w:rFonts w:hint="eastAsia" w:ascii="Times New Roman" w:hAnsi="Times New Roman" w:eastAsia="宋体" w:cs="Times New Roman"/>
                <w:color w:val="auto"/>
                <w:sz w:val="21"/>
                <w:szCs w:val="21"/>
              </w:rPr>
            </w:pPr>
            <w:r>
              <w:rPr>
                <w:rFonts w:ascii="Times New Roman" w:hAnsi="Times New Roman" w:eastAsia="宋体" w:cs="Times New Roman"/>
                <w:color w:val="auto"/>
                <w:sz w:val="21"/>
                <w:szCs w:val="21"/>
              </w:rPr>
              <w:t>现有源提标升级改造</w:t>
            </w:r>
          </w:p>
        </w:tc>
        <w:tc>
          <w:tcPr>
            <w:tcW w:w="3403" w:type="dxa"/>
            <w:vAlign w:val="center"/>
          </w:tcPr>
          <w:p w14:paraId="28244F65">
            <w:pPr>
              <w:pStyle w:val="70"/>
              <w:spacing w:line="240" w:lineRule="auto"/>
              <w:rPr>
                <w:rFonts w:hint="eastAsia" w:ascii="Times New Roman" w:hAnsi="Times New Roman" w:eastAsia="宋体" w:cs="Times New Roman"/>
                <w:color w:val="auto"/>
                <w:sz w:val="21"/>
                <w:szCs w:val="21"/>
              </w:rPr>
            </w:pPr>
            <w:r>
              <w:rPr>
                <w:rFonts w:ascii="Times New Roman" w:hAnsi="Times New Roman" w:eastAsia="宋体" w:cs="Times New Roman"/>
                <w:color w:val="auto"/>
                <w:sz w:val="21"/>
                <w:szCs w:val="21"/>
              </w:rPr>
              <w:t>-污水收集处理率达100%。-推进工业园区污水处理设施建设，确保园区工业废水达标排放。-完善园区及企业雨污分流系统，全面推进医药、化工等行业初期雨水收集处理，推动有条件的园区实施入园企业</w:t>
            </w:r>
            <w:r>
              <w:rPr>
                <w:rFonts w:hint="eastAsia" w:ascii="宋体" w:hAnsi="宋体" w:eastAsia="宋体" w:cs="宋体"/>
                <w:color w:val="auto"/>
                <w:sz w:val="21"/>
                <w:szCs w:val="21"/>
              </w:rPr>
              <w:t>“一企一管、明管输送、实时监测”</w:t>
            </w:r>
            <w:r>
              <w:rPr>
                <w:rFonts w:ascii="Times New Roman" w:hAnsi="Times New Roman" w:eastAsia="宋体" w:cs="Times New Roman"/>
                <w:color w:val="auto"/>
                <w:sz w:val="21"/>
                <w:szCs w:val="21"/>
              </w:rPr>
              <w:t>。加强企业废水预处理和排水管理，鼓励纳管企业与园区污水处理厂运营单位通过签订委托处理合同等方式协同处理废水。</w:t>
            </w:r>
          </w:p>
        </w:tc>
        <w:tc>
          <w:tcPr>
            <w:tcW w:w="2677" w:type="dxa"/>
            <w:vAlign w:val="center"/>
          </w:tcPr>
          <w:p w14:paraId="5F3FD3C4">
            <w:pPr>
              <w:pStyle w:val="70"/>
              <w:spacing w:line="240" w:lineRule="auto"/>
              <w:rPr>
                <w:rFonts w:hint="eastAsia"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项目实行雨污分流，</w:t>
            </w:r>
            <w:r>
              <w:rPr>
                <w:rFonts w:hint="eastAsia" w:ascii="Times New Roman" w:hAnsi="Times New Roman" w:eastAsia="宋体" w:cs="Times New Roman"/>
                <w:color w:val="auto"/>
                <w:sz w:val="21"/>
                <w:szCs w:val="21"/>
                <w:lang w:val="en-US" w:eastAsia="zh-CN"/>
              </w:rPr>
              <w:t>项目生活污水及生产废水收集率达100%，经处理</w:t>
            </w:r>
            <w:r>
              <w:rPr>
                <w:rFonts w:hint="eastAsia" w:cs="Times New Roman"/>
                <w:color w:val="auto"/>
                <w:sz w:val="21"/>
                <w:szCs w:val="21"/>
                <w:lang w:val="en-US" w:eastAsia="zh-CN"/>
              </w:rPr>
              <w:t>达到</w:t>
            </w:r>
            <w:r>
              <w:rPr>
                <w:rFonts w:hint="eastAsia" w:ascii="Times New Roman" w:hAnsi="Times New Roman" w:eastAsia="宋体" w:cs="Times New Roman"/>
                <w:color w:val="auto"/>
                <w:sz w:val="21"/>
                <w:szCs w:val="21"/>
                <w:lang w:val="en-US" w:eastAsia="zh-CN"/>
              </w:rPr>
              <w:t>巴中经开区污水处理厂进水水质标准后，排至经开区污水处理厂处理</w:t>
            </w:r>
            <w:r>
              <w:rPr>
                <w:rFonts w:hint="default" w:ascii="Times New Roman" w:hAnsi="Times New Roman" w:eastAsia="宋体" w:cs="Times New Roman"/>
                <w:color w:val="auto"/>
                <w:sz w:val="21"/>
                <w:szCs w:val="21"/>
                <w:lang w:val="en-US" w:eastAsia="zh-CN"/>
              </w:rPr>
              <w:t>。</w:t>
            </w:r>
          </w:p>
        </w:tc>
        <w:tc>
          <w:tcPr>
            <w:tcW w:w="929" w:type="dxa"/>
            <w:vAlign w:val="center"/>
          </w:tcPr>
          <w:p w14:paraId="039045AB">
            <w:pPr>
              <w:pStyle w:val="70"/>
              <w:spacing w:line="240" w:lineRule="auto"/>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符合</w:t>
            </w:r>
          </w:p>
        </w:tc>
      </w:tr>
      <w:tr w14:paraId="2C253ED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016" w:type="dxa"/>
            <w:vMerge w:val="continue"/>
            <w:vAlign w:val="center"/>
          </w:tcPr>
          <w:p w14:paraId="573010EE">
            <w:pPr>
              <w:pStyle w:val="70"/>
              <w:spacing w:line="240" w:lineRule="auto"/>
              <w:rPr>
                <w:rFonts w:hint="eastAsia" w:ascii="Times New Roman" w:hAnsi="Times New Roman" w:eastAsia="宋体" w:cs="Times New Roman"/>
                <w:color w:val="auto"/>
                <w:sz w:val="21"/>
                <w:szCs w:val="21"/>
              </w:rPr>
            </w:pPr>
          </w:p>
        </w:tc>
        <w:tc>
          <w:tcPr>
            <w:tcW w:w="1370" w:type="dxa"/>
            <w:vMerge w:val="continue"/>
            <w:vAlign w:val="center"/>
          </w:tcPr>
          <w:p w14:paraId="54DD9D65">
            <w:pPr>
              <w:pStyle w:val="70"/>
              <w:spacing w:line="240" w:lineRule="auto"/>
              <w:rPr>
                <w:rFonts w:hint="eastAsia" w:ascii="Times New Roman" w:hAnsi="Times New Roman" w:eastAsia="宋体" w:cs="Times New Roman"/>
                <w:color w:val="auto"/>
                <w:sz w:val="21"/>
                <w:szCs w:val="21"/>
              </w:rPr>
            </w:pPr>
          </w:p>
        </w:tc>
        <w:tc>
          <w:tcPr>
            <w:tcW w:w="1547" w:type="dxa"/>
            <w:vMerge w:val="continue"/>
            <w:vAlign w:val="center"/>
          </w:tcPr>
          <w:p w14:paraId="3BA67665">
            <w:pPr>
              <w:pStyle w:val="70"/>
              <w:spacing w:line="240" w:lineRule="auto"/>
              <w:rPr>
                <w:rFonts w:hint="eastAsia" w:ascii="Times New Roman" w:hAnsi="Times New Roman" w:eastAsia="宋体" w:cs="Times New Roman"/>
                <w:color w:val="auto"/>
                <w:sz w:val="21"/>
                <w:szCs w:val="21"/>
              </w:rPr>
            </w:pPr>
          </w:p>
        </w:tc>
        <w:tc>
          <w:tcPr>
            <w:tcW w:w="1710" w:type="dxa"/>
            <w:vAlign w:val="center"/>
          </w:tcPr>
          <w:p w14:paraId="0BD008E8">
            <w:pPr>
              <w:pStyle w:val="70"/>
              <w:spacing w:line="240" w:lineRule="auto"/>
              <w:rPr>
                <w:rFonts w:hint="eastAsia" w:ascii="Times New Roman" w:hAnsi="Times New Roman" w:eastAsia="宋体" w:cs="Times New Roman"/>
                <w:color w:val="auto"/>
                <w:sz w:val="21"/>
                <w:szCs w:val="21"/>
              </w:rPr>
            </w:pPr>
            <w:r>
              <w:rPr>
                <w:rFonts w:ascii="Times New Roman" w:hAnsi="Times New Roman" w:eastAsia="宋体" w:cs="Times New Roman"/>
                <w:color w:val="auto"/>
                <w:sz w:val="21"/>
                <w:szCs w:val="21"/>
              </w:rPr>
              <w:t>其他污染物排放管控要求</w:t>
            </w:r>
          </w:p>
        </w:tc>
        <w:tc>
          <w:tcPr>
            <w:tcW w:w="3403" w:type="dxa"/>
            <w:vAlign w:val="center"/>
          </w:tcPr>
          <w:p w14:paraId="7D8A9541">
            <w:pPr>
              <w:pStyle w:val="70"/>
              <w:spacing w:line="240" w:lineRule="auto"/>
              <w:rPr>
                <w:rFonts w:hint="eastAsia" w:ascii="Times New Roman" w:hAnsi="Times New Roman" w:eastAsia="宋体" w:cs="Times New Roman"/>
                <w:color w:val="auto"/>
                <w:sz w:val="21"/>
                <w:szCs w:val="21"/>
              </w:rPr>
            </w:pPr>
            <w:r>
              <w:rPr>
                <w:rFonts w:ascii="Times New Roman" w:hAnsi="Times New Roman" w:eastAsia="宋体" w:cs="Times New Roman"/>
                <w:color w:val="auto"/>
                <w:sz w:val="21"/>
                <w:szCs w:val="21"/>
              </w:rPr>
              <w:t>1.污染物排放绩效水平准入要求：-新、改、扩建涉及VOCs排放项目，从原辅材料和工艺过程大力推广使用低（无）VOCs含量的涂料、有机溶剂、胶黏剂、油墨等原辅材料，配套改进生产工艺。-重点对工业涂装、包装印刷、制鞋、电子信息、木材加工、化纤等重点行业实施源头替代。推进木质家具制造行业水性、紫外光固化等低挥发性涂料替代比例达到60%以上、水性胶粘剂替代比例达到100%，钢结构制造行业高固体分涂料替代比例达到50%以上，包装印刷企业低VOCs含量绿色原辅材料替代比例达到60%以上。-到2030年巴中中心城区污水处理率达到100%，工业废水排放达标率100%。2.化工园区应按照分类收集，分质处理的要求，配备专业化工生产废水集中处理设施（独立建设或依托骨干企业）及专管或明管输送的配套管网，化工生产废水纳管率达到100%。入河排污口设置应符合相关规定。3.重点行业建设项目应遵循重点</w:t>
            </w:r>
            <w:r>
              <w:rPr>
                <w:rFonts w:hint="eastAsia" w:ascii="宋体" w:hAnsi="宋体" w:eastAsia="宋体" w:cs="宋体"/>
                <w:color w:val="auto"/>
                <w:sz w:val="21"/>
                <w:szCs w:val="21"/>
              </w:rPr>
              <w:t>重金属污染物排放“等量替代”原则</w:t>
            </w:r>
            <w:r>
              <w:rPr>
                <w:rFonts w:ascii="Times New Roman" w:hAnsi="Times New Roman" w:eastAsia="宋体" w:cs="Times New Roman"/>
                <w:color w:val="auto"/>
                <w:sz w:val="21"/>
                <w:szCs w:val="21"/>
              </w:rPr>
              <w:t>。按国家规定，建设单位在提交环境影响评价文件时应明确重点重金属污染物排放总量及来源，无明确具体总量来源的，各级生态环境部门不得批准相关环境影响评价文件。重金属污染物排放总量替代管</w:t>
            </w:r>
            <w:r>
              <w:rPr>
                <w:rFonts w:hint="eastAsia" w:ascii="宋体" w:hAnsi="宋体" w:eastAsia="宋体" w:cs="宋体"/>
                <w:color w:val="auto"/>
                <w:sz w:val="21"/>
                <w:szCs w:val="21"/>
              </w:rPr>
              <w:t>理豁免的情形参见《四川省“十四五”重</w:t>
            </w:r>
            <w:r>
              <w:rPr>
                <w:rFonts w:ascii="Times New Roman" w:hAnsi="Times New Roman" w:eastAsia="宋体" w:cs="Times New Roman"/>
                <w:color w:val="auto"/>
                <w:sz w:val="21"/>
                <w:szCs w:val="21"/>
              </w:rPr>
              <w:t>金属污染防控工作方案》；重点行业、重点重金属的界定参见《四川</w:t>
            </w:r>
            <w:r>
              <w:rPr>
                <w:rFonts w:hint="eastAsia" w:ascii="宋体" w:hAnsi="宋体" w:eastAsia="宋体" w:cs="宋体"/>
                <w:color w:val="auto"/>
                <w:sz w:val="21"/>
                <w:szCs w:val="21"/>
              </w:rPr>
              <w:t>省“十四五”重金属污染防控工作方案</w:t>
            </w:r>
            <w:r>
              <w:rPr>
                <w:rFonts w:ascii="Times New Roman" w:hAnsi="Times New Roman" w:eastAsia="宋体" w:cs="Times New Roman"/>
                <w:color w:val="auto"/>
                <w:sz w:val="21"/>
                <w:szCs w:val="21"/>
              </w:rPr>
              <w:t>》。4.落实《四川省深入打好重污染天气消除、臭氧污染防治和柴油货车污染治理攻坚战实施方案》要求，推进重点行业超低排放改造和深度治理，加快实施低VOCs含量原辅材料替代，持续开展VOCs治理设施提级增效，强化VOCs无组织排放整治，加强非正常工况废气排放管控，推进涉VOCs产业集群治理提升，推进油品VOCs综合管控。</w:t>
            </w:r>
          </w:p>
        </w:tc>
        <w:tc>
          <w:tcPr>
            <w:tcW w:w="2677" w:type="dxa"/>
            <w:vAlign w:val="center"/>
          </w:tcPr>
          <w:p w14:paraId="0AB531B9">
            <w:pPr>
              <w:pStyle w:val="70"/>
              <w:spacing w:line="240" w:lineRule="auto"/>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1.</w:t>
            </w:r>
            <w:r>
              <w:rPr>
                <w:rFonts w:hint="default" w:ascii="Times New Roman" w:hAnsi="Times New Roman" w:eastAsia="宋体" w:cs="Times New Roman"/>
                <w:color w:val="auto"/>
                <w:sz w:val="21"/>
                <w:szCs w:val="21"/>
                <w:lang w:val="en-US" w:eastAsia="zh-CN"/>
              </w:rPr>
              <w:t>本项目涂布烘干工序产生的NMP废气经NMP回收处理装置（TA001）处理后通过1根</w:t>
            </w:r>
            <w:r>
              <w:rPr>
                <w:rFonts w:hint="eastAsia" w:cs="Times New Roman"/>
                <w:color w:val="auto"/>
                <w:sz w:val="21"/>
                <w:szCs w:val="21"/>
                <w:lang w:val="en-US" w:eastAsia="zh-CN"/>
              </w:rPr>
              <w:t>30</w:t>
            </w:r>
            <w:r>
              <w:rPr>
                <w:rFonts w:hint="default" w:ascii="Times New Roman" w:hAnsi="Times New Roman" w:eastAsia="宋体" w:cs="Times New Roman"/>
                <w:color w:val="auto"/>
                <w:sz w:val="21"/>
                <w:szCs w:val="21"/>
                <w:lang w:val="en-US" w:eastAsia="zh-CN"/>
              </w:rPr>
              <w:t>m高排气筒（DA001）排放；电解液注液、</w:t>
            </w:r>
            <w:r>
              <w:rPr>
                <w:rFonts w:hint="eastAsia" w:cs="Times New Roman"/>
                <w:color w:val="auto"/>
                <w:sz w:val="21"/>
                <w:szCs w:val="21"/>
                <w:lang w:val="en-US" w:eastAsia="zh-CN"/>
              </w:rPr>
              <w:t>二封等工序产生的有机废气</w:t>
            </w:r>
            <w:r>
              <w:rPr>
                <w:rFonts w:hint="default" w:ascii="Times New Roman" w:hAnsi="Times New Roman" w:eastAsia="宋体" w:cs="Times New Roman"/>
                <w:color w:val="auto"/>
                <w:sz w:val="21"/>
                <w:szCs w:val="21"/>
                <w:lang w:val="en-US" w:eastAsia="zh-CN"/>
              </w:rPr>
              <w:t>经集气管道引至二级活性炭吸附装置（TA002）处理后，一根</w:t>
            </w:r>
            <w:r>
              <w:rPr>
                <w:rFonts w:hint="eastAsia" w:cs="Times New Roman"/>
                <w:color w:val="auto"/>
                <w:sz w:val="21"/>
                <w:szCs w:val="21"/>
                <w:lang w:val="en-US" w:eastAsia="zh-CN"/>
              </w:rPr>
              <w:t>30</w:t>
            </w:r>
            <w:r>
              <w:rPr>
                <w:rFonts w:hint="default" w:ascii="Times New Roman" w:hAnsi="Times New Roman" w:eastAsia="宋体" w:cs="Times New Roman"/>
                <w:color w:val="auto"/>
                <w:sz w:val="21"/>
                <w:szCs w:val="21"/>
                <w:lang w:val="en-US" w:eastAsia="zh-CN"/>
              </w:rPr>
              <w:t>m排气筒（DA002）排放。</w:t>
            </w:r>
          </w:p>
          <w:p w14:paraId="70E211E7">
            <w:pPr>
              <w:pStyle w:val="70"/>
              <w:spacing w:line="240" w:lineRule="auto"/>
              <w:rPr>
                <w:rFonts w:hint="default" w:cs="Times New Roman"/>
                <w:color w:val="auto"/>
                <w:sz w:val="21"/>
                <w:szCs w:val="21"/>
                <w:lang w:val="en-US" w:eastAsia="zh-CN"/>
              </w:rPr>
            </w:pPr>
            <w:r>
              <w:rPr>
                <w:rFonts w:hint="eastAsia" w:cs="Times New Roman"/>
                <w:color w:val="auto"/>
                <w:sz w:val="21"/>
                <w:szCs w:val="21"/>
                <w:lang w:val="en-US" w:eastAsia="zh-CN"/>
              </w:rPr>
              <w:t>2.本项目不属于化工项目。</w:t>
            </w:r>
          </w:p>
          <w:p w14:paraId="26E5117B">
            <w:pPr>
              <w:pStyle w:val="70"/>
              <w:spacing w:line="240" w:lineRule="auto"/>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3.本</w:t>
            </w:r>
            <w:r>
              <w:rPr>
                <w:rFonts w:hint="default" w:ascii="Times New Roman" w:hAnsi="Times New Roman" w:eastAsia="宋体" w:cs="Times New Roman"/>
                <w:color w:val="auto"/>
                <w:sz w:val="21"/>
                <w:szCs w:val="21"/>
                <w:lang w:val="en-US" w:eastAsia="zh-CN"/>
              </w:rPr>
              <w:t>项目不涉及</w:t>
            </w:r>
            <w:r>
              <w:rPr>
                <w:rFonts w:hint="eastAsia" w:cs="Times New Roman"/>
                <w:color w:val="auto"/>
                <w:sz w:val="21"/>
                <w:szCs w:val="21"/>
                <w:lang w:val="en-US" w:eastAsia="zh-CN"/>
              </w:rPr>
              <w:t>重金属排放</w:t>
            </w:r>
            <w:r>
              <w:rPr>
                <w:rFonts w:hint="default" w:ascii="Times New Roman" w:hAnsi="Times New Roman" w:eastAsia="宋体" w:cs="Times New Roman"/>
                <w:color w:val="auto"/>
                <w:sz w:val="21"/>
                <w:szCs w:val="21"/>
                <w:lang w:val="en-US" w:eastAsia="zh-CN"/>
              </w:rPr>
              <w:t>。</w:t>
            </w:r>
          </w:p>
          <w:p w14:paraId="1CBB5C0B">
            <w:pPr>
              <w:pStyle w:val="70"/>
              <w:spacing w:line="240" w:lineRule="auto"/>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4.</w:t>
            </w:r>
            <w:r>
              <w:rPr>
                <w:rFonts w:hint="default" w:ascii="Times New Roman" w:hAnsi="Times New Roman" w:eastAsia="宋体" w:cs="Times New Roman"/>
                <w:color w:val="auto"/>
                <w:sz w:val="21"/>
                <w:szCs w:val="21"/>
                <w:lang w:val="en-US" w:eastAsia="zh-CN"/>
              </w:rPr>
              <w:t>本项目将严格落实VOCs治理管控措施，减少无组织排放。</w:t>
            </w:r>
          </w:p>
        </w:tc>
        <w:tc>
          <w:tcPr>
            <w:tcW w:w="929" w:type="dxa"/>
            <w:vAlign w:val="center"/>
          </w:tcPr>
          <w:p w14:paraId="422C9E78">
            <w:pPr>
              <w:pStyle w:val="70"/>
              <w:spacing w:line="240" w:lineRule="auto"/>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lang w:val="en-US" w:eastAsia="zh-CN"/>
              </w:rPr>
              <w:t>符合</w:t>
            </w:r>
          </w:p>
        </w:tc>
      </w:tr>
      <w:tr w14:paraId="512C9F8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016" w:type="dxa"/>
            <w:vMerge w:val="continue"/>
            <w:vAlign w:val="center"/>
          </w:tcPr>
          <w:p w14:paraId="35123E5B">
            <w:pPr>
              <w:pStyle w:val="70"/>
              <w:spacing w:line="240" w:lineRule="auto"/>
              <w:rPr>
                <w:rFonts w:hint="eastAsia" w:ascii="Times New Roman" w:hAnsi="Times New Roman" w:eastAsia="宋体" w:cs="Times New Roman"/>
                <w:color w:val="auto"/>
                <w:sz w:val="21"/>
                <w:szCs w:val="21"/>
              </w:rPr>
            </w:pPr>
          </w:p>
        </w:tc>
        <w:tc>
          <w:tcPr>
            <w:tcW w:w="1370" w:type="dxa"/>
            <w:vMerge w:val="continue"/>
            <w:vAlign w:val="center"/>
          </w:tcPr>
          <w:p w14:paraId="5042FB00">
            <w:pPr>
              <w:pStyle w:val="70"/>
              <w:spacing w:line="240" w:lineRule="auto"/>
              <w:rPr>
                <w:rFonts w:hint="eastAsia" w:ascii="Times New Roman" w:hAnsi="Times New Roman" w:eastAsia="宋体" w:cs="Times New Roman"/>
                <w:color w:val="auto"/>
                <w:sz w:val="21"/>
                <w:szCs w:val="21"/>
              </w:rPr>
            </w:pPr>
          </w:p>
        </w:tc>
        <w:tc>
          <w:tcPr>
            <w:tcW w:w="1547" w:type="dxa"/>
            <w:vMerge w:val="restart"/>
            <w:vAlign w:val="center"/>
          </w:tcPr>
          <w:p w14:paraId="11203959">
            <w:pPr>
              <w:pStyle w:val="70"/>
              <w:spacing w:line="240" w:lineRule="auto"/>
              <w:rPr>
                <w:rFonts w:hint="eastAsia" w:ascii="Times New Roman" w:hAnsi="Times New Roman" w:eastAsia="宋体" w:cs="Times New Roman"/>
                <w:color w:val="auto"/>
                <w:sz w:val="21"/>
                <w:szCs w:val="21"/>
              </w:rPr>
            </w:pPr>
            <w:r>
              <w:rPr>
                <w:rFonts w:ascii="Times New Roman" w:hAnsi="Times New Roman" w:eastAsia="宋体" w:cs="Times New Roman"/>
                <w:color w:val="auto"/>
                <w:sz w:val="21"/>
                <w:szCs w:val="21"/>
              </w:rPr>
              <w:t>环境风险防控</w:t>
            </w:r>
          </w:p>
        </w:tc>
        <w:tc>
          <w:tcPr>
            <w:tcW w:w="1710" w:type="dxa"/>
            <w:vAlign w:val="center"/>
          </w:tcPr>
          <w:p w14:paraId="201DD9CE">
            <w:pPr>
              <w:pStyle w:val="70"/>
              <w:spacing w:line="240" w:lineRule="auto"/>
              <w:rPr>
                <w:rFonts w:hint="eastAsia" w:ascii="Times New Roman" w:hAnsi="Times New Roman" w:eastAsia="宋体" w:cs="Times New Roman"/>
                <w:color w:val="auto"/>
                <w:sz w:val="21"/>
                <w:szCs w:val="21"/>
              </w:rPr>
            </w:pPr>
            <w:r>
              <w:rPr>
                <w:rFonts w:ascii="Times New Roman" w:hAnsi="Times New Roman" w:eastAsia="宋体" w:cs="Times New Roman"/>
                <w:color w:val="auto"/>
                <w:sz w:val="21"/>
                <w:szCs w:val="21"/>
              </w:rPr>
              <w:t>联防联控要求</w:t>
            </w:r>
          </w:p>
        </w:tc>
        <w:tc>
          <w:tcPr>
            <w:tcW w:w="3403" w:type="dxa"/>
            <w:vAlign w:val="center"/>
          </w:tcPr>
          <w:p w14:paraId="4C9CE9C9">
            <w:pPr>
              <w:pStyle w:val="70"/>
              <w:spacing w:line="240" w:lineRule="auto"/>
              <w:rPr>
                <w:rFonts w:hint="eastAsia" w:ascii="Times New Roman" w:hAnsi="Times New Roman" w:eastAsia="宋体" w:cs="Times New Roman"/>
                <w:color w:val="auto"/>
                <w:sz w:val="21"/>
                <w:szCs w:val="21"/>
              </w:rPr>
            </w:pPr>
            <w:r>
              <w:rPr>
                <w:rFonts w:ascii="Times New Roman" w:hAnsi="Times New Roman" w:eastAsia="宋体" w:cs="Times New Roman"/>
                <w:color w:val="auto"/>
                <w:sz w:val="21"/>
                <w:szCs w:val="21"/>
              </w:rPr>
              <w:t>强化大气污染区域联防联控措施，实施重污染天气应急管控。修订重污染天气应急预案，动态更新污染源排放清单，落实重点企业错峰生产、压产限产、工地停工等强制性措施，有效减缓重污染天气影响。</w:t>
            </w:r>
          </w:p>
        </w:tc>
        <w:tc>
          <w:tcPr>
            <w:tcW w:w="2677" w:type="dxa"/>
            <w:vAlign w:val="center"/>
          </w:tcPr>
          <w:p w14:paraId="62354022">
            <w:pPr>
              <w:pStyle w:val="18"/>
              <w:keepNext w:val="0"/>
              <w:keepLines w:val="0"/>
              <w:pageBreakBefore w:val="0"/>
              <w:widowControl w:val="0"/>
              <w:kinsoku/>
              <w:wordWrap/>
              <w:overflowPunct/>
              <w:topLinePunct w:val="0"/>
              <w:bidi w:val="0"/>
              <w:adjustRightInd/>
              <w:snapToGrid/>
              <w:spacing w:line="240" w:lineRule="auto"/>
              <w:ind w:left="0" w:leftChars="0" w:firstLine="0" w:firstLineChars="0"/>
              <w:jc w:val="left"/>
              <w:textAlignment w:val="auto"/>
              <w:rPr>
                <w:rFonts w:hint="eastAsia"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kern w:val="0"/>
                <w:sz w:val="21"/>
                <w:szCs w:val="21"/>
                <w:lang w:val="en-US" w:eastAsia="zh-CN" w:bidi="ar-SA"/>
              </w:rPr>
              <w:t>本项目建设后，将按照巴中市重污染天气应急预案要求，严格落实区域错峰生产、压产限产等强制性措施。</w:t>
            </w:r>
          </w:p>
        </w:tc>
        <w:tc>
          <w:tcPr>
            <w:tcW w:w="929" w:type="dxa"/>
            <w:vAlign w:val="center"/>
          </w:tcPr>
          <w:p w14:paraId="3A4E2FDD">
            <w:pPr>
              <w:pStyle w:val="18"/>
              <w:keepNext w:val="0"/>
              <w:keepLines w:val="0"/>
              <w:pageBreakBefore w:val="0"/>
              <w:widowControl w:val="0"/>
              <w:kinsoku/>
              <w:wordWrap/>
              <w:overflowPunct/>
              <w:topLinePunct w:val="0"/>
              <w:bidi w:val="0"/>
              <w:adjustRightInd/>
              <w:snapToGrid/>
              <w:spacing w:line="240" w:lineRule="auto"/>
              <w:ind w:left="0" w:leftChars="0" w:firstLine="0" w:firstLineChars="0"/>
              <w:jc w:val="center"/>
              <w:textAlignment w:val="auto"/>
              <w:rPr>
                <w:rFonts w:hint="eastAsia"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kern w:val="0"/>
                <w:sz w:val="21"/>
                <w:szCs w:val="21"/>
                <w:lang w:val="en-US" w:eastAsia="zh-CN" w:bidi="ar-SA"/>
              </w:rPr>
              <w:t>符合</w:t>
            </w:r>
          </w:p>
        </w:tc>
      </w:tr>
      <w:tr w14:paraId="32E112D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016" w:type="dxa"/>
            <w:vMerge w:val="continue"/>
            <w:vAlign w:val="center"/>
          </w:tcPr>
          <w:p w14:paraId="2CC6ABEA">
            <w:pPr>
              <w:pStyle w:val="70"/>
              <w:spacing w:line="240" w:lineRule="auto"/>
              <w:rPr>
                <w:rFonts w:hint="eastAsia" w:ascii="Times New Roman" w:hAnsi="Times New Roman" w:eastAsia="宋体" w:cs="Times New Roman"/>
                <w:color w:val="auto"/>
                <w:sz w:val="21"/>
                <w:szCs w:val="21"/>
              </w:rPr>
            </w:pPr>
          </w:p>
        </w:tc>
        <w:tc>
          <w:tcPr>
            <w:tcW w:w="1370" w:type="dxa"/>
            <w:vMerge w:val="continue"/>
            <w:vAlign w:val="center"/>
          </w:tcPr>
          <w:p w14:paraId="34FBB5E1">
            <w:pPr>
              <w:pStyle w:val="70"/>
              <w:spacing w:line="240" w:lineRule="auto"/>
              <w:rPr>
                <w:rFonts w:hint="eastAsia" w:ascii="Times New Roman" w:hAnsi="Times New Roman" w:eastAsia="宋体" w:cs="Times New Roman"/>
                <w:color w:val="auto"/>
                <w:sz w:val="21"/>
                <w:szCs w:val="21"/>
              </w:rPr>
            </w:pPr>
          </w:p>
        </w:tc>
        <w:tc>
          <w:tcPr>
            <w:tcW w:w="1547" w:type="dxa"/>
            <w:vMerge w:val="continue"/>
            <w:vAlign w:val="center"/>
          </w:tcPr>
          <w:p w14:paraId="702B739C">
            <w:pPr>
              <w:pStyle w:val="70"/>
              <w:spacing w:line="240" w:lineRule="auto"/>
              <w:rPr>
                <w:rFonts w:hint="eastAsia" w:ascii="Times New Roman" w:hAnsi="Times New Roman" w:eastAsia="宋体" w:cs="Times New Roman"/>
                <w:color w:val="auto"/>
                <w:sz w:val="21"/>
                <w:szCs w:val="21"/>
              </w:rPr>
            </w:pPr>
          </w:p>
        </w:tc>
        <w:tc>
          <w:tcPr>
            <w:tcW w:w="1710" w:type="dxa"/>
            <w:vAlign w:val="center"/>
          </w:tcPr>
          <w:p w14:paraId="50098AD1">
            <w:pPr>
              <w:pStyle w:val="70"/>
              <w:spacing w:line="240" w:lineRule="auto"/>
              <w:rPr>
                <w:rFonts w:hint="eastAsia" w:ascii="Times New Roman" w:hAnsi="Times New Roman" w:eastAsia="宋体" w:cs="Times New Roman"/>
                <w:color w:val="auto"/>
                <w:sz w:val="21"/>
                <w:szCs w:val="21"/>
              </w:rPr>
            </w:pPr>
            <w:r>
              <w:rPr>
                <w:rFonts w:ascii="Times New Roman" w:hAnsi="Times New Roman" w:eastAsia="宋体" w:cs="Times New Roman"/>
                <w:color w:val="auto"/>
                <w:sz w:val="21"/>
                <w:szCs w:val="21"/>
              </w:rPr>
              <w:t>其他环境风险防控要求</w:t>
            </w:r>
          </w:p>
        </w:tc>
        <w:tc>
          <w:tcPr>
            <w:tcW w:w="3403" w:type="dxa"/>
            <w:vAlign w:val="center"/>
          </w:tcPr>
          <w:p w14:paraId="08D47BF8">
            <w:pPr>
              <w:pStyle w:val="70"/>
              <w:spacing w:line="240" w:lineRule="auto"/>
              <w:rPr>
                <w:rFonts w:hint="eastAsia" w:ascii="Times New Roman" w:hAnsi="Times New Roman" w:eastAsia="宋体" w:cs="Times New Roman"/>
                <w:color w:val="auto"/>
                <w:sz w:val="21"/>
                <w:szCs w:val="21"/>
              </w:rPr>
            </w:pPr>
            <w:r>
              <w:rPr>
                <w:rFonts w:ascii="Times New Roman" w:hAnsi="Times New Roman" w:eastAsia="宋体" w:cs="Times New Roman"/>
                <w:color w:val="auto"/>
                <w:sz w:val="21"/>
                <w:szCs w:val="21"/>
              </w:rPr>
              <w:t>-涉及有毒有害、易燃易爆物质新建、改扩建项目，严控准入要求。-园区风险防控体系要求：构建三级环境风险防控体系，强化危化品泄漏应急处置措施，确保风险可控。针对化工园区进一步强化风险防控。化工园区应具有安全风险监控体系、建立生态环境监测监控体系、建立必要的突发环境事件应急体系。-有色金属冶炼、石油加工、化工、焦化、电镀、制革等行业企业拆除生产设施设备、构筑物和污染治理设施，要事先制定残留污染物清理和安全处置方案，要严格按照有关规定实施安全处理处置，防范拆除活动污染土壤。 -已污染地块，应当依法开展土壤污染状况调查、治理与修复，符合相关环境质量要求后，方可进入用地程序。</w:t>
            </w:r>
          </w:p>
        </w:tc>
        <w:tc>
          <w:tcPr>
            <w:tcW w:w="2677" w:type="dxa"/>
            <w:vAlign w:val="center"/>
          </w:tcPr>
          <w:p w14:paraId="389EC767">
            <w:pPr>
              <w:pStyle w:val="70"/>
              <w:spacing w:line="240" w:lineRule="auto"/>
              <w:rPr>
                <w:rFonts w:hint="eastAsia"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为新建项目，环境风险潜势为I级，在落实本报告提出的环境风险防控措施后，项目建设满足环境风险防控要求。</w:t>
            </w:r>
          </w:p>
        </w:tc>
        <w:tc>
          <w:tcPr>
            <w:tcW w:w="929" w:type="dxa"/>
            <w:vAlign w:val="center"/>
          </w:tcPr>
          <w:p w14:paraId="2853FFBF">
            <w:pPr>
              <w:pStyle w:val="70"/>
              <w:spacing w:line="240" w:lineRule="auto"/>
              <w:rPr>
                <w:rFonts w:hint="eastAsia"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符合</w:t>
            </w:r>
          </w:p>
        </w:tc>
      </w:tr>
      <w:tr w14:paraId="32CD245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016" w:type="dxa"/>
            <w:vMerge w:val="continue"/>
            <w:vAlign w:val="center"/>
          </w:tcPr>
          <w:p w14:paraId="0F7FA9DE">
            <w:pPr>
              <w:pStyle w:val="70"/>
              <w:spacing w:line="240" w:lineRule="auto"/>
              <w:rPr>
                <w:rFonts w:hint="eastAsia" w:ascii="Times New Roman" w:hAnsi="Times New Roman" w:eastAsia="宋体" w:cs="Times New Roman"/>
                <w:color w:val="auto"/>
                <w:sz w:val="21"/>
                <w:szCs w:val="21"/>
              </w:rPr>
            </w:pPr>
          </w:p>
        </w:tc>
        <w:tc>
          <w:tcPr>
            <w:tcW w:w="1370" w:type="dxa"/>
            <w:vMerge w:val="continue"/>
            <w:vAlign w:val="center"/>
          </w:tcPr>
          <w:p w14:paraId="74BF7643">
            <w:pPr>
              <w:pStyle w:val="70"/>
              <w:spacing w:line="240" w:lineRule="auto"/>
              <w:rPr>
                <w:rFonts w:hint="eastAsia" w:ascii="Times New Roman" w:hAnsi="Times New Roman" w:eastAsia="宋体" w:cs="Times New Roman"/>
                <w:color w:val="auto"/>
                <w:sz w:val="21"/>
                <w:szCs w:val="21"/>
              </w:rPr>
            </w:pPr>
          </w:p>
        </w:tc>
        <w:tc>
          <w:tcPr>
            <w:tcW w:w="1547" w:type="dxa"/>
            <w:vMerge w:val="restart"/>
            <w:vAlign w:val="center"/>
          </w:tcPr>
          <w:p w14:paraId="234FC87D">
            <w:pPr>
              <w:pStyle w:val="70"/>
              <w:spacing w:line="240" w:lineRule="auto"/>
              <w:rPr>
                <w:rFonts w:hint="eastAsia" w:ascii="Times New Roman" w:hAnsi="Times New Roman" w:eastAsia="宋体" w:cs="Times New Roman"/>
                <w:color w:val="auto"/>
                <w:sz w:val="21"/>
                <w:szCs w:val="21"/>
              </w:rPr>
            </w:pPr>
            <w:r>
              <w:rPr>
                <w:rFonts w:ascii="Times New Roman" w:hAnsi="Times New Roman" w:eastAsia="宋体" w:cs="Times New Roman"/>
                <w:color w:val="auto"/>
                <w:sz w:val="21"/>
                <w:szCs w:val="21"/>
              </w:rPr>
              <w:t>资源开发利用效率要求</w:t>
            </w:r>
          </w:p>
        </w:tc>
        <w:tc>
          <w:tcPr>
            <w:tcW w:w="1710" w:type="dxa"/>
            <w:vAlign w:val="center"/>
          </w:tcPr>
          <w:p w14:paraId="0C8E9FF3">
            <w:pPr>
              <w:pStyle w:val="70"/>
              <w:spacing w:line="240" w:lineRule="auto"/>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lang w:val="en-US" w:eastAsia="zh-CN"/>
              </w:rPr>
              <w:t>水资源利用总量要求</w:t>
            </w:r>
          </w:p>
        </w:tc>
        <w:tc>
          <w:tcPr>
            <w:tcW w:w="3403" w:type="dxa"/>
            <w:vAlign w:val="center"/>
          </w:tcPr>
          <w:p w14:paraId="6B6E7931">
            <w:pPr>
              <w:pStyle w:val="70"/>
              <w:spacing w:line="240" w:lineRule="auto"/>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-到2022年，万元国内生产总值用水量、万元工业增加值用水量较2015年分别降低30%和28%。</w:t>
            </w:r>
          </w:p>
        </w:tc>
        <w:tc>
          <w:tcPr>
            <w:tcW w:w="2677" w:type="dxa"/>
            <w:vAlign w:val="center"/>
          </w:tcPr>
          <w:p w14:paraId="4384ED0F">
            <w:pPr>
              <w:pStyle w:val="70"/>
              <w:spacing w:line="240" w:lineRule="auto"/>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w:t>
            </w:r>
          </w:p>
        </w:tc>
        <w:tc>
          <w:tcPr>
            <w:tcW w:w="929" w:type="dxa"/>
            <w:vAlign w:val="center"/>
          </w:tcPr>
          <w:p w14:paraId="3F081D5A">
            <w:pPr>
              <w:pStyle w:val="70"/>
              <w:spacing w:line="240" w:lineRule="auto"/>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w:t>
            </w:r>
          </w:p>
        </w:tc>
      </w:tr>
      <w:tr w14:paraId="304E9D0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016" w:type="dxa"/>
            <w:vMerge w:val="continue"/>
            <w:vAlign w:val="center"/>
          </w:tcPr>
          <w:p w14:paraId="175E3CBD">
            <w:pPr>
              <w:pStyle w:val="70"/>
              <w:spacing w:line="240" w:lineRule="auto"/>
              <w:rPr>
                <w:rFonts w:hint="eastAsia" w:ascii="Times New Roman" w:hAnsi="Times New Roman" w:eastAsia="宋体" w:cs="Times New Roman"/>
                <w:color w:val="auto"/>
                <w:sz w:val="21"/>
                <w:szCs w:val="21"/>
              </w:rPr>
            </w:pPr>
          </w:p>
        </w:tc>
        <w:tc>
          <w:tcPr>
            <w:tcW w:w="1370" w:type="dxa"/>
            <w:vMerge w:val="continue"/>
            <w:vAlign w:val="center"/>
          </w:tcPr>
          <w:p w14:paraId="053DD056">
            <w:pPr>
              <w:pStyle w:val="70"/>
              <w:spacing w:line="240" w:lineRule="auto"/>
              <w:rPr>
                <w:rFonts w:hint="eastAsia" w:ascii="Times New Roman" w:hAnsi="Times New Roman" w:eastAsia="宋体" w:cs="Times New Roman"/>
                <w:color w:val="auto"/>
                <w:sz w:val="21"/>
                <w:szCs w:val="21"/>
              </w:rPr>
            </w:pPr>
          </w:p>
        </w:tc>
        <w:tc>
          <w:tcPr>
            <w:tcW w:w="1547" w:type="dxa"/>
            <w:vMerge w:val="continue"/>
            <w:vAlign w:val="center"/>
          </w:tcPr>
          <w:p w14:paraId="74DA1B82">
            <w:pPr>
              <w:pStyle w:val="70"/>
              <w:spacing w:line="240" w:lineRule="auto"/>
              <w:rPr>
                <w:rFonts w:hint="eastAsia" w:ascii="Times New Roman" w:hAnsi="Times New Roman" w:eastAsia="宋体" w:cs="Times New Roman"/>
                <w:color w:val="auto"/>
                <w:sz w:val="21"/>
                <w:szCs w:val="21"/>
              </w:rPr>
            </w:pPr>
          </w:p>
        </w:tc>
        <w:tc>
          <w:tcPr>
            <w:tcW w:w="1710" w:type="dxa"/>
            <w:vAlign w:val="center"/>
          </w:tcPr>
          <w:p w14:paraId="71201B71">
            <w:pPr>
              <w:pStyle w:val="70"/>
              <w:spacing w:line="240" w:lineRule="auto"/>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lang w:val="en-US" w:eastAsia="zh-CN"/>
              </w:rPr>
              <w:t>地下水开采要求</w:t>
            </w:r>
          </w:p>
        </w:tc>
        <w:tc>
          <w:tcPr>
            <w:tcW w:w="3403" w:type="dxa"/>
            <w:vAlign w:val="center"/>
          </w:tcPr>
          <w:p w14:paraId="46EC9E20">
            <w:pPr>
              <w:pStyle w:val="70"/>
              <w:spacing w:line="240" w:lineRule="auto"/>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-巴中市2025年地下水开采</w:t>
            </w:r>
            <w:r>
              <w:rPr>
                <w:rFonts w:hint="eastAsia" w:cs="Times New Roman"/>
                <w:color w:val="auto"/>
                <w:sz w:val="21"/>
                <w:szCs w:val="21"/>
                <w:lang w:eastAsia="zh-CN"/>
              </w:rPr>
              <w:t>控制</w:t>
            </w:r>
            <w:r>
              <w:rPr>
                <w:rFonts w:hint="eastAsia" w:ascii="Times New Roman" w:hAnsi="Times New Roman" w:eastAsia="宋体" w:cs="Times New Roman"/>
                <w:color w:val="auto"/>
                <w:sz w:val="21"/>
                <w:szCs w:val="21"/>
              </w:rPr>
              <w:t>量保持在1400万m3以内。-地下水开采量控制在可开采量的允许范围内，抑制用水过度增长。</w:t>
            </w:r>
          </w:p>
        </w:tc>
        <w:tc>
          <w:tcPr>
            <w:tcW w:w="2677" w:type="dxa"/>
            <w:vAlign w:val="center"/>
          </w:tcPr>
          <w:p w14:paraId="01EB0358">
            <w:pPr>
              <w:pStyle w:val="70"/>
              <w:spacing w:line="240" w:lineRule="auto"/>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本项目不涉及地下水开采</w:t>
            </w:r>
          </w:p>
        </w:tc>
        <w:tc>
          <w:tcPr>
            <w:tcW w:w="929" w:type="dxa"/>
            <w:vAlign w:val="center"/>
          </w:tcPr>
          <w:p w14:paraId="414C20A6">
            <w:pPr>
              <w:pStyle w:val="70"/>
              <w:spacing w:line="240" w:lineRule="auto"/>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符合</w:t>
            </w:r>
          </w:p>
        </w:tc>
      </w:tr>
      <w:tr w14:paraId="260536B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016" w:type="dxa"/>
            <w:vMerge w:val="continue"/>
            <w:vAlign w:val="center"/>
          </w:tcPr>
          <w:p w14:paraId="1D02C130">
            <w:pPr>
              <w:pStyle w:val="70"/>
              <w:spacing w:line="240" w:lineRule="auto"/>
              <w:rPr>
                <w:rFonts w:hint="eastAsia" w:ascii="Times New Roman" w:hAnsi="Times New Roman" w:eastAsia="宋体" w:cs="Times New Roman"/>
                <w:color w:val="auto"/>
                <w:sz w:val="21"/>
                <w:szCs w:val="21"/>
              </w:rPr>
            </w:pPr>
          </w:p>
        </w:tc>
        <w:tc>
          <w:tcPr>
            <w:tcW w:w="1370" w:type="dxa"/>
            <w:vMerge w:val="continue"/>
            <w:vAlign w:val="center"/>
          </w:tcPr>
          <w:p w14:paraId="12C23DCD">
            <w:pPr>
              <w:pStyle w:val="70"/>
              <w:spacing w:line="240" w:lineRule="auto"/>
              <w:rPr>
                <w:rFonts w:hint="eastAsia" w:ascii="Times New Roman" w:hAnsi="Times New Roman" w:eastAsia="宋体" w:cs="Times New Roman"/>
                <w:color w:val="auto"/>
                <w:sz w:val="21"/>
                <w:szCs w:val="21"/>
              </w:rPr>
            </w:pPr>
          </w:p>
        </w:tc>
        <w:tc>
          <w:tcPr>
            <w:tcW w:w="1547" w:type="dxa"/>
            <w:vMerge w:val="continue"/>
            <w:vAlign w:val="center"/>
          </w:tcPr>
          <w:p w14:paraId="32BFC5A4">
            <w:pPr>
              <w:pStyle w:val="70"/>
              <w:spacing w:line="240" w:lineRule="auto"/>
              <w:rPr>
                <w:rFonts w:hint="eastAsia" w:ascii="Times New Roman" w:hAnsi="Times New Roman" w:eastAsia="宋体" w:cs="Times New Roman"/>
                <w:color w:val="auto"/>
                <w:sz w:val="21"/>
                <w:szCs w:val="21"/>
              </w:rPr>
            </w:pPr>
          </w:p>
        </w:tc>
        <w:tc>
          <w:tcPr>
            <w:tcW w:w="1710" w:type="dxa"/>
            <w:vAlign w:val="center"/>
          </w:tcPr>
          <w:p w14:paraId="1743ACDE">
            <w:pPr>
              <w:pStyle w:val="70"/>
              <w:spacing w:line="240" w:lineRule="auto"/>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lang w:val="en-US" w:eastAsia="zh-CN"/>
              </w:rPr>
              <w:t>能源利用总量及效率要求</w:t>
            </w:r>
          </w:p>
        </w:tc>
        <w:tc>
          <w:tcPr>
            <w:tcW w:w="3403" w:type="dxa"/>
            <w:vAlign w:val="center"/>
          </w:tcPr>
          <w:p w14:paraId="70CD6EAA">
            <w:pPr>
              <w:pStyle w:val="70"/>
              <w:spacing w:line="240" w:lineRule="auto"/>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新、改扩建项目污染能耗指标满足《四川省省级生态工业园区指标》综合类生态工业园区要求。-实施新建项目与煤炭消费总量控制挂钩机制，耗煤建设项目实行煤炭消耗等量减量替代。-提高煤炭利用效率和天然气利用占比，工业领域有序推进“煤改电”和有序推进“煤改气”。-全面淘汰每小时10蒸吨以下的燃煤锅炉；在供气管网覆盖不到的其他地区，改用电、新能源或洁净煤。-原则上不再新建35蒸吨/小时及以下的燃煤锅炉，推进县级及以上城市建成区淘汰35蒸吨/小时及以下燃煤锅炉，以工业余热、电厂热力、清洁能源等替代煤炭。对20蒸吨及以上燃煤锅炉实施脱硫改造，建设高效脱硫设施；对循环流化床锅炉以外的燃煤发电机组一律安装脱硫设施，对燃煤锅炉和工业锅炉现有除尘设施实施升级改造，确保达到新的排放标准和特别排放限值。</w:t>
            </w:r>
          </w:p>
        </w:tc>
        <w:tc>
          <w:tcPr>
            <w:tcW w:w="2677" w:type="dxa"/>
            <w:vAlign w:val="center"/>
          </w:tcPr>
          <w:p w14:paraId="5DED5895">
            <w:pPr>
              <w:pStyle w:val="70"/>
              <w:spacing w:line="240" w:lineRule="auto"/>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本项目能源为电能，不涉及锅炉</w:t>
            </w:r>
          </w:p>
        </w:tc>
        <w:tc>
          <w:tcPr>
            <w:tcW w:w="929" w:type="dxa"/>
            <w:vAlign w:val="center"/>
          </w:tcPr>
          <w:p w14:paraId="4F9B9B47">
            <w:pPr>
              <w:pStyle w:val="70"/>
              <w:spacing w:line="240" w:lineRule="auto"/>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符合</w:t>
            </w:r>
          </w:p>
        </w:tc>
      </w:tr>
      <w:tr w14:paraId="3E5EDBB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016" w:type="dxa"/>
            <w:vMerge w:val="continue"/>
            <w:vAlign w:val="center"/>
          </w:tcPr>
          <w:p w14:paraId="5E15BA99">
            <w:pPr>
              <w:pStyle w:val="70"/>
              <w:spacing w:line="240" w:lineRule="auto"/>
              <w:rPr>
                <w:rFonts w:hint="eastAsia" w:ascii="Times New Roman" w:hAnsi="Times New Roman" w:eastAsia="宋体" w:cs="Times New Roman"/>
                <w:color w:val="auto"/>
                <w:sz w:val="21"/>
                <w:szCs w:val="21"/>
              </w:rPr>
            </w:pPr>
          </w:p>
        </w:tc>
        <w:tc>
          <w:tcPr>
            <w:tcW w:w="1370" w:type="dxa"/>
            <w:vMerge w:val="continue"/>
            <w:vAlign w:val="center"/>
          </w:tcPr>
          <w:p w14:paraId="611C40B9">
            <w:pPr>
              <w:pStyle w:val="70"/>
              <w:spacing w:line="240" w:lineRule="auto"/>
              <w:rPr>
                <w:rFonts w:hint="eastAsia" w:ascii="Times New Roman" w:hAnsi="Times New Roman" w:eastAsia="宋体" w:cs="Times New Roman"/>
                <w:color w:val="auto"/>
                <w:sz w:val="21"/>
                <w:szCs w:val="21"/>
              </w:rPr>
            </w:pPr>
          </w:p>
        </w:tc>
        <w:tc>
          <w:tcPr>
            <w:tcW w:w="1547" w:type="dxa"/>
            <w:vMerge w:val="continue"/>
            <w:vAlign w:val="center"/>
          </w:tcPr>
          <w:p w14:paraId="653F2E0F">
            <w:pPr>
              <w:pStyle w:val="70"/>
              <w:spacing w:line="240" w:lineRule="auto"/>
              <w:rPr>
                <w:rFonts w:hint="eastAsia" w:ascii="Times New Roman" w:hAnsi="Times New Roman" w:eastAsia="宋体" w:cs="Times New Roman"/>
                <w:color w:val="auto"/>
                <w:sz w:val="21"/>
                <w:szCs w:val="21"/>
              </w:rPr>
            </w:pPr>
          </w:p>
        </w:tc>
        <w:tc>
          <w:tcPr>
            <w:tcW w:w="1710" w:type="dxa"/>
            <w:vAlign w:val="center"/>
          </w:tcPr>
          <w:p w14:paraId="5BC7E1C1">
            <w:pPr>
              <w:pStyle w:val="70"/>
              <w:spacing w:line="240" w:lineRule="auto"/>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lang w:val="en-US" w:eastAsia="zh-CN"/>
              </w:rPr>
              <w:t>禁燃区要求</w:t>
            </w:r>
          </w:p>
        </w:tc>
        <w:tc>
          <w:tcPr>
            <w:tcW w:w="3403" w:type="dxa"/>
            <w:vAlign w:val="center"/>
          </w:tcPr>
          <w:p w14:paraId="03F1C39F">
            <w:pPr>
              <w:pStyle w:val="70"/>
              <w:spacing w:line="240" w:lineRule="auto"/>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在禁燃区内禁止销售、燃用高污染燃料。禁燃区内禁止新建、扩建燃用高污染燃料的设施。已建成的，应当于2021年12月31日前改用天然气、页岩气、液化石油气、电或其他清洁能源。现有燃用高污染燃料燃用设施在拆除或改造前，有关单位（企业）应当采取措施，确保大气污染物排放达到国家规定标准。</w:t>
            </w:r>
          </w:p>
        </w:tc>
        <w:tc>
          <w:tcPr>
            <w:tcW w:w="2677" w:type="dxa"/>
            <w:vAlign w:val="center"/>
          </w:tcPr>
          <w:p w14:paraId="3F35D353">
            <w:pPr>
              <w:pStyle w:val="70"/>
              <w:spacing w:line="240" w:lineRule="auto"/>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本项目不涉及</w:t>
            </w:r>
            <w:r>
              <w:rPr>
                <w:rFonts w:hint="eastAsia" w:ascii="Times New Roman" w:hAnsi="Times New Roman" w:eastAsia="宋体" w:cs="Times New Roman"/>
                <w:color w:val="auto"/>
                <w:sz w:val="21"/>
                <w:szCs w:val="21"/>
              </w:rPr>
              <w:t>销售、燃用高污染燃料</w:t>
            </w:r>
            <w:r>
              <w:rPr>
                <w:rFonts w:hint="eastAsia" w:ascii="Times New Roman" w:hAnsi="Times New Roman" w:eastAsia="宋体" w:cs="Times New Roman"/>
                <w:color w:val="auto"/>
                <w:sz w:val="21"/>
                <w:szCs w:val="21"/>
                <w:lang w:val="en-US" w:eastAsia="zh-CN"/>
              </w:rPr>
              <w:t>及使用</w:t>
            </w:r>
            <w:r>
              <w:rPr>
                <w:rFonts w:hint="eastAsia" w:ascii="Times New Roman" w:hAnsi="Times New Roman" w:eastAsia="宋体" w:cs="Times New Roman"/>
                <w:color w:val="auto"/>
                <w:sz w:val="21"/>
                <w:szCs w:val="21"/>
              </w:rPr>
              <w:t>高污染燃料的设施</w:t>
            </w:r>
          </w:p>
        </w:tc>
        <w:tc>
          <w:tcPr>
            <w:tcW w:w="929" w:type="dxa"/>
            <w:vAlign w:val="center"/>
          </w:tcPr>
          <w:p w14:paraId="574C94B1">
            <w:pPr>
              <w:pStyle w:val="70"/>
              <w:spacing w:line="240" w:lineRule="auto"/>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符合</w:t>
            </w:r>
          </w:p>
        </w:tc>
      </w:tr>
      <w:tr w14:paraId="3E6533D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016" w:type="dxa"/>
            <w:vMerge w:val="continue"/>
            <w:vAlign w:val="center"/>
          </w:tcPr>
          <w:p w14:paraId="74CBFB41">
            <w:pPr>
              <w:pStyle w:val="70"/>
              <w:spacing w:line="240" w:lineRule="auto"/>
              <w:rPr>
                <w:rFonts w:hint="eastAsia" w:ascii="Times New Roman" w:hAnsi="Times New Roman" w:eastAsia="宋体" w:cs="Times New Roman"/>
                <w:color w:val="auto"/>
                <w:sz w:val="21"/>
                <w:szCs w:val="21"/>
              </w:rPr>
            </w:pPr>
          </w:p>
        </w:tc>
        <w:tc>
          <w:tcPr>
            <w:tcW w:w="1370" w:type="dxa"/>
            <w:vMerge w:val="continue"/>
            <w:vAlign w:val="center"/>
          </w:tcPr>
          <w:p w14:paraId="1632C47A">
            <w:pPr>
              <w:pStyle w:val="70"/>
              <w:spacing w:line="240" w:lineRule="auto"/>
              <w:rPr>
                <w:rFonts w:hint="eastAsia" w:ascii="Times New Roman" w:hAnsi="Times New Roman" w:eastAsia="宋体" w:cs="Times New Roman"/>
                <w:color w:val="auto"/>
                <w:sz w:val="21"/>
                <w:szCs w:val="21"/>
              </w:rPr>
            </w:pPr>
          </w:p>
        </w:tc>
        <w:tc>
          <w:tcPr>
            <w:tcW w:w="1547" w:type="dxa"/>
            <w:vMerge w:val="continue"/>
            <w:vAlign w:val="center"/>
          </w:tcPr>
          <w:p w14:paraId="28D50C09">
            <w:pPr>
              <w:pStyle w:val="70"/>
              <w:spacing w:line="240" w:lineRule="auto"/>
              <w:rPr>
                <w:rFonts w:hint="eastAsia" w:ascii="Times New Roman" w:hAnsi="Times New Roman" w:eastAsia="宋体" w:cs="Times New Roman"/>
                <w:color w:val="auto"/>
                <w:sz w:val="21"/>
                <w:szCs w:val="21"/>
              </w:rPr>
            </w:pPr>
          </w:p>
        </w:tc>
        <w:tc>
          <w:tcPr>
            <w:tcW w:w="1710" w:type="dxa"/>
            <w:vAlign w:val="center"/>
          </w:tcPr>
          <w:p w14:paraId="77526B81">
            <w:pPr>
              <w:pStyle w:val="70"/>
              <w:spacing w:line="240" w:lineRule="auto"/>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lang w:val="en-US" w:eastAsia="zh-CN"/>
              </w:rPr>
              <w:t>其他资源利用效率要求</w:t>
            </w:r>
          </w:p>
        </w:tc>
        <w:tc>
          <w:tcPr>
            <w:tcW w:w="3403" w:type="dxa"/>
            <w:vAlign w:val="center"/>
          </w:tcPr>
          <w:p w14:paraId="6AB5AE90">
            <w:pPr>
              <w:pStyle w:val="70"/>
              <w:spacing w:line="240" w:lineRule="auto"/>
              <w:rPr>
                <w:rFonts w:hint="eastAsia" w:ascii="Times New Roman" w:hAnsi="Times New Roman" w:eastAsia="宋体" w:cs="Times New Roman"/>
                <w:color w:val="auto"/>
                <w:sz w:val="21"/>
                <w:szCs w:val="21"/>
                <w:lang w:eastAsia="zh-CN"/>
              </w:rPr>
            </w:pPr>
            <w:r>
              <w:rPr>
                <w:rFonts w:hint="eastAsia" w:ascii="Times New Roman" w:hAnsi="Times New Roman" w:eastAsia="宋体" w:cs="Times New Roman"/>
                <w:color w:val="auto"/>
                <w:sz w:val="21"/>
                <w:szCs w:val="21"/>
              </w:rPr>
              <w:t>到2025年，巴中市万元工业增加值用水降低至22.4m</w:t>
            </w:r>
            <w:r>
              <w:rPr>
                <w:rFonts w:hint="eastAsia" w:ascii="Times New Roman" w:hAnsi="Times New Roman" w:eastAsia="宋体" w:cs="Times New Roman"/>
                <w:color w:val="auto"/>
                <w:sz w:val="21"/>
                <w:szCs w:val="21"/>
                <w:vertAlign w:val="superscript"/>
              </w:rPr>
              <w:t>3</w:t>
            </w:r>
            <w:r>
              <w:rPr>
                <w:rFonts w:hint="eastAsia" w:ascii="Times New Roman" w:hAnsi="Times New Roman" w:eastAsia="宋体" w:cs="Times New Roman"/>
                <w:color w:val="auto"/>
                <w:sz w:val="21"/>
                <w:szCs w:val="21"/>
              </w:rPr>
              <w:t>，工业用水重复利用率达到75.5%以上；到2030年，巴中市万元工业增加值用水量降低到17.1m</w:t>
            </w:r>
            <w:r>
              <w:rPr>
                <w:rFonts w:hint="eastAsia" w:ascii="Times New Roman" w:hAnsi="Times New Roman" w:eastAsia="宋体" w:cs="Times New Roman"/>
                <w:color w:val="auto"/>
                <w:sz w:val="21"/>
                <w:szCs w:val="21"/>
                <w:vertAlign w:val="superscript"/>
              </w:rPr>
              <w:t>3</w:t>
            </w:r>
            <w:r>
              <w:rPr>
                <w:rFonts w:hint="eastAsia" w:ascii="Times New Roman" w:hAnsi="Times New Roman" w:eastAsia="宋体" w:cs="Times New Roman"/>
                <w:color w:val="auto"/>
                <w:sz w:val="21"/>
                <w:szCs w:val="21"/>
              </w:rPr>
              <w:t>，工业用水重复利用率达到81.3%以上。-新、改扩建项目污染水耗指标满足《四川省省级生态工业园区指标》综合类生态工业园区要求。-鼓励引导新建、改建、扩建工业园区应当按照有关要求统筹建设工业废水集中处理和回用设施，适时推进企业间串联用水、分质用水、一水多用，实现水循环梯级优化利用和废水集中处理回用，创建节水型工业园区。-鼓励火力发电、钢铁、纺织、造纸、石化和化工、食品和发酵等高耗水企业对废水进行深度处理回用，降低单位产品耗水量。火电、石化、钢铁、有色、造纸、印染等高耗水行业项目具备使用再生水条件但未有效利用的，要严格控制新增取水许可</w:t>
            </w:r>
            <w:r>
              <w:rPr>
                <w:rFonts w:hint="eastAsia" w:ascii="Times New Roman" w:hAnsi="Times New Roman" w:eastAsia="宋体" w:cs="Times New Roman"/>
                <w:color w:val="auto"/>
                <w:sz w:val="21"/>
                <w:szCs w:val="21"/>
                <w:lang w:eastAsia="zh-CN"/>
              </w:rPr>
              <w:t>。</w:t>
            </w:r>
          </w:p>
        </w:tc>
        <w:tc>
          <w:tcPr>
            <w:tcW w:w="2677" w:type="dxa"/>
            <w:vAlign w:val="center"/>
          </w:tcPr>
          <w:p w14:paraId="3CF9AB55">
            <w:pPr>
              <w:pStyle w:val="70"/>
              <w:spacing w:line="240" w:lineRule="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本项目</w:t>
            </w:r>
            <w:r>
              <w:rPr>
                <w:rFonts w:hint="default" w:ascii="Times New Roman" w:hAnsi="Times New Roman" w:eastAsia="宋体" w:cs="Times New Roman"/>
                <w:color w:val="auto"/>
                <w:sz w:val="21"/>
                <w:szCs w:val="21"/>
                <w:lang w:val="en-US" w:eastAsia="zh-CN"/>
              </w:rPr>
              <w:t>使用</w:t>
            </w:r>
            <w:r>
              <w:rPr>
                <w:rFonts w:hint="eastAsia" w:ascii="Times New Roman" w:hAnsi="Times New Roman" w:eastAsia="宋体" w:cs="Times New Roman"/>
                <w:color w:val="auto"/>
                <w:sz w:val="21"/>
                <w:szCs w:val="21"/>
                <w:lang w:val="en-US" w:eastAsia="zh-CN"/>
              </w:rPr>
              <w:t>电为</w:t>
            </w:r>
            <w:r>
              <w:rPr>
                <w:rFonts w:hint="default" w:ascii="Times New Roman" w:hAnsi="Times New Roman" w:eastAsia="宋体" w:cs="Times New Roman"/>
                <w:color w:val="auto"/>
                <w:sz w:val="21"/>
                <w:szCs w:val="21"/>
                <w:lang w:val="en-US" w:eastAsia="zh-CN"/>
              </w:rPr>
              <w:t>清洁能源，不涉及燃煤锅炉、焚烧秸秆和垃圾。</w:t>
            </w:r>
            <w:r>
              <w:rPr>
                <w:rFonts w:hint="eastAsia" w:ascii="Times New Roman" w:hAnsi="Times New Roman" w:eastAsia="宋体" w:cs="Times New Roman"/>
                <w:color w:val="auto"/>
                <w:sz w:val="21"/>
                <w:szCs w:val="21"/>
                <w:lang w:val="en-US" w:eastAsia="zh-CN"/>
              </w:rPr>
              <w:t>污染水耗指标满足《四川省省级生态工业园区指标》综合类生态工业园区要求。</w:t>
            </w:r>
          </w:p>
          <w:p w14:paraId="20E116BA">
            <w:pPr>
              <w:pStyle w:val="70"/>
              <w:spacing w:line="240" w:lineRule="auto"/>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不涉及火力发电、钢铁、纺织、造纸、石化和化工、食品和发酵等高耗水企业。</w:t>
            </w:r>
          </w:p>
        </w:tc>
        <w:tc>
          <w:tcPr>
            <w:tcW w:w="929" w:type="dxa"/>
            <w:vAlign w:val="center"/>
          </w:tcPr>
          <w:p w14:paraId="314CC812">
            <w:pPr>
              <w:pStyle w:val="70"/>
              <w:spacing w:line="240" w:lineRule="auto"/>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符合</w:t>
            </w:r>
          </w:p>
        </w:tc>
      </w:tr>
      <w:tr w14:paraId="6CA26B2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386" w:type="dxa"/>
            <w:gridSpan w:val="2"/>
            <w:vMerge w:val="restart"/>
            <w:vAlign w:val="center"/>
          </w:tcPr>
          <w:p w14:paraId="0E605069">
            <w:pPr>
              <w:pStyle w:val="70"/>
              <w:spacing w:line="240" w:lineRule="auto"/>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lang w:val="en-US" w:eastAsia="zh-CN"/>
              </w:rPr>
              <w:t>巴州区</w:t>
            </w:r>
          </w:p>
        </w:tc>
        <w:tc>
          <w:tcPr>
            <w:tcW w:w="1547" w:type="dxa"/>
            <w:vMerge w:val="restart"/>
            <w:vAlign w:val="center"/>
          </w:tcPr>
          <w:p w14:paraId="7747010F">
            <w:pPr>
              <w:pStyle w:val="70"/>
              <w:spacing w:line="240" w:lineRule="auto"/>
              <w:rPr>
                <w:rFonts w:hint="eastAsia" w:ascii="Times New Roman" w:hAnsi="Times New Roman" w:eastAsia="宋体" w:cs="Times New Roman"/>
                <w:color w:val="auto"/>
                <w:sz w:val="21"/>
                <w:szCs w:val="21"/>
              </w:rPr>
            </w:pPr>
            <w:r>
              <w:rPr>
                <w:rFonts w:ascii="Times New Roman" w:hAnsi="Times New Roman" w:eastAsia="宋体" w:cs="Times New Roman"/>
                <w:color w:val="auto"/>
                <w:sz w:val="21"/>
                <w:szCs w:val="21"/>
              </w:rPr>
              <w:t>空间布局约束</w:t>
            </w:r>
          </w:p>
        </w:tc>
        <w:tc>
          <w:tcPr>
            <w:tcW w:w="1710" w:type="dxa"/>
            <w:vAlign w:val="center"/>
          </w:tcPr>
          <w:p w14:paraId="73E519BC">
            <w:pPr>
              <w:pStyle w:val="70"/>
              <w:spacing w:line="240" w:lineRule="auto"/>
              <w:rPr>
                <w:rFonts w:hint="eastAsia" w:ascii="Times New Roman" w:hAnsi="Times New Roman" w:eastAsia="宋体" w:cs="Times New Roman"/>
                <w:color w:val="auto"/>
                <w:sz w:val="21"/>
                <w:szCs w:val="21"/>
              </w:rPr>
            </w:pPr>
            <w:r>
              <w:rPr>
                <w:rFonts w:ascii="Times New Roman" w:hAnsi="Times New Roman" w:eastAsia="宋体" w:cs="Times New Roman"/>
                <w:color w:val="auto"/>
                <w:sz w:val="21"/>
                <w:szCs w:val="21"/>
              </w:rPr>
              <w:t>限制开发建设活动的要求</w:t>
            </w:r>
          </w:p>
        </w:tc>
        <w:tc>
          <w:tcPr>
            <w:tcW w:w="3403" w:type="dxa"/>
            <w:vAlign w:val="center"/>
          </w:tcPr>
          <w:p w14:paraId="056D8BC7">
            <w:pPr>
              <w:pStyle w:val="70"/>
              <w:spacing w:line="240" w:lineRule="auto"/>
              <w:rPr>
                <w:rFonts w:hint="eastAsia" w:ascii="Times New Roman" w:hAnsi="Times New Roman" w:eastAsia="宋体" w:cs="Times New Roman"/>
                <w:color w:val="auto"/>
                <w:sz w:val="21"/>
                <w:szCs w:val="21"/>
              </w:rPr>
            </w:pPr>
            <w:r>
              <w:rPr>
                <w:rFonts w:ascii="Times New Roman" w:hAnsi="Times New Roman" w:eastAsia="宋体" w:cs="Times New Roman"/>
                <w:color w:val="auto"/>
                <w:sz w:val="21"/>
                <w:szCs w:val="21"/>
              </w:rPr>
              <w:t>/</w:t>
            </w:r>
          </w:p>
        </w:tc>
        <w:tc>
          <w:tcPr>
            <w:tcW w:w="2677" w:type="dxa"/>
            <w:vAlign w:val="center"/>
          </w:tcPr>
          <w:p w14:paraId="05837849">
            <w:pPr>
              <w:pStyle w:val="70"/>
              <w:spacing w:line="240" w:lineRule="auto"/>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w:t>
            </w:r>
          </w:p>
        </w:tc>
        <w:tc>
          <w:tcPr>
            <w:tcW w:w="929" w:type="dxa"/>
            <w:vAlign w:val="center"/>
          </w:tcPr>
          <w:p w14:paraId="2048F462">
            <w:pPr>
              <w:pStyle w:val="70"/>
              <w:spacing w:line="240" w:lineRule="auto"/>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w:t>
            </w:r>
          </w:p>
        </w:tc>
      </w:tr>
      <w:tr w14:paraId="4FC0C78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386" w:type="dxa"/>
            <w:gridSpan w:val="2"/>
            <w:vMerge w:val="continue"/>
            <w:vAlign w:val="center"/>
          </w:tcPr>
          <w:p w14:paraId="66F5EDC2">
            <w:pPr>
              <w:pStyle w:val="70"/>
              <w:spacing w:line="240" w:lineRule="auto"/>
              <w:rPr>
                <w:rFonts w:hint="eastAsia" w:ascii="Times New Roman" w:hAnsi="Times New Roman" w:eastAsia="宋体" w:cs="Times New Roman"/>
                <w:color w:val="auto"/>
                <w:sz w:val="21"/>
                <w:szCs w:val="21"/>
              </w:rPr>
            </w:pPr>
          </w:p>
        </w:tc>
        <w:tc>
          <w:tcPr>
            <w:tcW w:w="1547" w:type="dxa"/>
            <w:vMerge w:val="continue"/>
            <w:vAlign w:val="center"/>
          </w:tcPr>
          <w:p w14:paraId="632F3718">
            <w:pPr>
              <w:pStyle w:val="70"/>
              <w:spacing w:line="240" w:lineRule="auto"/>
              <w:rPr>
                <w:rFonts w:hint="eastAsia" w:ascii="Times New Roman" w:hAnsi="Times New Roman" w:eastAsia="宋体" w:cs="Times New Roman"/>
                <w:color w:val="auto"/>
                <w:sz w:val="21"/>
                <w:szCs w:val="21"/>
              </w:rPr>
            </w:pPr>
          </w:p>
        </w:tc>
        <w:tc>
          <w:tcPr>
            <w:tcW w:w="1710" w:type="dxa"/>
            <w:vAlign w:val="center"/>
          </w:tcPr>
          <w:p w14:paraId="44970B9D">
            <w:pPr>
              <w:pStyle w:val="70"/>
              <w:spacing w:line="240" w:lineRule="auto"/>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lang w:val="en-US" w:eastAsia="zh-CN"/>
              </w:rPr>
              <w:t>限制开发建设活动的要求</w:t>
            </w:r>
          </w:p>
        </w:tc>
        <w:tc>
          <w:tcPr>
            <w:tcW w:w="3403" w:type="dxa"/>
            <w:vAlign w:val="center"/>
          </w:tcPr>
          <w:p w14:paraId="4A440381">
            <w:pPr>
              <w:pStyle w:val="70"/>
              <w:spacing w:line="240" w:lineRule="auto"/>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w:t>
            </w:r>
          </w:p>
        </w:tc>
        <w:tc>
          <w:tcPr>
            <w:tcW w:w="2677" w:type="dxa"/>
            <w:vAlign w:val="center"/>
          </w:tcPr>
          <w:p w14:paraId="68627C5F">
            <w:pPr>
              <w:pStyle w:val="70"/>
              <w:spacing w:line="240" w:lineRule="auto"/>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w:t>
            </w:r>
          </w:p>
        </w:tc>
        <w:tc>
          <w:tcPr>
            <w:tcW w:w="929" w:type="dxa"/>
            <w:vAlign w:val="center"/>
          </w:tcPr>
          <w:p w14:paraId="3828720C">
            <w:pPr>
              <w:pStyle w:val="70"/>
              <w:spacing w:line="240" w:lineRule="auto"/>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w:t>
            </w:r>
          </w:p>
        </w:tc>
      </w:tr>
      <w:tr w14:paraId="65786AE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386" w:type="dxa"/>
            <w:gridSpan w:val="2"/>
            <w:vMerge w:val="continue"/>
            <w:vAlign w:val="center"/>
          </w:tcPr>
          <w:p w14:paraId="67F44309">
            <w:pPr>
              <w:pStyle w:val="70"/>
              <w:spacing w:line="240" w:lineRule="auto"/>
              <w:rPr>
                <w:rFonts w:hint="eastAsia" w:ascii="Times New Roman" w:hAnsi="Times New Roman" w:eastAsia="宋体" w:cs="Times New Roman"/>
                <w:color w:val="auto"/>
                <w:sz w:val="21"/>
                <w:szCs w:val="21"/>
              </w:rPr>
            </w:pPr>
          </w:p>
        </w:tc>
        <w:tc>
          <w:tcPr>
            <w:tcW w:w="1547" w:type="dxa"/>
            <w:vMerge w:val="continue"/>
            <w:vAlign w:val="center"/>
          </w:tcPr>
          <w:p w14:paraId="2D26D285">
            <w:pPr>
              <w:pStyle w:val="70"/>
              <w:spacing w:line="240" w:lineRule="auto"/>
              <w:rPr>
                <w:rFonts w:hint="eastAsia" w:ascii="Times New Roman" w:hAnsi="Times New Roman" w:eastAsia="宋体" w:cs="Times New Roman"/>
                <w:color w:val="auto"/>
                <w:sz w:val="21"/>
                <w:szCs w:val="21"/>
              </w:rPr>
            </w:pPr>
          </w:p>
        </w:tc>
        <w:tc>
          <w:tcPr>
            <w:tcW w:w="1710" w:type="dxa"/>
            <w:vAlign w:val="center"/>
          </w:tcPr>
          <w:p w14:paraId="55528866">
            <w:pPr>
              <w:pStyle w:val="70"/>
              <w:spacing w:line="240" w:lineRule="auto"/>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lang w:val="en-US" w:eastAsia="zh-CN"/>
              </w:rPr>
              <w:t>允许开发建设活动的要求</w:t>
            </w:r>
          </w:p>
        </w:tc>
        <w:tc>
          <w:tcPr>
            <w:tcW w:w="3403" w:type="dxa"/>
            <w:vAlign w:val="center"/>
          </w:tcPr>
          <w:p w14:paraId="20177200">
            <w:pPr>
              <w:pStyle w:val="70"/>
              <w:spacing w:line="240" w:lineRule="auto"/>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w:t>
            </w:r>
          </w:p>
        </w:tc>
        <w:tc>
          <w:tcPr>
            <w:tcW w:w="2677" w:type="dxa"/>
            <w:vAlign w:val="center"/>
          </w:tcPr>
          <w:p w14:paraId="743CF8CE">
            <w:pPr>
              <w:pStyle w:val="70"/>
              <w:spacing w:line="240" w:lineRule="auto"/>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w:t>
            </w:r>
          </w:p>
        </w:tc>
        <w:tc>
          <w:tcPr>
            <w:tcW w:w="929" w:type="dxa"/>
            <w:vAlign w:val="center"/>
          </w:tcPr>
          <w:p w14:paraId="6D8A484E">
            <w:pPr>
              <w:pStyle w:val="70"/>
              <w:spacing w:line="240" w:lineRule="auto"/>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w:t>
            </w:r>
          </w:p>
        </w:tc>
      </w:tr>
      <w:tr w14:paraId="45DC71F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386" w:type="dxa"/>
            <w:gridSpan w:val="2"/>
            <w:vMerge w:val="continue"/>
            <w:vAlign w:val="center"/>
          </w:tcPr>
          <w:p w14:paraId="09DC7B86">
            <w:pPr>
              <w:pStyle w:val="70"/>
              <w:spacing w:line="240" w:lineRule="auto"/>
              <w:rPr>
                <w:rFonts w:hint="eastAsia" w:ascii="Times New Roman" w:hAnsi="Times New Roman" w:eastAsia="宋体" w:cs="Times New Roman"/>
                <w:color w:val="auto"/>
                <w:sz w:val="21"/>
                <w:szCs w:val="21"/>
              </w:rPr>
            </w:pPr>
          </w:p>
        </w:tc>
        <w:tc>
          <w:tcPr>
            <w:tcW w:w="1547" w:type="dxa"/>
            <w:vMerge w:val="continue"/>
            <w:vAlign w:val="center"/>
          </w:tcPr>
          <w:p w14:paraId="4B6D077A">
            <w:pPr>
              <w:pStyle w:val="70"/>
              <w:spacing w:line="240" w:lineRule="auto"/>
              <w:rPr>
                <w:rFonts w:hint="eastAsia" w:ascii="Times New Roman" w:hAnsi="Times New Roman" w:eastAsia="宋体" w:cs="Times New Roman"/>
                <w:color w:val="auto"/>
                <w:sz w:val="21"/>
                <w:szCs w:val="21"/>
              </w:rPr>
            </w:pPr>
          </w:p>
        </w:tc>
        <w:tc>
          <w:tcPr>
            <w:tcW w:w="1710" w:type="dxa"/>
            <w:vAlign w:val="center"/>
          </w:tcPr>
          <w:p w14:paraId="12502912">
            <w:pPr>
              <w:pStyle w:val="70"/>
              <w:spacing w:line="240" w:lineRule="auto"/>
              <w:rPr>
                <w:rFonts w:hint="eastAsia" w:ascii="Times New Roman" w:hAnsi="Times New Roman" w:eastAsia="宋体" w:cs="Times New Roman"/>
                <w:color w:val="auto"/>
                <w:sz w:val="21"/>
                <w:szCs w:val="21"/>
              </w:rPr>
            </w:pPr>
            <w:r>
              <w:rPr>
                <w:rFonts w:ascii="Times New Roman" w:hAnsi="Times New Roman" w:eastAsia="宋体" w:cs="Times New Roman"/>
                <w:color w:val="auto"/>
                <w:sz w:val="21"/>
                <w:szCs w:val="21"/>
              </w:rPr>
              <w:t>不符合空间布局要求活动的退出要求</w:t>
            </w:r>
          </w:p>
        </w:tc>
        <w:tc>
          <w:tcPr>
            <w:tcW w:w="3403" w:type="dxa"/>
            <w:vAlign w:val="center"/>
          </w:tcPr>
          <w:p w14:paraId="07637B42">
            <w:pPr>
              <w:pStyle w:val="70"/>
              <w:spacing w:line="240" w:lineRule="auto"/>
              <w:rPr>
                <w:rFonts w:hint="eastAsia" w:ascii="Times New Roman" w:hAnsi="Times New Roman" w:eastAsia="宋体" w:cs="Times New Roman"/>
                <w:color w:val="auto"/>
                <w:sz w:val="21"/>
                <w:szCs w:val="21"/>
              </w:rPr>
            </w:pPr>
            <w:r>
              <w:rPr>
                <w:rFonts w:ascii="Times New Roman" w:hAnsi="Times New Roman" w:eastAsia="宋体" w:cs="Times New Roman"/>
                <w:color w:val="auto"/>
                <w:sz w:val="21"/>
                <w:szCs w:val="21"/>
              </w:rPr>
              <w:t>-加强流域水污染防治，推进流域水生态环境修复与治理；-加强城市精细化管理，提升市民对环境的幸福感、获得感。</w:t>
            </w:r>
          </w:p>
        </w:tc>
        <w:tc>
          <w:tcPr>
            <w:tcW w:w="2677" w:type="dxa"/>
            <w:vAlign w:val="center"/>
          </w:tcPr>
          <w:p w14:paraId="0E2A0519">
            <w:pPr>
              <w:pStyle w:val="70"/>
              <w:spacing w:line="240" w:lineRule="auto"/>
              <w:rPr>
                <w:rFonts w:hint="eastAsia"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项目</w:t>
            </w:r>
            <w:r>
              <w:rPr>
                <w:rFonts w:hint="eastAsia" w:cs="Times New Roman"/>
                <w:color w:val="auto"/>
                <w:sz w:val="21"/>
                <w:szCs w:val="21"/>
                <w:lang w:val="en-US" w:eastAsia="zh-CN"/>
              </w:rPr>
              <w:t>生产</w:t>
            </w:r>
            <w:r>
              <w:rPr>
                <w:rFonts w:hint="default" w:ascii="Times New Roman" w:hAnsi="Times New Roman" w:eastAsia="宋体" w:cs="Times New Roman"/>
                <w:color w:val="auto"/>
                <w:sz w:val="21"/>
                <w:szCs w:val="21"/>
              </w:rPr>
              <w:t>废水经厂区污水处理设备处理，</w:t>
            </w:r>
            <w:r>
              <w:rPr>
                <w:rFonts w:hint="eastAsia" w:cs="Times New Roman"/>
                <w:color w:val="auto"/>
                <w:sz w:val="21"/>
                <w:szCs w:val="21"/>
                <w:lang w:val="en-US" w:eastAsia="zh-CN"/>
              </w:rPr>
              <w:t>生活污水及纯水制备浓水经预处理池处理，处理后的废水</w:t>
            </w:r>
            <w:r>
              <w:rPr>
                <w:rFonts w:hint="default" w:ascii="Times New Roman" w:hAnsi="Times New Roman" w:eastAsia="宋体" w:cs="Times New Roman"/>
                <w:color w:val="auto"/>
                <w:sz w:val="21"/>
                <w:szCs w:val="21"/>
              </w:rPr>
              <w:t>通过市政管网送至经开区污水处理厂处理达标后排放。</w:t>
            </w:r>
          </w:p>
        </w:tc>
        <w:tc>
          <w:tcPr>
            <w:tcW w:w="929" w:type="dxa"/>
            <w:vAlign w:val="center"/>
          </w:tcPr>
          <w:p w14:paraId="2EABDF37">
            <w:pPr>
              <w:pStyle w:val="70"/>
              <w:spacing w:line="240" w:lineRule="auto"/>
              <w:rPr>
                <w:rFonts w:hint="eastAsia"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符合</w:t>
            </w:r>
          </w:p>
        </w:tc>
      </w:tr>
      <w:tr w14:paraId="54DFAEE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386" w:type="dxa"/>
            <w:gridSpan w:val="2"/>
            <w:vMerge w:val="continue"/>
            <w:vAlign w:val="center"/>
          </w:tcPr>
          <w:p w14:paraId="1F5F5BFA">
            <w:pPr>
              <w:pStyle w:val="70"/>
              <w:spacing w:line="240" w:lineRule="auto"/>
              <w:rPr>
                <w:rFonts w:hint="eastAsia" w:ascii="Times New Roman" w:hAnsi="Times New Roman" w:eastAsia="宋体" w:cs="Times New Roman"/>
                <w:color w:val="auto"/>
                <w:sz w:val="21"/>
                <w:szCs w:val="21"/>
              </w:rPr>
            </w:pPr>
          </w:p>
        </w:tc>
        <w:tc>
          <w:tcPr>
            <w:tcW w:w="1547" w:type="dxa"/>
            <w:vMerge w:val="continue"/>
            <w:vAlign w:val="center"/>
          </w:tcPr>
          <w:p w14:paraId="0E62C385">
            <w:pPr>
              <w:pStyle w:val="70"/>
              <w:spacing w:line="240" w:lineRule="auto"/>
              <w:rPr>
                <w:rFonts w:hint="eastAsia" w:ascii="Times New Roman" w:hAnsi="Times New Roman" w:eastAsia="宋体" w:cs="Times New Roman"/>
                <w:color w:val="auto"/>
                <w:sz w:val="21"/>
                <w:szCs w:val="21"/>
              </w:rPr>
            </w:pPr>
          </w:p>
        </w:tc>
        <w:tc>
          <w:tcPr>
            <w:tcW w:w="1710" w:type="dxa"/>
            <w:vAlign w:val="center"/>
          </w:tcPr>
          <w:p w14:paraId="2933AE81">
            <w:pPr>
              <w:pStyle w:val="70"/>
              <w:spacing w:line="240" w:lineRule="auto"/>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lang w:val="en-US" w:eastAsia="zh-CN"/>
              </w:rPr>
              <w:t>其他空间布局约束要求</w:t>
            </w:r>
          </w:p>
        </w:tc>
        <w:tc>
          <w:tcPr>
            <w:tcW w:w="3403" w:type="dxa"/>
            <w:vAlign w:val="center"/>
          </w:tcPr>
          <w:p w14:paraId="73C7564D">
            <w:pPr>
              <w:pStyle w:val="70"/>
              <w:spacing w:line="240" w:lineRule="auto"/>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w:t>
            </w:r>
          </w:p>
        </w:tc>
        <w:tc>
          <w:tcPr>
            <w:tcW w:w="2677" w:type="dxa"/>
            <w:vAlign w:val="center"/>
          </w:tcPr>
          <w:p w14:paraId="52E2C9CD">
            <w:pPr>
              <w:pStyle w:val="70"/>
              <w:spacing w:line="240" w:lineRule="auto"/>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w:t>
            </w:r>
          </w:p>
        </w:tc>
        <w:tc>
          <w:tcPr>
            <w:tcW w:w="929" w:type="dxa"/>
            <w:vAlign w:val="center"/>
          </w:tcPr>
          <w:p w14:paraId="54C1756E">
            <w:pPr>
              <w:pStyle w:val="70"/>
              <w:spacing w:line="240" w:lineRule="auto"/>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w:t>
            </w:r>
          </w:p>
        </w:tc>
      </w:tr>
      <w:tr w14:paraId="7B4A97D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386" w:type="dxa"/>
            <w:gridSpan w:val="2"/>
            <w:vMerge w:val="continue"/>
            <w:vAlign w:val="center"/>
          </w:tcPr>
          <w:p w14:paraId="1827B8A3">
            <w:pPr>
              <w:pStyle w:val="70"/>
              <w:spacing w:line="240" w:lineRule="auto"/>
              <w:rPr>
                <w:rFonts w:hint="eastAsia" w:ascii="Times New Roman" w:hAnsi="Times New Roman" w:eastAsia="宋体" w:cs="Times New Roman"/>
                <w:color w:val="auto"/>
                <w:sz w:val="21"/>
                <w:szCs w:val="21"/>
              </w:rPr>
            </w:pPr>
          </w:p>
        </w:tc>
        <w:tc>
          <w:tcPr>
            <w:tcW w:w="1547" w:type="dxa"/>
            <w:vMerge w:val="restart"/>
            <w:vAlign w:val="center"/>
          </w:tcPr>
          <w:p w14:paraId="3526511D">
            <w:pPr>
              <w:pStyle w:val="70"/>
              <w:spacing w:line="240" w:lineRule="auto"/>
              <w:rPr>
                <w:rFonts w:hint="eastAsia" w:ascii="Times New Roman" w:hAnsi="Times New Roman" w:eastAsia="宋体" w:cs="Times New Roman"/>
                <w:color w:val="auto"/>
                <w:sz w:val="21"/>
                <w:szCs w:val="21"/>
              </w:rPr>
            </w:pPr>
            <w:r>
              <w:rPr>
                <w:rFonts w:ascii="Times New Roman" w:hAnsi="Times New Roman" w:eastAsia="宋体" w:cs="Times New Roman"/>
                <w:color w:val="auto"/>
                <w:sz w:val="21"/>
                <w:szCs w:val="21"/>
              </w:rPr>
              <w:t>污染物排放管控</w:t>
            </w:r>
          </w:p>
        </w:tc>
        <w:tc>
          <w:tcPr>
            <w:tcW w:w="1710" w:type="dxa"/>
            <w:vAlign w:val="center"/>
          </w:tcPr>
          <w:p w14:paraId="5B14F6C8">
            <w:pPr>
              <w:pStyle w:val="70"/>
              <w:spacing w:line="240" w:lineRule="auto"/>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lang w:val="en-US" w:eastAsia="zh-CN"/>
              </w:rPr>
              <w:t>现有源提标升级改造</w:t>
            </w:r>
          </w:p>
        </w:tc>
        <w:tc>
          <w:tcPr>
            <w:tcW w:w="3403" w:type="dxa"/>
            <w:vAlign w:val="center"/>
          </w:tcPr>
          <w:p w14:paraId="1A860325">
            <w:pPr>
              <w:pStyle w:val="70"/>
              <w:spacing w:line="240" w:lineRule="auto"/>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w:t>
            </w:r>
          </w:p>
        </w:tc>
        <w:tc>
          <w:tcPr>
            <w:tcW w:w="2677" w:type="dxa"/>
            <w:vAlign w:val="center"/>
          </w:tcPr>
          <w:p w14:paraId="5C8CEC48">
            <w:pPr>
              <w:pStyle w:val="70"/>
              <w:spacing w:line="240" w:lineRule="auto"/>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w:t>
            </w:r>
          </w:p>
        </w:tc>
        <w:tc>
          <w:tcPr>
            <w:tcW w:w="929" w:type="dxa"/>
            <w:vAlign w:val="center"/>
          </w:tcPr>
          <w:p w14:paraId="6EAB26EC">
            <w:pPr>
              <w:pStyle w:val="70"/>
              <w:spacing w:line="240" w:lineRule="auto"/>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w:t>
            </w:r>
          </w:p>
        </w:tc>
      </w:tr>
      <w:tr w14:paraId="1F2E99C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386" w:type="dxa"/>
            <w:gridSpan w:val="2"/>
            <w:vMerge w:val="continue"/>
            <w:vAlign w:val="center"/>
          </w:tcPr>
          <w:p w14:paraId="498A862A">
            <w:pPr>
              <w:pStyle w:val="70"/>
              <w:spacing w:line="240" w:lineRule="auto"/>
              <w:rPr>
                <w:rFonts w:hint="eastAsia" w:ascii="Times New Roman" w:hAnsi="Times New Roman" w:eastAsia="宋体" w:cs="Times New Roman"/>
                <w:color w:val="auto"/>
                <w:sz w:val="21"/>
                <w:szCs w:val="21"/>
              </w:rPr>
            </w:pPr>
          </w:p>
        </w:tc>
        <w:tc>
          <w:tcPr>
            <w:tcW w:w="1547" w:type="dxa"/>
            <w:vMerge w:val="continue"/>
            <w:vAlign w:val="center"/>
          </w:tcPr>
          <w:p w14:paraId="4CB84337">
            <w:pPr>
              <w:pStyle w:val="70"/>
              <w:spacing w:line="240" w:lineRule="auto"/>
              <w:rPr>
                <w:rFonts w:hint="eastAsia" w:ascii="Times New Roman" w:hAnsi="Times New Roman" w:eastAsia="宋体" w:cs="Times New Roman"/>
                <w:color w:val="auto"/>
                <w:sz w:val="21"/>
                <w:szCs w:val="21"/>
              </w:rPr>
            </w:pPr>
          </w:p>
        </w:tc>
        <w:tc>
          <w:tcPr>
            <w:tcW w:w="1710" w:type="dxa"/>
            <w:vAlign w:val="center"/>
          </w:tcPr>
          <w:p w14:paraId="130B6596">
            <w:pPr>
              <w:pStyle w:val="70"/>
              <w:spacing w:line="240" w:lineRule="auto"/>
              <w:rPr>
                <w:rFonts w:hint="eastAsia" w:ascii="Times New Roman" w:hAnsi="Times New Roman" w:eastAsia="宋体" w:cs="Times New Roman"/>
                <w:color w:val="auto"/>
                <w:sz w:val="21"/>
                <w:szCs w:val="21"/>
              </w:rPr>
            </w:pPr>
            <w:r>
              <w:rPr>
                <w:rFonts w:ascii="Times New Roman" w:hAnsi="Times New Roman" w:eastAsia="宋体" w:cs="Times New Roman"/>
                <w:color w:val="auto"/>
                <w:sz w:val="21"/>
                <w:szCs w:val="21"/>
              </w:rPr>
              <w:t>新增源等量或倍量替代</w:t>
            </w:r>
          </w:p>
        </w:tc>
        <w:tc>
          <w:tcPr>
            <w:tcW w:w="3403" w:type="dxa"/>
            <w:vAlign w:val="center"/>
          </w:tcPr>
          <w:p w14:paraId="7FD8BACD">
            <w:pPr>
              <w:pStyle w:val="70"/>
              <w:spacing w:line="240" w:lineRule="auto"/>
              <w:rPr>
                <w:rFonts w:hint="eastAsia" w:ascii="Times New Roman" w:hAnsi="Times New Roman" w:eastAsia="宋体" w:cs="Times New Roman"/>
                <w:color w:val="auto"/>
                <w:sz w:val="21"/>
                <w:szCs w:val="21"/>
              </w:rPr>
            </w:pPr>
            <w:r>
              <w:rPr>
                <w:rFonts w:ascii="Times New Roman" w:hAnsi="Times New Roman" w:eastAsia="宋体" w:cs="Times New Roman"/>
                <w:color w:val="auto"/>
                <w:sz w:val="21"/>
                <w:szCs w:val="21"/>
              </w:rPr>
              <w:t>-加强工业园区内和园区外企业污染排放监管，</w:t>
            </w:r>
            <w:r>
              <w:rPr>
                <w:rFonts w:hint="eastAsia" w:ascii="宋体" w:hAnsi="宋体" w:eastAsia="宋体" w:cs="宋体"/>
                <w:color w:val="auto"/>
                <w:sz w:val="21"/>
                <w:szCs w:val="21"/>
              </w:rPr>
              <w:t>推进“散乱污”企业整治；-强化扬尘源、燃烧源和移</w:t>
            </w:r>
            <w:r>
              <w:rPr>
                <w:rFonts w:ascii="Times New Roman" w:hAnsi="Times New Roman" w:eastAsia="宋体" w:cs="Times New Roman"/>
                <w:color w:val="auto"/>
                <w:sz w:val="21"/>
                <w:szCs w:val="21"/>
              </w:rPr>
              <w:t>动源等大气污染防治。</w:t>
            </w:r>
          </w:p>
        </w:tc>
        <w:tc>
          <w:tcPr>
            <w:tcW w:w="2677" w:type="dxa"/>
            <w:vAlign w:val="center"/>
          </w:tcPr>
          <w:p w14:paraId="6CED87D7">
            <w:pPr>
              <w:pStyle w:val="70"/>
              <w:spacing w:line="240" w:lineRule="auto"/>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本项目位于工业园区内，不属于</w:t>
            </w:r>
            <w:r>
              <w:rPr>
                <w:rFonts w:hint="eastAsia" w:ascii="宋体" w:hAnsi="宋体" w:eastAsia="宋体" w:cs="宋体"/>
                <w:color w:val="auto"/>
                <w:sz w:val="21"/>
                <w:szCs w:val="21"/>
              </w:rPr>
              <w:t>散乱污”企业</w:t>
            </w:r>
            <w:r>
              <w:rPr>
                <w:rFonts w:hint="eastAsia" w:ascii="宋体" w:hAnsi="宋体" w:cs="宋体"/>
                <w:color w:val="auto"/>
                <w:sz w:val="21"/>
                <w:szCs w:val="21"/>
                <w:lang w:eastAsia="zh-CN"/>
              </w:rPr>
              <w:t>，</w:t>
            </w:r>
            <w:r>
              <w:rPr>
                <w:rFonts w:hint="eastAsia" w:ascii="宋体" w:hAnsi="宋体" w:cs="宋体"/>
                <w:color w:val="auto"/>
                <w:sz w:val="21"/>
                <w:szCs w:val="21"/>
                <w:lang w:val="en-US" w:eastAsia="zh-CN"/>
              </w:rPr>
              <w:t>且本项目所在区域为达标区，项目新增源等量替代</w:t>
            </w:r>
          </w:p>
        </w:tc>
        <w:tc>
          <w:tcPr>
            <w:tcW w:w="929" w:type="dxa"/>
            <w:vAlign w:val="center"/>
          </w:tcPr>
          <w:p w14:paraId="0C448E0C">
            <w:pPr>
              <w:pStyle w:val="70"/>
              <w:spacing w:line="240" w:lineRule="auto"/>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符合</w:t>
            </w:r>
          </w:p>
        </w:tc>
      </w:tr>
      <w:tr w14:paraId="4184B8E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386" w:type="dxa"/>
            <w:gridSpan w:val="2"/>
            <w:vMerge w:val="continue"/>
            <w:vAlign w:val="center"/>
          </w:tcPr>
          <w:p w14:paraId="3CD9062F">
            <w:pPr>
              <w:pStyle w:val="70"/>
              <w:spacing w:line="240" w:lineRule="auto"/>
              <w:rPr>
                <w:rFonts w:hint="eastAsia" w:ascii="Times New Roman" w:hAnsi="Times New Roman" w:eastAsia="宋体" w:cs="Times New Roman"/>
                <w:color w:val="auto"/>
                <w:sz w:val="21"/>
                <w:szCs w:val="21"/>
              </w:rPr>
            </w:pPr>
          </w:p>
        </w:tc>
        <w:tc>
          <w:tcPr>
            <w:tcW w:w="1547" w:type="dxa"/>
            <w:vMerge w:val="continue"/>
            <w:vAlign w:val="center"/>
          </w:tcPr>
          <w:p w14:paraId="42C40F48">
            <w:pPr>
              <w:pStyle w:val="70"/>
              <w:spacing w:line="240" w:lineRule="auto"/>
              <w:rPr>
                <w:rFonts w:hint="eastAsia" w:ascii="Times New Roman" w:hAnsi="Times New Roman" w:eastAsia="宋体" w:cs="Times New Roman"/>
                <w:color w:val="auto"/>
                <w:sz w:val="21"/>
                <w:szCs w:val="21"/>
              </w:rPr>
            </w:pPr>
          </w:p>
        </w:tc>
        <w:tc>
          <w:tcPr>
            <w:tcW w:w="1710" w:type="dxa"/>
            <w:vAlign w:val="center"/>
          </w:tcPr>
          <w:p w14:paraId="383726E6">
            <w:pPr>
              <w:pStyle w:val="70"/>
              <w:spacing w:line="240" w:lineRule="auto"/>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lang w:val="en-US" w:eastAsia="zh-CN"/>
              </w:rPr>
              <w:t>新增源排放标准限值</w:t>
            </w:r>
          </w:p>
        </w:tc>
        <w:tc>
          <w:tcPr>
            <w:tcW w:w="3403" w:type="dxa"/>
            <w:vAlign w:val="center"/>
          </w:tcPr>
          <w:p w14:paraId="6C5B0391">
            <w:pPr>
              <w:pStyle w:val="70"/>
              <w:spacing w:line="240" w:lineRule="auto"/>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w:t>
            </w:r>
          </w:p>
        </w:tc>
        <w:tc>
          <w:tcPr>
            <w:tcW w:w="2677" w:type="dxa"/>
            <w:vAlign w:val="center"/>
          </w:tcPr>
          <w:p w14:paraId="1573A679">
            <w:pPr>
              <w:pStyle w:val="70"/>
              <w:spacing w:line="240" w:lineRule="auto"/>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w:t>
            </w:r>
          </w:p>
        </w:tc>
        <w:tc>
          <w:tcPr>
            <w:tcW w:w="929" w:type="dxa"/>
            <w:vAlign w:val="center"/>
          </w:tcPr>
          <w:p w14:paraId="156861C8">
            <w:pPr>
              <w:pStyle w:val="70"/>
              <w:spacing w:line="240" w:lineRule="auto"/>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w:t>
            </w:r>
          </w:p>
        </w:tc>
      </w:tr>
      <w:tr w14:paraId="687806A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386" w:type="dxa"/>
            <w:gridSpan w:val="2"/>
            <w:vMerge w:val="continue"/>
            <w:vAlign w:val="center"/>
          </w:tcPr>
          <w:p w14:paraId="41D4AA67">
            <w:pPr>
              <w:pStyle w:val="70"/>
              <w:spacing w:line="240" w:lineRule="auto"/>
              <w:rPr>
                <w:rFonts w:hint="eastAsia" w:ascii="Times New Roman" w:hAnsi="Times New Roman" w:eastAsia="宋体" w:cs="Times New Roman"/>
                <w:color w:val="auto"/>
                <w:sz w:val="21"/>
                <w:szCs w:val="21"/>
              </w:rPr>
            </w:pPr>
          </w:p>
        </w:tc>
        <w:tc>
          <w:tcPr>
            <w:tcW w:w="1547" w:type="dxa"/>
            <w:vMerge w:val="continue"/>
            <w:vAlign w:val="center"/>
          </w:tcPr>
          <w:p w14:paraId="7CB5B11E">
            <w:pPr>
              <w:pStyle w:val="70"/>
              <w:spacing w:line="240" w:lineRule="auto"/>
              <w:rPr>
                <w:rFonts w:hint="eastAsia" w:ascii="Times New Roman" w:hAnsi="Times New Roman" w:eastAsia="宋体" w:cs="Times New Roman"/>
                <w:color w:val="auto"/>
                <w:sz w:val="21"/>
                <w:szCs w:val="21"/>
              </w:rPr>
            </w:pPr>
          </w:p>
        </w:tc>
        <w:tc>
          <w:tcPr>
            <w:tcW w:w="1710" w:type="dxa"/>
            <w:vAlign w:val="center"/>
          </w:tcPr>
          <w:p w14:paraId="3819AD1B">
            <w:pPr>
              <w:pStyle w:val="70"/>
              <w:spacing w:line="240" w:lineRule="auto"/>
              <w:rPr>
                <w:rFonts w:hint="eastAsia" w:ascii="Times New Roman" w:hAnsi="Times New Roman" w:eastAsia="宋体" w:cs="Times New Roman"/>
                <w:color w:val="auto"/>
                <w:sz w:val="21"/>
                <w:szCs w:val="21"/>
              </w:rPr>
            </w:pPr>
            <w:r>
              <w:rPr>
                <w:rFonts w:ascii="Times New Roman" w:hAnsi="Times New Roman" w:eastAsia="宋体" w:cs="Times New Roman"/>
                <w:color w:val="auto"/>
                <w:sz w:val="21"/>
                <w:szCs w:val="21"/>
              </w:rPr>
              <w:t>污染物排放绩效水平准入要求</w:t>
            </w:r>
          </w:p>
        </w:tc>
        <w:tc>
          <w:tcPr>
            <w:tcW w:w="3403" w:type="dxa"/>
            <w:vAlign w:val="center"/>
          </w:tcPr>
          <w:p w14:paraId="603DE0F8">
            <w:pPr>
              <w:pStyle w:val="70"/>
              <w:spacing w:line="240" w:lineRule="auto"/>
              <w:rPr>
                <w:rFonts w:hint="eastAsia" w:ascii="Times New Roman" w:hAnsi="Times New Roman" w:eastAsia="宋体" w:cs="Times New Roman"/>
                <w:color w:val="auto"/>
                <w:sz w:val="21"/>
                <w:szCs w:val="21"/>
              </w:rPr>
            </w:pPr>
            <w:r>
              <w:rPr>
                <w:rFonts w:ascii="Times New Roman" w:hAnsi="Times New Roman" w:eastAsia="宋体" w:cs="Times New Roman"/>
                <w:color w:val="auto"/>
                <w:sz w:val="21"/>
                <w:szCs w:val="21"/>
              </w:rPr>
              <w:t>强化建筑垃圾、生活垃圾、餐厨垃圾综合利用和无害化处置及危险废物环境风险管控。</w:t>
            </w:r>
          </w:p>
        </w:tc>
        <w:tc>
          <w:tcPr>
            <w:tcW w:w="2677" w:type="dxa"/>
            <w:vAlign w:val="center"/>
          </w:tcPr>
          <w:p w14:paraId="0FF96BB8">
            <w:pPr>
              <w:pStyle w:val="70"/>
              <w:spacing w:line="240" w:lineRule="auto"/>
              <w:rPr>
                <w:rFonts w:hint="eastAsia"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项目施工期建筑垃圾拉运至政府指定场地堆放；营运期</w:t>
            </w:r>
            <w:r>
              <w:rPr>
                <w:rFonts w:hint="default" w:ascii="Times New Roman" w:hAnsi="Times New Roman" w:eastAsia="宋体" w:cs="Times New Roman"/>
                <w:color w:val="auto"/>
                <w:sz w:val="21"/>
                <w:szCs w:val="21"/>
              </w:rPr>
              <w:t>生活垃圾</w:t>
            </w:r>
            <w:r>
              <w:rPr>
                <w:rFonts w:hint="default" w:ascii="Times New Roman" w:hAnsi="Times New Roman" w:eastAsia="宋体" w:cs="Times New Roman"/>
                <w:color w:val="auto"/>
                <w:sz w:val="21"/>
                <w:szCs w:val="21"/>
                <w:lang w:val="en-US" w:eastAsia="zh-CN"/>
              </w:rPr>
              <w:t>交由环卫部门统一清运；</w:t>
            </w:r>
            <w:r>
              <w:rPr>
                <w:rFonts w:hint="default" w:ascii="Times New Roman" w:hAnsi="Times New Roman" w:eastAsia="宋体" w:cs="Times New Roman"/>
                <w:color w:val="auto"/>
                <w:sz w:val="21"/>
                <w:szCs w:val="21"/>
              </w:rPr>
              <w:t>危险废物</w:t>
            </w:r>
            <w:r>
              <w:rPr>
                <w:rFonts w:hint="default" w:ascii="Times New Roman" w:hAnsi="Times New Roman" w:eastAsia="宋体" w:cs="Times New Roman"/>
                <w:color w:val="auto"/>
                <w:sz w:val="21"/>
                <w:szCs w:val="21"/>
                <w:lang w:val="en-US" w:eastAsia="zh-CN"/>
              </w:rPr>
              <w:t>交由资质单位处理，评价要求营运期加强</w:t>
            </w:r>
            <w:r>
              <w:rPr>
                <w:rFonts w:hint="default" w:ascii="Times New Roman" w:hAnsi="Times New Roman" w:eastAsia="宋体" w:cs="Times New Roman"/>
                <w:color w:val="auto"/>
                <w:sz w:val="21"/>
                <w:szCs w:val="21"/>
              </w:rPr>
              <w:t>危险废物环境风险管控</w:t>
            </w:r>
            <w:r>
              <w:rPr>
                <w:rFonts w:hint="default" w:ascii="Times New Roman" w:hAnsi="Times New Roman" w:eastAsia="宋体" w:cs="Times New Roman"/>
                <w:color w:val="auto"/>
                <w:sz w:val="21"/>
                <w:szCs w:val="21"/>
                <w:lang w:eastAsia="zh-CN"/>
              </w:rPr>
              <w:t>。</w:t>
            </w:r>
          </w:p>
        </w:tc>
        <w:tc>
          <w:tcPr>
            <w:tcW w:w="929" w:type="dxa"/>
            <w:vAlign w:val="center"/>
          </w:tcPr>
          <w:p w14:paraId="3AFCABD0">
            <w:pPr>
              <w:pStyle w:val="70"/>
              <w:spacing w:line="240" w:lineRule="auto"/>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符合</w:t>
            </w:r>
          </w:p>
        </w:tc>
      </w:tr>
      <w:tr w14:paraId="06F3912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386" w:type="dxa"/>
            <w:gridSpan w:val="2"/>
            <w:vMerge w:val="continue"/>
            <w:vAlign w:val="center"/>
          </w:tcPr>
          <w:p w14:paraId="71C21705">
            <w:pPr>
              <w:pStyle w:val="70"/>
              <w:spacing w:line="240" w:lineRule="auto"/>
              <w:rPr>
                <w:rFonts w:hint="eastAsia" w:ascii="Times New Roman" w:hAnsi="Times New Roman" w:eastAsia="宋体" w:cs="Times New Roman"/>
                <w:color w:val="auto"/>
                <w:sz w:val="21"/>
                <w:szCs w:val="21"/>
              </w:rPr>
            </w:pPr>
          </w:p>
        </w:tc>
        <w:tc>
          <w:tcPr>
            <w:tcW w:w="1547" w:type="dxa"/>
            <w:vMerge w:val="continue"/>
            <w:vAlign w:val="center"/>
          </w:tcPr>
          <w:p w14:paraId="2C54B985">
            <w:pPr>
              <w:pStyle w:val="70"/>
              <w:spacing w:line="240" w:lineRule="auto"/>
              <w:rPr>
                <w:rFonts w:hint="eastAsia" w:ascii="Times New Roman" w:hAnsi="Times New Roman" w:eastAsia="宋体" w:cs="Times New Roman"/>
                <w:color w:val="auto"/>
                <w:sz w:val="21"/>
                <w:szCs w:val="21"/>
              </w:rPr>
            </w:pPr>
          </w:p>
        </w:tc>
        <w:tc>
          <w:tcPr>
            <w:tcW w:w="1710" w:type="dxa"/>
            <w:vAlign w:val="center"/>
          </w:tcPr>
          <w:p w14:paraId="044D1BCA">
            <w:pPr>
              <w:pStyle w:val="70"/>
              <w:spacing w:line="240" w:lineRule="auto"/>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lang w:val="en-US" w:eastAsia="zh-CN"/>
              </w:rPr>
              <w:t>其他污染物排放管控要求</w:t>
            </w:r>
          </w:p>
        </w:tc>
        <w:tc>
          <w:tcPr>
            <w:tcW w:w="3403" w:type="dxa"/>
            <w:vAlign w:val="center"/>
          </w:tcPr>
          <w:p w14:paraId="388A1782">
            <w:pPr>
              <w:pStyle w:val="70"/>
              <w:spacing w:line="240" w:lineRule="auto"/>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w:t>
            </w:r>
          </w:p>
        </w:tc>
        <w:tc>
          <w:tcPr>
            <w:tcW w:w="2677" w:type="dxa"/>
            <w:vAlign w:val="center"/>
          </w:tcPr>
          <w:p w14:paraId="13E12FF5">
            <w:pPr>
              <w:pStyle w:val="70"/>
              <w:spacing w:line="240" w:lineRule="auto"/>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w:t>
            </w:r>
          </w:p>
        </w:tc>
        <w:tc>
          <w:tcPr>
            <w:tcW w:w="929" w:type="dxa"/>
            <w:vAlign w:val="center"/>
          </w:tcPr>
          <w:p w14:paraId="3A5C4329">
            <w:pPr>
              <w:pStyle w:val="70"/>
              <w:spacing w:line="240" w:lineRule="auto"/>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w:t>
            </w:r>
          </w:p>
        </w:tc>
      </w:tr>
      <w:tr w14:paraId="1B568AF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386" w:type="dxa"/>
            <w:gridSpan w:val="2"/>
            <w:vMerge w:val="continue"/>
            <w:vAlign w:val="center"/>
          </w:tcPr>
          <w:p w14:paraId="637691E3">
            <w:pPr>
              <w:pStyle w:val="70"/>
              <w:spacing w:line="240" w:lineRule="auto"/>
              <w:rPr>
                <w:rFonts w:hint="eastAsia" w:ascii="Times New Roman" w:hAnsi="Times New Roman" w:eastAsia="宋体" w:cs="Times New Roman"/>
                <w:color w:val="auto"/>
                <w:sz w:val="21"/>
                <w:szCs w:val="21"/>
              </w:rPr>
            </w:pPr>
          </w:p>
        </w:tc>
        <w:tc>
          <w:tcPr>
            <w:tcW w:w="1547" w:type="dxa"/>
            <w:vAlign w:val="center"/>
          </w:tcPr>
          <w:p w14:paraId="45E63040">
            <w:pPr>
              <w:pStyle w:val="70"/>
              <w:spacing w:line="240" w:lineRule="auto"/>
              <w:rPr>
                <w:rFonts w:hint="eastAsia" w:ascii="Times New Roman" w:hAnsi="Times New Roman" w:eastAsia="宋体" w:cs="Times New Roman"/>
                <w:color w:val="auto"/>
                <w:sz w:val="21"/>
                <w:szCs w:val="21"/>
              </w:rPr>
            </w:pPr>
            <w:r>
              <w:rPr>
                <w:rFonts w:ascii="Times New Roman" w:hAnsi="Times New Roman" w:eastAsia="宋体" w:cs="Times New Roman"/>
                <w:color w:val="auto"/>
                <w:sz w:val="21"/>
                <w:szCs w:val="21"/>
              </w:rPr>
              <w:t>环境风险防控</w:t>
            </w:r>
          </w:p>
        </w:tc>
        <w:tc>
          <w:tcPr>
            <w:tcW w:w="1710" w:type="dxa"/>
            <w:vAlign w:val="center"/>
          </w:tcPr>
          <w:p w14:paraId="1C4F47CC">
            <w:pPr>
              <w:pStyle w:val="70"/>
              <w:spacing w:line="240" w:lineRule="auto"/>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w:t>
            </w:r>
          </w:p>
        </w:tc>
        <w:tc>
          <w:tcPr>
            <w:tcW w:w="3403" w:type="dxa"/>
            <w:vAlign w:val="center"/>
          </w:tcPr>
          <w:p w14:paraId="652FB065">
            <w:pPr>
              <w:pStyle w:val="70"/>
              <w:spacing w:line="240" w:lineRule="auto"/>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w:t>
            </w:r>
          </w:p>
        </w:tc>
        <w:tc>
          <w:tcPr>
            <w:tcW w:w="2677" w:type="dxa"/>
            <w:vAlign w:val="center"/>
          </w:tcPr>
          <w:p w14:paraId="5675F657">
            <w:pPr>
              <w:pStyle w:val="70"/>
              <w:spacing w:line="240" w:lineRule="auto"/>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w:t>
            </w:r>
          </w:p>
        </w:tc>
        <w:tc>
          <w:tcPr>
            <w:tcW w:w="929" w:type="dxa"/>
            <w:vAlign w:val="center"/>
          </w:tcPr>
          <w:p w14:paraId="36D5664F">
            <w:pPr>
              <w:pStyle w:val="70"/>
              <w:spacing w:line="240" w:lineRule="auto"/>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w:t>
            </w:r>
          </w:p>
        </w:tc>
      </w:tr>
      <w:tr w14:paraId="7DD7400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386" w:type="dxa"/>
            <w:gridSpan w:val="2"/>
            <w:vMerge w:val="continue"/>
            <w:vAlign w:val="center"/>
          </w:tcPr>
          <w:p w14:paraId="15C6FED0">
            <w:pPr>
              <w:pStyle w:val="70"/>
              <w:spacing w:line="240" w:lineRule="auto"/>
              <w:rPr>
                <w:rFonts w:hint="eastAsia" w:ascii="Times New Roman" w:hAnsi="Times New Roman" w:eastAsia="宋体" w:cs="Times New Roman"/>
                <w:color w:val="auto"/>
                <w:sz w:val="21"/>
                <w:szCs w:val="21"/>
              </w:rPr>
            </w:pPr>
          </w:p>
        </w:tc>
        <w:tc>
          <w:tcPr>
            <w:tcW w:w="1547" w:type="dxa"/>
            <w:vAlign w:val="center"/>
          </w:tcPr>
          <w:p w14:paraId="70212B74">
            <w:pPr>
              <w:pStyle w:val="70"/>
              <w:spacing w:line="240" w:lineRule="auto"/>
              <w:rPr>
                <w:rFonts w:hint="eastAsia" w:ascii="Times New Roman" w:hAnsi="Times New Roman" w:eastAsia="宋体" w:cs="Times New Roman"/>
                <w:color w:val="auto"/>
                <w:sz w:val="21"/>
                <w:szCs w:val="21"/>
              </w:rPr>
            </w:pPr>
            <w:r>
              <w:rPr>
                <w:rFonts w:ascii="Times New Roman" w:hAnsi="Times New Roman" w:eastAsia="宋体" w:cs="Times New Roman"/>
                <w:color w:val="auto"/>
                <w:sz w:val="21"/>
                <w:szCs w:val="21"/>
              </w:rPr>
              <w:t>资源开发利用效率要求</w:t>
            </w:r>
          </w:p>
        </w:tc>
        <w:tc>
          <w:tcPr>
            <w:tcW w:w="1710" w:type="dxa"/>
            <w:vAlign w:val="center"/>
          </w:tcPr>
          <w:p w14:paraId="4C989808">
            <w:pPr>
              <w:pStyle w:val="70"/>
              <w:spacing w:line="240" w:lineRule="auto"/>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w:t>
            </w:r>
          </w:p>
        </w:tc>
        <w:tc>
          <w:tcPr>
            <w:tcW w:w="3403" w:type="dxa"/>
            <w:vAlign w:val="center"/>
          </w:tcPr>
          <w:p w14:paraId="17CEBC1C">
            <w:pPr>
              <w:pStyle w:val="70"/>
              <w:spacing w:line="240" w:lineRule="auto"/>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w:t>
            </w:r>
          </w:p>
        </w:tc>
        <w:tc>
          <w:tcPr>
            <w:tcW w:w="2677" w:type="dxa"/>
            <w:vAlign w:val="center"/>
          </w:tcPr>
          <w:p w14:paraId="195D013A">
            <w:pPr>
              <w:pStyle w:val="70"/>
              <w:spacing w:line="240" w:lineRule="auto"/>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w:t>
            </w:r>
          </w:p>
        </w:tc>
        <w:tc>
          <w:tcPr>
            <w:tcW w:w="929" w:type="dxa"/>
            <w:vAlign w:val="center"/>
          </w:tcPr>
          <w:p w14:paraId="02170C0F">
            <w:pPr>
              <w:pStyle w:val="70"/>
              <w:spacing w:line="240" w:lineRule="auto"/>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w:t>
            </w:r>
          </w:p>
        </w:tc>
      </w:tr>
      <w:tr w14:paraId="5A0993E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016" w:type="dxa"/>
            <w:vMerge w:val="restart"/>
            <w:vAlign w:val="center"/>
          </w:tcPr>
          <w:p w14:paraId="0C60E545">
            <w:pPr>
              <w:pStyle w:val="70"/>
              <w:spacing w:line="240" w:lineRule="auto"/>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ZH51190220006</w:t>
            </w:r>
          </w:p>
          <w:p w14:paraId="7F33C67A">
            <w:pPr>
              <w:pStyle w:val="70"/>
              <w:spacing w:line="240" w:lineRule="auto"/>
              <w:rPr>
                <w:rFonts w:hint="eastAsia" w:ascii="Times New Roman" w:hAnsi="Times New Roman" w:eastAsia="宋体" w:cs="Times New Roman"/>
                <w:color w:val="auto"/>
                <w:sz w:val="21"/>
                <w:szCs w:val="21"/>
              </w:rPr>
            </w:pPr>
            <w:r>
              <w:rPr>
                <w:rFonts w:ascii="Times New Roman" w:hAnsi="Times New Roman" w:eastAsia="宋体" w:cs="Times New Roman"/>
                <w:color w:val="auto"/>
                <w:sz w:val="21"/>
                <w:szCs w:val="21"/>
              </w:rPr>
              <w:t>四川巴中经济开发区（核心区块、金堂区块）</w:t>
            </w:r>
          </w:p>
        </w:tc>
        <w:tc>
          <w:tcPr>
            <w:tcW w:w="1370" w:type="dxa"/>
            <w:vMerge w:val="restart"/>
            <w:vAlign w:val="center"/>
          </w:tcPr>
          <w:p w14:paraId="2BC3DA18">
            <w:pPr>
              <w:pStyle w:val="70"/>
              <w:spacing w:line="240" w:lineRule="auto"/>
              <w:rPr>
                <w:rFonts w:hint="eastAsia" w:ascii="Times New Roman" w:hAnsi="Times New Roman" w:eastAsia="宋体" w:cs="Times New Roman"/>
                <w:color w:val="auto"/>
                <w:sz w:val="21"/>
                <w:szCs w:val="21"/>
              </w:rPr>
            </w:pPr>
            <w:r>
              <w:rPr>
                <w:rFonts w:ascii="Times New Roman" w:hAnsi="Times New Roman" w:eastAsia="宋体" w:cs="Times New Roman"/>
                <w:color w:val="auto"/>
                <w:sz w:val="21"/>
                <w:szCs w:val="21"/>
              </w:rPr>
              <w:t>重点管控单元</w:t>
            </w:r>
          </w:p>
        </w:tc>
        <w:tc>
          <w:tcPr>
            <w:tcW w:w="1547" w:type="dxa"/>
            <w:vMerge w:val="restart"/>
            <w:vAlign w:val="center"/>
          </w:tcPr>
          <w:p w14:paraId="2DE72817">
            <w:pPr>
              <w:pStyle w:val="70"/>
              <w:spacing w:line="240" w:lineRule="auto"/>
              <w:rPr>
                <w:rFonts w:hint="eastAsia" w:ascii="Times New Roman" w:hAnsi="Times New Roman" w:eastAsia="宋体" w:cs="Times New Roman"/>
                <w:color w:val="auto"/>
                <w:sz w:val="21"/>
                <w:szCs w:val="21"/>
              </w:rPr>
            </w:pPr>
            <w:r>
              <w:rPr>
                <w:rFonts w:ascii="Times New Roman" w:hAnsi="Times New Roman" w:eastAsia="宋体" w:cs="Times New Roman"/>
                <w:color w:val="auto"/>
                <w:sz w:val="21"/>
                <w:szCs w:val="21"/>
              </w:rPr>
              <w:t>空间布局约束</w:t>
            </w:r>
          </w:p>
        </w:tc>
        <w:tc>
          <w:tcPr>
            <w:tcW w:w="1710" w:type="dxa"/>
            <w:vAlign w:val="center"/>
          </w:tcPr>
          <w:p w14:paraId="0F8E0325">
            <w:pPr>
              <w:pStyle w:val="70"/>
              <w:spacing w:line="240" w:lineRule="auto"/>
              <w:rPr>
                <w:rFonts w:hint="eastAsia" w:ascii="Times New Roman" w:hAnsi="Times New Roman" w:eastAsia="宋体" w:cs="Times New Roman"/>
                <w:color w:val="auto"/>
                <w:sz w:val="21"/>
                <w:szCs w:val="21"/>
              </w:rPr>
            </w:pPr>
            <w:r>
              <w:rPr>
                <w:rFonts w:ascii="Times New Roman" w:hAnsi="Times New Roman" w:eastAsia="宋体" w:cs="Times New Roman"/>
                <w:color w:val="auto"/>
                <w:sz w:val="21"/>
                <w:szCs w:val="21"/>
              </w:rPr>
              <w:t>禁止开发建设活动的要求</w:t>
            </w:r>
          </w:p>
        </w:tc>
        <w:tc>
          <w:tcPr>
            <w:tcW w:w="3403" w:type="dxa"/>
            <w:vAlign w:val="center"/>
          </w:tcPr>
          <w:p w14:paraId="6521CA3F">
            <w:pPr>
              <w:pStyle w:val="70"/>
              <w:spacing w:line="240" w:lineRule="auto"/>
              <w:rPr>
                <w:rFonts w:hint="eastAsia" w:ascii="Times New Roman" w:hAnsi="Times New Roman" w:eastAsia="宋体" w:cs="Times New Roman"/>
                <w:color w:val="auto"/>
                <w:sz w:val="21"/>
                <w:szCs w:val="21"/>
                <w:lang w:eastAsia="zh-CN"/>
              </w:rPr>
            </w:pPr>
            <w:r>
              <w:rPr>
                <w:rFonts w:ascii="Times New Roman" w:hAnsi="Times New Roman" w:eastAsia="宋体" w:cs="Times New Roman"/>
                <w:color w:val="auto"/>
                <w:sz w:val="21"/>
                <w:szCs w:val="21"/>
              </w:rPr>
              <w:t>（1）禁止引入专业电镀；禁止引入排放含铅、汞、镉、铬、砷废水的项目。（2）禁止引入化学原药制造发酵制药类项目。（3）禁止引入黑色金属和有色金属冶炼类项目。（4）禁止引入多晶硅制造、基础化学原料制造、农药、合成材料制造、炸药及火工和烟火产品制造类项目。（5）禁止引入危化品仓储项目。（6）禁止引入含焙烧和锻炼工序的非金属制品制造类项目。（7）在禁燃区内禁止销售、燃用高污染燃料。禁燃区内禁止新建、扩建燃用高污染燃料的设施</w:t>
            </w:r>
            <w:r>
              <w:rPr>
                <w:rFonts w:hint="eastAsia" w:cs="Times New Roman"/>
                <w:color w:val="auto"/>
                <w:sz w:val="21"/>
                <w:szCs w:val="21"/>
                <w:lang w:eastAsia="zh-CN"/>
              </w:rPr>
              <w:t>。</w:t>
            </w:r>
            <w:r>
              <w:rPr>
                <w:rFonts w:ascii="Times New Roman" w:hAnsi="Times New Roman" w:eastAsia="宋体" w:cs="Times New Roman"/>
                <w:color w:val="auto"/>
                <w:sz w:val="21"/>
                <w:szCs w:val="21"/>
              </w:rPr>
              <w:t>（8）其他执行工业重点管控单元总体准入要求</w:t>
            </w:r>
            <w:r>
              <w:rPr>
                <w:rFonts w:hint="eastAsia" w:ascii="Times New Roman" w:hAnsi="Times New Roman" w:eastAsia="宋体" w:cs="Times New Roman"/>
                <w:color w:val="auto"/>
                <w:sz w:val="21"/>
                <w:szCs w:val="21"/>
                <w:lang w:eastAsia="zh-CN"/>
              </w:rPr>
              <w:t>。</w:t>
            </w:r>
          </w:p>
        </w:tc>
        <w:tc>
          <w:tcPr>
            <w:tcW w:w="2677" w:type="dxa"/>
            <w:vAlign w:val="center"/>
          </w:tcPr>
          <w:p w14:paraId="257ED1E6">
            <w:pPr>
              <w:pStyle w:val="70"/>
              <w:spacing w:line="240" w:lineRule="auto"/>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本项目不涉及电镀工业，不涉及</w:t>
            </w:r>
            <w:r>
              <w:rPr>
                <w:rFonts w:ascii="Times New Roman" w:hAnsi="Times New Roman" w:eastAsia="宋体" w:cs="Times New Roman"/>
                <w:color w:val="auto"/>
                <w:sz w:val="21"/>
                <w:szCs w:val="21"/>
              </w:rPr>
              <w:t>排放含铅、汞、镉、铬、砷废水</w:t>
            </w:r>
            <w:r>
              <w:rPr>
                <w:rFonts w:hint="eastAsia" w:ascii="Times New Roman" w:hAnsi="Times New Roman" w:eastAsia="宋体" w:cs="Times New Roman"/>
                <w:color w:val="auto"/>
                <w:sz w:val="21"/>
                <w:szCs w:val="21"/>
                <w:lang w:eastAsia="zh-CN"/>
              </w:rPr>
              <w:t>，</w:t>
            </w:r>
            <w:r>
              <w:rPr>
                <w:rFonts w:hint="eastAsia" w:ascii="Times New Roman" w:hAnsi="Times New Roman" w:eastAsia="宋体" w:cs="Times New Roman"/>
                <w:color w:val="auto"/>
                <w:sz w:val="21"/>
                <w:szCs w:val="21"/>
                <w:lang w:val="en-US" w:eastAsia="zh-CN"/>
              </w:rPr>
              <w:t>不属于</w:t>
            </w:r>
            <w:r>
              <w:rPr>
                <w:rFonts w:ascii="Times New Roman" w:hAnsi="Times New Roman" w:eastAsia="宋体" w:cs="Times New Roman"/>
                <w:color w:val="auto"/>
                <w:sz w:val="21"/>
                <w:szCs w:val="21"/>
              </w:rPr>
              <w:t>化学原药制造发酵制药类</w:t>
            </w:r>
            <w:r>
              <w:rPr>
                <w:rFonts w:hint="eastAsia" w:ascii="Times New Roman" w:hAnsi="Times New Roman" w:eastAsia="宋体" w:cs="Times New Roman"/>
                <w:color w:val="auto"/>
                <w:sz w:val="21"/>
                <w:szCs w:val="21"/>
                <w:lang w:eastAsia="zh-CN"/>
              </w:rPr>
              <w:t>、</w:t>
            </w:r>
            <w:r>
              <w:rPr>
                <w:rFonts w:ascii="Times New Roman" w:hAnsi="Times New Roman" w:eastAsia="宋体" w:cs="Times New Roman"/>
                <w:color w:val="auto"/>
                <w:sz w:val="21"/>
                <w:szCs w:val="21"/>
              </w:rPr>
              <w:t>多晶硅制造、基础化学原料制造、农药、合成材料制造、炸药及火工和烟火产品制造类</w:t>
            </w:r>
            <w:r>
              <w:rPr>
                <w:rFonts w:hint="eastAsia" w:ascii="Times New Roman" w:hAnsi="Times New Roman" w:eastAsia="宋体" w:cs="Times New Roman"/>
                <w:color w:val="auto"/>
                <w:sz w:val="21"/>
                <w:szCs w:val="21"/>
                <w:lang w:eastAsia="zh-CN"/>
              </w:rPr>
              <w:t>、</w:t>
            </w:r>
            <w:r>
              <w:rPr>
                <w:rFonts w:ascii="Times New Roman" w:hAnsi="Times New Roman" w:eastAsia="宋体" w:cs="Times New Roman"/>
                <w:color w:val="auto"/>
                <w:sz w:val="21"/>
                <w:szCs w:val="21"/>
              </w:rPr>
              <w:t>危化品仓储</w:t>
            </w:r>
            <w:r>
              <w:rPr>
                <w:rFonts w:hint="eastAsia" w:ascii="Times New Roman" w:hAnsi="Times New Roman" w:eastAsia="宋体" w:cs="Times New Roman"/>
                <w:color w:val="auto"/>
                <w:sz w:val="21"/>
                <w:szCs w:val="21"/>
                <w:lang w:eastAsia="zh-CN"/>
              </w:rPr>
              <w:t>、</w:t>
            </w:r>
            <w:r>
              <w:rPr>
                <w:rFonts w:ascii="Times New Roman" w:hAnsi="Times New Roman" w:eastAsia="宋体" w:cs="Times New Roman"/>
                <w:color w:val="auto"/>
                <w:sz w:val="21"/>
                <w:szCs w:val="21"/>
              </w:rPr>
              <w:t>含焙烧和锻炼工序的非金属制品制造类项目</w:t>
            </w:r>
            <w:r>
              <w:rPr>
                <w:rFonts w:hint="eastAsia" w:ascii="Times New Roman" w:hAnsi="Times New Roman" w:eastAsia="宋体" w:cs="Times New Roman"/>
                <w:color w:val="auto"/>
                <w:sz w:val="21"/>
                <w:szCs w:val="21"/>
                <w:lang w:eastAsia="zh-CN"/>
              </w:rPr>
              <w:t>，</w:t>
            </w:r>
            <w:r>
              <w:rPr>
                <w:rFonts w:hint="eastAsia" w:ascii="Times New Roman" w:hAnsi="Times New Roman" w:eastAsia="宋体" w:cs="Times New Roman"/>
                <w:color w:val="auto"/>
                <w:sz w:val="21"/>
                <w:szCs w:val="21"/>
                <w:lang w:val="en-US" w:eastAsia="zh-CN"/>
              </w:rPr>
              <w:t>不涉及使用高污染燃料剂高污染燃料的设施</w:t>
            </w:r>
          </w:p>
        </w:tc>
        <w:tc>
          <w:tcPr>
            <w:tcW w:w="929" w:type="dxa"/>
            <w:vAlign w:val="center"/>
          </w:tcPr>
          <w:p w14:paraId="50C3A509">
            <w:pPr>
              <w:pStyle w:val="70"/>
              <w:spacing w:line="240" w:lineRule="auto"/>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符合</w:t>
            </w:r>
          </w:p>
        </w:tc>
      </w:tr>
      <w:tr w14:paraId="391FFFD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016" w:type="dxa"/>
            <w:vMerge w:val="continue"/>
            <w:vAlign w:val="center"/>
          </w:tcPr>
          <w:p w14:paraId="63A6A20A">
            <w:pPr>
              <w:pStyle w:val="70"/>
              <w:spacing w:line="240" w:lineRule="auto"/>
              <w:rPr>
                <w:rFonts w:ascii="Times New Roman" w:hAnsi="Times New Roman" w:eastAsia="宋体" w:cs="Times New Roman"/>
                <w:color w:val="auto"/>
                <w:sz w:val="21"/>
                <w:szCs w:val="21"/>
              </w:rPr>
            </w:pPr>
          </w:p>
        </w:tc>
        <w:tc>
          <w:tcPr>
            <w:tcW w:w="1370" w:type="dxa"/>
            <w:vMerge w:val="continue"/>
            <w:vAlign w:val="center"/>
          </w:tcPr>
          <w:p w14:paraId="6A722F75">
            <w:pPr>
              <w:pStyle w:val="70"/>
              <w:spacing w:line="240" w:lineRule="auto"/>
              <w:rPr>
                <w:rFonts w:ascii="Times New Roman" w:hAnsi="Times New Roman" w:eastAsia="宋体" w:cs="Times New Roman"/>
                <w:color w:val="auto"/>
                <w:sz w:val="21"/>
                <w:szCs w:val="21"/>
              </w:rPr>
            </w:pPr>
          </w:p>
        </w:tc>
        <w:tc>
          <w:tcPr>
            <w:tcW w:w="1547" w:type="dxa"/>
            <w:vMerge w:val="continue"/>
            <w:vAlign w:val="center"/>
          </w:tcPr>
          <w:p w14:paraId="571D497A">
            <w:pPr>
              <w:pStyle w:val="70"/>
              <w:spacing w:line="240" w:lineRule="auto"/>
              <w:rPr>
                <w:rFonts w:ascii="Times New Roman" w:hAnsi="Times New Roman" w:eastAsia="宋体" w:cs="Times New Roman"/>
                <w:color w:val="auto"/>
                <w:sz w:val="21"/>
                <w:szCs w:val="21"/>
              </w:rPr>
            </w:pPr>
          </w:p>
        </w:tc>
        <w:tc>
          <w:tcPr>
            <w:tcW w:w="1710" w:type="dxa"/>
            <w:vAlign w:val="center"/>
          </w:tcPr>
          <w:p w14:paraId="4AF251CA">
            <w:pPr>
              <w:pStyle w:val="70"/>
              <w:spacing w:line="240" w:lineRule="auto"/>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限制开发建设活动的要求</w:t>
            </w:r>
          </w:p>
        </w:tc>
        <w:tc>
          <w:tcPr>
            <w:tcW w:w="3403" w:type="dxa"/>
            <w:vAlign w:val="center"/>
          </w:tcPr>
          <w:p w14:paraId="32E498C4">
            <w:pPr>
              <w:pStyle w:val="70"/>
              <w:spacing w:line="240" w:lineRule="auto"/>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执行工业重点管控单元普适性管控要求。</w:t>
            </w:r>
          </w:p>
        </w:tc>
        <w:tc>
          <w:tcPr>
            <w:tcW w:w="2677" w:type="dxa"/>
            <w:vAlign w:val="center"/>
          </w:tcPr>
          <w:p w14:paraId="7C34CD67">
            <w:pPr>
              <w:pStyle w:val="70"/>
              <w:spacing w:line="240" w:lineRule="auto"/>
              <w:rPr>
                <w:rFonts w:hint="eastAsia"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项目符合工业重点管控单元总体准入要求</w:t>
            </w:r>
          </w:p>
        </w:tc>
        <w:tc>
          <w:tcPr>
            <w:tcW w:w="929" w:type="dxa"/>
            <w:vAlign w:val="center"/>
          </w:tcPr>
          <w:p w14:paraId="214F2861">
            <w:pPr>
              <w:pStyle w:val="70"/>
              <w:spacing w:line="240" w:lineRule="auto"/>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符合</w:t>
            </w:r>
          </w:p>
        </w:tc>
      </w:tr>
      <w:tr w14:paraId="6E3CA0F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016" w:type="dxa"/>
            <w:vMerge w:val="continue"/>
            <w:vAlign w:val="center"/>
          </w:tcPr>
          <w:p w14:paraId="362F5A89">
            <w:pPr>
              <w:pStyle w:val="70"/>
              <w:spacing w:line="240" w:lineRule="auto"/>
              <w:rPr>
                <w:rFonts w:hint="eastAsia" w:ascii="Times New Roman" w:hAnsi="Times New Roman" w:eastAsia="宋体" w:cs="Times New Roman"/>
                <w:color w:val="auto"/>
                <w:sz w:val="21"/>
                <w:szCs w:val="21"/>
              </w:rPr>
            </w:pPr>
          </w:p>
        </w:tc>
        <w:tc>
          <w:tcPr>
            <w:tcW w:w="1370" w:type="dxa"/>
            <w:vMerge w:val="continue"/>
            <w:vAlign w:val="center"/>
          </w:tcPr>
          <w:p w14:paraId="441459EB">
            <w:pPr>
              <w:pStyle w:val="70"/>
              <w:spacing w:line="240" w:lineRule="auto"/>
              <w:rPr>
                <w:rFonts w:hint="eastAsia" w:ascii="Times New Roman" w:hAnsi="Times New Roman" w:eastAsia="宋体" w:cs="Times New Roman"/>
                <w:color w:val="auto"/>
                <w:sz w:val="21"/>
                <w:szCs w:val="21"/>
              </w:rPr>
            </w:pPr>
          </w:p>
        </w:tc>
        <w:tc>
          <w:tcPr>
            <w:tcW w:w="1547" w:type="dxa"/>
            <w:vMerge w:val="continue"/>
            <w:vAlign w:val="center"/>
          </w:tcPr>
          <w:p w14:paraId="2FC247D7">
            <w:pPr>
              <w:pStyle w:val="70"/>
              <w:spacing w:line="240" w:lineRule="auto"/>
              <w:rPr>
                <w:rFonts w:hint="eastAsia" w:ascii="Times New Roman" w:hAnsi="Times New Roman" w:eastAsia="宋体" w:cs="Times New Roman"/>
                <w:color w:val="auto"/>
                <w:sz w:val="21"/>
                <w:szCs w:val="21"/>
              </w:rPr>
            </w:pPr>
          </w:p>
        </w:tc>
        <w:tc>
          <w:tcPr>
            <w:tcW w:w="1710" w:type="dxa"/>
            <w:vAlign w:val="center"/>
          </w:tcPr>
          <w:p w14:paraId="1EC92E32">
            <w:pPr>
              <w:pStyle w:val="70"/>
              <w:spacing w:line="240" w:lineRule="auto"/>
              <w:rPr>
                <w:rFonts w:hint="eastAsia" w:ascii="Times New Roman" w:hAnsi="Times New Roman" w:eastAsia="宋体" w:cs="Times New Roman"/>
                <w:color w:val="auto"/>
                <w:sz w:val="21"/>
                <w:szCs w:val="21"/>
              </w:rPr>
            </w:pPr>
            <w:r>
              <w:rPr>
                <w:rFonts w:ascii="Times New Roman" w:hAnsi="Times New Roman" w:eastAsia="宋体" w:cs="Times New Roman"/>
                <w:color w:val="auto"/>
                <w:sz w:val="21"/>
                <w:szCs w:val="21"/>
              </w:rPr>
              <w:t>允许开发建设活动的要求</w:t>
            </w:r>
          </w:p>
        </w:tc>
        <w:tc>
          <w:tcPr>
            <w:tcW w:w="3403" w:type="dxa"/>
            <w:vAlign w:val="center"/>
          </w:tcPr>
          <w:p w14:paraId="6C3418D2">
            <w:pPr>
              <w:pStyle w:val="70"/>
              <w:spacing w:line="240" w:lineRule="auto"/>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w:t>
            </w:r>
          </w:p>
        </w:tc>
        <w:tc>
          <w:tcPr>
            <w:tcW w:w="2677" w:type="dxa"/>
            <w:vAlign w:val="center"/>
          </w:tcPr>
          <w:p w14:paraId="3157E382">
            <w:pPr>
              <w:pStyle w:val="70"/>
              <w:spacing w:line="240" w:lineRule="auto"/>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w:t>
            </w:r>
          </w:p>
        </w:tc>
        <w:tc>
          <w:tcPr>
            <w:tcW w:w="929" w:type="dxa"/>
            <w:vAlign w:val="center"/>
          </w:tcPr>
          <w:p w14:paraId="31DD9132">
            <w:pPr>
              <w:pStyle w:val="70"/>
              <w:spacing w:line="240" w:lineRule="auto"/>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w:t>
            </w:r>
          </w:p>
        </w:tc>
      </w:tr>
      <w:tr w14:paraId="5EDA3FB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016" w:type="dxa"/>
            <w:vMerge w:val="continue"/>
            <w:vAlign w:val="center"/>
          </w:tcPr>
          <w:p w14:paraId="12407341">
            <w:pPr>
              <w:pStyle w:val="70"/>
              <w:spacing w:line="240" w:lineRule="auto"/>
              <w:rPr>
                <w:rFonts w:hint="eastAsia" w:ascii="Times New Roman" w:hAnsi="Times New Roman" w:eastAsia="宋体" w:cs="Times New Roman"/>
                <w:color w:val="auto"/>
                <w:sz w:val="21"/>
                <w:szCs w:val="21"/>
              </w:rPr>
            </w:pPr>
          </w:p>
        </w:tc>
        <w:tc>
          <w:tcPr>
            <w:tcW w:w="1370" w:type="dxa"/>
            <w:vMerge w:val="continue"/>
            <w:vAlign w:val="center"/>
          </w:tcPr>
          <w:p w14:paraId="442331BF">
            <w:pPr>
              <w:pStyle w:val="70"/>
              <w:spacing w:line="240" w:lineRule="auto"/>
              <w:rPr>
                <w:rFonts w:hint="eastAsia" w:ascii="Times New Roman" w:hAnsi="Times New Roman" w:eastAsia="宋体" w:cs="Times New Roman"/>
                <w:color w:val="auto"/>
                <w:sz w:val="21"/>
                <w:szCs w:val="21"/>
              </w:rPr>
            </w:pPr>
          </w:p>
        </w:tc>
        <w:tc>
          <w:tcPr>
            <w:tcW w:w="1547" w:type="dxa"/>
            <w:vMerge w:val="continue"/>
            <w:vAlign w:val="center"/>
          </w:tcPr>
          <w:p w14:paraId="1EC46C58">
            <w:pPr>
              <w:pStyle w:val="70"/>
              <w:spacing w:line="240" w:lineRule="auto"/>
              <w:rPr>
                <w:rFonts w:hint="eastAsia" w:ascii="Times New Roman" w:hAnsi="Times New Roman" w:eastAsia="宋体" w:cs="Times New Roman"/>
                <w:color w:val="auto"/>
                <w:sz w:val="21"/>
                <w:szCs w:val="21"/>
              </w:rPr>
            </w:pPr>
          </w:p>
        </w:tc>
        <w:tc>
          <w:tcPr>
            <w:tcW w:w="1710" w:type="dxa"/>
            <w:vAlign w:val="center"/>
          </w:tcPr>
          <w:p w14:paraId="1CC73BB9">
            <w:pPr>
              <w:pStyle w:val="70"/>
              <w:spacing w:line="240" w:lineRule="auto"/>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不符合空间布局要求活动的退出要求</w:t>
            </w:r>
          </w:p>
        </w:tc>
        <w:tc>
          <w:tcPr>
            <w:tcW w:w="3403" w:type="dxa"/>
            <w:vAlign w:val="center"/>
          </w:tcPr>
          <w:p w14:paraId="51CF1B5C">
            <w:pPr>
              <w:pStyle w:val="70"/>
              <w:spacing w:line="240" w:lineRule="auto"/>
              <w:rPr>
                <w:rFonts w:hint="eastAsia" w:ascii="Times New Roman" w:hAnsi="Times New Roman" w:eastAsia="宋体" w:cs="Times New Roman"/>
                <w:color w:val="auto"/>
                <w:sz w:val="21"/>
                <w:szCs w:val="21"/>
                <w:lang w:val="en-US" w:eastAsia="zh-CN"/>
              </w:rPr>
            </w:pPr>
            <w:r>
              <w:rPr>
                <w:rFonts w:ascii="Times New Roman" w:hAnsi="Times New Roman" w:eastAsia="宋体" w:cs="Times New Roman"/>
                <w:color w:val="auto"/>
                <w:sz w:val="21"/>
                <w:szCs w:val="21"/>
              </w:rPr>
              <w:t>执行工业重点管控单元普适性管控要求。</w:t>
            </w:r>
          </w:p>
        </w:tc>
        <w:tc>
          <w:tcPr>
            <w:tcW w:w="2677" w:type="dxa"/>
            <w:vAlign w:val="center"/>
          </w:tcPr>
          <w:p w14:paraId="0A09DBFB">
            <w:pPr>
              <w:pStyle w:val="70"/>
              <w:spacing w:line="240" w:lineRule="auto"/>
              <w:rPr>
                <w:rFonts w:hint="eastAsia"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项目符合工业重点管控单元总体准入要求</w:t>
            </w:r>
          </w:p>
        </w:tc>
        <w:tc>
          <w:tcPr>
            <w:tcW w:w="929" w:type="dxa"/>
            <w:vAlign w:val="center"/>
          </w:tcPr>
          <w:p w14:paraId="11472F94">
            <w:pPr>
              <w:pStyle w:val="70"/>
              <w:spacing w:line="240" w:lineRule="auto"/>
              <w:rPr>
                <w:rFonts w:hint="eastAsia" w:ascii="Times New Roman" w:hAnsi="Times New Roman" w:eastAsia="宋体" w:cs="Times New Roman"/>
                <w:color w:val="auto"/>
                <w:sz w:val="21"/>
                <w:szCs w:val="21"/>
              </w:rPr>
            </w:pPr>
            <w:r>
              <w:rPr>
                <w:rFonts w:hint="eastAsia" w:cs="Times New Roman"/>
                <w:color w:val="auto"/>
                <w:sz w:val="21"/>
                <w:szCs w:val="21"/>
                <w:lang w:val="en-US" w:eastAsia="zh-CN"/>
              </w:rPr>
              <w:t>符合</w:t>
            </w:r>
          </w:p>
        </w:tc>
      </w:tr>
      <w:tr w14:paraId="69BD765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016" w:type="dxa"/>
            <w:vMerge w:val="continue"/>
            <w:vAlign w:val="center"/>
          </w:tcPr>
          <w:p w14:paraId="5991D36C">
            <w:pPr>
              <w:pStyle w:val="70"/>
              <w:spacing w:line="240" w:lineRule="auto"/>
              <w:rPr>
                <w:rFonts w:hint="eastAsia" w:ascii="Times New Roman" w:hAnsi="Times New Roman" w:eastAsia="宋体" w:cs="Times New Roman"/>
                <w:color w:val="auto"/>
                <w:sz w:val="21"/>
                <w:szCs w:val="21"/>
              </w:rPr>
            </w:pPr>
          </w:p>
        </w:tc>
        <w:tc>
          <w:tcPr>
            <w:tcW w:w="1370" w:type="dxa"/>
            <w:vMerge w:val="continue"/>
            <w:vAlign w:val="center"/>
          </w:tcPr>
          <w:p w14:paraId="47D1EF9F">
            <w:pPr>
              <w:pStyle w:val="70"/>
              <w:spacing w:line="240" w:lineRule="auto"/>
              <w:rPr>
                <w:rFonts w:hint="eastAsia" w:ascii="Times New Roman" w:hAnsi="Times New Roman" w:eastAsia="宋体" w:cs="Times New Roman"/>
                <w:color w:val="auto"/>
                <w:sz w:val="21"/>
                <w:szCs w:val="21"/>
              </w:rPr>
            </w:pPr>
          </w:p>
        </w:tc>
        <w:tc>
          <w:tcPr>
            <w:tcW w:w="1547" w:type="dxa"/>
            <w:vMerge w:val="continue"/>
            <w:vAlign w:val="center"/>
          </w:tcPr>
          <w:p w14:paraId="029165BF">
            <w:pPr>
              <w:pStyle w:val="70"/>
              <w:spacing w:line="240" w:lineRule="auto"/>
              <w:rPr>
                <w:rFonts w:hint="eastAsia" w:ascii="Times New Roman" w:hAnsi="Times New Roman" w:eastAsia="宋体" w:cs="Times New Roman"/>
                <w:color w:val="auto"/>
                <w:sz w:val="21"/>
                <w:szCs w:val="21"/>
              </w:rPr>
            </w:pPr>
          </w:p>
        </w:tc>
        <w:tc>
          <w:tcPr>
            <w:tcW w:w="1710" w:type="dxa"/>
            <w:vAlign w:val="center"/>
          </w:tcPr>
          <w:p w14:paraId="14E32CC2">
            <w:pPr>
              <w:pStyle w:val="70"/>
              <w:spacing w:line="240" w:lineRule="auto"/>
              <w:rPr>
                <w:rFonts w:hint="eastAsia" w:ascii="Times New Roman" w:hAnsi="Times New Roman" w:eastAsia="宋体" w:cs="Times New Roman"/>
                <w:color w:val="auto"/>
                <w:sz w:val="21"/>
                <w:szCs w:val="21"/>
              </w:rPr>
            </w:pPr>
            <w:r>
              <w:rPr>
                <w:rFonts w:ascii="Times New Roman" w:hAnsi="Times New Roman" w:eastAsia="宋体" w:cs="Times New Roman"/>
                <w:color w:val="auto"/>
                <w:sz w:val="21"/>
                <w:szCs w:val="21"/>
              </w:rPr>
              <w:t>其他空间布局约束要求</w:t>
            </w:r>
          </w:p>
        </w:tc>
        <w:tc>
          <w:tcPr>
            <w:tcW w:w="3403" w:type="dxa"/>
            <w:vAlign w:val="center"/>
          </w:tcPr>
          <w:p w14:paraId="5514EDC1">
            <w:pPr>
              <w:pStyle w:val="70"/>
              <w:spacing w:line="240" w:lineRule="auto"/>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w:t>
            </w:r>
          </w:p>
        </w:tc>
        <w:tc>
          <w:tcPr>
            <w:tcW w:w="2677" w:type="dxa"/>
            <w:vAlign w:val="center"/>
          </w:tcPr>
          <w:p w14:paraId="353DCD27">
            <w:pPr>
              <w:pStyle w:val="70"/>
              <w:spacing w:line="240" w:lineRule="auto"/>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w:t>
            </w:r>
          </w:p>
        </w:tc>
        <w:tc>
          <w:tcPr>
            <w:tcW w:w="929" w:type="dxa"/>
            <w:vAlign w:val="center"/>
          </w:tcPr>
          <w:p w14:paraId="54C6B8AE">
            <w:pPr>
              <w:pStyle w:val="70"/>
              <w:spacing w:line="240" w:lineRule="auto"/>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w:t>
            </w:r>
          </w:p>
        </w:tc>
      </w:tr>
      <w:tr w14:paraId="7FFB422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016" w:type="dxa"/>
            <w:vMerge w:val="continue"/>
            <w:vAlign w:val="center"/>
          </w:tcPr>
          <w:p w14:paraId="78C7DD60">
            <w:pPr>
              <w:pStyle w:val="70"/>
              <w:spacing w:line="240" w:lineRule="auto"/>
              <w:rPr>
                <w:rFonts w:hint="eastAsia" w:ascii="Times New Roman" w:hAnsi="Times New Roman" w:eastAsia="宋体" w:cs="Times New Roman"/>
                <w:color w:val="auto"/>
                <w:sz w:val="21"/>
                <w:szCs w:val="21"/>
              </w:rPr>
            </w:pPr>
          </w:p>
        </w:tc>
        <w:tc>
          <w:tcPr>
            <w:tcW w:w="1370" w:type="dxa"/>
            <w:vMerge w:val="continue"/>
            <w:vAlign w:val="center"/>
          </w:tcPr>
          <w:p w14:paraId="503ECB9E">
            <w:pPr>
              <w:pStyle w:val="70"/>
              <w:spacing w:line="240" w:lineRule="auto"/>
              <w:rPr>
                <w:rFonts w:hint="eastAsia" w:ascii="Times New Roman" w:hAnsi="Times New Roman" w:eastAsia="宋体" w:cs="Times New Roman"/>
                <w:color w:val="auto"/>
                <w:sz w:val="21"/>
                <w:szCs w:val="21"/>
              </w:rPr>
            </w:pPr>
          </w:p>
        </w:tc>
        <w:tc>
          <w:tcPr>
            <w:tcW w:w="1547" w:type="dxa"/>
            <w:vMerge w:val="restart"/>
            <w:vAlign w:val="center"/>
          </w:tcPr>
          <w:p w14:paraId="6B527189">
            <w:pPr>
              <w:pStyle w:val="70"/>
              <w:spacing w:line="240" w:lineRule="auto"/>
              <w:rPr>
                <w:rFonts w:hint="eastAsia" w:ascii="Times New Roman" w:hAnsi="Times New Roman" w:eastAsia="宋体" w:cs="Times New Roman"/>
                <w:color w:val="auto"/>
                <w:sz w:val="21"/>
                <w:szCs w:val="21"/>
              </w:rPr>
            </w:pPr>
            <w:r>
              <w:rPr>
                <w:rFonts w:ascii="Times New Roman" w:hAnsi="Times New Roman" w:eastAsia="宋体" w:cs="Times New Roman"/>
                <w:color w:val="auto"/>
                <w:sz w:val="21"/>
                <w:szCs w:val="21"/>
              </w:rPr>
              <w:t>污染物排放管控</w:t>
            </w:r>
          </w:p>
        </w:tc>
        <w:tc>
          <w:tcPr>
            <w:tcW w:w="1710" w:type="dxa"/>
            <w:vAlign w:val="center"/>
          </w:tcPr>
          <w:p w14:paraId="7315A8D4">
            <w:pPr>
              <w:pStyle w:val="70"/>
              <w:spacing w:line="240" w:lineRule="auto"/>
              <w:rPr>
                <w:rFonts w:hint="eastAsia" w:ascii="Times New Roman" w:hAnsi="Times New Roman" w:eastAsia="宋体" w:cs="Times New Roman"/>
                <w:color w:val="auto"/>
                <w:sz w:val="21"/>
                <w:szCs w:val="21"/>
              </w:rPr>
            </w:pPr>
            <w:r>
              <w:rPr>
                <w:rFonts w:ascii="Times New Roman" w:hAnsi="Times New Roman" w:eastAsia="宋体" w:cs="Times New Roman"/>
                <w:color w:val="auto"/>
                <w:sz w:val="21"/>
                <w:szCs w:val="21"/>
              </w:rPr>
              <w:t>现有源提标升级改造</w:t>
            </w:r>
          </w:p>
        </w:tc>
        <w:tc>
          <w:tcPr>
            <w:tcW w:w="3403" w:type="dxa"/>
            <w:vAlign w:val="center"/>
          </w:tcPr>
          <w:p w14:paraId="6D296B68">
            <w:pPr>
              <w:pStyle w:val="70"/>
              <w:spacing w:line="240" w:lineRule="auto"/>
              <w:rPr>
                <w:rFonts w:hint="eastAsia" w:ascii="Times New Roman" w:hAnsi="Times New Roman" w:eastAsia="宋体" w:cs="Times New Roman"/>
                <w:color w:val="auto"/>
                <w:sz w:val="21"/>
                <w:szCs w:val="21"/>
              </w:rPr>
            </w:pPr>
            <w:r>
              <w:rPr>
                <w:rFonts w:ascii="Times New Roman" w:hAnsi="Times New Roman" w:eastAsia="宋体" w:cs="Times New Roman"/>
                <w:color w:val="auto"/>
                <w:sz w:val="21"/>
                <w:szCs w:val="21"/>
              </w:rPr>
              <w:t>执行工业重点管控单元普适性管控要求。</w:t>
            </w:r>
          </w:p>
        </w:tc>
        <w:tc>
          <w:tcPr>
            <w:tcW w:w="2677" w:type="dxa"/>
            <w:vAlign w:val="center"/>
          </w:tcPr>
          <w:p w14:paraId="77C826DE">
            <w:pPr>
              <w:pStyle w:val="70"/>
              <w:spacing w:line="240" w:lineRule="auto"/>
              <w:rPr>
                <w:rFonts w:hint="eastAsia"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项目符合工业重点管控单元总体准入要求</w:t>
            </w:r>
          </w:p>
        </w:tc>
        <w:tc>
          <w:tcPr>
            <w:tcW w:w="929" w:type="dxa"/>
            <w:vAlign w:val="center"/>
          </w:tcPr>
          <w:p w14:paraId="48633F13">
            <w:pPr>
              <w:pStyle w:val="70"/>
              <w:spacing w:line="240" w:lineRule="auto"/>
              <w:rPr>
                <w:rFonts w:hint="eastAsia" w:ascii="Times New Roman" w:hAnsi="Times New Roman" w:eastAsia="宋体" w:cs="Times New Roman"/>
                <w:color w:val="auto"/>
                <w:sz w:val="21"/>
                <w:szCs w:val="21"/>
              </w:rPr>
            </w:pPr>
            <w:r>
              <w:rPr>
                <w:rFonts w:hint="eastAsia" w:cs="Times New Roman"/>
                <w:color w:val="auto"/>
                <w:sz w:val="21"/>
                <w:szCs w:val="21"/>
                <w:lang w:val="en-US" w:eastAsia="zh-CN"/>
              </w:rPr>
              <w:t>符合</w:t>
            </w:r>
          </w:p>
        </w:tc>
      </w:tr>
      <w:tr w14:paraId="6ECD301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016" w:type="dxa"/>
            <w:vMerge w:val="continue"/>
            <w:vAlign w:val="center"/>
          </w:tcPr>
          <w:p w14:paraId="58E10284">
            <w:pPr>
              <w:pStyle w:val="70"/>
              <w:spacing w:line="240" w:lineRule="auto"/>
              <w:rPr>
                <w:rFonts w:hint="eastAsia" w:ascii="Times New Roman" w:hAnsi="Times New Roman" w:eastAsia="宋体" w:cs="Times New Roman"/>
                <w:color w:val="auto"/>
                <w:sz w:val="21"/>
                <w:szCs w:val="21"/>
              </w:rPr>
            </w:pPr>
          </w:p>
        </w:tc>
        <w:tc>
          <w:tcPr>
            <w:tcW w:w="1370" w:type="dxa"/>
            <w:vMerge w:val="continue"/>
            <w:vAlign w:val="center"/>
          </w:tcPr>
          <w:p w14:paraId="2A6C29A0">
            <w:pPr>
              <w:pStyle w:val="70"/>
              <w:spacing w:line="240" w:lineRule="auto"/>
              <w:rPr>
                <w:rFonts w:hint="eastAsia" w:ascii="Times New Roman" w:hAnsi="Times New Roman" w:eastAsia="宋体" w:cs="Times New Roman"/>
                <w:color w:val="auto"/>
                <w:sz w:val="21"/>
                <w:szCs w:val="21"/>
              </w:rPr>
            </w:pPr>
          </w:p>
        </w:tc>
        <w:tc>
          <w:tcPr>
            <w:tcW w:w="1547" w:type="dxa"/>
            <w:vMerge w:val="continue"/>
            <w:vAlign w:val="center"/>
          </w:tcPr>
          <w:p w14:paraId="2722E832">
            <w:pPr>
              <w:pStyle w:val="70"/>
              <w:spacing w:line="240" w:lineRule="auto"/>
              <w:rPr>
                <w:rFonts w:hint="eastAsia" w:ascii="Times New Roman" w:hAnsi="Times New Roman" w:eastAsia="宋体" w:cs="Times New Roman"/>
                <w:color w:val="auto"/>
                <w:sz w:val="21"/>
                <w:szCs w:val="21"/>
              </w:rPr>
            </w:pPr>
          </w:p>
        </w:tc>
        <w:tc>
          <w:tcPr>
            <w:tcW w:w="1710" w:type="dxa"/>
            <w:vAlign w:val="center"/>
          </w:tcPr>
          <w:p w14:paraId="40B09032">
            <w:pPr>
              <w:pStyle w:val="70"/>
              <w:spacing w:line="240" w:lineRule="auto"/>
              <w:rPr>
                <w:rFonts w:hint="eastAsia" w:ascii="Times New Roman" w:hAnsi="Times New Roman" w:eastAsia="宋体" w:cs="Times New Roman"/>
                <w:color w:val="auto"/>
                <w:sz w:val="21"/>
                <w:szCs w:val="21"/>
              </w:rPr>
            </w:pPr>
            <w:r>
              <w:rPr>
                <w:rFonts w:ascii="Times New Roman" w:hAnsi="Times New Roman" w:eastAsia="宋体" w:cs="Times New Roman"/>
                <w:color w:val="auto"/>
                <w:sz w:val="21"/>
                <w:szCs w:val="21"/>
              </w:rPr>
              <w:t>新增源等量或倍量替代</w:t>
            </w:r>
          </w:p>
        </w:tc>
        <w:tc>
          <w:tcPr>
            <w:tcW w:w="3403" w:type="dxa"/>
            <w:vAlign w:val="center"/>
          </w:tcPr>
          <w:p w14:paraId="43AC548C">
            <w:pPr>
              <w:pStyle w:val="70"/>
              <w:spacing w:line="240" w:lineRule="auto"/>
              <w:rPr>
                <w:rFonts w:hint="eastAsia" w:ascii="Times New Roman" w:hAnsi="Times New Roman" w:eastAsia="宋体" w:cs="Times New Roman"/>
                <w:color w:val="auto"/>
                <w:sz w:val="21"/>
                <w:szCs w:val="21"/>
              </w:rPr>
            </w:pPr>
            <w:r>
              <w:rPr>
                <w:rFonts w:ascii="Times New Roman" w:hAnsi="Times New Roman" w:eastAsia="宋体" w:cs="Times New Roman"/>
                <w:color w:val="auto"/>
                <w:sz w:val="21"/>
                <w:szCs w:val="21"/>
              </w:rPr>
              <w:t>执行工业重点管控单元普适性管控要求。</w:t>
            </w:r>
          </w:p>
        </w:tc>
        <w:tc>
          <w:tcPr>
            <w:tcW w:w="2677" w:type="dxa"/>
            <w:vAlign w:val="center"/>
          </w:tcPr>
          <w:p w14:paraId="601F4FDB">
            <w:pPr>
              <w:pStyle w:val="70"/>
              <w:spacing w:line="240" w:lineRule="auto"/>
              <w:rPr>
                <w:rFonts w:hint="eastAsia"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项目符合工业重点管控单元总体准入要求</w:t>
            </w:r>
          </w:p>
        </w:tc>
        <w:tc>
          <w:tcPr>
            <w:tcW w:w="929" w:type="dxa"/>
            <w:vAlign w:val="center"/>
          </w:tcPr>
          <w:p w14:paraId="1700F043">
            <w:pPr>
              <w:pStyle w:val="70"/>
              <w:spacing w:line="240" w:lineRule="auto"/>
              <w:rPr>
                <w:rFonts w:hint="eastAsia" w:ascii="Times New Roman" w:hAnsi="Times New Roman" w:eastAsia="宋体" w:cs="Times New Roman"/>
                <w:color w:val="auto"/>
                <w:sz w:val="21"/>
                <w:szCs w:val="21"/>
              </w:rPr>
            </w:pPr>
            <w:r>
              <w:rPr>
                <w:rFonts w:hint="eastAsia" w:cs="Times New Roman"/>
                <w:color w:val="auto"/>
                <w:sz w:val="21"/>
                <w:szCs w:val="21"/>
                <w:lang w:val="en-US" w:eastAsia="zh-CN"/>
              </w:rPr>
              <w:t>符合</w:t>
            </w:r>
          </w:p>
        </w:tc>
      </w:tr>
      <w:tr w14:paraId="298D887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016" w:type="dxa"/>
            <w:vMerge w:val="continue"/>
            <w:vAlign w:val="center"/>
          </w:tcPr>
          <w:p w14:paraId="401884E2">
            <w:pPr>
              <w:pStyle w:val="70"/>
              <w:spacing w:line="240" w:lineRule="auto"/>
              <w:rPr>
                <w:rFonts w:hint="eastAsia" w:ascii="Times New Roman" w:hAnsi="Times New Roman" w:eastAsia="宋体" w:cs="Times New Roman"/>
                <w:color w:val="auto"/>
                <w:sz w:val="21"/>
                <w:szCs w:val="21"/>
              </w:rPr>
            </w:pPr>
          </w:p>
        </w:tc>
        <w:tc>
          <w:tcPr>
            <w:tcW w:w="1370" w:type="dxa"/>
            <w:vMerge w:val="continue"/>
            <w:vAlign w:val="center"/>
          </w:tcPr>
          <w:p w14:paraId="5C39EF67">
            <w:pPr>
              <w:pStyle w:val="70"/>
              <w:spacing w:line="240" w:lineRule="auto"/>
              <w:rPr>
                <w:rFonts w:hint="eastAsia" w:ascii="Times New Roman" w:hAnsi="Times New Roman" w:eastAsia="宋体" w:cs="Times New Roman"/>
                <w:color w:val="auto"/>
                <w:sz w:val="21"/>
                <w:szCs w:val="21"/>
              </w:rPr>
            </w:pPr>
          </w:p>
        </w:tc>
        <w:tc>
          <w:tcPr>
            <w:tcW w:w="1547" w:type="dxa"/>
            <w:vMerge w:val="continue"/>
            <w:vAlign w:val="center"/>
          </w:tcPr>
          <w:p w14:paraId="467879F0">
            <w:pPr>
              <w:pStyle w:val="70"/>
              <w:spacing w:line="240" w:lineRule="auto"/>
              <w:rPr>
                <w:rFonts w:hint="eastAsia" w:ascii="Times New Roman" w:hAnsi="Times New Roman" w:eastAsia="宋体" w:cs="Times New Roman"/>
                <w:color w:val="auto"/>
                <w:sz w:val="21"/>
                <w:szCs w:val="21"/>
              </w:rPr>
            </w:pPr>
          </w:p>
        </w:tc>
        <w:tc>
          <w:tcPr>
            <w:tcW w:w="1710" w:type="dxa"/>
            <w:vAlign w:val="center"/>
          </w:tcPr>
          <w:p w14:paraId="777EB03D">
            <w:pPr>
              <w:pStyle w:val="70"/>
              <w:spacing w:line="240" w:lineRule="auto"/>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新增源排放标准限值</w:t>
            </w:r>
          </w:p>
        </w:tc>
        <w:tc>
          <w:tcPr>
            <w:tcW w:w="3403" w:type="dxa"/>
            <w:vAlign w:val="center"/>
          </w:tcPr>
          <w:p w14:paraId="13D6B414">
            <w:pPr>
              <w:pStyle w:val="70"/>
              <w:spacing w:line="240" w:lineRule="auto"/>
              <w:rPr>
                <w:rFonts w:hint="eastAsia" w:ascii="Times New Roman" w:hAnsi="Times New Roman" w:eastAsia="宋体" w:cs="Times New Roman"/>
                <w:color w:val="auto"/>
                <w:sz w:val="21"/>
                <w:szCs w:val="21"/>
              </w:rPr>
            </w:pPr>
            <w:r>
              <w:rPr>
                <w:rFonts w:ascii="Times New Roman" w:hAnsi="Times New Roman" w:eastAsia="宋体" w:cs="Times New Roman"/>
                <w:color w:val="auto"/>
                <w:sz w:val="21"/>
                <w:szCs w:val="21"/>
              </w:rPr>
              <w:t>执行工业重点管控单元普适性管控要求。</w:t>
            </w:r>
          </w:p>
        </w:tc>
        <w:tc>
          <w:tcPr>
            <w:tcW w:w="2677" w:type="dxa"/>
            <w:vAlign w:val="center"/>
          </w:tcPr>
          <w:p w14:paraId="45F45196">
            <w:pPr>
              <w:pStyle w:val="70"/>
              <w:spacing w:line="240" w:lineRule="auto"/>
              <w:rPr>
                <w:rFonts w:hint="eastAsia"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项目符合工业重点管控单元总体准入要求</w:t>
            </w:r>
          </w:p>
        </w:tc>
        <w:tc>
          <w:tcPr>
            <w:tcW w:w="929" w:type="dxa"/>
            <w:vAlign w:val="center"/>
          </w:tcPr>
          <w:p w14:paraId="480FBDDC">
            <w:pPr>
              <w:pStyle w:val="70"/>
              <w:spacing w:line="240" w:lineRule="auto"/>
              <w:rPr>
                <w:rFonts w:hint="eastAsia" w:ascii="Times New Roman" w:hAnsi="Times New Roman" w:eastAsia="宋体" w:cs="Times New Roman"/>
                <w:color w:val="auto"/>
                <w:sz w:val="21"/>
                <w:szCs w:val="21"/>
              </w:rPr>
            </w:pPr>
            <w:r>
              <w:rPr>
                <w:rFonts w:hint="eastAsia" w:cs="Times New Roman"/>
                <w:color w:val="auto"/>
                <w:sz w:val="21"/>
                <w:szCs w:val="21"/>
                <w:lang w:val="en-US" w:eastAsia="zh-CN"/>
              </w:rPr>
              <w:t>符合</w:t>
            </w:r>
          </w:p>
        </w:tc>
      </w:tr>
      <w:tr w14:paraId="22E3BC6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016" w:type="dxa"/>
            <w:vMerge w:val="continue"/>
            <w:vAlign w:val="center"/>
          </w:tcPr>
          <w:p w14:paraId="2170847F">
            <w:pPr>
              <w:pStyle w:val="70"/>
              <w:spacing w:line="240" w:lineRule="auto"/>
              <w:rPr>
                <w:rFonts w:hint="eastAsia" w:ascii="Times New Roman" w:hAnsi="Times New Roman" w:eastAsia="宋体" w:cs="Times New Roman"/>
                <w:color w:val="auto"/>
                <w:sz w:val="21"/>
                <w:szCs w:val="21"/>
              </w:rPr>
            </w:pPr>
          </w:p>
        </w:tc>
        <w:tc>
          <w:tcPr>
            <w:tcW w:w="1370" w:type="dxa"/>
            <w:vMerge w:val="continue"/>
            <w:vAlign w:val="center"/>
          </w:tcPr>
          <w:p w14:paraId="1CD2D5D8">
            <w:pPr>
              <w:pStyle w:val="70"/>
              <w:spacing w:line="240" w:lineRule="auto"/>
              <w:rPr>
                <w:rFonts w:hint="eastAsia" w:ascii="Times New Roman" w:hAnsi="Times New Roman" w:eastAsia="宋体" w:cs="Times New Roman"/>
                <w:color w:val="auto"/>
                <w:sz w:val="21"/>
                <w:szCs w:val="21"/>
              </w:rPr>
            </w:pPr>
          </w:p>
        </w:tc>
        <w:tc>
          <w:tcPr>
            <w:tcW w:w="1547" w:type="dxa"/>
            <w:vMerge w:val="continue"/>
            <w:vAlign w:val="center"/>
          </w:tcPr>
          <w:p w14:paraId="282F28C5">
            <w:pPr>
              <w:pStyle w:val="70"/>
              <w:spacing w:line="240" w:lineRule="auto"/>
              <w:rPr>
                <w:rFonts w:hint="eastAsia" w:ascii="Times New Roman" w:hAnsi="Times New Roman" w:eastAsia="宋体" w:cs="Times New Roman"/>
                <w:color w:val="auto"/>
                <w:sz w:val="21"/>
                <w:szCs w:val="21"/>
              </w:rPr>
            </w:pPr>
          </w:p>
        </w:tc>
        <w:tc>
          <w:tcPr>
            <w:tcW w:w="1710" w:type="dxa"/>
            <w:vAlign w:val="center"/>
          </w:tcPr>
          <w:p w14:paraId="5A113CAA">
            <w:pPr>
              <w:pStyle w:val="70"/>
              <w:spacing w:line="240" w:lineRule="auto"/>
              <w:rPr>
                <w:rFonts w:hint="eastAsia" w:ascii="Times New Roman" w:hAnsi="Times New Roman" w:eastAsia="宋体" w:cs="Times New Roman"/>
                <w:color w:val="auto"/>
                <w:sz w:val="21"/>
                <w:szCs w:val="21"/>
              </w:rPr>
            </w:pPr>
            <w:r>
              <w:rPr>
                <w:rFonts w:ascii="Times New Roman" w:hAnsi="Times New Roman" w:eastAsia="宋体" w:cs="Times New Roman"/>
                <w:color w:val="auto"/>
                <w:sz w:val="21"/>
                <w:szCs w:val="21"/>
              </w:rPr>
              <w:t>污染物排放绩效水平准入要求</w:t>
            </w:r>
          </w:p>
        </w:tc>
        <w:tc>
          <w:tcPr>
            <w:tcW w:w="3403" w:type="dxa"/>
            <w:vAlign w:val="center"/>
          </w:tcPr>
          <w:p w14:paraId="3EE78C60">
            <w:pPr>
              <w:pStyle w:val="70"/>
              <w:spacing w:line="240" w:lineRule="auto"/>
              <w:rPr>
                <w:rFonts w:hint="eastAsia" w:ascii="Times New Roman" w:hAnsi="Times New Roman" w:eastAsia="宋体" w:cs="Times New Roman"/>
                <w:color w:val="auto"/>
                <w:sz w:val="21"/>
                <w:szCs w:val="21"/>
              </w:rPr>
            </w:pPr>
            <w:r>
              <w:rPr>
                <w:rFonts w:ascii="Times New Roman" w:hAnsi="Times New Roman" w:eastAsia="宋体" w:cs="Times New Roman"/>
                <w:color w:val="auto"/>
                <w:sz w:val="21"/>
                <w:szCs w:val="21"/>
              </w:rPr>
              <w:t>（1）食品饮料重点行业项目新建应参考巴</w:t>
            </w:r>
            <w:r>
              <w:rPr>
                <w:rFonts w:hint="eastAsia" w:ascii="宋体" w:hAnsi="宋体" w:eastAsia="宋体" w:cs="宋体"/>
                <w:color w:val="auto"/>
                <w:sz w:val="21"/>
                <w:szCs w:val="21"/>
              </w:rPr>
              <w:t>中市“三线一单”生态环境分区管控中食品饮料行业环境绩效准入门槛，对食品饮料产</w:t>
            </w:r>
            <w:r>
              <w:rPr>
                <w:rFonts w:ascii="Times New Roman" w:hAnsi="Times New Roman" w:eastAsia="宋体" w:cs="Times New Roman"/>
                <w:color w:val="auto"/>
                <w:sz w:val="21"/>
                <w:szCs w:val="21"/>
              </w:rPr>
              <w:t>业中的白酒行业和肉制品加工行业执行GB27631-2011行业标准和《清洁生产评价指标体系肉制品加工业》（DB11</w:t>
            </w:r>
            <w:r>
              <w:rPr>
                <w:rFonts w:hint="eastAsia" w:cs="Times New Roman"/>
                <w:color w:val="auto"/>
                <w:sz w:val="21"/>
                <w:szCs w:val="21"/>
                <w:lang w:val="en-US" w:eastAsia="zh-CN"/>
              </w:rPr>
              <w:t>/</w:t>
            </w:r>
            <w:r>
              <w:rPr>
                <w:rFonts w:ascii="Times New Roman" w:hAnsi="Times New Roman" w:eastAsia="宋体" w:cs="Times New Roman"/>
                <w:color w:val="auto"/>
                <w:sz w:val="21"/>
                <w:szCs w:val="21"/>
              </w:rPr>
              <w:t>T 1405-2017）二级标准，单位产品废水量≤14m</w:t>
            </w:r>
            <w:r>
              <w:rPr>
                <w:rFonts w:ascii="Times New Roman" w:hAnsi="Times New Roman" w:eastAsia="宋体" w:cs="Times New Roman"/>
                <w:color w:val="auto"/>
                <w:sz w:val="21"/>
                <w:szCs w:val="21"/>
                <w:vertAlign w:val="superscript"/>
              </w:rPr>
              <w:t>3</w:t>
            </w:r>
            <w:r>
              <w:rPr>
                <w:rFonts w:hint="eastAsia" w:ascii="Times New Roman" w:hAnsi="Times New Roman" w:eastAsia="宋体" w:cs="Times New Roman"/>
                <w:color w:val="auto"/>
                <w:sz w:val="21"/>
                <w:szCs w:val="21"/>
                <w:lang w:val="en-US" w:eastAsia="zh-CN"/>
              </w:rPr>
              <w:t>/</w:t>
            </w:r>
            <w:r>
              <w:rPr>
                <w:rFonts w:ascii="Times New Roman" w:hAnsi="Times New Roman" w:eastAsia="宋体" w:cs="Times New Roman"/>
                <w:color w:val="auto"/>
                <w:sz w:val="21"/>
                <w:szCs w:val="21"/>
              </w:rPr>
              <w:t>t，单位产品化学需氧量（CODCr）产生量≤16.1kg</w:t>
            </w:r>
            <w:r>
              <w:rPr>
                <w:rFonts w:hint="eastAsia" w:ascii="Times New Roman" w:hAnsi="Times New Roman" w:eastAsia="宋体" w:cs="Times New Roman"/>
                <w:color w:val="auto"/>
                <w:sz w:val="21"/>
                <w:szCs w:val="21"/>
                <w:lang w:val="en-US" w:eastAsia="zh-CN"/>
              </w:rPr>
              <w:t>/</w:t>
            </w:r>
            <w:r>
              <w:rPr>
                <w:rFonts w:ascii="Times New Roman" w:hAnsi="Times New Roman" w:eastAsia="宋体" w:cs="Times New Roman"/>
                <w:color w:val="auto"/>
                <w:sz w:val="21"/>
                <w:szCs w:val="21"/>
              </w:rPr>
              <w:t>t、单位产品氨氮（NH3-N）≤0.65kg</w:t>
            </w:r>
            <w:r>
              <w:rPr>
                <w:rFonts w:hint="eastAsia" w:ascii="Times New Roman" w:hAnsi="Times New Roman" w:eastAsia="宋体" w:cs="Times New Roman"/>
                <w:color w:val="auto"/>
                <w:sz w:val="21"/>
                <w:szCs w:val="21"/>
                <w:lang w:val="en-US" w:eastAsia="zh-CN"/>
              </w:rPr>
              <w:t>/</w:t>
            </w:r>
            <w:r>
              <w:rPr>
                <w:rFonts w:ascii="Times New Roman" w:hAnsi="Times New Roman" w:eastAsia="宋体" w:cs="Times New Roman"/>
                <w:color w:val="auto"/>
                <w:sz w:val="21"/>
                <w:szCs w:val="21"/>
              </w:rPr>
              <w:t>t</w:t>
            </w:r>
            <w:r>
              <w:rPr>
                <w:rFonts w:hint="eastAsia" w:cs="Times New Roman"/>
                <w:color w:val="auto"/>
                <w:sz w:val="21"/>
                <w:szCs w:val="21"/>
                <w:lang w:eastAsia="zh-CN"/>
              </w:rPr>
              <w:t>。</w:t>
            </w:r>
            <w:r>
              <w:rPr>
                <w:rFonts w:ascii="Times New Roman" w:hAnsi="Times New Roman" w:eastAsia="宋体" w:cs="Times New Roman"/>
                <w:color w:val="auto"/>
                <w:sz w:val="21"/>
                <w:szCs w:val="21"/>
              </w:rPr>
              <w:t>（2）入园企业排污</w:t>
            </w:r>
            <w:r>
              <w:rPr>
                <w:rFonts w:hint="eastAsia" w:ascii="宋体" w:hAnsi="宋体" w:eastAsia="宋体" w:cs="宋体"/>
                <w:color w:val="auto"/>
                <w:sz w:val="21"/>
                <w:szCs w:val="21"/>
              </w:rPr>
              <w:t>强度无万元工业增加值不得大于“废</w:t>
            </w:r>
            <w:r>
              <w:rPr>
                <w:rFonts w:ascii="Times New Roman" w:hAnsi="Times New Roman" w:eastAsia="宋体" w:cs="Times New Roman"/>
                <w:color w:val="auto"/>
                <w:sz w:val="21"/>
                <w:szCs w:val="21"/>
              </w:rPr>
              <w:t>水量：0.036m</w:t>
            </w:r>
            <w:r>
              <w:rPr>
                <w:rFonts w:ascii="Times New Roman" w:hAnsi="Times New Roman" w:eastAsia="宋体" w:cs="Times New Roman"/>
                <w:color w:val="auto"/>
                <w:sz w:val="21"/>
                <w:szCs w:val="21"/>
                <w:vertAlign w:val="superscript"/>
              </w:rPr>
              <w:t>3</w:t>
            </w:r>
            <w:r>
              <w:rPr>
                <w:rFonts w:hint="eastAsia" w:ascii="Times New Roman" w:hAnsi="Times New Roman" w:eastAsia="宋体" w:cs="Times New Roman"/>
                <w:color w:val="auto"/>
                <w:sz w:val="21"/>
                <w:szCs w:val="21"/>
                <w:lang w:val="en-US" w:eastAsia="zh-CN"/>
              </w:rPr>
              <w:t>/</w:t>
            </w:r>
            <w:r>
              <w:rPr>
                <w:rFonts w:ascii="Times New Roman" w:hAnsi="Times New Roman" w:eastAsia="宋体" w:cs="Times New Roman"/>
                <w:color w:val="auto"/>
                <w:sz w:val="21"/>
                <w:szCs w:val="21"/>
              </w:rPr>
              <w:t>万元工业增加值、COD：0.018kg</w:t>
            </w:r>
            <w:r>
              <w:rPr>
                <w:rFonts w:hint="eastAsia" w:ascii="Times New Roman" w:hAnsi="Times New Roman" w:eastAsia="宋体" w:cs="Times New Roman"/>
                <w:color w:val="auto"/>
                <w:sz w:val="21"/>
                <w:szCs w:val="21"/>
                <w:lang w:val="en-US" w:eastAsia="zh-CN"/>
              </w:rPr>
              <w:t>/</w:t>
            </w:r>
            <w:r>
              <w:rPr>
                <w:rFonts w:ascii="Times New Roman" w:hAnsi="Times New Roman" w:eastAsia="宋体" w:cs="Times New Roman"/>
                <w:color w:val="auto"/>
                <w:sz w:val="21"/>
                <w:szCs w:val="21"/>
              </w:rPr>
              <w:t>万元工业增加值、NH</w:t>
            </w:r>
            <w:r>
              <w:rPr>
                <w:rFonts w:ascii="Times New Roman" w:hAnsi="Times New Roman" w:eastAsia="宋体" w:cs="Times New Roman"/>
                <w:color w:val="auto"/>
                <w:sz w:val="21"/>
                <w:szCs w:val="21"/>
                <w:vertAlign w:val="subscript"/>
              </w:rPr>
              <w:t>3</w:t>
            </w:r>
            <w:r>
              <w:rPr>
                <w:rFonts w:ascii="Times New Roman" w:hAnsi="Times New Roman" w:eastAsia="宋体" w:cs="Times New Roman"/>
                <w:color w:val="auto"/>
                <w:sz w:val="21"/>
                <w:szCs w:val="21"/>
              </w:rPr>
              <w:t>-N：0.0018kg</w:t>
            </w:r>
            <w:r>
              <w:rPr>
                <w:rFonts w:hint="eastAsia" w:ascii="Times New Roman" w:hAnsi="Times New Roman" w:eastAsia="宋体" w:cs="Times New Roman"/>
                <w:color w:val="auto"/>
                <w:sz w:val="21"/>
                <w:szCs w:val="21"/>
                <w:lang w:val="en-US" w:eastAsia="zh-CN"/>
              </w:rPr>
              <w:t>/</w:t>
            </w:r>
            <w:r>
              <w:rPr>
                <w:rFonts w:ascii="Times New Roman" w:hAnsi="Times New Roman" w:eastAsia="宋体" w:cs="Times New Roman"/>
                <w:color w:val="auto"/>
                <w:sz w:val="21"/>
                <w:szCs w:val="21"/>
              </w:rPr>
              <w:t>万元工业增加值、TP：0.00018kg</w:t>
            </w:r>
            <w:r>
              <w:rPr>
                <w:rFonts w:hint="eastAsia" w:ascii="Times New Roman" w:hAnsi="Times New Roman" w:eastAsia="宋体" w:cs="Times New Roman"/>
                <w:color w:val="auto"/>
                <w:sz w:val="21"/>
                <w:szCs w:val="21"/>
                <w:lang w:val="en-US" w:eastAsia="zh-CN"/>
              </w:rPr>
              <w:t>/</w:t>
            </w:r>
            <w:r>
              <w:rPr>
                <w:rFonts w:ascii="Times New Roman" w:hAnsi="Times New Roman" w:eastAsia="宋体" w:cs="Times New Roman"/>
                <w:color w:val="auto"/>
                <w:sz w:val="21"/>
                <w:szCs w:val="21"/>
              </w:rPr>
              <w:t>万元工业增加</w:t>
            </w:r>
            <w:r>
              <w:rPr>
                <w:rFonts w:hint="eastAsia" w:ascii="宋体" w:hAnsi="宋体" w:eastAsia="宋体" w:cs="宋体"/>
                <w:color w:val="auto"/>
                <w:sz w:val="21"/>
                <w:szCs w:val="21"/>
              </w:rPr>
              <w:t>值”</w:t>
            </w:r>
            <w:r>
              <w:rPr>
                <w:rFonts w:ascii="Times New Roman" w:hAnsi="Times New Roman" w:eastAsia="宋体" w:cs="Times New Roman"/>
                <w:color w:val="auto"/>
                <w:sz w:val="21"/>
                <w:szCs w:val="21"/>
              </w:rPr>
              <w:t>。（3）执行工业重点管控单元总体准入要求。</w:t>
            </w:r>
          </w:p>
        </w:tc>
        <w:tc>
          <w:tcPr>
            <w:tcW w:w="2677" w:type="dxa"/>
            <w:vAlign w:val="center"/>
          </w:tcPr>
          <w:p w14:paraId="0CC37DAA">
            <w:pPr>
              <w:pStyle w:val="70"/>
              <w:spacing w:line="240" w:lineRule="auto"/>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本项目不属于食品饮料行业</w:t>
            </w:r>
          </w:p>
        </w:tc>
        <w:tc>
          <w:tcPr>
            <w:tcW w:w="929" w:type="dxa"/>
            <w:vAlign w:val="center"/>
          </w:tcPr>
          <w:p w14:paraId="18B82970">
            <w:pPr>
              <w:pStyle w:val="70"/>
              <w:spacing w:line="240" w:lineRule="auto"/>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符合</w:t>
            </w:r>
          </w:p>
        </w:tc>
      </w:tr>
      <w:tr w14:paraId="4EC1546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016" w:type="dxa"/>
            <w:vMerge w:val="continue"/>
            <w:vAlign w:val="center"/>
          </w:tcPr>
          <w:p w14:paraId="590447B5">
            <w:pPr>
              <w:pStyle w:val="70"/>
              <w:spacing w:line="240" w:lineRule="auto"/>
              <w:rPr>
                <w:rFonts w:hint="eastAsia" w:ascii="Times New Roman" w:hAnsi="Times New Roman" w:eastAsia="宋体" w:cs="Times New Roman"/>
                <w:color w:val="auto"/>
                <w:sz w:val="21"/>
                <w:szCs w:val="21"/>
              </w:rPr>
            </w:pPr>
          </w:p>
        </w:tc>
        <w:tc>
          <w:tcPr>
            <w:tcW w:w="1370" w:type="dxa"/>
            <w:vMerge w:val="continue"/>
            <w:vAlign w:val="center"/>
          </w:tcPr>
          <w:p w14:paraId="53C83EED">
            <w:pPr>
              <w:pStyle w:val="70"/>
              <w:spacing w:line="240" w:lineRule="auto"/>
              <w:rPr>
                <w:rFonts w:hint="eastAsia" w:ascii="Times New Roman" w:hAnsi="Times New Roman" w:eastAsia="宋体" w:cs="Times New Roman"/>
                <w:color w:val="auto"/>
                <w:sz w:val="21"/>
                <w:szCs w:val="21"/>
              </w:rPr>
            </w:pPr>
          </w:p>
        </w:tc>
        <w:tc>
          <w:tcPr>
            <w:tcW w:w="1547" w:type="dxa"/>
            <w:vMerge w:val="continue"/>
            <w:vAlign w:val="center"/>
          </w:tcPr>
          <w:p w14:paraId="55DB1432">
            <w:pPr>
              <w:pStyle w:val="70"/>
              <w:spacing w:line="240" w:lineRule="auto"/>
              <w:rPr>
                <w:rFonts w:hint="eastAsia" w:ascii="Times New Roman" w:hAnsi="Times New Roman" w:eastAsia="宋体" w:cs="Times New Roman"/>
                <w:color w:val="auto"/>
                <w:sz w:val="21"/>
                <w:szCs w:val="21"/>
              </w:rPr>
            </w:pPr>
          </w:p>
        </w:tc>
        <w:tc>
          <w:tcPr>
            <w:tcW w:w="1710" w:type="dxa"/>
            <w:vAlign w:val="center"/>
          </w:tcPr>
          <w:p w14:paraId="50B1BB93">
            <w:pPr>
              <w:pStyle w:val="70"/>
              <w:spacing w:line="240" w:lineRule="auto"/>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其他污染物排放管控要求</w:t>
            </w:r>
          </w:p>
        </w:tc>
        <w:tc>
          <w:tcPr>
            <w:tcW w:w="3403" w:type="dxa"/>
            <w:vAlign w:val="center"/>
          </w:tcPr>
          <w:p w14:paraId="3FAC015D">
            <w:pPr>
              <w:pStyle w:val="70"/>
              <w:spacing w:line="240" w:lineRule="auto"/>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w:t>
            </w:r>
          </w:p>
        </w:tc>
        <w:tc>
          <w:tcPr>
            <w:tcW w:w="2677" w:type="dxa"/>
            <w:vAlign w:val="center"/>
          </w:tcPr>
          <w:p w14:paraId="2FA5C848">
            <w:pPr>
              <w:pStyle w:val="70"/>
              <w:spacing w:line="240" w:lineRule="auto"/>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w:t>
            </w:r>
          </w:p>
        </w:tc>
        <w:tc>
          <w:tcPr>
            <w:tcW w:w="929" w:type="dxa"/>
            <w:vAlign w:val="center"/>
          </w:tcPr>
          <w:p w14:paraId="123AF2E7">
            <w:pPr>
              <w:pStyle w:val="70"/>
              <w:spacing w:line="240" w:lineRule="auto"/>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w:t>
            </w:r>
          </w:p>
        </w:tc>
      </w:tr>
      <w:tr w14:paraId="22557D5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016" w:type="dxa"/>
            <w:vMerge w:val="continue"/>
            <w:vAlign w:val="center"/>
          </w:tcPr>
          <w:p w14:paraId="3434C03E">
            <w:pPr>
              <w:pStyle w:val="70"/>
              <w:spacing w:line="240" w:lineRule="auto"/>
              <w:rPr>
                <w:rFonts w:hint="eastAsia" w:ascii="Times New Roman" w:hAnsi="Times New Roman" w:eastAsia="宋体" w:cs="Times New Roman"/>
                <w:color w:val="auto"/>
                <w:sz w:val="21"/>
                <w:szCs w:val="21"/>
              </w:rPr>
            </w:pPr>
          </w:p>
        </w:tc>
        <w:tc>
          <w:tcPr>
            <w:tcW w:w="1370" w:type="dxa"/>
            <w:vMerge w:val="continue"/>
            <w:vAlign w:val="center"/>
          </w:tcPr>
          <w:p w14:paraId="6C53688F">
            <w:pPr>
              <w:pStyle w:val="70"/>
              <w:spacing w:line="240" w:lineRule="auto"/>
              <w:rPr>
                <w:rFonts w:hint="eastAsia" w:ascii="Times New Roman" w:hAnsi="Times New Roman" w:eastAsia="宋体" w:cs="Times New Roman"/>
                <w:color w:val="auto"/>
                <w:sz w:val="21"/>
                <w:szCs w:val="21"/>
              </w:rPr>
            </w:pPr>
          </w:p>
        </w:tc>
        <w:tc>
          <w:tcPr>
            <w:tcW w:w="1547" w:type="dxa"/>
            <w:vMerge w:val="restart"/>
            <w:vAlign w:val="center"/>
          </w:tcPr>
          <w:p w14:paraId="049EC8C2">
            <w:pPr>
              <w:pStyle w:val="70"/>
              <w:spacing w:line="240" w:lineRule="auto"/>
              <w:rPr>
                <w:rFonts w:hint="eastAsia" w:ascii="Times New Roman" w:hAnsi="Times New Roman" w:eastAsia="宋体" w:cs="Times New Roman"/>
                <w:color w:val="auto"/>
                <w:sz w:val="21"/>
                <w:szCs w:val="21"/>
              </w:rPr>
            </w:pPr>
            <w:r>
              <w:rPr>
                <w:rFonts w:ascii="Times New Roman" w:hAnsi="Times New Roman" w:eastAsia="宋体" w:cs="Times New Roman"/>
                <w:color w:val="auto"/>
                <w:sz w:val="21"/>
                <w:szCs w:val="21"/>
              </w:rPr>
              <w:t>环境风险防控</w:t>
            </w:r>
          </w:p>
        </w:tc>
        <w:tc>
          <w:tcPr>
            <w:tcW w:w="1710" w:type="dxa"/>
            <w:vAlign w:val="center"/>
          </w:tcPr>
          <w:p w14:paraId="1BE5B1DB">
            <w:pPr>
              <w:pStyle w:val="70"/>
              <w:spacing w:line="240" w:lineRule="auto"/>
              <w:rPr>
                <w:rFonts w:hint="eastAsia" w:ascii="Times New Roman" w:hAnsi="Times New Roman" w:eastAsia="宋体" w:cs="Times New Roman"/>
                <w:color w:val="auto"/>
                <w:sz w:val="21"/>
                <w:szCs w:val="21"/>
              </w:rPr>
            </w:pPr>
            <w:r>
              <w:rPr>
                <w:rFonts w:ascii="Times New Roman" w:hAnsi="Times New Roman" w:eastAsia="宋体" w:cs="Times New Roman"/>
                <w:color w:val="auto"/>
                <w:sz w:val="21"/>
                <w:szCs w:val="21"/>
              </w:rPr>
              <w:t>严格管控类农用地管控要求</w:t>
            </w:r>
          </w:p>
        </w:tc>
        <w:tc>
          <w:tcPr>
            <w:tcW w:w="3403" w:type="dxa"/>
            <w:vAlign w:val="center"/>
          </w:tcPr>
          <w:p w14:paraId="6801AB5A">
            <w:pPr>
              <w:pStyle w:val="70"/>
              <w:spacing w:line="240" w:lineRule="auto"/>
              <w:rPr>
                <w:rFonts w:hint="eastAsia" w:ascii="Times New Roman" w:hAnsi="Times New Roman" w:eastAsia="宋体" w:cs="Times New Roman"/>
                <w:color w:val="auto"/>
                <w:sz w:val="21"/>
                <w:szCs w:val="21"/>
              </w:rPr>
            </w:pPr>
            <w:r>
              <w:rPr>
                <w:rFonts w:ascii="Times New Roman" w:hAnsi="Times New Roman" w:eastAsia="宋体" w:cs="Times New Roman"/>
                <w:color w:val="auto"/>
                <w:sz w:val="21"/>
                <w:szCs w:val="21"/>
              </w:rPr>
              <w:t>执行工业重点管控单元普适性管控要求。</w:t>
            </w:r>
          </w:p>
        </w:tc>
        <w:tc>
          <w:tcPr>
            <w:tcW w:w="2677" w:type="dxa"/>
            <w:vAlign w:val="center"/>
          </w:tcPr>
          <w:p w14:paraId="0D62EDD7">
            <w:pPr>
              <w:pStyle w:val="70"/>
              <w:spacing w:line="240" w:lineRule="auto"/>
              <w:rPr>
                <w:rFonts w:hint="eastAsia"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项目符合工业重点管控单元总体准入要求</w:t>
            </w:r>
          </w:p>
        </w:tc>
        <w:tc>
          <w:tcPr>
            <w:tcW w:w="929" w:type="dxa"/>
            <w:vAlign w:val="center"/>
          </w:tcPr>
          <w:p w14:paraId="5E2741B5">
            <w:pPr>
              <w:pStyle w:val="70"/>
              <w:spacing w:line="240" w:lineRule="auto"/>
              <w:rPr>
                <w:rFonts w:hint="eastAsia" w:ascii="Times New Roman" w:hAnsi="Times New Roman" w:eastAsia="宋体" w:cs="Times New Roman"/>
                <w:color w:val="auto"/>
                <w:sz w:val="21"/>
                <w:szCs w:val="21"/>
              </w:rPr>
            </w:pPr>
            <w:r>
              <w:rPr>
                <w:rFonts w:hint="eastAsia" w:cs="Times New Roman"/>
                <w:color w:val="auto"/>
                <w:sz w:val="21"/>
                <w:szCs w:val="21"/>
                <w:lang w:val="en-US" w:eastAsia="zh-CN"/>
              </w:rPr>
              <w:t>符合</w:t>
            </w:r>
          </w:p>
        </w:tc>
      </w:tr>
      <w:tr w14:paraId="79D4FCA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016" w:type="dxa"/>
            <w:vMerge w:val="continue"/>
            <w:vAlign w:val="center"/>
          </w:tcPr>
          <w:p w14:paraId="6BFA1775">
            <w:pPr>
              <w:pStyle w:val="70"/>
              <w:spacing w:line="240" w:lineRule="auto"/>
              <w:rPr>
                <w:rFonts w:hint="eastAsia" w:ascii="Times New Roman" w:hAnsi="Times New Roman" w:eastAsia="宋体" w:cs="Times New Roman"/>
                <w:color w:val="auto"/>
                <w:sz w:val="21"/>
                <w:szCs w:val="21"/>
              </w:rPr>
            </w:pPr>
          </w:p>
        </w:tc>
        <w:tc>
          <w:tcPr>
            <w:tcW w:w="1370" w:type="dxa"/>
            <w:vMerge w:val="continue"/>
            <w:vAlign w:val="center"/>
          </w:tcPr>
          <w:p w14:paraId="10AAF579">
            <w:pPr>
              <w:pStyle w:val="70"/>
              <w:spacing w:line="240" w:lineRule="auto"/>
              <w:rPr>
                <w:rFonts w:hint="eastAsia" w:ascii="Times New Roman" w:hAnsi="Times New Roman" w:eastAsia="宋体" w:cs="Times New Roman"/>
                <w:color w:val="auto"/>
                <w:sz w:val="21"/>
                <w:szCs w:val="21"/>
              </w:rPr>
            </w:pPr>
          </w:p>
        </w:tc>
        <w:tc>
          <w:tcPr>
            <w:tcW w:w="1547" w:type="dxa"/>
            <w:vMerge w:val="continue"/>
            <w:vAlign w:val="center"/>
          </w:tcPr>
          <w:p w14:paraId="7D2B6A84">
            <w:pPr>
              <w:pStyle w:val="70"/>
              <w:spacing w:line="240" w:lineRule="auto"/>
              <w:rPr>
                <w:rFonts w:ascii="Times New Roman" w:hAnsi="Times New Roman" w:eastAsia="宋体" w:cs="Times New Roman"/>
                <w:color w:val="auto"/>
                <w:sz w:val="21"/>
                <w:szCs w:val="21"/>
              </w:rPr>
            </w:pPr>
          </w:p>
        </w:tc>
        <w:tc>
          <w:tcPr>
            <w:tcW w:w="1710" w:type="dxa"/>
            <w:vAlign w:val="center"/>
          </w:tcPr>
          <w:p w14:paraId="245E19F2">
            <w:pPr>
              <w:pStyle w:val="70"/>
              <w:spacing w:line="240" w:lineRule="auto"/>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安全利用类农用地管控要求</w:t>
            </w:r>
          </w:p>
        </w:tc>
        <w:tc>
          <w:tcPr>
            <w:tcW w:w="3403" w:type="dxa"/>
            <w:vAlign w:val="center"/>
          </w:tcPr>
          <w:p w14:paraId="61751EBF">
            <w:pPr>
              <w:pStyle w:val="70"/>
              <w:spacing w:line="240" w:lineRule="auto"/>
              <w:rPr>
                <w:rFonts w:hint="eastAsia" w:ascii="Times New Roman" w:hAnsi="Times New Roman" w:eastAsia="宋体" w:cs="Times New Roman"/>
                <w:color w:val="auto"/>
                <w:sz w:val="21"/>
                <w:szCs w:val="21"/>
              </w:rPr>
            </w:pPr>
            <w:r>
              <w:rPr>
                <w:rFonts w:ascii="Times New Roman" w:hAnsi="Times New Roman" w:eastAsia="宋体" w:cs="Times New Roman"/>
                <w:color w:val="auto"/>
                <w:sz w:val="21"/>
                <w:szCs w:val="21"/>
              </w:rPr>
              <w:t>执行工业重点管控单元普适性管控要求。</w:t>
            </w:r>
          </w:p>
        </w:tc>
        <w:tc>
          <w:tcPr>
            <w:tcW w:w="2677" w:type="dxa"/>
            <w:vAlign w:val="center"/>
          </w:tcPr>
          <w:p w14:paraId="3DDAA593">
            <w:pPr>
              <w:pStyle w:val="70"/>
              <w:spacing w:line="240" w:lineRule="auto"/>
              <w:rPr>
                <w:rFonts w:hint="eastAsia"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项目符合工业重点管控单元总体准入要求</w:t>
            </w:r>
          </w:p>
        </w:tc>
        <w:tc>
          <w:tcPr>
            <w:tcW w:w="929" w:type="dxa"/>
            <w:vAlign w:val="center"/>
          </w:tcPr>
          <w:p w14:paraId="2644FF52">
            <w:pPr>
              <w:pStyle w:val="70"/>
              <w:spacing w:line="240" w:lineRule="auto"/>
              <w:rPr>
                <w:rFonts w:hint="eastAsia" w:ascii="Times New Roman" w:hAnsi="Times New Roman" w:eastAsia="宋体" w:cs="Times New Roman"/>
                <w:color w:val="auto"/>
                <w:sz w:val="21"/>
                <w:szCs w:val="21"/>
              </w:rPr>
            </w:pPr>
            <w:r>
              <w:rPr>
                <w:rFonts w:hint="eastAsia" w:cs="Times New Roman"/>
                <w:color w:val="auto"/>
                <w:sz w:val="21"/>
                <w:szCs w:val="21"/>
                <w:lang w:val="en-US" w:eastAsia="zh-CN"/>
              </w:rPr>
              <w:t>符合</w:t>
            </w:r>
          </w:p>
        </w:tc>
      </w:tr>
      <w:tr w14:paraId="16B8955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016" w:type="dxa"/>
            <w:vMerge w:val="continue"/>
            <w:vAlign w:val="center"/>
          </w:tcPr>
          <w:p w14:paraId="2BA1229D">
            <w:pPr>
              <w:pStyle w:val="70"/>
              <w:spacing w:line="240" w:lineRule="auto"/>
              <w:rPr>
                <w:rFonts w:hint="eastAsia" w:ascii="Times New Roman" w:hAnsi="Times New Roman" w:eastAsia="宋体" w:cs="Times New Roman"/>
                <w:color w:val="auto"/>
                <w:sz w:val="21"/>
                <w:szCs w:val="21"/>
              </w:rPr>
            </w:pPr>
          </w:p>
        </w:tc>
        <w:tc>
          <w:tcPr>
            <w:tcW w:w="1370" w:type="dxa"/>
            <w:vMerge w:val="continue"/>
            <w:vAlign w:val="center"/>
          </w:tcPr>
          <w:p w14:paraId="7FFFEF40">
            <w:pPr>
              <w:pStyle w:val="70"/>
              <w:spacing w:line="240" w:lineRule="auto"/>
              <w:rPr>
                <w:rFonts w:hint="eastAsia" w:ascii="Times New Roman" w:hAnsi="Times New Roman" w:eastAsia="宋体" w:cs="Times New Roman"/>
                <w:color w:val="auto"/>
                <w:sz w:val="21"/>
                <w:szCs w:val="21"/>
              </w:rPr>
            </w:pPr>
          </w:p>
        </w:tc>
        <w:tc>
          <w:tcPr>
            <w:tcW w:w="1547" w:type="dxa"/>
            <w:vMerge w:val="continue"/>
            <w:vAlign w:val="center"/>
          </w:tcPr>
          <w:p w14:paraId="5A40D324">
            <w:pPr>
              <w:pStyle w:val="70"/>
              <w:spacing w:line="240" w:lineRule="auto"/>
              <w:rPr>
                <w:rFonts w:ascii="Times New Roman" w:hAnsi="Times New Roman" w:eastAsia="宋体" w:cs="Times New Roman"/>
                <w:color w:val="auto"/>
                <w:sz w:val="21"/>
                <w:szCs w:val="21"/>
              </w:rPr>
            </w:pPr>
          </w:p>
        </w:tc>
        <w:tc>
          <w:tcPr>
            <w:tcW w:w="1710" w:type="dxa"/>
            <w:vAlign w:val="center"/>
          </w:tcPr>
          <w:p w14:paraId="3DD21957">
            <w:pPr>
              <w:pStyle w:val="70"/>
              <w:spacing w:line="240" w:lineRule="auto"/>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污染地块管控要求</w:t>
            </w:r>
          </w:p>
        </w:tc>
        <w:tc>
          <w:tcPr>
            <w:tcW w:w="3403" w:type="dxa"/>
            <w:vAlign w:val="center"/>
          </w:tcPr>
          <w:p w14:paraId="44A5317E">
            <w:pPr>
              <w:pStyle w:val="70"/>
              <w:spacing w:line="240" w:lineRule="auto"/>
              <w:rPr>
                <w:rFonts w:hint="eastAsia" w:ascii="Times New Roman" w:hAnsi="Times New Roman" w:eastAsia="宋体" w:cs="Times New Roman"/>
                <w:color w:val="auto"/>
                <w:sz w:val="21"/>
                <w:szCs w:val="21"/>
              </w:rPr>
            </w:pPr>
            <w:r>
              <w:rPr>
                <w:rFonts w:ascii="Times New Roman" w:hAnsi="Times New Roman" w:eastAsia="宋体" w:cs="Times New Roman"/>
                <w:color w:val="auto"/>
                <w:sz w:val="21"/>
                <w:szCs w:val="21"/>
              </w:rPr>
              <w:t>执行工业重点管控单元普适性管控要求。</w:t>
            </w:r>
          </w:p>
        </w:tc>
        <w:tc>
          <w:tcPr>
            <w:tcW w:w="2677" w:type="dxa"/>
            <w:vAlign w:val="center"/>
          </w:tcPr>
          <w:p w14:paraId="2D83A6D4">
            <w:pPr>
              <w:pStyle w:val="70"/>
              <w:spacing w:line="240" w:lineRule="auto"/>
              <w:rPr>
                <w:rFonts w:hint="eastAsia"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项目符合工业重点管控单元总体准入要求</w:t>
            </w:r>
          </w:p>
        </w:tc>
        <w:tc>
          <w:tcPr>
            <w:tcW w:w="929" w:type="dxa"/>
            <w:vAlign w:val="center"/>
          </w:tcPr>
          <w:p w14:paraId="2733D5F7">
            <w:pPr>
              <w:pStyle w:val="70"/>
              <w:spacing w:line="240" w:lineRule="auto"/>
              <w:rPr>
                <w:rFonts w:hint="eastAsia" w:ascii="Times New Roman" w:hAnsi="Times New Roman" w:eastAsia="宋体" w:cs="Times New Roman"/>
                <w:color w:val="auto"/>
                <w:sz w:val="21"/>
                <w:szCs w:val="21"/>
              </w:rPr>
            </w:pPr>
            <w:r>
              <w:rPr>
                <w:rFonts w:hint="eastAsia" w:cs="Times New Roman"/>
                <w:color w:val="auto"/>
                <w:sz w:val="21"/>
                <w:szCs w:val="21"/>
                <w:lang w:val="en-US" w:eastAsia="zh-CN"/>
              </w:rPr>
              <w:t>符合</w:t>
            </w:r>
          </w:p>
        </w:tc>
      </w:tr>
      <w:tr w14:paraId="6CB7C4B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016" w:type="dxa"/>
            <w:vMerge w:val="continue"/>
            <w:vAlign w:val="center"/>
          </w:tcPr>
          <w:p w14:paraId="314BA3E3">
            <w:pPr>
              <w:pStyle w:val="70"/>
              <w:spacing w:line="240" w:lineRule="auto"/>
              <w:rPr>
                <w:rFonts w:hint="eastAsia" w:ascii="Times New Roman" w:hAnsi="Times New Roman" w:eastAsia="宋体" w:cs="Times New Roman"/>
                <w:color w:val="auto"/>
                <w:sz w:val="21"/>
                <w:szCs w:val="21"/>
              </w:rPr>
            </w:pPr>
          </w:p>
        </w:tc>
        <w:tc>
          <w:tcPr>
            <w:tcW w:w="1370" w:type="dxa"/>
            <w:vMerge w:val="continue"/>
            <w:vAlign w:val="center"/>
          </w:tcPr>
          <w:p w14:paraId="49BF7163">
            <w:pPr>
              <w:pStyle w:val="70"/>
              <w:spacing w:line="240" w:lineRule="auto"/>
              <w:rPr>
                <w:rFonts w:hint="eastAsia" w:ascii="Times New Roman" w:hAnsi="Times New Roman" w:eastAsia="宋体" w:cs="Times New Roman"/>
                <w:color w:val="auto"/>
                <w:sz w:val="21"/>
                <w:szCs w:val="21"/>
              </w:rPr>
            </w:pPr>
          </w:p>
        </w:tc>
        <w:tc>
          <w:tcPr>
            <w:tcW w:w="1547" w:type="dxa"/>
            <w:vMerge w:val="continue"/>
            <w:vAlign w:val="center"/>
          </w:tcPr>
          <w:p w14:paraId="6E4B55E6">
            <w:pPr>
              <w:pStyle w:val="70"/>
              <w:spacing w:line="240" w:lineRule="auto"/>
              <w:rPr>
                <w:rFonts w:ascii="Times New Roman" w:hAnsi="Times New Roman" w:eastAsia="宋体" w:cs="Times New Roman"/>
                <w:color w:val="auto"/>
                <w:sz w:val="21"/>
                <w:szCs w:val="21"/>
              </w:rPr>
            </w:pPr>
          </w:p>
        </w:tc>
        <w:tc>
          <w:tcPr>
            <w:tcW w:w="1710" w:type="dxa"/>
            <w:vAlign w:val="center"/>
          </w:tcPr>
          <w:p w14:paraId="4BA13831">
            <w:pPr>
              <w:pStyle w:val="70"/>
              <w:spacing w:line="240" w:lineRule="auto"/>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园区环境风险防控要求</w:t>
            </w:r>
          </w:p>
        </w:tc>
        <w:tc>
          <w:tcPr>
            <w:tcW w:w="3403" w:type="dxa"/>
            <w:vAlign w:val="center"/>
          </w:tcPr>
          <w:p w14:paraId="438B095A">
            <w:pPr>
              <w:pStyle w:val="70"/>
              <w:spacing w:line="240" w:lineRule="auto"/>
              <w:rPr>
                <w:rFonts w:hint="eastAsia" w:ascii="Times New Roman" w:hAnsi="Times New Roman" w:eastAsia="宋体" w:cs="Times New Roman"/>
                <w:color w:val="auto"/>
                <w:sz w:val="21"/>
                <w:szCs w:val="21"/>
              </w:rPr>
            </w:pPr>
            <w:r>
              <w:rPr>
                <w:rFonts w:ascii="Times New Roman" w:hAnsi="Times New Roman" w:eastAsia="宋体" w:cs="Times New Roman"/>
                <w:color w:val="auto"/>
                <w:sz w:val="21"/>
                <w:szCs w:val="21"/>
              </w:rPr>
              <w:t>（1）园区与城区和居住区接壤的地块，禁止引入环境风险潜势大于</w:t>
            </w:r>
            <w:r>
              <w:rPr>
                <w:rFonts w:hint="eastAsia" w:cs="Times New Roman"/>
                <w:color w:val="auto"/>
                <w:sz w:val="21"/>
                <w:szCs w:val="21"/>
                <w:lang w:eastAsia="zh-CN"/>
              </w:rPr>
              <w:t>Ⅲ级</w:t>
            </w:r>
            <w:r>
              <w:rPr>
                <w:rFonts w:ascii="Times New Roman" w:hAnsi="Times New Roman" w:eastAsia="宋体" w:cs="Times New Roman"/>
                <w:color w:val="auto"/>
                <w:sz w:val="21"/>
                <w:szCs w:val="21"/>
              </w:rPr>
              <w:t>及以上的项目。（2）金堂区块应考虑环境风险的区域联合防控，建立污</w:t>
            </w:r>
            <w:r>
              <w:rPr>
                <w:rFonts w:hint="eastAsia" w:ascii="宋体" w:hAnsi="宋体" w:eastAsia="宋体" w:cs="宋体"/>
                <w:color w:val="auto"/>
                <w:sz w:val="21"/>
                <w:szCs w:val="21"/>
              </w:rPr>
              <w:t>染源头、过程处理和最终排放的“三级防控”机制。高度重视园区环境安全工作，构建“企业-园区-流域”三级防控体</w:t>
            </w:r>
            <w:r>
              <w:rPr>
                <w:rFonts w:ascii="Times New Roman" w:hAnsi="Times New Roman" w:eastAsia="宋体" w:cs="Times New Roman"/>
                <w:color w:val="auto"/>
                <w:sz w:val="21"/>
                <w:szCs w:val="21"/>
              </w:rPr>
              <w:t>系，实</w:t>
            </w:r>
            <w:r>
              <w:rPr>
                <w:rFonts w:hint="eastAsia" w:ascii="宋体" w:hAnsi="宋体" w:eastAsia="宋体" w:cs="宋体"/>
                <w:color w:val="auto"/>
                <w:sz w:val="21"/>
                <w:szCs w:val="21"/>
              </w:rPr>
              <w:t>现“事故废水不出涉事企业、不出园区管网、不进园区周边水系”</w:t>
            </w:r>
            <w:r>
              <w:rPr>
                <w:rFonts w:ascii="Times New Roman" w:hAnsi="Times New Roman" w:eastAsia="宋体" w:cs="Times New Roman"/>
                <w:color w:val="auto"/>
                <w:sz w:val="21"/>
                <w:szCs w:val="21"/>
              </w:rPr>
              <w:t>的风险防控目标。（3）其余执行工业重点管控单元总体准入要求。</w:t>
            </w:r>
          </w:p>
        </w:tc>
        <w:tc>
          <w:tcPr>
            <w:tcW w:w="2677" w:type="dxa"/>
            <w:vAlign w:val="center"/>
          </w:tcPr>
          <w:p w14:paraId="118A7E08">
            <w:pPr>
              <w:pStyle w:val="70"/>
              <w:spacing w:line="240" w:lineRule="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项目位于四川巴中经济开发区的核心区，与城区和居住区不接壤。</w:t>
            </w:r>
          </w:p>
          <w:p w14:paraId="3ACED7C8">
            <w:pPr>
              <w:pStyle w:val="70"/>
              <w:spacing w:line="240" w:lineRule="auto"/>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经分析，项目建设符合工业重点管控单元总体准入要求。</w:t>
            </w:r>
          </w:p>
        </w:tc>
        <w:tc>
          <w:tcPr>
            <w:tcW w:w="929" w:type="dxa"/>
            <w:vAlign w:val="center"/>
          </w:tcPr>
          <w:p w14:paraId="27056E10">
            <w:pPr>
              <w:pStyle w:val="70"/>
              <w:spacing w:line="240" w:lineRule="auto"/>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符合</w:t>
            </w:r>
          </w:p>
        </w:tc>
      </w:tr>
      <w:tr w14:paraId="70A1206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016" w:type="dxa"/>
            <w:vMerge w:val="continue"/>
            <w:vAlign w:val="center"/>
          </w:tcPr>
          <w:p w14:paraId="202A03D4">
            <w:pPr>
              <w:pStyle w:val="70"/>
              <w:spacing w:line="240" w:lineRule="auto"/>
              <w:rPr>
                <w:rFonts w:hint="eastAsia" w:ascii="Times New Roman" w:hAnsi="Times New Roman" w:eastAsia="宋体" w:cs="Times New Roman"/>
                <w:color w:val="auto"/>
                <w:sz w:val="21"/>
                <w:szCs w:val="21"/>
              </w:rPr>
            </w:pPr>
          </w:p>
        </w:tc>
        <w:tc>
          <w:tcPr>
            <w:tcW w:w="1370" w:type="dxa"/>
            <w:vMerge w:val="continue"/>
            <w:vAlign w:val="center"/>
          </w:tcPr>
          <w:p w14:paraId="619349B3">
            <w:pPr>
              <w:pStyle w:val="70"/>
              <w:spacing w:line="240" w:lineRule="auto"/>
              <w:rPr>
                <w:rFonts w:hint="eastAsia" w:ascii="Times New Roman" w:hAnsi="Times New Roman" w:eastAsia="宋体" w:cs="Times New Roman"/>
                <w:color w:val="auto"/>
                <w:sz w:val="21"/>
                <w:szCs w:val="21"/>
              </w:rPr>
            </w:pPr>
          </w:p>
        </w:tc>
        <w:tc>
          <w:tcPr>
            <w:tcW w:w="1547" w:type="dxa"/>
            <w:vMerge w:val="continue"/>
            <w:vAlign w:val="center"/>
          </w:tcPr>
          <w:p w14:paraId="0B9D61EA">
            <w:pPr>
              <w:pStyle w:val="70"/>
              <w:spacing w:line="240" w:lineRule="auto"/>
              <w:rPr>
                <w:rFonts w:ascii="Times New Roman" w:hAnsi="Times New Roman" w:eastAsia="宋体" w:cs="Times New Roman"/>
                <w:color w:val="auto"/>
                <w:sz w:val="21"/>
                <w:szCs w:val="21"/>
              </w:rPr>
            </w:pPr>
          </w:p>
        </w:tc>
        <w:tc>
          <w:tcPr>
            <w:tcW w:w="1710" w:type="dxa"/>
            <w:vAlign w:val="center"/>
          </w:tcPr>
          <w:p w14:paraId="5DDE077E">
            <w:pPr>
              <w:pStyle w:val="70"/>
              <w:spacing w:line="240" w:lineRule="auto"/>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企业环境风险防控要求</w:t>
            </w:r>
          </w:p>
        </w:tc>
        <w:tc>
          <w:tcPr>
            <w:tcW w:w="3403" w:type="dxa"/>
            <w:vAlign w:val="center"/>
          </w:tcPr>
          <w:p w14:paraId="3EB7E9DB">
            <w:pPr>
              <w:pStyle w:val="70"/>
              <w:spacing w:line="240" w:lineRule="auto"/>
              <w:rPr>
                <w:rFonts w:hint="eastAsia" w:ascii="Times New Roman" w:hAnsi="Times New Roman" w:eastAsia="宋体" w:cs="Times New Roman"/>
                <w:color w:val="auto"/>
                <w:sz w:val="21"/>
                <w:szCs w:val="21"/>
              </w:rPr>
            </w:pPr>
            <w:r>
              <w:rPr>
                <w:rFonts w:ascii="Times New Roman" w:hAnsi="Times New Roman" w:eastAsia="宋体" w:cs="Times New Roman"/>
                <w:color w:val="auto"/>
                <w:sz w:val="21"/>
                <w:szCs w:val="21"/>
              </w:rPr>
              <w:t>执行工业重点管控单元普适性管控要求。</w:t>
            </w:r>
          </w:p>
        </w:tc>
        <w:tc>
          <w:tcPr>
            <w:tcW w:w="2677" w:type="dxa"/>
            <w:vAlign w:val="center"/>
          </w:tcPr>
          <w:p w14:paraId="33A9CA3D">
            <w:pPr>
              <w:pStyle w:val="70"/>
              <w:spacing w:line="240" w:lineRule="auto"/>
              <w:rPr>
                <w:rFonts w:hint="eastAsia"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项目符合工业重点管控单元总体准入要求</w:t>
            </w:r>
          </w:p>
        </w:tc>
        <w:tc>
          <w:tcPr>
            <w:tcW w:w="929" w:type="dxa"/>
            <w:vAlign w:val="center"/>
          </w:tcPr>
          <w:p w14:paraId="1295503E">
            <w:pPr>
              <w:pStyle w:val="70"/>
              <w:spacing w:line="240" w:lineRule="auto"/>
              <w:rPr>
                <w:rFonts w:hint="eastAsia" w:ascii="Times New Roman" w:hAnsi="Times New Roman" w:eastAsia="宋体" w:cs="Times New Roman"/>
                <w:color w:val="auto"/>
                <w:sz w:val="21"/>
                <w:szCs w:val="21"/>
              </w:rPr>
            </w:pPr>
            <w:r>
              <w:rPr>
                <w:rFonts w:hint="eastAsia" w:cs="Times New Roman"/>
                <w:color w:val="auto"/>
                <w:sz w:val="21"/>
                <w:szCs w:val="21"/>
                <w:lang w:val="en-US" w:eastAsia="zh-CN"/>
              </w:rPr>
              <w:t>符合</w:t>
            </w:r>
          </w:p>
        </w:tc>
      </w:tr>
      <w:tr w14:paraId="2E4CC80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016" w:type="dxa"/>
            <w:vMerge w:val="continue"/>
            <w:vAlign w:val="center"/>
          </w:tcPr>
          <w:p w14:paraId="69064599">
            <w:pPr>
              <w:pStyle w:val="70"/>
              <w:spacing w:line="240" w:lineRule="auto"/>
              <w:rPr>
                <w:rFonts w:hint="eastAsia" w:ascii="Times New Roman" w:hAnsi="Times New Roman" w:eastAsia="宋体" w:cs="Times New Roman"/>
                <w:color w:val="auto"/>
                <w:sz w:val="21"/>
                <w:szCs w:val="21"/>
              </w:rPr>
            </w:pPr>
          </w:p>
        </w:tc>
        <w:tc>
          <w:tcPr>
            <w:tcW w:w="1370" w:type="dxa"/>
            <w:vMerge w:val="continue"/>
            <w:vAlign w:val="center"/>
          </w:tcPr>
          <w:p w14:paraId="1D4CB200">
            <w:pPr>
              <w:pStyle w:val="70"/>
              <w:spacing w:line="240" w:lineRule="auto"/>
              <w:rPr>
                <w:rFonts w:hint="eastAsia" w:ascii="Times New Roman" w:hAnsi="Times New Roman" w:eastAsia="宋体" w:cs="Times New Roman"/>
                <w:color w:val="auto"/>
                <w:sz w:val="21"/>
                <w:szCs w:val="21"/>
              </w:rPr>
            </w:pPr>
          </w:p>
        </w:tc>
        <w:tc>
          <w:tcPr>
            <w:tcW w:w="1547" w:type="dxa"/>
            <w:vMerge w:val="continue"/>
            <w:vAlign w:val="center"/>
          </w:tcPr>
          <w:p w14:paraId="7C19F04D">
            <w:pPr>
              <w:pStyle w:val="70"/>
              <w:spacing w:line="240" w:lineRule="auto"/>
              <w:rPr>
                <w:rFonts w:ascii="Times New Roman" w:hAnsi="Times New Roman" w:eastAsia="宋体" w:cs="Times New Roman"/>
                <w:color w:val="auto"/>
                <w:sz w:val="21"/>
                <w:szCs w:val="21"/>
              </w:rPr>
            </w:pPr>
          </w:p>
        </w:tc>
        <w:tc>
          <w:tcPr>
            <w:tcW w:w="1710" w:type="dxa"/>
            <w:vAlign w:val="center"/>
          </w:tcPr>
          <w:p w14:paraId="162FB486">
            <w:pPr>
              <w:pStyle w:val="70"/>
              <w:spacing w:line="240" w:lineRule="auto"/>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其他环境风险防控要求</w:t>
            </w:r>
          </w:p>
        </w:tc>
        <w:tc>
          <w:tcPr>
            <w:tcW w:w="3403" w:type="dxa"/>
            <w:vAlign w:val="center"/>
          </w:tcPr>
          <w:p w14:paraId="403F8E72">
            <w:pPr>
              <w:pStyle w:val="70"/>
              <w:spacing w:line="240" w:lineRule="auto"/>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w:t>
            </w:r>
          </w:p>
        </w:tc>
        <w:tc>
          <w:tcPr>
            <w:tcW w:w="2677" w:type="dxa"/>
            <w:vAlign w:val="center"/>
          </w:tcPr>
          <w:p w14:paraId="64BE79ED">
            <w:pPr>
              <w:pStyle w:val="70"/>
              <w:spacing w:line="240" w:lineRule="auto"/>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w:t>
            </w:r>
          </w:p>
        </w:tc>
        <w:tc>
          <w:tcPr>
            <w:tcW w:w="929" w:type="dxa"/>
            <w:vAlign w:val="center"/>
          </w:tcPr>
          <w:p w14:paraId="1761E739">
            <w:pPr>
              <w:pStyle w:val="70"/>
              <w:spacing w:line="240" w:lineRule="auto"/>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w:t>
            </w:r>
          </w:p>
        </w:tc>
      </w:tr>
      <w:tr w14:paraId="3874998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016" w:type="dxa"/>
            <w:vMerge w:val="continue"/>
            <w:vAlign w:val="center"/>
          </w:tcPr>
          <w:p w14:paraId="73F07EDD">
            <w:pPr>
              <w:pStyle w:val="70"/>
              <w:spacing w:line="240" w:lineRule="auto"/>
              <w:rPr>
                <w:rFonts w:hint="eastAsia" w:ascii="Times New Roman" w:hAnsi="Times New Roman" w:eastAsia="宋体" w:cs="Times New Roman"/>
                <w:color w:val="auto"/>
                <w:sz w:val="21"/>
                <w:szCs w:val="21"/>
              </w:rPr>
            </w:pPr>
          </w:p>
        </w:tc>
        <w:tc>
          <w:tcPr>
            <w:tcW w:w="1370" w:type="dxa"/>
            <w:vMerge w:val="continue"/>
            <w:vAlign w:val="center"/>
          </w:tcPr>
          <w:p w14:paraId="724468BA">
            <w:pPr>
              <w:pStyle w:val="70"/>
              <w:spacing w:line="240" w:lineRule="auto"/>
              <w:rPr>
                <w:rFonts w:hint="eastAsia" w:ascii="Times New Roman" w:hAnsi="Times New Roman" w:eastAsia="宋体" w:cs="Times New Roman"/>
                <w:color w:val="auto"/>
                <w:sz w:val="21"/>
                <w:szCs w:val="21"/>
              </w:rPr>
            </w:pPr>
          </w:p>
        </w:tc>
        <w:tc>
          <w:tcPr>
            <w:tcW w:w="1547" w:type="dxa"/>
            <w:vMerge w:val="restart"/>
            <w:vAlign w:val="center"/>
          </w:tcPr>
          <w:p w14:paraId="7028D243">
            <w:pPr>
              <w:pStyle w:val="70"/>
              <w:spacing w:line="240" w:lineRule="auto"/>
              <w:rPr>
                <w:rFonts w:hint="eastAsia" w:ascii="Times New Roman" w:hAnsi="Times New Roman" w:eastAsia="宋体" w:cs="Times New Roman"/>
                <w:color w:val="auto"/>
                <w:sz w:val="21"/>
                <w:szCs w:val="21"/>
              </w:rPr>
            </w:pPr>
            <w:r>
              <w:rPr>
                <w:rFonts w:ascii="Times New Roman" w:hAnsi="Times New Roman" w:eastAsia="宋体" w:cs="Times New Roman"/>
                <w:color w:val="auto"/>
                <w:sz w:val="21"/>
                <w:szCs w:val="21"/>
              </w:rPr>
              <w:t>资源开发利用效率要求</w:t>
            </w:r>
          </w:p>
        </w:tc>
        <w:tc>
          <w:tcPr>
            <w:tcW w:w="1710" w:type="dxa"/>
            <w:vAlign w:val="center"/>
          </w:tcPr>
          <w:p w14:paraId="72BA40B4">
            <w:pPr>
              <w:pStyle w:val="70"/>
              <w:spacing w:line="240" w:lineRule="auto"/>
              <w:rPr>
                <w:rFonts w:hint="eastAsia" w:ascii="Times New Roman" w:hAnsi="Times New Roman" w:eastAsia="宋体" w:cs="Times New Roman"/>
                <w:color w:val="auto"/>
                <w:sz w:val="21"/>
                <w:szCs w:val="21"/>
              </w:rPr>
            </w:pPr>
            <w:r>
              <w:rPr>
                <w:rFonts w:ascii="Times New Roman" w:hAnsi="Times New Roman" w:eastAsia="宋体" w:cs="Times New Roman"/>
                <w:color w:val="auto"/>
                <w:sz w:val="21"/>
                <w:szCs w:val="21"/>
              </w:rPr>
              <w:t>水资源利用效率要求</w:t>
            </w:r>
          </w:p>
        </w:tc>
        <w:tc>
          <w:tcPr>
            <w:tcW w:w="3403" w:type="dxa"/>
            <w:vAlign w:val="center"/>
          </w:tcPr>
          <w:p w14:paraId="2D04EAE3">
            <w:pPr>
              <w:pStyle w:val="70"/>
              <w:spacing w:line="240" w:lineRule="auto"/>
              <w:rPr>
                <w:rFonts w:hint="eastAsia" w:ascii="Times New Roman" w:hAnsi="Times New Roman" w:eastAsia="宋体" w:cs="Times New Roman"/>
                <w:color w:val="auto"/>
                <w:sz w:val="21"/>
                <w:szCs w:val="21"/>
                <w:lang w:eastAsia="zh-CN"/>
              </w:rPr>
            </w:pPr>
            <w:r>
              <w:rPr>
                <w:rFonts w:ascii="Times New Roman" w:hAnsi="Times New Roman" w:eastAsia="宋体" w:cs="Times New Roman"/>
                <w:color w:val="auto"/>
                <w:sz w:val="21"/>
                <w:szCs w:val="21"/>
              </w:rPr>
              <w:t>执行工业重点管控单元普适性管控要求</w:t>
            </w:r>
            <w:r>
              <w:rPr>
                <w:rFonts w:hint="eastAsia" w:ascii="Times New Roman" w:hAnsi="Times New Roman" w:eastAsia="宋体" w:cs="Times New Roman"/>
                <w:color w:val="auto"/>
                <w:sz w:val="21"/>
                <w:szCs w:val="21"/>
                <w:lang w:eastAsia="zh-CN"/>
              </w:rPr>
              <w:t>。</w:t>
            </w:r>
          </w:p>
        </w:tc>
        <w:tc>
          <w:tcPr>
            <w:tcW w:w="2677" w:type="dxa"/>
            <w:vAlign w:val="center"/>
          </w:tcPr>
          <w:p w14:paraId="02E9AAD3">
            <w:pPr>
              <w:pStyle w:val="70"/>
              <w:spacing w:line="240" w:lineRule="auto"/>
              <w:rPr>
                <w:rFonts w:hint="eastAsia"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项目符合工业重点管控单元总体准入要求</w:t>
            </w:r>
          </w:p>
        </w:tc>
        <w:tc>
          <w:tcPr>
            <w:tcW w:w="929" w:type="dxa"/>
            <w:vAlign w:val="center"/>
          </w:tcPr>
          <w:p w14:paraId="60861EBF">
            <w:pPr>
              <w:pStyle w:val="70"/>
              <w:spacing w:line="240" w:lineRule="auto"/>
              <w:rPr>
                <w:rFonts w:hint="eastAsia" w:ascii="Times New Roman" w:hAnsi="Times New Roman" w:eastAsia="宋体" w:cs="Times New Roman"/>
                <w:color w:val="auto"/>
                <w:sz w:val="21"/>
                <w:szCs w:val="21"/>
              </w:rPr>
            </w:pPr>
            <w:r>
              <w:rPr>
                <w:rFonts w:hint="eastAsia" w:cs="Times New Roman"/>
                <w:color w:val="auto"/>
                <w:sz w:val="21"/>
                <w:szCs w:val="21"/>
                <w:lang w:val="en-US" w:eastAsia="zh-CN"/>
              </w:rPr>
              <w:t>符合</w:t>
            </w:r>
          </w:p>
        </w:tc>
      </w:tr>
      <w:tr w14:paraId="40E75B7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016" w:type="dxa"/>
            <w:vMerge w:val="continue"/>
            <w:vAlign w:val="center"/>
          </w:tcPr>
          <w:p w14:paraId="69FCFD68">
            <w:pPr>
              <w:pStyle w:val="70"/>
              <w:spacing w:line="240" w:lineRule="auto"/>
              <w:rPr>
                <w:rFonts w:hint="eastAsia" w:ascii="Times New Roman" w:hAnsi="Times New Roman" w:eastAsia="宋体" w:cs="Times New Roman"/>
                <w:color w:val="auto"/>
                <w:sz w:val="21"/>
                <w:szCs w:val="21"/>
              </w:rPr>
            </w:pPr>
          </w:p>
        </w:tc>
        <w:tc>
          <w:tcPr>
            <w:tcW w:w="1370" w:type="dxa"/>
            <w:vMerge w:val="continue"/>
            <w:vAlign w:val="center"/>
          </w:tcPr>
          <w:p w14:paraId="540B2C64">
            <w:pPr>
              <w:pStyle w:val="70"/>
              <w:spacing w:line="240" w:lineRule="auto"/>
              <w:rPr>
                <w:rFonts w:hint="eastAsia" w:ascii="Times New Roman" w:hAnsi="Times New Roman" w:eastAsia="宋体" w:cs="Times New Roman"/>
                <w:color w:val="auto"/>
                <w:sz w:val="21"/>
                <w:szCs w:val="21"/>
              </w:rPr>
            </w:pPr>
          </w:p>
        </w:tc>
        <w:tc>
          <w:tcPr>
            <w:tcW w:w="1547" w:type="dxa"/>
            <w:vMerge w:val="continue"/>
            <w:vAlign w:val="center"/>
          </w:tcPr>
          <w:p w14:paraId="35996778">
            <w:pPr>
              <w:pStyle w:val="70"/>
              <w:spacing w:line="240" w:lineRule="auto"/>
              <w:rPr>
                <w:rFonts w:hint="eastAsia" w:ascii="Times New Roman" w:hAnsi="Times New Roman" w:eastAsia="宋体" w:cs="Times New Roman"/>
                <w:color w:val="auto"/>
                <w:sz w:val="21"/>
                <w:szCs w:val="21"/>
              </w:rPr>
            </w:pPr>
          </w:p>
        </w:tc>
        <w:tc>
          <w:tcPr>
            <w:tcW w:w="1710" w:type="dxa"/>
            <w:vAlign w:val="center"/>
          </w:tcPr>
          <w:p w14:paraId="05B57493">
            <w:pPr>
              <w:pStyle w:val="70"/>
              <w:spacing w:line="240" w:lineRule="auto"/>
              <w:rPr>
                <w:rFonts w:hint="eastAsia" w:ascii="Times New Roman" w:hAnsi="Times New Roman" w:eastAsia="宋体" w:cs="Times New Roman"/>
                <w:color w:val="auto"/>
                <w:sz w:val="21"/>
                <w:szCs w:val="21"/>
              </w:rPr>
            </w:pPr>
            <w:r>
              <w:rPr>
                <w:rFonts w:ascii="Times New Roman" w:hAnsi="Times New Roman" w:eastAsia="宋体" w:cs="Times New Roman"/>
                <w:color w:val="auto"/>
                <w:sz w:val="21"/>
                <w:szCs w:val="21"/>
              </w:rPr>
              <w:t>地下水开采要求</w:t>
            </w:r>
          </w:p>
        </w:tc>
        <w:tc>
          <w:tcPr>
            <w:tcW w:w="3403" w:type="dxa"/>
            <w:vAlign w:val="center"/>
          </w:tcPr>
          <w:p w14:paraId="7A93A744">
            <w:pPr>
              <w:pStyle w:val="70"/>
              <w:spacing w:line="240" w:lineRule="auto"/>
              <w:rPr>
                <w:rFonts w:hint="eastAsia" w:ascii="Times New Roman" w:hAnsi="Times New Roman" w:eastAsia="宋体" w:cs="Times New Roman"/>
                <w:color w:val="auto"/>
                <w:sz w:val="21"/>
                <w:szCs w:val="21"/>
              </w:rPr>
            </w:pPr>
            <w:r>
              <w:rPr>
                <w:rFonts w:ascii="Times New Roman" w:hAnsi="Times New Roman" w:eastAsia="宋体" w:cs="Times New Roman"/>
                <w:color w:val="auto"/>
                <w:sz w:val="21"/>
                <w:szCs w:val="21"/>
              </w:rPr>
              <w:t>执行工业重点管控单元普适性管控要求。</w:t>
            </w:r>
          </w:p>
        </w:tc>
        <w:tc>
          <w:tcPr>
            <w:tcW w:w="2677" w:type="dxa"/>
            <w:vAlign w:val="center"/>
          </w:tcPr>
          <w:p w14:paraId="58C1F0DA">
            <w:pPr>
              <w:pStyle w:val="70"/>
              <w:spacing w:line="240" w:lineRule="auto"/>
              <w:rPr>
                <w:rFonts w:hint="eastAsia"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项目符合工业重点管控单元总体准入要求</w:t>
            </w:r>
          </w:p>
        </w:tc>
        <w:tc>
          <w:tcPr>
            <w:tcW w:w="929" w:type="dxa"/>
            <w:vAlign w:val="center"/>
          </w:tcPr>
          <w:p w14:paraId="5132BF14">
            <w:pPr>
              <w:pStyle w:val="70"/>
              <w:spacing w:line="240" w:lineRule="auto"/>
              <w:rPr>
                <w:rFonts w:hint="eastAsia" w:ascii="Times New Roman" w:hAnsi="Times New Roman" w:eastAsia="宋体" w:cs="Times New Roman"/>
                <w:color w:val="auto"/>
                <w:sz w:val="21"/>
                <w:szCs w:val="21"/>
              </w:rPr>
            </w:pPr>
            <w:r>
              <w:rPr>
                <w:rFonts w:hint="eastAsia" w:cs="Times New Roman"/>
                <w:color w:val="auto"/>
                <w:sz w:val="21"/>
                <w:szCs w:val="21"/>
                <w:lang w:val="en-US" w:eastAsia="zh-CN"/>
              </w:rPr>
              <w:t>符合</w:t>
            </w:r>
          </w:p>
        </w:tc>
      </w:tr>
      <w:tr w14:paraId="36897BA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016" w:type="dxa"/>
            <w:vMerge w:val="continue"/>
            <w:vAlign w:val="center"/>
          </w:tcPr>
          <w:p w14:paraId="6C3AA218">
            <w:pPr>
              <w:pStyle w:val="70"/>
              <w:spacing w:line="240" w:lineRule="auto"/>
              <w:rPr>
                <w:rFonts w:hint="eastAsia" w:ascii="Times New Roman" w:hAnsi="Times New Roman" w:eastAsia="宋体" w:cs="Times New Roman"/>
                <w:color w:val="auto"/>
                <w:sz w:val="21"/>
                <w:szCs w:val="21"/>
              </w:rPr>
            </w:pPr>
          </w:p>
        </w:tc>
        <w:tc>
          <w:tcPr>
            <w:tcW w:w="1370" w:type="dxa"/>
            <w:vMerge w:val="continue"/>
            <w:vAlign w:val="center"/>
          </w:tcPr>
          <w:p w14:paraId="14950BE8">
            <w:pPr>
              <w:pStyle w:val="70"/>
              <w:spacing w:line="240" w:lineRule="auto"/>
              <w:rPr>
                <w:rFonts w:hint="eastAsia" w:ascii="Times New Roman" w:hAnsi="Times New Roman" w:eastAsia="宋体" w:cs="Times New Roman"/>
                <w:color w:val="auto"/>
                <w:sz w:val="21"/>
                <w:szCs w:val="21"/>
              </w:rPr>
            </w:pPr>
          </w:p>
        </w:tc>
        <w:tc>
          <w:tcPr>
            <w:tcW w:w="1547" w:type="dxa"/>
            <w:vMerge w:val="continue"/>
            <w:vAlign w:val="center"/>
          </w:tcPr>
          <w:p w14:paraId="6278C2E3">
            <w:pPr>
              <w:pStyle w:val="70"/>
              <w:spacing w:line="240" w:lineRule="auto"/>
              <w:rPr>
                <w:rFonts w:hint="eastAsia" w:ascii="Times New Roman" w:hAnsi="Times New Roman" w:eastAsia="宋体" w:cs="Times New Roman"/>
                <w:color w:val="auto"/>
                <w:sz w:val="21"/>
                <w:szCs w:val="21"/>
              </w:rPr>
            </w:pPr>
          </w:p>
        </w:tc>
        <w:tc>
          <w:tcPr>
            <w:tcW w:w="1710" w:type="dxa"/>
            <w:vAlign w:val="center"/>
          </w:tcPr>
          <w:p w14:paraId="0E1BE526">
            <w:pPr>
              <w:pStyle w:val="70"/>
              <w:spacing w:line="240" w:lineRule="auto"/>
              <w:rPr>
                <w:rFonts w:hint="eastAsia" w:ascii="Times New Roman" w:hAnsi="Times New Roman" w:eastAsia="宋体" w:cs="Times New Roman"/>
                <w:color w:val="auto"/>
                <w:sz w:val="21"/>
                <w:szCs w:val="21"/>
              </w:rPr>
            </w:pPr>
            <w:r>
              <w:rPr>
                <w:rFonts w:ascii="Times New Roman" w:hAnsi="Times New Roman" w:eastAsia="宋体" w:cs="Times New Roman"/>
                <w:color w:val="auto"/>
                <w:sz w:val="21"/>
                <w:szCs w:val="21"/>
              </w:rPr>
              <w:t>能源利用效率要求</w:t>
            </w:r>
          </w:p>
        </w:tc>
        <w:tc>
          <w:tcPr>
            <w:tcW w:w="3403" w:type="dxa"/>
            <w:vAlign w:val="center"/>
          </w:tcPr>
          <w:p w14:paraId="30528C23">
            <w:pPr>
              <w:pStyle w:val="70"/>
              <w:spacing w:line="240" w:lineRule="auto"/>
              <w:rPr>
                <w:rFonts w:hint="eastAsia" w:ascii="Times New Roman" w:hAnsi="Times New Roman" w:eastAsia="宋体" w:cs="Times New Roman"/>
                <w:color w:val="auto"/>
                <w:sz w:val="21"/>
                <w:szCs w:val="21"/>
              </w:rPr>
            </w:pPr>
            <w:r>
              <w:rPr>
                <w:rFonts w:ascii="Times New Roman" w:hAnsi="Times New Roman" w:eastAsia="宋体" w:cs="Times New Roman"/>
                <w:color w:val="auto"/>
                <w:sz w:val="21"/>
                <w:szCs w:val="21"/>
              </w:rPr>
              <w:t>执行工业重点管控单元普适性管控要求。</w:t>
            </w:r>
          </w:p>
        </w:tc>
        <w:tc>
          <w:tcPr>
            <w:tcW w:w="2677" w:type="dxa"/>
            <w:vAlign w:val="center"/>
          </w:tcPr>
          <w:p w14:paraId="03308302">
            <w:pPr>
              <w:pStyle w:val="70"/>
              <w:spacing w:line="240" w:lineRule="auto"/>
              <w:rPr>
                <w:rFonts w:hint="eastAsia"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项目符合工业重点管控单元总体准入要求</w:t>
            </w:r>
          </w:p>
        </w:tc>
        <w:tc>
          <w:tcPr>
            <w:tcW w:w="929" w:type="dxa"/>
            <w:vAlign w:val="center"/>
          </w:tcPr>
          <w:p w14:paraId="0DD97DAD">
            <w:pPr>
              <w:pStyle w:val="70"/>
              <w:spacing w:line="240" w:lineRule="auto"/>
              <w:rPr>
                <w:rFonts w:hint="eastAsia" w:ascii="Times New Roman" w:hAnsi="Times New Roman" w:eastAsia="宋体" w:cs="Times New Roman"/>
                <w:color w:val="auto"/>
                <w:sz w:val="21"/>
                <w:szCs w:val="21"/>
              </w:rPr>
            </w:pPr>
            <w:r>
              <w:rPr>
                <w:rFonts w:hint="eastAsia" w:cs="Times New Roman"/>
                <w:color w:val="auto"/>
                <w:sz w:val="21"/>
                <w:szCs w:val="21"/>
                <w:lang w:val="en-US" w:eastAsia="zh-CN"/>
              </w:rPr>
              <w:t>符合</w:t>
            </w:r>
          </w:p>
        </w:tc>
      </w:tr>
      <w:tr w14:paraId="31EBC23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15" w:hRule="atLeast"/>
          <w:jc w:val="center"/>
        </w:trPr>
        <w:tc>
          <w:tcPr>
            <w:tcW w:w="2016" w:type="dxa"/>
            <w:vMerge w:val="continue"/>
            <w:vAlign w:val="center"/>
          </w:tcPr>
          <w:p w14:paraId="2D84B54C">
            <w:pPr>
              <w:pStyle w:val="70"/>
              <w:spacing w:line="240" w:lineRule="auto"/>
              <w:rPr>
                <w:rFonts w:hint="eastAsia" w:ascii="Times New Roman" w:hAnsi="Times New Roman" w:eastAsia="宋体" w:cs="Times New Roman"/>
                <w:color w:val="auto"/>
                <w:sz w:val="21"/>
                <w:szCs w:val="21"/>
              </w:rPr>
            </w:pPr>
          </w:p>
        </w:tc>
        <w:tc>
          <w:tcPr>
            <w:tcW w:w="1370" w:type="dxa"/>
            <w:vMerge w:val="continue"/>
            <w:vAlign w:val="center"/>
          </w:tcPr>
          <w:p w14:paraId="404F69C1">
            <w:pPr>
              <w:pStyle w:val="70"/>
              <w:spacing w:line="240" w:lineRule="auto"/>
              <w:rPr>
                <w:rFonts w:hint="eastAsia" w:ascii="Times New Roman" w:hAnsi="Times New Roman" w:eastAsia="宋体" w:cs="Times New Roman"/>
                <w:color w:val="auto"/>
                <w:sz w:val="21"/>
                <w:szCs w:val="21"/>
              </w:rPr>
            </w:pPr>
          </w:p>
        </w:tc>
        <w:tc>
          <w:tcPr>
            <w:tcW w:w="1547" w:type="dxa"/>
            <w:vMerge w:val="continue"/>
            <w:vAlign w:val="center"/>
          </w:tcPr>
          <w:p w14:paraId="7DE44599">
            <w:pPr>
              <w:pStyle w:val="70"/>
              <w:spacing w:line="240" w:lineRule="auto"/>
              <w:rPr>
                <w:rFonts w:hint="eastAsia" w:ascii="Times New Roman" w:hAnsi="Times New Roman" w:eastAsia="宋体" w:cs="Times New Roman"/>
                <w:color w:val="auto"/>
                <w:sz w:val="21"/>
                <w:szCs w:val="21"/>
              </w:rPr>
            </w:pPr>
          </w:p>
        </w:tc>
        <w:tc>
          <w:tcPr>
            <w:tcW w:w="1710" w:type="dxa"/>
            <w:vAlign w:val="center"/>
          </w:tcPr>
          <w:p w14:paraId="0CAA01AC">
            <w:pPr>
              <w:pStyle w:val="70"/>
              <w:spacing w:line="240" w:lineRule="auto"/>
              <w:rPr>
                <w:rFonts w:hint="eastAsia" w:ascii="Times New Roman" w:hAnsi="Times New Roman" w:eastAsia="宋体" w:cs="Times New Roman"/>
                <w:color w:val="auto"/>
                <w:sz w:val="21"/>
                <w:szCs w:val="21"/>
              </w:rPr>
            </w:pPr>
            <w:r>
              <w:rPr>
                <w:rFonts w:ascii="Times New Roman" w:hAnsi="Times New Roman" w:eastAsia="宋体" w:cs="Times New Roman"/>
                <w:color w:val="auto"/>
                <w:sz w:val="21"/>
                <w:szCs w:val="21"/>
              </w:rPr>
              <w:t>其他资源利用效率要求</w:t>
            </w:r>
          </w:p>
        </w:tc>
        <w:tc>
          <w:tcPr>
            <w:tcW w:w="3403" w:type="dxa"/>
            <w:vAlign w:val="center"/>
          </w:tcPr>
          <w:p w14:paraId="42AF4B8E">
            <w:pPr>
              <w:pStyle w:val="70"/>
              <w:spacing w:line="240" w:lineRule="auto"/>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w:t>
            </w:r>
          </w:p>
        </w:tc>
        <w:tc>
          <w:tcPr>
            <w:tcW w:w="2677" w:type="dxa"/>
            <w:vAlign w:val="center"/>
          </w:tcPr>
          <w:p w14:paraId="2EF0FD2D">
            <w:pPr>
              <w:pStyle w:val="70"/>
              <w:spacing w:line="240" w:lineRule="auto"/>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w:t>
            </w:r>
          </w:p>
        </w:tc>
        <w:tc>
          <w:tcPr>
            <w:tcW w:w="929" w:type="dxa"/>
            <w:vAlign w:val="center"/>
          </w:tcPr>
          <w:p w14:paraId="2096885F">
            <w:pPr>
              <w:pStyle w:val="70"/>
              <w:spacing w:line="240" w:lineRule="auto"/>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w:t>
            </w:r>
          </w:p>
        </w:tc>
      </w:tr>
      <w:tr w14:paraId="2944126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016" w:type="dxa"/>
            <w:vMerge w:val="restart"/>
            <w:vAlign w:val="center"/>
          </w:tcPr>
          <w:p w14:paraId="275562C8">
            <w:pPr>
              <w:pStyle w:val="70"/>
              <w:spacing w:line="240" w:lineRule="auto"/>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YS5119023110001</w:t>
            </w:r>
          </w:p>
          <w:p w14:paraId="7047D7F7">
            <w:pPr>
              <w:pStyle w:val="70"/>
              <w:spacing w:line="240" w:lineRule="auto"/>
              <w:rPr>
                <w:rFonts w:hint="eastAsia" w:ascii="Times New Roman" w:hAnsi="Times New Roman" w:eastAsia="宋体" w:cs="Times New Roman"/>
                <w:color w:val="auto"/>
                <w:sz w:val="21"/>
                <w:szCs w:val="21"/>
              </w:rPr>
            </w:pPr>
            <w:r>
              <w:rPr>
                <w:rFonts w:ascii="Times New Roman" w:hAnsi="Times New Roman" w:eastAsia="宋体" w:cs="Times New Roman"/>
                <w:color w:val="auto"/>
                <w:sz w:val="21"/>
                <w:szCs w:val="21"/>
              </w:rPr>
              <w:t>巴州区其他区域</w:t>
            </w:r>
          </w:p>
        </w:tc>
        <w:tc>
          <w:tcPr>
            <w:tcW w:w="1370" w:type="dxa"/>
            <w:vMerge w:val="restart"/>
            <w:vAlign w:val="center"/>
          </w:tcPr>
          <w:p w14:paraId="3796CC13">
            <w:pPr>
              <w:pStyle w:val="70"/>
              <w:spacing w:line="240" w:lineRule="auto"/>
              <w:rPr>
                <w:rFonts w:hint="eastAsia" w:ascii="Times New Roman" w:hAnsi="Times New Roman" w:eastAsia="宋体" w:cs="Times New Roman"/>
                <w:color w:val="auto"/>
                <w:sz w:val="21"/>
                <w:szCs w:val="21"/>
              </w:rPr>
            </w:pPr>
            <w:r>
              <w:rPr>
                <w:rFonts w:ascii="Times New Roman" w:hAnsi="Times New Roman" w:eastAsia="宋体" w:cs="Times New Roman"/>
                <w:color w:val="auto"/>
                <w:sz w:val="21"/>
                <w:szCs w:val="21"/>
              </w:rPr>
              <w:t>一般管控区</w:t>
            </w:r>
          </w:p>
        </w:tc>
        <w:tc>
          <w:tcPr>
            <w:tcW w:w="1547" w:type="dxa"/>
            <w:vAlign w:val="center"/>
          </w:tcPr>
          <w:p w14:paraId="35171EFA">
            <w:pPr>
              <w:pStyle w:val="70"/>
              <w:spacing w:line="240" w:lineRule="auto"/>
              <w:rPr>
                <w:rFonts w:hint="eastAsia" w:ascii="Times New Roman" w:hAnsi="Times New Roman" w:eastAsia="宋体" w:cs="Times New Roman"/>
                <w:color w:val="auto"/>
                <w:sz w:val="21"/>
                <w:szCs w:val="21"/>
              </w:rPr>
            </w:pPr>
            <w:r>
              <w:rPr>
                <w:rFonts w:ascii="Times New Roman" w:hAnsi="Times New Roman" w:eastAsia="宋体" w:cs="Times New Roman"/>
                <w:color w:val="auto"/>
                <w:sz w:val="21"/>
                <w:szCs w:val="21"/>
              </w:rPr>
              <w:t>空间布局约束</w:t>
            </w:r>
          </w:p>
        </w:tc>
        <w:tc>
          <w:tcPr>
            <w:tcW w:w="1710" w:type="dxa"/>
            <w:vAlign w:val="center"/>
          </w:tcPr>
          <w:p w14:paraId="7CC2D010">
            <w:pPr>
              <w:pStyle w:val="70"/>
              <w:spacing w:line="240" w:lineRule="auto"/>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w:t>
            </w:r>
          </w:p>
        </w:tc>
        <w:tc>
          <w:tcPr>
            <w:tcW w:w="3403" w:type="dxa"/>
            <w:vAlign w:val="center"/>
          </w:tcPr>
          <w:p w14:paraId="75012F04">
            <w:pPr>
              <w:pStyle w:val="70"/>
              <w:spacing w:line="240" w:lineRule="auto"/>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w:t>
            </w:r>
          </w:p>
        </w:tc>
        <w:tc>
          <w:tcPr>
            <w:tcW w:w="2677" w:type="dxa"/>
            <w:vAlign w:val="center"/>
          </w:tcPr>
          <w:p w14:paraId="17BA48B5">
            <w:pPr>
              <w:pStyle w:val="70"/>
              <w:spacing w:line="240" w:lineRule="auto"/>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w:t>
            </w:r>
          </w:p>
        </w:tc>
        <w:tc>
          <w:tcPr>
            <w:tcW w:w="929" w:type="dxa"/>
            <w:vAlign w:val="center"/>
          </w:tcPr>
          <w:p w14:paraId="46D1A445">
            <w:pPr>
              <w:pStyle w:val="70"/>
              <w:spacing w:line="240" w:lineRule="auto"/>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w:t>
            </w:r>
          </w:p>
        </w:tc>
      </w:tr>
      <w:tr w14:paraId="6491AD8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016" w:type="dxa"/>
            <w:vMerge w:val="continue"/>
            <w:vAlign w:val="center"/>
          </w:tcPr>
          <w:p w14:paraId="5DCF445C">
            <w:pPr>
              <w:pStyle w:val="70"/>
              <w:spacing w:line="240" w:lineRule="auto"/>
              <w:rPr>
                <w:rFonts w:hint="eastAsia" w:ascii="Times New Roman" w:hAnsi="Times New Roman" w:eastAsia="宋体" w:cs="Times New Roman"/>
                <w:color w:val="auto"/>
                <w:sz w:val="21"/>
                <w:szCs w:val="21"/>
              </w:rPr>
            </w:pPr>
          </w:p>
        </w:tc>
        <w:tc>
          <w:tcPr>
            <w:tcW w:w="1370" w:type="dxa"/>
            <w:vMerge w:val="continue"/>
            <w:vAlign w:val="center"/>
          </w:tcPr>
          <w:p w14:paraId="742AF8A9">
            <w:pPr>
              <w:pStyle w:val="70"/>
              <w:spacing w:line="240" w:lineRule="auto"/>
              <w:rPr>
                <w:rFonts w:hint="eastAsia" w:ascii="Times New Roman" w:hAnsi="Times New Roman" w:eastAsia="宋体" w:cs="Times New Roman"/>
                <w:color w:val="auto"/>
                <w:sz w:val="21"/>
                <w:szCs w:val="21"/>
              </w:rPr>
            </w:pPr>
          </w:p>
        </w:tc>
        <w:tc>
          <w:tcPr>
            <w:tcW w:w="1547" w:type="dxa"/>
            <w:vAlign w:val="center"/>
          </w:tcPr>
          <w:p w14:paraId="5203D463">
            <w:pPr>
              <w:pStyle w:val="70"/>
              <w:spacing w:line="240" w:lineRule="auto"/>
              <w:rPr>
                <w:rFonts w:hint="eastAsia" w:ascii="Times New Roman" w:hAnsi="Times New Roman" w:eastAsia="宋体" w:cs="Times New Roman"/>
                <w:color w:val="auto"/>
                <w:sz w:val="21"/>
                <w:szCs w:val="21"/>
              </w:rPr>
            </w:pPr>
            <w:r>
              <w:rPr>
                <w:rFonts w:ascii="Times New Roman" w:hAnsi="Times New Roman" w:eastAsia="宋体" w:cs="Times New Roman"/>
                <w:color w:val="auto"/>
                <w:sz w:val="21"/>
                <w:szCs w:val="21"/>
              </w:rPr>
              <w:t>污染物排放管控</w:t>
            </w:r>
          </w:p>
        </w:tc>
        <w:tc>
          <w:tcPr>
            <w:tcW w:w="1710" w:type="dxa"/>
            <w:vAlign w:val="center"/>
          </w:tcPr>
          <w:p w14:paraId="0FAC1121">
            <w:pPr>
              <w:pStyle w:val="70"/>
              <w:spacing w:line="240" w:lineRule="auto"/>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w:t>
            </w:r>
          </w:p>
        </w:tc>
        <w:tc>
          <w:tcPr>
            <w:tcW w:w="3403" w:type="dxa"/>
            <w:vAlign w:val="center"/>
          </w:tcPr>
          <w:p w14:paraId="2E4498D9">
            <w:pPr>
              <w:pStyle w:val="70"/>
              <w:spacing w:line="240" w:lineRule="auto"/>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w:t>
            </w:r>
          </w:p>
        </w:tc>
        <w:tc>
          <w:tcPr>
            <w:tcW w:w="2677" w:type="dxa"/>
            <w:vAlign w:val="center"/>
          </w:tcPr>
          <w:p w14:paraId="374A8A0D">
            <w:pPr>
              <w:pStyle w:val="70"/>
              <w:spacing w:line="240" w:lineRule="auto"/>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w:t>
            </w:r>
          </w:p>
        </w:tc>
        <w:tc>
          <w:tcPr>
            <w:tcW w:w="929" w:type="dxa"/>
            <w:vAlign w:val="center"/>
          </w:tcPr>
          <w:p w14:paraId="3094CE9C">
            <w:pPr>
              <w:pStyle w:val="70"/>
              <w:spacing w:line="240" w:lineRule="auto"/>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w:t>
            </w:r>
          </w:p>
        </w:tc>
      </w:tr>
      <w:tr w14:paraId="2CAB2B9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016" w:type="dxa"/>
            <w:vMerge w:val="continue"/>
            <w:vAlign w:val="center"/>
          </w:tcPr>
          <w:p w14:paraId="15E5932B">
            <w:pPr>
              <w:pStyle w:val="70"/>
              <w:spacing w:line="240" w:lineRule="auto"/>
              <w:rPr>
                <w:rFonts w:hint="eastAsia" w:ascii="Times New Roman" w:hAnsi="Times New Roman" w:eastAsia="宋体" w:cs="Times New Roman"/>
                <w:color w:val="auto"/>
                <w:sz w:val="21"/>
                <w:szCs w:val="21"/>
              </w:rPr>
            </w:pPr>
          </w:p>
        </w:tc>
        <w:tc>
          <w:tcPr>
            <w:tcW w:w="1370" w:type="dxa"/>
            <w:vMerge w:val="continue"/>
            <w:vAlign w:val="center"/>
          </w:tcPr>
          <w:p w14:paraId="30F8B83A">
            <w:pPr>
              <w:pStyle w:val="70"/>
              <w:spacing w:line="240" w:lineRule="auto"/>
              <w:rPr>
                <w:rFonts w:hint="eastAsia" w:ascii="Times New Roman" w:hAnsi="Times New Roman" w:eastAsia="宋体" w:cs="Times New Roman"/>
                <w:color w:val="auto"/>
                <w:sz w:val="21"/>
                <w:szCs w:val="21"/>
              </w:rPr>
            </w:pPr>
          </w:p>
        </w:tc>
        <w:tc>
          <w:tcPr>
            <w:tcW w:w="1547" w:type="dxa"/>
            <w:vAlign w:val="center"/>
          </w:tcPr>
          <w:p w14:paraId="3085DE43">
            <w:pPr>
              <w:pStyle w:val="70"/>
              <w:spacing w:line="240" w:lineRule="auto"/>
              <w:rPr>
                <w:rFonts w:hint="eastAsia" w:ascii="Times New Roman" w:hAnsi="Times New Roman" w:eastAsia="宋体" w:cs="Times New Roman"/>
                <w:color w:val="auto"/>
                <w:sz w:val="21"/>
                <w:szCs w:val="21"/>
              </w:rPr>
            </w:pPr>
            <w:r>
              <w:rPr>
                <w:rFonts w:ascii="Times New Roman" w:hAnsi="Times New Roman" w:eastAsia="宋体" w:cs="Times New Roman"/>
                <w:color w:val="auto"/>
                <w:sz w:val="21"/>
                <w:szCs w:val="21"/>
              </w:rPr>
              <w:t>环境风险防控</w:t>
            </w:r>
          </w:p>
        </w:tc>
        <w:tc>
          <w:tcPr>
            <w:tcW w:w="1710" w:type="dxa"/>
            <w:vAlign w:val="center"/>
          </w:tcPr>
          <w:p w14:paraId="44A7334E">
            <w:pPr>
              <w:pStyle w:val="70"/>
              <w:spacing w:line="240" w:lineRule="auto"/>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w:t>
            </w:r>
          </w:p>
        </w:tc>
        <w:tc>
          <w:tcPr>
            <w:tcW w:w="3403" w:type="dxa"/>
            <w:vAlign w:val="center"/>
          </w:tcPr>
          <w:p w14:paraId="69DF582C">
            <w:pPr>
              <w:pStyle w:val="70"/>
              <w:spacing w:line="240" w:lineRule="auto"/>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w:t>
            </w:r>
          </w:p>
        </w:tc>
        <w:tc>
          <w:tcPr>
            <w:tcW w:w="2677" w:type="dxa"/>
            <w:vAlign w:val="center"/>
          </w:tcPr>
          <w:p w14:paraId="0EEB4F47">
            <w:pPr>
              <w:pStyle w:val="70"/>
              <w:spacing w:line="240" w:lineRule="auto"/>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w:t>
            </w:r>
          </w:p>
        </w:tc>
        <w:tc>
          <w:tcPr>
            <w:tcW w:w="929" w:type="dxa"/>
            <w:vAlign w:val="center"/>
          </w:tcPr>
          <w:p w14:paraId="35A2859E">
            <w:pPr>
              <w:pStyle w:val="70"/>
              <w:spacing w:line="240" w:lineRule="auto"/>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w:t>
            </w:r>
          </w:p>
        </w:tc>
      </w:tr>
      <w:tr w14:paraId="66CED22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016" w:type="dxa"/>
            <w:vMerge w:val="continue"/>
            <w:vAlign w:val="center"/>
          </w:tcPr>
          <w:p w14:paraId="11940719">
            <w:pPr>
              <w:pStyle w:val="70"/>
              <w:spacing w:line="240" w:lineRule="auto"/>
              <w:rPr>
                <w:rFonts w:hint="eastAsia" w:ascii="Times New Roman" w:hAnsi="Times New Roman" w:eastAsia="宋体" w:cs="Times New Roman"/>
                <w:color w:val="auto"/>
                <w:sz w:val="21"/>
                <w:szCs w:val="21"/>
              </w:rPr>
            </w:pPr>
          </w:p>
        </w:tc>
        <w:tc>
          <w:tcPr>
            <w:tcW w:w="1370" w:type="dxa"/>
            <w:vMerge w:val="continue"/>
            <w:vAlign w:val="center"/>
          </w:tcPr>
          <w:p w14:paraId="7B93AC3F">
            <w:pPr>
              <w:pStyle w:val="70"/>
              <w:spacing w:line="240" w:lineRule="auto"/>
              <w:rPr>
                <w:rFonts w:hint="eastAsia" w:ascii="Times New Roman" w:hAnsi="Times New Roman" w:eastAsia="宋体" w:cs="Times New Roman"/>
                <w:color w:val="auto"/>
                <w:sz w:val="21"/>
                <w:szCs w:val="21"/>
              </w:rPr>
            </w:pPr>
          </w:p>
        </w:tc>
        <w:tc>
          <w:tcPr>
            <w:tcW w:w="1547" w:type="dxa"/>
            <w:vAlign w:val="center"/>
          </w:tcPr>
          <w:p w14:paraId="5A8A6094">
            <w:pPr>
              <w:pStyle w:val="70"/>
              <w:spacing w:line="240" w:lineRule="auto"/>
              <w:rPr>
                <w:rFonts w:hint="eastAsia" w:ascii="Times New Roman" w:hAnsi="Times New Roman" w:eastAsia="宋体" w:cs="Times New Roman"/>
                <w:color w:val="auto"/>
                <w:sz w:val="21"/>
                <w:szCs w:val="21"/>
              </w:rPr>
            </w:pPr>
            <w:r>
              <w:rPr>
                <w:rFonts w:ascii="Times New Roman" w:hAnsi="Times New Roman" w:eastAsia="宋体" w:cs="Times New Roman"/>
                <w:color w:val="auto"/>
                <w:sz w:val="21"/>
                <w:szCs w:val="21"/>
              </w:rPr>
              <w:t>资源开发利用效率要求</w:t>
            </w:r>
          </w:p>
        </w:tc>
        <w:tc>
          <w:tcPr>
            <w:tcW w:w="1710" w:type="dxa"/>
            <w:vAlign w:val="center"/>
          </w:tcPr>
          <w:p w14:paraId="2F3AE5AB">
            <w:pPr>
              <w:pStyle w:val="70"/>
              <w:spacing w:line="240" w:lineRule="auto"/>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w:t>
            </w:r>
          </w:p>
        </w:tc>
        <w:tc>
          <w:tcPr>
            <w:tcW w:w="3403" w:type="dxa"/>
            <w:vAlign w:val="center"/>
          </w:tcPr>
          <w:p w14:paraId="5F95D660">
            <w:pPr>
              <w:pStyle w:val="70"/>
              <w:spacing w:line="240" w:lineRule="auto"/>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w:t>
            </w:r>
          </w:p>
        </w:tc>
        <w:tc>
          <w:tcPr>
            <w:tcW w:w="2677" w:type="dxa"/>
            <w:vAlign w:val="center"/>
          </w:tcPr>
          <w:p w14:paraId="50ADE11B">
            <w:pPr>
              <w:pStyle w:val="70"/>
              <w:spacing w:line="240" w:lineRule="auto"/>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w:t>
            </w:r>
          </w:p>
        </w:tc>
        <w:tc>
          <w:tcPr>
            <w:tcW w:w="929" w:type="dxa"/>
            <w:vAlign w:val="center"/>
          </w:tcPr>
          <w:p w14:paraId="7FDA5460">
            <w:pPr>
              <w:pStyle w:val="70"/>
              <w:spacing w:line="240" w:lineRule="auto"/>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w:t>
            </w:r>
          </w:p>
        </w:tc>
      </w:tr>
      <w:tr w14:paraId="5DBC757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016" w:type="dxa"/>
            <w:vMerge w:val="restart"/>
            <w:vAlign w:val="center"/>
          </w:tcPr>
          <w:p w14:paraId="5B4D0287">
            <w:pPr>
              <w:pStyle w:val="70"/>
              <w:spacing w:line="240" w:lineRule="auto"/>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YS5119022210002巴河-巴州区-金碑-控制单元</w:t>
            </w:r>
          </w:p>
        </w:tc>
        <w:tc>
          <w:tcPr>
            <w:tcW w:w="1370" w:type="dxa"/>
            <w:vMerge w:val="restart"/>
            <w:vAlign w:val="center"/>
          </w:tcPr>
          <w:p w14:paraId="3BA90E86">
            <w:pPr>
              <w:pStyle w:val="70"/>
              <w:spacing w:line="240" w:lineRule="auto"/>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重点管控区</w:t>
            </w:r>
          </w:p>
        </w:tc>
        <w:tc>
          <w:tcPr>
            <w:tcW w:w="1547" w:type="dxa"/>
            <w:vAlign w:val="center"/>
          </w:tcPr>
          <w:p w14:paraId="264365B3">
            <w:pPr>
              <w:pStyle w:val="70"/>
              <w:spacing w:line="240" w:lineRule="auto"/>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空间布局约束</w:t>
            </w:r>
          </w:p>
        </w:tc>
        <w:tc>
          <w:tcPr>
            <w:tcW w:w="1710" w:type="dxa"/>
            <w:vAlign w:val="center"/>
          </w:tcPr>
          <w:p w14:paraId="7F83D1B4">
            <w:pPr>
              <w:pStyle w:val="70"/>
              <w:spacing w:line="240" w:lineRule="auto"/>
              <w:rPr>
                <w:rFonts w:hint="eastAsia" w:ascii="Times New Roman" w:hAnsi="Times New Roman" w:eastAsia="宋体" w:cs="Times New Roman"/>
                <w:color w:val="auto"/>
                <w:sz w:val="21"/>
                <w:szCs w:val="21"/>
              </w:rPr>
            </w:pPr>
            <w:r>
              <w:rPr>
                <w:rFonts w:ascii="Times New Roman" w:hAnsi="Times New Roman" w:eastAsia="宋体" w:cs="Times New Roman"/>
                <w:color w:val="auto"/>
                <w:sz w:val="21"/>
                <w:szCs w:val="21"/>
              </w:rPr>
              <w:t>限制开发建设活动的要求</w:t>
            </w:r>
          </w:p>
        </w:tc>
        <w:tc>
          <w:tcPr>
            <w:tcW w:w="3403" w:type="dxa"/>
            <w:vAlign w:val="center"/>
          </w:tcPr>
          <w:p w14:paraId="2064D190">
            <w:pPr>
              <w:pStyle w:val="70"/>
              <w:spacing w:line="240" w:lineRule="auto"/>
              <w:rPr>
                <w:rFonts w:hint="eastAsia" w:ascii="Times New Roman" w:hAnsi="Times New Roman" w:eastAsia="宋体" w:cs="Times New Roman"/>
                <w:color w:val="auto"/>
                <w:sz w:val="21"/>
                <w:szCs w:val="21"/>
                <w:lang w:eastAsia="zh-CN"/>
              </w:rPr>
            </w:pPr>
            <w:r>
              <w:rPr>
                <w:rFonts w:ascii="Times New Roman" w:hAnsi="Times New Roman" w:eastAsia="宋体" w:cs="Times New Roman"/>
                <w:color w:val="auto"/>
                <w:sz w:val="21"/>
                <w:szCs w:val="21"/>
              </w:rPr>
              <w:t>严控磷铵、黄磷等产业违规新增产能。加快退出不符合产业政策和环保要求、不满足安全生产条件的涉磷企业</w:t>
            </w:r>
            <w:r>
              <w:rPr>
                <w:rFonts w:hint="eastAsia" w:ascii="Times New Roman" w:hAnsi="Times New Roman" w:eastAsia="宋体" w:cs="Times New Roman"/>
                <w:color w:val="auto"/>
                <w:sz w:val="21"/>
                <w:szCs w:val="21"/>
                <w:lang w:eastAsia="zh-CN"/>
              </w:rPr>
              <w:t>。</w:t>
            </w:r>
          </w:p>
        </w:tc>
        <w:tc>
          <w:tcPr>
            <w:tcW w:w="2677" w:type="dxa"/>
            <w:vAlign w:val="center"/>
          </w:tcPr>
          <w:p w14:paraId="2CE3FC4B">
            <w:pPr>
              <w:pStyle w:val="70"/>
              <w:spacing w:line="240" w:lineRule="auto"/>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本项目不涉及磷铵、黄磷，不属于</w:t>
            </w:r>
            <w:r>
              <w:rPr>
                <w:rFonts w:ascii="Times New Roman" w:hAnsi="Times New Roman" w:eastAsia="宋体" w:cs="Times New Roman"/>
                <w:color w:val="auto"/>
                <w:sz w:val="21"/>
                <w:szCs w:val="21"/>
              </w:rPr>
              <w:t>涉磷企业</w:t>
            </w:r>
          </w:p>
        </w:tc>
        <w:tc>
          <w:tcPr>
            <w:tcW w:w="929" w:type="dxa"/>
            <w:vAlign w:val="center"/>
          </w:tcPr>
          <w:p w14:paraId="0293E63B">
            <w:pPr>
              <w:pStyle w:val="70"/>
              <w:spacing w:line="240" w:lineRule="auto"/>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符合</w:t>
            </w:r>
          </w:p>
        </w:tc>
      </w:tr>
      <w:tr w14:paraId="05843C7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016" w:type="dxa"/>
            <w:vMerge w:val="continue"/>
            <w:vAlign w:val="center"/>
          </w:tcPr>
          <w:p w14:paraId="578749F9">
            <w:pPr>
              <w:pStyle w:val="70"/>
              <w:spacing w:line="240" w:lineRule="auto"/>
              <w:rPr>
                <w:rFonts w:hint="eastAsia" w:ascii="Times New Roman" w:hAnsi="Times New Roman" w:eastAsia="宋体" w:cs="Times New Roman"/>
                <w:color w:val="auto"/>
                <w:sz w:val="21"/>
                <w:szCs w:val="21"/>
              </w:rPr>
            </w:pPr>
          </w:p>
        </w:tc>
        <w:tc>
          <w:tcPr>
            <w:tcW w:w="1370" w:type="dxa"/>
            <w:vMerge w:val="continue"/>
            <w:vAlign w:val="center"/>
          </w:tcPr>
          <w:p w14:paraId="16C96476">
            <w:pPr>
              <w:pStyle w:val="70"/>
              <w:spacing w:line="240" w:lineRule="auto"/>
              <w:rPr>
                <w:rFonts w:hint="eastAsia" w:ascii="Times New Roman" w:hAnsi="Times New Roman" w:eastAsia="宋体" w:cs="Times New Roman"/>
                <w:color w:val="auto"/>
                <w:sz w:val="21"/>
                <w:szCs w:val="21"/>
              </w:rPr>
            </w:pPr>
          </w:p>
        </w:tc>
        <w:tc>
          <w:tcPr>
            <w:tcW w:w="1547" w:type="dxa"/>
            <w:vAlign w:val="center"/>
          </w:tcPr>
          <w:p w14:paraId="76A0614D">
            <w:pPr>
              <w:pStyle w:val="70"/>
              <w:spacing w:line="240" w:lineRule="auto"/>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污染物排放管控</w:t>
            </w:r>
          </w:p>
        </w:tc>
        <w:tc>
          <w:tcPr>
            <w:tcW w:w="1710" w:type="dxa"/>
            <w:vAlign w:val="center"/>
          </w:tcPr>
          <w:p w14:paraId="0D197B38">
            <w:pPr>
              <w:pStyle w:val="70"/>
              <w:spacing w:line="240" w:lineRule="auto"/>
              <w:rPr>
                <w:rFonts w:hint="eastAsia" w:ascii="Times New Roman" w:hAnsi="Times New Roman" w:eastAsia="宋体" w:cs="Times New Roman"/>
                <w:color w:val="auto"/>
                <w:sz w:val="21"/>
                <w:szCs w:val="21"/>
              </w:rPr>
            </w:pPr>
            <w:r>
              <w:rPr>
                <w:rFonts w:ascii="Times New Roman" w:hAnsi="Times New Roman" w:eastAsia="宋体" w:cs="Times New Roman"/>
                <w:color w:val="auto"/>
                <w:sz w:val="21"/>
                <w:szCs w:val="21"/>
              </w:rPr>
              <w:t>新增源等量或倍量替代</w:t>
            </w:r>
          </w:p>
        </w:tc>
        <w:tc>
          <w:tcPr>
            <w:tcW w:w="3403" w:type="dxa"/>
            <w:vAlign w:val="center"/>
          </w:tcPr>
          <w:p w14:paraId="735D1CD3">
            <w:pPr>
              <w:pStyle w:val="70"/>
              <w:spacing w:line="240" w:lineRule="auto"/>
              <w:rPr>
                <w:rFonts w:hint="eastAsia" w:ascii="Times New Roman" w:hAnsi="Times New Roman" w:eastAsia="宋体" w:cs="Times New Roman"/>
                <w:color w:val="auto"/>
                <w:sz w:val="21"/>
                <w:szCs w:val="21"/>
                <w:lang w:eastAsia="zh-CN"/>
              </w:rPr>
            </w:pPr>
            <w:r>
              <w:rPr>
                <w:rFonts w:ascii="Times New Roman" w:hAnsi="Times New Roman" w:eastAsia="宋体" w:cs="Times New Roman"/>
                <w:color w:val="auto"/>
                <w:sz w:val="21"/>
                <w:szCs w:val="21"/>
              </w:rPr>
              <w:t>1、深入实施工业企业污水处理设施升级改造，全面实现工业废水达标排放。2、强化工业集聚区污水治理，推进工业污水集中处理设施及配套收集系统建设与提标升级改造，大力推进现有污水收集、处理设施问题排查及整治；完善园区及企业雨污分流系统，全面推进医药、化工等行业初期雨水收集处理，推动</w:t>
            </w:r>
            <w:r>
              <w:rPr>
                <w:rFonts w:hint="eastAsia" w:ascii="宋体" w:hAnsi="宋体" w:eastAsia="宋体" w:cs="宋体"/>
                <w:color w:val="auto"/>
                <w:sz w:val="21"/>
                <w:szCs w:val="21"/>
              </w:rPr>
              <w:t>有条件的园区实施入园企业“一企一管、明管输送、实时监测”</w:t>
            </w:r>
            <w:r>
              <w:rPr>
                <w:rFonts w:ascii="Times New Roman" w:hAnsi="Times New Roman" w:eastAsia="宋体" w:cs="Times New Roman"/>
                <w:color w:val="auto"/>
                <w:sz w:val="21"/>
                <w:szCs w:val="21"/>
              </w:rPr>
              <w:t>。3、加强工业园区集中污水处理设施运行监管</w:t>
            </w:r>
            <w:r>
              <w:rPr>
                <w:rFonts w:hint="eastAsia" w:cs="Times New Roman"/>
                <w:color w:val="auto"/>
                <w:sz w:val="21"/>
                <w:szCs w:val="21"/>
                <w:lang w:eastAsia="zh-CN"/>
              </w:rPr>
              <w:t>，加</w:t>
            </w:r>
            <w:r>
              <w:rPr>
                <w:rFonts w:ascii="Times New Roman" w:hAnsi="Times New Roman" w:eastAsia="宋体" w:cs="Times New Roman"/>
                <w:color w:val="auto"/>
                <w:sz w:val="21"/>
                <w:szCs w:val="21"/>
              </w:rPr>
              <w:t>强企业废水预处理和排水管理，鼓励纳管企业与园区污水处理厂运营单位通过签订委托处理合同等方式协同处理废水。4、加强新化学物质环境管理，严格执行《新化学物质环境管理登记办法</w:t>
            </w:r>
            <w:r>
              <w:rPr>
                <w:rFonts w:hint="eastAsia" w:ascii="宋体" w:hAnsi="宋体" w:eastAsia="宋体" w:cs="宋体"/>
                <w:color w:val="auto"/>
                <w:sz w:val="21"/>
                <w:szCs w:val="21"/>
              </w:rPr>
              <w:t>》,落实企业新化学物质环境风险防控主体责任。落实国家《优先控制化学</w:t>
            </w:r>
            <w:r>
              <w:rPr>
                <w:rFonts w:ascii="Times New Roman" w:hAnsi="Times New Roman" w:eastAsia="宋体" w:cs="Times New Roman"/>
                <w:color w:val="auto"/>
                <w:sz w:val="21"/>
                <w:szCs w:val="21"/>
              </w:rPr>
              <w:t>品名录（第一批）》《优先控制化学品名录（第二批）》《重点管控新污染物清单（2023年版）》环境风险管控措施</w:t>
            </w:r>
            <w:r>
              <w:rPr>
                <w:rFonts w:hint="eastAsia" w:ascii="Times New Roman" w:hAnsi="Times New Roman" w:eastAsia="宋体" w:cs="Times New Roman"/>
                <w:color w:val="auto"/>
                <w:sz w:val="21"/>
                <w:szCs w:val="21"/>
                <w:lang w:eastAsia="zh-CN"/>
              </w:rPr>
              <w:t>。</w:t>
            </w:r>
          </w:p>
        </w:tc>
        <w:tc>
          <w:tcPr>
            <w:tcW w:w="2677" w:type="dxa"/>
            <w:vAlign w:val="center"/>
          </w:tcPr>
          <w:p w14:paraId="3A6232E2">
            <w:pPr>
              <w:pStyle w:val="70"/>
              <w:spacing w:line="240" w:lineRule="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项目</w:t>
            </w:r>
            <w:r>
              <w:rPr>
                <w:rFonts w:hint="eastAsia" w:cs="Times New Roman"/>
                <w:color w:val="auto"/>
                <w:sz w:val="21"/>
                <w:szCs w:val="21"/>
                <w:lang w:val="en-US" w:eastAsia="zh-CN"/>
              </w:rPr>
              <w:t>生产</w:t>
            </w:r>
            <w:r>
              <w:rPr>
                <w:rFonts w:hint="default" w:ascii="Times New Roman" w:hAnsi="Times New Roman" w:eastAsia="宋体" w:cs="Times New Roman"/>
                <w:color w:val="auto"/>
                <w:sz w:val="21"/>
                <w:szCs w:val="21"/>
              </w:rPr>
              <w:t>废水经厂区污水处理设备处理，</w:t>
            </w:r>
            <w:r>
              <w:rPr>
                <w:rFonts w:hint="eastAsia" w:cs="Times New Roman"/>
                <w:color w:val="auto"/>
                <w:sz w:val="21"/>
                <w:szCs w:val="21"/>
                <w:lang w:val="en-US" w:eastAsia="zh-CN"/>
              </w:rPr>
              <w:t>生活污水及纯水制备浓水经预处理池处理，处理后的废水</w:t>
            </w:r>
            <w:r>
              <w:rPr>
                <w:rFonts w:hint="default" w:ascii="Times New Roman" w:hAnsi="Times New Roman" w:eastAsia="宋体" w:cs="Times New Roman"/>
                <w:color w:val="auto"/>
                <w:sz w:val="21"/>
                <w:szCs w:val="21"/>
              </w:rPr>
              <w:t>通过市政管网送至经开区污水处理厂处理达标后排放。</w:t>
            </w:r>
          </w:p>
        </w:tc>
        <w:tc>
          <w:tcPr>
            <w:tcW w:w="929" w:type="dxa"/>
            <w:vAlign w:val="center"/>
          </w:tcPr>
          <w:p w14:paraId="3EF933BC">
            <w:pPr>
              <w:pStyle w:val="70"/>
              <w:spacing w:line="240" w:lineRule="auto"/>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符合</w:t>
            </w:r>
          </w:p>
        </w:tc>
      </w:tr>
      <w:tr w14:paraId="1D6E79D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016" w:type="dxa"/>
            <w:vMerge w:val="continue"/>
            <w:vAlign w:val="center"/>
          </w:tcPr>
          <w:p w14:paraId="698E21B1">
            <w:pPr>
              <w:pStyle w:val="70"/>
              <w:spacing w:line="240" w:lineRule="auto"/>
              <w:rPr>
                <w:rFonts w:hint="eastAsia" w:ascii="Times New Roman" w:hAnsi="Times New Roman" w:eastAsia="宋体" w:cs="Times New Roman"/>
                <w:color w:val="auto"/>
                <w:sz w:val="21"/>
                <w:szCs w:val="21"/>
              </w:rPr>
            </w:pPr>
          </w:p>
        </w:tc>
        <w:tc>
          <w:tcPr>
            <w:tcW w:w="1370" w:type="dxa"/>
            <w:vMerge w:val="continue"/>
            <w:vAlign w:val="center"/>
          </w:tcPr>
          <w:p w14:paraId="3CA3A470">
            <w:pPr>
              <w:pStyle w:val="70"/>
              <w:spacing w:line="240" w:lineRule="auto"/>
              <w:rPr>
                <w:rFonts w:hint="eastAsia" w:ascii="Times New Roman" w:hAnsi="Times New Roman" w:eastAsia="宋体" w:cs="Times New Roman"/>
                <w:color w:val="auto"/>
                <w:sz w:val="21"/>
                <w:szCs w:val="21"/>
              </w:rPr>
            </w:pPr>
          </w:p>
        </w:tc>
        <w:tc>
          <w:tcPr>
            <w:tcW w:w="1547" w:type="dxa"/>
            <w:vAlign w:val="center"/>
          </w:tcPr>
          <w:p w14:paraId="77A0D746">
            <w:pPr>
              <w:pStyle w:val="70"/>
              <w:spacing w:line="240" w:lineRule="auto"/>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环境风险防控</w:t>
            </w:r>
          </w:p>
        </w:tc>
        <w:tc>
          <w:tcPr>
            <w:tcW w:w="1710" w:type="dxa"/>
            <w:vAlign w:val="center"/>
          </w:tcPr>
          <w:p w14:paraId="2C408C16">
            <w:pPr>
              <w:pStyle w:val="70"/>
              <w:spacing w:line="240" w:lineRule="auto"/>
              <w:rPr>
                <w:rFonts w:hint="eastAsia" w:ascii="Times New Roman" w:hAnsi="Times New Roman" w:eastAsia="宋体" w:cs="Times New Roman"/>
                <w:color w:val="auto"/>
                <w:sz w:val="21"/>
                <w:szCs w:val="21"/>
              </w:rPr>
            </w:pPr>
            <w:r>
              <w:rPr>
                <w:rFonts w:ascii="Times New Roman" w:hAnsi="Times New Roman" w:eastAsia="宋体" w:cs="Times New Roman"/>
                <w:color w:val="auto"/>
                <w:sz w:val="21"/>
                <w:szCs w:val="21"/>
              </w:rPr>
              <w:t>安全利用类农用地管控要求</w:t>
            </w:r>
          </w:p>
        </w:tc>
        <w:tc>
          <w:tcPr>
            <w:tcW w:w="3403" w:type="dxa"/>
            <w:vAlign w:val="center"/>
          </w:tcPr>
          <w:p w14:paraId="68EEA5D9">
            <w:pPr>
              <w:pStyle w:val="70"/>
              <w:spacing w:line="240" w:lineRule="auto"/>
              <w:rPr>
                <w:rFonts w:hint="eastAsia" w:ascii="Times New Roman" w:hAnsi="Times New Roman" w:eastAsia="宋体" w:cs="Times New Roman"/>
                <w:color w:val="auto"/>
                <w:sz w:val="21"/>
                <w:szCs w:val="21"/>
              </w:rPr>
            </w:pPr>
            <w:r>
              <w:rPr>
                <w:rFonts w:ascii="Times New Roman" w:hAnsi="Times New Roman" w:eastAsia="宋体" w:cs="Times New Roman"/>
                <w:color w:val="auto"/>
                <w:sz w:val="21"/>
                <w:szCs w:val="21"/>
              </w:rPr>
              <w:t>加强高耗水行业用水定额管理，以水定产，严格控制高耗水新建、改建、扩建项目。</w:t>
            </w:r>
          </w:p>
        </w:tc>
        <w:tc>
          <w:tcPr>
            <w:tcW w:w="2677" w:type="dxa"/>
            <w:vAlign w:val="center"/>
          </w:tcPr>
          <w:p w14:paraId="1E7063BE">
            <w:pPr>
              <w:pStyle w:val="70"/>
              <w:spacing w:line="240" w:lineRule="auto"/>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本项目不属于高耗水行业</w:t>
            </w:r>
          </w:p>
        </w:tc>
        <w:tc>
          <w:tcPr>
            <w:tcW w:w="929" w:type="dxa"/>
            <w:vAlign w:val="center"/>
          </w:tcPr>
          <w:p w14:paraId="69334898">
            <w:pPr>
              <w:pStyle w:val="70"/>
              <w:spacing w:line="240" w:lineRule="auto"/>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符合</w:t>
            </w:r>
          </w:p>
        </w:tc>
      </w:tr>
      <w:tr w14:paraId="0C60CA7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016" w:type="dxa"/>
            <w:vMerge w:val="continue"/>
            <w:vAlign w:val="center"/>
          </w:tcPr>
          <w:p w14:paraId="3548E050">
            <w:pPr>
              <w:pStyle w:val="70"/>
              <w:spacing w:line="240" w:lineRule="auto"/>
              <w:rPr>
                <w:rFonts w:hint="eastAsia" w:ascii="Times New Roman" w:hAnsi="Times New Roman" w:eastAsia="宋体" w:cs="Times New Roman"/>
                <w:color w:val="auto"/>
                <w:sz w:val="21"/>
                <w:szCs w:val="21"/>
              </w:rPr>
            </w:pPr>
          </w:p>
        </w:tc>
        <w:tc>
          <w:tcPr>
            <w:tcW w:w="1370" w:type="dxa"/>
            <w:vMerge w:val="continue"/>
            <w:vAlign w:val="center"/>
          </w:tcPr>
          <w:p w14:paraId="4E143D83">
            <w:pPr>
              <w:pStyle w:val="70"/>
              <w:spacing w:line="240" w:lineRule="auto"/>
              <w:rPr>
                <w:rFonts w:hint="eastAsia" w:ascii="Times New Roman" w:hAnsi="Times New Roman" w:eastAsia="宋体" w:cs="Times New Roman"/>
                <w:color w:val="auto"/>
                <w:sz w:val="21"/>
                <w:szCs w:val="21"/>
              </w:rPr>
            </w:pPr>
          </w:p>
        </w:tc>
        <w:tc>
          <w:tcPr>
            <w:tcW w:w="1547" w:type="dxa"/>
            <w:vAlign w:val="center"/>
          </w:tcPr>
          <w:p w14:paraId="79283DBC">
            <w:pPr>
              <w:pStyle w:val="70"/>
              <w:spacing w:line="240" w:lineRule="auto"/>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资源开发利用效率要求</w:t>
            </w:r>
          </w:p>
        </w:tc>
        <w:tc>
          <w:tcPr>
            <w:tcW w:w="1710" w:type="dxa"/>
            <w:vAlign w:val="center"/>
          </w:tcPr>
          <w:p w14:paraId="0C277FCA">
            <w:pPr>
              <w:pStyle w:val="70"/>
              <w:spacing w:line="240" w:lineRule="auto"/>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w:t>
            </w:r>
          </w:p>
        </w:tc>
        <w:tc>
          <w:tcPr>
            <w:tcW w:w="3403" w:type="dxa"/>
            <w:vAlign w:val="center"/>
          </w:tcPr>
          <w:p w14:paraId="55928E34">
            <w:pPr>
              <w:pStyle w:val="70"/>
              <w:spacing w:line="240" w:lineRule="auto"/>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w:t>
            </w:r>
          </w:p>
        </w:tc>
        <w:tc>
          <w:tcPr>
            <w:tcW w:w="2677" w:type="dxa"/>
            <w:vAlign w:val="center"/>
          </w:tcPr>
          <w:p w14:paraId="2C7A767B">
            <w:pPr>
              <w:pStyle w:val="70"/>
              <w:spacing w:line="240" w:lineRule="auto"/>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w:t>
            </w:r>
          </w:p>
        </w:tc>
        <w:tc>
          <w:tcPr>
            <w:tcW w:w="929" w:type="dxa"/>
            <w:vAlign w:val="center"/>
          </w:tcPr>
          <w:p w14:paraId="135F449A">
            <w:pPr>
              <w:pStyle w:val="70"/>
              <w:spacing w:line="240" w:lineRule="auto"/>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w:t>
            </w:r>
          </w:p>
        </w:tc>
      </w:tr>
      <w:tr w14:paraId="74E73FC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016" w:type="dxa"/>
            <w:vMerge w:val="restart"/>
            <w:vAlign w:val="center"/>
          </w:tcPr>
          <w:p w14:paraId="44C6B11C">
            <w:pPr>
              <w:pStyle w:val="70"/>
              <w:spacing w:line="240" w:lineRule="auto"/>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YS5119022550001巴州区自然资源重点管控区</w:t>
            </w:r>
          </w:p>
        </w:tc>
        <w:tc>
          <w:tcPr>
            <w:tcW w:w="1370" w:type="dxa"/>
            <w:vMerge w:val="restart"/>
            <w:vAlign w:val="center"/>
          </w:tcPr>
          <w:p w14:paraId="646076FD">
            <w:pPr>
              <w:pStyle w:val="70"/>
              <w:spacing w:line="240" w:lineRule="auto"/>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重点管控区</w:t>
            </w:r>
          </w:p>
        </w:tc>
        <w:tc>
          <w:tcPr>
            <w:tcW w:w="1547" w:type="dxa"/>
            <w:vAlign w:val="center"/>
          </w:tcPr>
          <w:p w14:paraId="2C63F988">
            <w:pPr>
              <w:pStyle w:val="70"/>
              <w:spacing w:line="240" w:lineRule="auto"/>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空间布局约束</w:t>
            </w:r>
          </w:p>
        </w:tc>
        <w:tc>
          <w:tcPr>
            <w:tcW w:w="1710" w:type="dxa"/>
            <w:vAlign w:val="center"/>
          </w:tcPr>
          <w:p w14:paraId="623035CF">
            <w:pPr>
              <w:pStyle w:val="70"/>
              <w:spacing w:line="240" w:lineRule="auto"/>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w:t>
            </w:r>
          </w:p>
        </w:tc>
        <w:tc>
          <w:tcPr>
            <w:tcW w:w="3403" w:type="dxa"/>
            <w:vAlign w:val="center"/>
          </w:tcPr>
          <w:p w14:paraId="5BC5F053">
            <w:pPr>
              <w:pStyle w:val="70"/>
              <w:spacing w:line="240" w:lineRule="auto"/>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w:t>
            </w:r>
          </w:p>
        </w:tc>
        <w:tc>
          <w:tcPr>
            <w:tcW w:w="2677" w:type="dxa"/>
            <w:vAlign w:val="center"/>
          </w:tcPr>
          <w:p w14:paraId="455D3D38">
            <w:pPr>
              <w:pStyle w:val="70"/>
              <w:spacing w:line="240" w:lineRule="auto"/>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w:t>
            </w:r>
          </w:p>
        </w:tc>
        <w:tc>
          <w:tcPr>
            <w:tcW w:w="929" w:type="dxa"/>
            <w:vAlign w:val="center"/>
          </w:tcPr>
          <w:p w14:paraId="6A2B52D0">
            <w:pPr>
              <w:pStyle w:val="70"/>
              <w:spacing w:line="240" w:lineRule="auto"/>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w:t>
            </w:r>
          </w:p>
        </w:tc>
      </w:tr>
      <w:tr w14:paraId="0D09F18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016" w:type="dxa"/>
            <w:vMerge w:val="continue"/>
            <w:vAlign w:val="center"/>
          </w:tcPr>
          <w:p w14:paraId="64660113">
            <w:pPr>
              <w:pStyle w:val="70"/>
              <w:spacing w:line="240" w:lineRule="auto"/>
              <w:rPr>
                <w:rFonts w:hint="eastAsia" w:ascii="Times New Roman" w:hAnsi="Times New Roman" w:eastAsia="宋体" w:cs="Times New Roman"/>
                <w:color w:val="auto"/>
                <w:sz w:val="21"/>
                <w:szCs w:val="21"/>
              </w:rPr>
            </w:pPr>
          </w:p>
        </w:tc>
        <w:tc>
          <w:tcPr>
            <w:tcW w:w="1370" w:type="dxa"/>
            <w:vMerge w:val="continue"/>
            <w:vAlign w:val="center"/>
          </w:tcPr>
          <w:p w14:paraId="5F44B00E">
            <w:pPr>
              <w:pStyle w:val="70"/>
              <w:spacing w:line="240" w:lineRule="auto"/>
              <w:rPr>
                <w:rFonts w:hint="eastAsia" w:ascii="Times New Roman" w:hAnsi="Times New Roman" w:eastAsia="宋体" w:cs="Times New Roman"/>
                <w:color w:val="auto"/>
                <w:sz w:val="21"/>
                <w:szCs w:val="21"/>
              </w:rPr>
            </w:pPr>
          </w:p>
        </w:tc>
        <w:tc>
          <w:tcPr>
            <w:tcW w:w="1547" w:type="dxa"/>
            <w:vAlign w:val="center"/>
          </w:tcPr>
          <w:p w14:paraId="169C5354">
            <w:pPr>
              <w:pStyle w:val="70"/>
              <w:spacing w:line="240" w:lineRule="auto"/>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污染物排放管控</w:t>
            </w:r>
          </w:p>
        </w:tc>
        <w:tc>
          <w:tcPr>
            <w:tcW w:w="1710" w:type="dxa"/>
            <w:vAlign w:val="center"/>
          </w:tcPr>
          <w:p w14:paraId="632DFD63">
            <w:pPr>
              <w:pStyle w:val="70"/>
              <w:spacing w:line="240" w:lineRule="auto"/>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w:t>
            </w:r>
          </w:p>
        </w:tc>
        <w:tc>
          <w:tcPr>
            <w:tcW w:w="3403" w:type="dxa"/>
            <w:vAlign w:val="center"/>
          </w:tcPr>
          <w:p w14:paraId="1B583DF6">
            <w:pPr>
              <w:pStyle w:val="70"/>
              <w:spacing w:line="240" w:lineRule="auto"/>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w:t>
            </w:r>
          </w:p>
        </w:tc>
        <w:tc>
          <w:tcPr>
            <w:tcW w:w="2677" w:type="dxa"/>
            <w:vAlign w:val="center"/>
          </w:tcPr>
          <w:p w14:paraId="0830CE75">
            <w:pPr>
              <w:pStyle w:val="70"/>
              <w:spacing w:line="240" w:lineRule="auto"/>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w:t>
            </w:r>
          </w:p>
        </w:tc>
        <w:tc>
          <w:tcPr>
            <w:tcW w:w="929" w:type="dxa"/>
            <w:vAlign w:val="center"/>
          </w:tcPr>
          <w:p w14:paraId="306F6F5F">
            <w:pPr>
              <w:pStyle w:val="70"/>
              <w:spacing w:line="240" w:lineRule="auto"/>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w:t>
            </w:r>
          </w:p>
        </w:tc>
      </w:tr>
      <w:tr w14:paraId="7459FAC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016" w:type="dxa"/>
            <w:vMerge w:val="continue"/>
            <w:vAlign w:val="center"/>
          </w:tcPr>
          <w:p w14:paraId="26FE4891">
            <w:pPr>
              <w:pStyle w:val="70"/>
              <w:spacing w:line="240" w:lineRule="auto"/>
              <w:rPr>
                <w:rFonts w:hint="eastAsia" w:ascii="Times New Roman" w:hAnsi="Times New Roman" w:eastAsia="宋体" w:cs="Times New Roman"/>
                <w:color w:val="auto"/>
                <w:sz w:val="21"/>
                <w:szCs w:val="21"/>
              </w:rPr>
            </w:pPr>
          </w:p>
        </w:tc>
        <w:tc>
          <w:tcPr>
            <w:tcW w:w="1370" w:type="dxa"/>
            <w:vMerge w:val="continue"/>
            <w:vAlign w:val="center"/>
          </w:tcPr>
          <w:p w14:paraId="647532BF">
            <w:pPr>
              <w:pStyle w:val="70"/>
              <w:spacing w:line="240" w:lineRule="auto"/>
              <w:rPr>
                <w:rFonts w:hint="eastAsia" w:ascii="Times New Roman" w:hAnsi="Times New Roman" w:eastAsia="宋体" w:cs="Times New Roman"/>
                <w:color w:val="auto"/>
                <w:sz w:val="21"/>
                <w:szCs w:val="21"/>
              </w:rPr>
            </w:pPr>
          </w:p>
        </w:tc>
        <w:tc>
          <w:tcPr>
            <w:tcW w:w="1547" w:type="dxa"/>
            <w:vAlign w:val="center"/>
          </w:tcPr>
          <w:p w14:paraId="35B3C555">
            <w:pPr>
              <w:pStyle w:val="70"/>
              <w:spacing w:line="240" w:lineRule="auto"/>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环境风险防控</w:t>
            </w:r>
          </w:p>
        </w:tc>
        <w:tc>
          <w:tcPr>
            <w:tcW w:w="1710" w:type="dxa"/>
            <w:vAlign w:val="center"/>
          </w:tcPr>
          <w:p w14:paraId="6B9AF6EA">
            <w:pPr>
              <w:pStyle w:val="70"/>
              <w:spacing w:line="240" w:lineRule="auto"/>
              <w:rPr>
                <w:rFonts w:hint="eastAsia" w:ascii="Times New Roman" w:hAnsi="Times New Roman" w:eastAsia="宋体" w:cs="Times New Roman"/>
                <w:color w:val="auto"/>
                <w:sz w:val="21"/>
                <w:szCs w:val="21"/>
              </w:rPr>
            </w:pPr>
            <w:r>
              <w:rPr>
                <w:rFonts w:ascii="Times New Roman" w:hAnsi="Times New Roman" w:eastAsia="宋体" w:cs="Times New Roman"/>
                <w:color w:val="auto"/>
                <w:sz w:val="21"/>
                <w:szCs w:val="21"/>
              </w:rPr>
              <w:t>污染地块管控要求</w:t>
            </w:r>
          </w:p>
        </w:tc>
        <w:tc>
          <w:tcPr>
            <w:tcW w:w="3403" w:type="dxa"/>
            <w:vAlign w:val="center"/>
          </w:tcPr>
          <w:p w14:paraId="3D81AC0B">
            <w:pPr>
              <w:pStyle w:val="70"/>
              <w:spacing w:line="240" w:lineRule="auto"/>
              <w:rPr>
                <w:rFonts w:hint="eastAsia" w:ascii="Times New Roman" w:hAnsi="Times New Roman" w:eastAsia="宋体" w:cs="Times New Roman"/>
                <w:color w:val="auto"/>
                <w:sz w:val="21"/>
                <w:szCs w:val="21"/>
              </w:rPr>
            </w:pPr>
            <w:r>
              <w:rPr>
                <w:rFonts w:ascii="Times New Roman" w:hAnsi="Times New Roman" w:eastAsia="宋体" w:cs="Times New Roman"/>
                <w:color w:val="auto"/>
                <w:sz w:val="21"/>
                <w:szCs w:val="21"/>
              </w:rPr>
              <w:t>土地资源开发利用量不得超过土地资源利用上线控制性指标。</w:t>
            </w:r>
          </w:p>
        </w:tc>
        <w:tc>
          <w:tcPr>
            <w:tcW w:w="2677" w:type="dxa"/>
            <w:vAlign w:val="center"/>
          </w:tcPr>
          <w:p w14:paraId="57D7571D">
            <w:pPr>
              <w:pStyle w:val="70"/>
              <w:spacing w:line="240" w:lineRule="auto"/>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本项目位于工业园区内，用地性质为工业用地</w:t>
            </w:r>
          </w:p>
        </w:tc>
        <w:tc>
          <w:tcPr>
            <w:tcW w:w="929" w:type="dxa"/>
            <w:vAlign w:val="center"/>
          </w:tcPr>
          <w:p w14:paraId="4A36B4CA">
            <w:pPr>
              <w:pStyle w:val="70"/>
              <w:spacing w:line="240" w:lineRule="auto"/>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符合</w:t>
            </w:r>
          </w:p>
        </w:tc>
      </w:tr>
      <w:tr w14:paraId="0414AC8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52" w:hRule="atLeast"/>
          <w:jc w:val="center"/>
        </w:trPr>
        <w:tc>
          <w:tcPr>
            <w:tcW w:w="2016" w:type="dxa"/>
            <w:vMerge w:val="continue"/>
            <w:vAlign w:val="center"/>
          </w:tcPr>
          <w:p w14:paraId="7FC25AD8">
            <w:pPr>
              <w:pStyle w:val="70"/>
              <w:spacing w:line="240" w:lineRule="auto"/>
              <w:rPr>
                <w:rFonts w:hint="eastAsia" w:ascii="Times New Roman" w:hAnsi="Times New Roman" w:eastAsia="宋体" w:cs="Times New Roman"/>
                <w:color w:val="auto"/>
                <w:sz w:val="21"/>
                <w:szCs w:val="21"/>
              </w:rPr>
            </w:pPr>
          </w:p>
        </w:tc>
        <w:tc>
          <w:tcPr>
            <w:tcW w:w="1370" w:type="dxa"/>
            <w:vMerge w:val="continue"/>
            <w:vAlign w:val="center"/>
          </w:tcPr>
          <w:p w14:paraId="2E74843D">
            <w:pPr>
              <w:pStyle w:val="70"/>
              <w:spacing w:line="240" w:lineRule="auto"/>
              <w:rPr>
                <w:rFonts w:hint="eastAsia" w:ascii="Times New Roman" w:hAnsi="Times New Roman" w:eastAsia="宋体" w:cs="Times New Roman"/>
                <w:color w:val="auto"/>
                <w:sz w:val="21"/>
                <w:szCs w:val="21"/>
              </w:rPr>
            </w:pPr>
          </w:p>
        </w:tc>
        <w:tc>
          <w:tcPr>
            <w:tcW w:w="1547" w:type="dxa"/>
            <w:vAlign w:val="center"/>
          </w:tcPr>
          <w:p w14:paraId="0DB5CAC3">
            <w:pPr>
              <w:pStyle w:val="70"/>
              <w:spacing w:line="240" w:lineRule="auto"/>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资源开发利用效率要求</w:t>
            </w:r>
          </w:p>
        </w:tc>
        <w:tc>
          <w:tcPr>
            <w:tcW w:w="1710" w:type="dxa"/>
            <w:vAlign w:val="center"/>
          </w:tcPr>
          <w:p w14:paraId="2F523B05">
            <w:pPr>
              <w:pStyle w:val="70"/>
              <w:spacing w:line="240" w:lineRule="auto"/>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w:t>
            </w:r>
          </w:p>
        </w:tc>
        <w:tc>
          <w:tcPr>
            <w:tcW w:w="3403" w:type="dxa"/>
            <w:vAlign w:val="center"/>
          </w:tcPr>
          <w:p w14:paraId="2775C57A">
            <w:pPr>
              <w:pStyle w:val="70"/>
              <w:spacing w:line="240" w:lineRule="auto"/>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w:t>
            </w:r>
          </w:p>
        </w:tc>
        <w:tc>
          <w:tcPr>
            <w:tcW w:w="2677" w:type="dxa"/>
            <w:vAlign w:val="center"/>
          </w:tcPr>
          <w:p w14:paraId="2B9B301D">
            <w:pPr>
              <w:pStyle w:val="70"/>
              <w:spacing w:line="240" w:lineRule="auto"/>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w:t>
            </w:r>
          </w:p>
        </w:tc>
        <w:tc>
          <w:tcPr>
            <w:tcW w:w="929" w:type="dxa"/>
            <w:vAlign w:val="center"/>
          </w:tcPr>
          <w:p w14:paraId="2CB6F4F2">
            <w:pPr>
              <w:pStyle w:val="70"/>
              <w:spacing w:line="240" w:lineRule="auto"/>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w:t>
            </w:r>
          </w:p>
        </w:tc>
      </w:tr>
      <w:tr w14:paraId="310DB69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016" w:type="dxa"/>
            <w:vMerge w:val="restart"/>
            <w:vAlign w:val="center"/>
          </w:tcPr>
          <w:p w14:paraId="06A4791C">
            <w:pPr>
              <w:pStyle w:val="70"/>
              <w:spacing w:line="240" w:lineRule="auto"/>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YS5119022310005四川巴中经开区（核心区块、金堂区块）</w:t>
            </w:r>
          </w:p>
        </w:tc>
        <w:tc>
          <w:tcPr>
            <w:tcW w:w="1370" w:type="dxa"/>
            <w:vMerge w:val="restart"/>
            <w:vAlign w:val="center"/>
          </w:tcPr>
          <w:p w14:paraId="2B21A364">
            <w:pPr>
              <w:pStyle w:val="70"/>
              <w:spacing w:line="240" w:lineRule="auto"/>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重点管控区</w:t>
            </w:r>
          </w:p>
        </w:tc>
        <w:tc>
          <w:tcPr>
            <w:tcW w:w="1547" w:type="dxa"/>
            <w:vAlign w:val="center"/>
          </w:tcPr>
          <w:p w14:paraId="7F3C4790">
            <w:pPr>
              <w:pStyle w:val="70"/>
              <w:spacing w:line="240" w:lineRule="auto"/>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空间布局约束</w:t>
            </w:r>
          </w:p>
        </w:tc>
        <w:tc>
          <w:tcPr>
            <w:tcW w:w="1710" w:type="dxa"/>
            <w:vAlign w:val="center"/>
          </w:tcPr>
          <w:p w14:paraId="7D752861">
            <w:pPr>
              <w:pStyle w:val="70"/>
              <w:spacing w:line="240" w:lineRule="auto"/>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w:t>
            </w:r>
          </w:p>
        </w:tc>
        <w:tc>
          <w:tcPr>
            <w:tcW w:w="3403" w:type="dxa"/>
            <w:vAlign w:val="center"/>
          </w:tcPr>
          <w:p w14:paraId="15A89416">
            <w:pPr>
              <w:pStyle w:val="70"/>
              <w:spacing w:line="240" w:lineRule="auto"/>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w:t>
            </w:r>
          </w:p>
        </w:tc>
        <w:tc>
          <w:tcPr>
            <w:tcW w:w="2677" w:type="dxa"/>
            <w:vAlign w:val="center"/>
          </w:tcPr>
          <w:p w14:paraId="1CD2F537">
            <w:pPr>
              <w:pStyle w:val="70"/>
              <w:spacing w:line="240" w:lineRule="auto"/>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w:t>
            </w:r>
          </w:p>
        </w:tc>
        <w:tc>
          <w:tcPr>
            <w:tcW w:w="929" w:type="dxa"/>
            <w:vAlign w:val="center"/>
          </w:tcPr>
          <w:p w14:paraId="0F07888A">
            <w:pPr>
              <w:pStyle w:val="70"/>
              <w:spacing w:line="240" w:lineRule="auto"/>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w:t>
            </w:r>
          </w:p>
        </w:tc>
      </w:tr>
      <w:tr w14:paraId="1817522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016" w:type="dxa"/>
            <w:vMerge w:val="continue"/>
            <w:vAlign w:val="center"/>
          </w:tcPr>
          <w:p w14:paraId="580995ED">
            <w:pPr>
              <w:pStyle w:val="70"/>
              <w:spacing w:line="240" w:lineRule="auto"/>
              <w:rPr>
                <w:rFonts w:hint="eastAsia" w:ascii="Times New Roman" w:hAnsi="Times New Roman" w:eastAsia="宋体" w:cs="Times New Roman"/>
                <w:color w:val="auto"/>
                <w:sz w:val="21"/>
                <w:szCs w:val="21"/>
              </w:rPr>
            </w:pPr>
          </w:p>
        </w:tc>
        <w:tc>
          <w:tcPr>
            <w:tcW w:w="1370" w:type="dxa"/>
            <w:vMerge w:val="continue"/>
            <w:vAlign w:val="center"/>
          </w:tcPr>
          <w:p w14:paraId="34502225">
            <w:pPr>
              <w:pStyle w:val="70"/>
              <w:spacing w:line="240" w:lineRule="auto"/>
              <w:rPr>
                <w:rFonts w:hint="eastAsia" w:ascii="Times New Roman" w:hAnsi="Times New Roman" w:eastAsia="宋体" w:cs="Times New Roman"/>
                <w:color w:val="auto"/>
                <w:sz w:val="21"/>
                <w:szCs w:val="21"/>
              </w:rPr>
            </w:pPr>
          </w:p>
        </w:tc>
        <w:tc>
          <w:tcPr>
            <w:tcW w:w="1547" w:type="dxa"/>
            <w:vAlign w:val="center"/>
          </w:tcPr>
          <w:p w14:paraId="59F70865">
            <w:pPr>
              <w:pStyle w:val="70"/>
              <w:spacing w:line="240" w:lineRule="auto"/>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污染物排放管控</w:t>
            </w:r>
          </w:p>
        </w:tc>
        <w:tc>
          <w:tcPr>
            <w:tcW w:w="1710" w:type="dxa"/>
            <w:vAlign w:val="center"/>
          </w:tcPr>
          <w:p w14:paraId="17393DEB">
            <w:pPr>
              <w:pStyle w:val="70"/>
              <w:spacing w:line="240" w:lineRule="auto"/>
              <w:rPr>
                <w:rFonts w:hint="eastAsia" w:ascii="Times New Roman" w:hAnsi="Times New Roman" w:eastAsia="宋体" w:cs="Times New Roman"/>
                <w:color w:val="auto"/>
                <w:sz w:val="21"/>
                <w:szCs w:val="21"/>
              </w:rPr>
            </w:pPr>
            <w:r>
              <w:rPr>
                <w:rFonts w:ascii="Times New Roman" w:hAnsi="Times New Roman" w:eastAsia="宋体" w:cs="Times New Roman"/>
                <w:color w:val="auto"/>
                <w:sz w:val="21"/>
                <w:szCs w:val="21"/>
              </w:rPr>
              <w:t>新增源等量或倍量替代</w:t>
            </w:r>
          </w:p>
        </w:tc>
        <w:tc>
          <w:tcPr>
            <w:tcW w:w="3403" w:type="dxa"/>
            <w:vAlign w:val="center"/>
          </w:tcPr>
          <w:p w14:paraId="469AF798">
            <w:pPr>
              <w:pStyle w:val="70"/>
              <w:spacing w:line="240" w:lineRule="auto"/>
              <w:rPr>
                <w:rFonts w:hint="eastAsia" w:ascii="Times New Roman" w:hAnsi="Times New Roman" w:eastAsia="宋体" w:cs="Times New Roman"/>
                <w:color w:val="auto"/>
                <w:sz w:val="21"/>
                <w:szCs w:val="21"/>
              </w:rPr>
            </w:pPr>
            <w:r>
              <w:rPr>
                <w:rFonts w:ascii="Times New Roman" w:hAnsi="Times New Roman" w:eastAsia="宋体" w:cs="Times New Roman"/>
                <w:color w:val="auto"/>
                <w:sz w:val="21"/>
                <w:szCs w:val="21"/>
              </w:rPr>
              <w:t>1、全面淘汰10蒸吨小时及以下燃煤锅炉，原则上不再新建35蒸吨小时及以下的燃煤锅炉，推进县级及以上城市建成区淘汰35蒸吨小时及以下燃煤锅炉，以工业余热、电厂热力、清洁能源等替代煤炭。
2、加快推进火电、钢铁、铸造（含烧结、球团、高炉工序）水泥、焦化行业燃煤锅炉和工业炉窑超低排放改造及深度治理。稳步实施陶瓷、玻璃、铁合金、有色、砖瓦等行业企业深度治理，推进工业炉窑煤改电（气）和低氮燃烧改造。全面加强钢铁、建材、有色、焦化、铸造重点行业无组织排放治理。生物质锅炉采用专用锅炉，配套布袋等高效除尘设施，禁止掺烧煤炭、垃圾等其他物料。</w:t>
            </w:r>
          </w:p>
        </w:tc>
        <w:tc>
          <w:tcPr>
            <w:tcW w:w="2677" w:type="dxa"/>
            <w:vAlign w:val="center"/>
          </w:tcPr>
          <w:p w14:paraId="15AB9B3A">
            <w:pPr>
              <w:pStyle w:val="70"/>
              <w:spacing w:line="240" w:lineRule="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本项目不使用锅炉，不属于</w:t>
            </w:r>
            <w:r>
              <w:rPr>
                <w:rFonts w:ascii="Times New Roman" w:hAnsi="Times New Roman" w:eastAsia="宋体" w:cs="Times New Roman"/>
                <w:color w:val="auto"/>
                <w:sz w:val="21"/>
                <w:szCs w:val="21"/>
              </w:rPr>
              <w:t>陶瓷、玻璃、铁合金、有色、砖瓦</w:t>
            </w:r>
            <w:r>
              <w:rPr>
                <w:rFonts w:hint="eastAsia" w:ascii="Times New Roman" w:hAnsi="Times New Roman" w:eastAsia="宋体" w:cs="Times New Roman"/>
                <w:color w:val="auto"/>
                <w:sz w:val="21"/>
                <w:szCs w:val="21"/>
                <w:lang w:eastAsia="zh-CN"/>
              </w:rPr>
              <w:t>、</w:t>
            </w:r>
            <w:r>
              <w:rPr>
                <w:rFonts w:ascii="Times New Roman" w:hAnsi="Times New Roman" w:eastAsia="宋体" w:cs="Times New Roman"/>
                <w:color w:val="auto"/>
                <w:sz w:val="21"/>
                <w:szCs w:val="21"/>
              </w:rPr>
              <w:t>钢铁、建材、焦化、铸造等行业</w:t>
            </w:r>
          </w:p>
        </w:tc>
        <w:tc>
          <w:tcPr>
            <w:tcW w:w="929" w:type="dxa"/>
            <w:vAlign w:val="center"/>
          </w:tcPr>
          <w:p w14:paraId="3D5A22C7">
            <w:pPr>
              <w:pStyle w:val="70"/>
              <w:spacing w:line="240" w:lineRule="auto"/>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符合</w:t>
            </w:r>
          </w:p>
        </w:tc>
      </w:tr>
      <w:tr w14:paraId="6E8AE17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016" w:type="dxa"/>
            <w:vMerge w:val="continue"/>
            <w:vAlign w:val="center"/>
          </w:tcPr>
          <w:p w14:paraId="4612054D">
            <w:pPr>
              <w:pStyle w:val="70"/>
              <w:spacing w:line="240" w:lineRule="auto"/>
              <w:rPr>
                <w:rFonts w:hint="eastAsia" w:ascii="Times New Roman" w:hAnsi="Times New Roman" w:eastAsia="宋体" w:cs="Times New Roman"/>
                <w:color w:val="auto"/>
                <w:sz w:val="21"/>
                <w:szCs w:val="21"/>
              </w:rPr>
            </w:pPr>
          </w:p>
        </w:tc>
        <w:tc>
          <w:tcPr>
            <w:tcW w:w="1370" w:type="dxa"/>
            <w:vMerge w:val="continue"/>
            <w:vAlign w:val="center"/>
          </w:tcPr>
          <w:p w14:paraId="31633733">
            <w:pPr>
              <w:pStyle w:val="70"/>
              <w:spacing w:line="240" w:lineRule="auto"/>
              <w:rPr>
                <w:rFonts w:hint="eastAsia" w:ascii="Times New Roman" w:hAnsi="Times New Roman" w:eastAsia="宋体" w:cs="Times New Roman"/>
                <w:color w:val="auto"/>
                <w:sz w:val="21"/>
                <w:szCs w:val="21"/>
              </w:rPr>
            </w:pPr>
          </w:p>
        </w:tc>
        <w:tc>
          <w:tcPr>
            <w:tcW w:w="1547" w:type="dxa"/>
            <w:vMerge w:val="restart"/>
            <w:vAlign w:val="center"/>
          </w:tcPr>
          <w:p w14:paraId="556987BD">
            <w:pPr>
              <w:pStyle w:val="70"/>
              <w:spacing w:line="240" w:lineRule="auto"/>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环境风险防控</w:t>
            </w:r>
          </w:p>
        </w:tc>
        <w:tc>
          <w:tcPr>
            <w:tcW w:w="1710" w:type="dxa"/>
            <w:vAlign w:val="center"/>
          </w:tcPr>
          <w:p w14:paraId="5C6412A1">
            <w:pPr>
              <w:pStyle w:val="70"/>
              <w:spacing w:line="240" w:lineRule="auto"/>
              <w:rPr>
                <w:rFonts w:hint="eastAsia" w:ascii="Times New Roman" w:hAnsi="Times New Roman" w:eastAsia="宋体" w:cs="Times New Roman"/>
                <w:color w:val="auto"/>
                <w:sz w:val="21"/>
                <w:szCs w:val="21"/>
              </w:rPr>
            </w:pPr>
            <w:r>
              <w:rPr>
                <w:rFonts w:ascii="Times New Roman" w:hAnsi="Times New Roman" w:eastAsia="宋体" w:cs="Times New Roman"/>
                <w:color w:val="auto"/>
                <w:sz w:val="21"/>
                <w:szCs w:val="21"/>
              </w:rPr>
              <w:t>严格管控类农用地管控要求</w:t>
            </w:r>
          </w:p>
        </w:tc>
        <w:tc>
          <w:tcPr>
            <w:tcW w:w="3403" w:type="dxa"/>
            <w:vAlign w:val="center"/>
          </w:tcPr>
          <w:p w14:paraId="771F2AFB">
            <w:pPr>
              <w:pStyle w:val="70"/>
              <w:spacing w:line="240" w:lineRule="auto"/>
              <w:rPr>
                <w:rFonts w:hint="eastAsia" w:ascii="Times New Roman" w:hAnsi="Times New Roman" w:eastAsia="宋体" w:cs="Times New Roman"/>
                <w:color w:val="auto"/>
                <w:sz w:val="21"/>
                <w:szCs w:val="21"/>
                <w:lang w:eastAsia="zh-CN"/>
              </w:rPr>
            </w:pPr>
            <w:r>
              <w:rPr>
                <w:rFonts w:ascii="Times New Roman" w:hAnsi="Times New Roman" w:eastAsia="宋体" w:cs="Times New Roman"/>
                <w:color w:val="auto"/>
                <w:sz w:val="21"/>
                <w:szCs w:val="21"/>
              </w:rPr>
              <w:t>加快实施低VOCs含量原辅材料替代。持续开展VOCs治理设施提级增效，对采用单一低温等离子、光氧化、光催化以及非水溶性VOCs废气采用单一喷淋吸收等治理技术且无法稳定达标的，加快推进升级改造。强化VOCs无组织排放整治。石化、化工等行业加强非正常工况废气排放管控。推进涉VOCs产业集群治理提升</w:t>
            </w:r>
            <w:r>
              <w:rPr>
                <w:rFonts w:hint="eastAsia" w:ascii="Times New Roman" w:hAnsi="Times New Roman" w:eastAsia="宋体" w:cs="Times New Roman"/>
                <w:color w:val="auto"/>
                <w:sz w:val="21"/>
                <w:szCs w:val="21"/>
                <w:lang w:eastAsia="zh-CN"/>
              </w:rPr>
              <w:t>。</w:t>
            </w:r>
          </w:p>
        </w:tc>
        <w:tc>
          <w:tcPr>
            <w:tcW w:w="2677" w:type="dxa"/>
            <w:vMerge w:val="restart"/>
            <w:vAlign w:val="center"/>
          </w:tcPr>
          <w:p w14:paraId="1404C2C5">
            <w:pPr>
              <w:pStyle w:val="70"/>
              <w:spacing w:line="240" w:lineRule="auto"/>
              <w:rPr>
                <w:rFonts w:hint="eastAsia" w:ascii="Times New Roman" w:hAnsi="Times New Roman" w:eastAsia="宋体" w:cs="Times New Roman"/>
                <w:color w:val="auto"/>
                <w:sz w:val="21"/>
                <w:szCs w:val="21"/>
              </w:rPr>
            </w:pPr>
            <w:r>
              <w:rPr>
                <w:rFonts w:hint="eastAsia" w:cs="Times New Roman"/>
                <w:color w:val="auto"/>
                <w:sz w:val="21"/>
                <w:szCs w:val="21"/>
                <w:lang w:val="en-US" w:eastAsia="zh-CN"/>
              </w:rPr>
              <w:t>本项目不属于石化、化工等行业，</w:t>
            </w:r>
            <w:r>
              <w:rPr>
                <w:rFonts w:hint="default" w:ascii="Times New Roman" w:hAnsi="Times New Roman" w:eastAsia="宋体" w:cs="Times New Roman"/>
                <w:color w:val="auto"/>
                <w:sz w:val="21"/>
                <w:szCs w:val="21"/>
                <w:lang w:val="en-US" w:eastAsia="zh-CN"/>
              </w:rPr>
              <w:t>项目涂布烘干工序产生的NMP废气经NMP回收处理装置（TA001）处理后通过1根</w:t>
            </w:r>
            <w:r>
              <w:rPr>
                <w:rFonts w:hint="eastAsia" w:cs="Times New Roman"/>
                <w:color w:val="auto"/>
                <w:sz w:val="21"/>
                <w:szCs w:val="21"/>
                <w:lang w:val="en-US" w:eastAsia="zh-CN"/>
              </w:rPr>
              <w:t>30</w:t>
            </w:r>
            <w:r>
              <w:rPr>
                <w:rFonts w:hint="default" w:ascii="Times New Roman" w:hAnsi="Times New Roman" w:eastAsia="宋体" w:cs="Times New Roman"/>
                <w:color w:val="auto"/>
                <w:sz w:val="21"/>
                <w:szCs w:val="21"/>
                <w:lang w:val="en-US" w:eastAsia="zh-CN"/>
              </w:rPr>
              <w:t>m高排气筒（DA001）排放；电解液注液、</w:t>
            </w:r>
            <w:r>
              <w:rPr>
                <w:rFonts w:hint="eastAsia" w:cs="Times New Roman"/>
                <w:color w:val="auto"/>
                <w:sz w:val="21"/>
                <w:szCs w:val="21"/>
                <w:lang w:val="en-US" w:eastAsia="zh-CN"/>
              </w:rPr>
              <w:t>二封等工序产生的有机废气</w:t>
            </w:r>
            <w:r>
              <w:rPr>
                <w:rFonts w:hint="default" w:ascii="Times New Roman" w:hAnsi="Times New Roman" w:eastAsia="宋体" w:cs="Times New Roman"/>
                <w:color w:val="auto"/>
                <w:sz w:val="21"/>
                <w:szCs w:val="21"/>
                <w:lang w:val="en-US" w:eastAsia="zh-CN"/>
              </w:rPr>
              <w:t>经</w:t>
            </w:r>
            <w:r>
              <w:rPr>
                <w:rFonts w:hint="eastAsia" w:cs="Times New Roman"/>
                <w:color w:val="auto"/>
                <w:sz w:val="21"/>
                <w:szCs w:val="21"/>
                <w:lang w:val="en-US" w:eastAsia="zh-CN"/>
              </w:rPr>
              <w:t>收集后</w:t>
            </w:r>
            <w:r>
              <w:rPr>
                <w:rFonts w:hint="default" w:ascii="Times New Roman" w:hAnsi="Times New Roman" w:eastAsia="宋体" w:cs="Times New Roman"/>
                <w:color w:val="auto"/>
                <w:sz w:val="21"/>
                <w:szCs w:val="21"/>
                <w:lang w:val="en-US" w:eastAsia="zh-CN"/>
              </w:rPr>
              <w:t>引至二级活性炭吸附装置（TA002）处理后，一根</w:t>
            </w:r>
            <w:r>
              <w:rPr>
                <w:rFonts w:hint="eastAsia" w:cs="Times New Roman"/>
                <w:color w:val="auto"/>
                <w:sz w:val="21"/>
                <w:szCs w:val="21"/>
                <w:lang w:val="en-US" w:eastAsia="zh-CN"/>
              </w:rPr>
              <w:t>30</w:t>
            </w:r>
            <w:r>
              <w:rPr>
                <w:rFonts w:hint="default" w:ascii="Times New Roman" w:hAnsi="Times New Roman" w:eastAsia="宋体" w:cs="Times New Roman"/>
                <w:color w:val="auto"/>
                <w:sz w:val="21"/>
                <w:szCs w:val="21"/>
                <w:lang w:val="en-US" w:eastAsia="zh-CN"/>
              </w:rPr>
              <w:t>m排气筒（DA002）排放</w:t>
            </w:r>
            <w:r>
              <w:rPr>
                <w:rFonts w:hint="eastAsia" w:cs="Times New Roman"/>
                <w:color w:val="auto"/>
                <w:sz w:val="21"/>
                <w:szCs w:val="21"/>
                <w:lang w:val="en-US" w:eastAsia="zh-CN"/>
              </w:rPr>
              <w:t>，危废库废气经活性炭吸附装置（TA003）处理后通过15m高排气筒（DA003）排放；拆解废气、封边废气产生量极少，加强车间密闭，无组织排放。</w:t>
            </w:r>
          </w:p>
        </w:tc>
        <w:tc>
          <w:tcPr>
            <w:tcW w:w="929" w:type="dxa"/>
            <w:vMerge w:val="restart"/>
            <w:vAlign w:val="center"/>
          </w:tcPr>
          <w:p w14:paraId="207B28C3">
            <w:pPr>
              <w:pStyle w:val="70"/>
              <w:spacing w:line="240" w:lineRule="auto"/>
              <w:rPr>
                <w:rFonts w:hint="eastAsia" w:ascii="Times New Roman" w:hAnsi="Times New Roman" w:eastAsia="宋体" w:cs="Times New Roman"/>
                <w:color w:val="auto"/>
                <w:sz w:val="21"/>
                <w:szCs w:val="21"/>
              </w:rPr>
            </w:pPr>
            <w:r>
              <w:rPr>
                <w:rFonts w:hint="eastAsia" w:cs="Times New Roman"/>
                <w:color w:val="auto"/>
                <w:sz w:val="21"/>
                <w:szCs w:val="21"/>
                <w:lang w:val="en-US" w:eastAsia="zh-CN"/>
              </w:rPr>
              <w:t>符合</w:t>
            </w:r>
          </w:p>
        </w:tc>
      </w:tr>
      <w:tr w14:paraId="32881DD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016" w:type="dxa"/>
            <w:vMerge w:val="continue"/>
            <w:vAlign w:val="center"/>
          </w:tcPr>
          <w:p w14:paraId="145AB0A0">
            <w:pPr>
              <w:pStyle w:val="70"/>
              <w:spacing w:line="240" w:lineRule="auto"/>
              <w:rPr>
                <w:rFonts w:hint="eastAsia" w:ascii="Times New Roman" w:hAnsi="Times New Roman" w:eastAsia="宋体" w:cs="Times New Roman"/>
                <w:color w:val="auto"/>
                <w:sz w:val="21"/>
                <w:szCs w:val="21"/>
              </w:rPr>
            </w:pPr>
          </w:p>
        </w:tc>
        <w:tc>
          <w:tcPr>
            <w:tcW w:w="1370" w:type="dxa"/>
            <w:vMerge w:val="continue"/>
            <w:vAlign w:val="center"/>
          </w:tcPr>
          <w:p w14:paraId="2FD6C96C">
            <w:pPr>
              <w:pStyle w:val="70"/>
              <w:spacing w:line="240" w:lineRule="auto"/>
              <w:rPr>
                <w:rFonts w:hint="eastAsia" w:ascii="Times New Roman" w:hAnsi="Times New Roman" w:eastAsia="宋体" w:cs="Times New Roman"/>
                <w:color w:val="auto"/>
                <w:sz w:val="21"/>
                <w:szCs w:val="21"/>
              </w:rPr>
            </w:pPr>
          </w:p>
        </w:tc>
        <w:tc>
          <w:tcPr>
            <w:tcW w:w="1547" w:type="dxa"/>
            <w:vMerge w:val="continue"/>
            <w:vAlign w:val="center"/>
          </w:tcPr>
          <w:p w14:paraId="4A1A25FB">
            <w:pPr>
              <w:pStyle w:val="70"/>
              <w:spacing w:line="240" w:lineRule="auto"/>
              <w:rPr>
                <w:rFonts w:hint="eastAsia" w:ascii="Times New Roman" w:hAnsi="Times New Roman" w:eastAsia="宋体" w:cs="Times New Roman"/>
                <w:color w:val="auto"/>
                <w:sz w:val="21"/>
                <w:szCs w:val="21"/>
              </w:rPr>
            </w:pPr>
          </w:p>
        </w:tc>
        <w:tc>
          <w:tcPr>
            <w:tcW w:w="1710" w:type="dxa"/>
            <w:vAlign w:val="center"/>
          </w:tcPr>
          <w:p w14:paraId="5F10E2F4">
            <w:pPr>
              <w:pStyle w:val="70"/>
              <w:spacing w:line="240" w:lineRule="auto"/>
              <w:rPr>
                <w:rFonts w:hint="eastAsia" w:ascii="Times New Roman" w:hAnsi="Times New Roman" w:eastAsia="宋体" w:cs="Times New Roman"/>
                <w:color w:val="auto"/>
                <w:sz w:val="21"/>
                <w:szCs w:val="21"/>
              </w:rPr>
            </w:pPr>
            <w:r>
              <w:rPr>
                <w:rFonts w:ascii="Times New Roman" w:hAnsi="Times New Roman" w:eastAsia="宋体" w:cs="Times New Roman"/>
                <w:color w:val="auto"/>
                <w:sz w:val="21"/>
                <w:szCs w:val="21"/>
              </w:rPr>
              <w:t>企业环境风险防控要求</w:t>
            </w:r>
          </w:p>
        </w:tc>
        <w:tc>
          <w:tcPr>
            <w:tcW w:w="3403" w:type="dxa"/>
            <w:vAlign w:val="center"/>
          </w:tcPr>
          <w:p w14:paraId="429F3A60">
            <w:pPr>
              <w:pStyle w:val="70"/>
              <w:spacing w:line="240" w:lineRule="auto"/>
              <w:rPr>
                <w:rFonts w:hint="eastAsia" w:ascii="Times New Roman" w:hAnsi="Times New Roman" w:eastAsia="宋体" w:cs="Times New Roman"/>
                <w:color w:val="auto"/>
                <w:sz w:val="21"/>
                <w:szCs w:val="21"/>
                <w:lang w:eastAsia="zh-CN"/>
              </w:rPr>
            </w:pPr>
            <w:r>
              <w:rPr>
                <w:rFonts w:ascii="Times New Roman" w:hAnsi="Times New Roman" w:eastAsia="宋体" w:cs="Times New Roman"/>
                <w:color w:val="auto"/>
                <w:sz w:val="21"/>
                <w:szCs w:val="21"/>
              </w:rPr>
              <w:t>加快实施低VOCs含量原辅材料替代。持续开展VOCs治理设施提级增效，对采用单一低温等离子、光氧化、光催化以及非水溶性VOCs废气采用单一喷淋吸收等治理技术且无法稳定达标的，加快推进升级改造。强化VOCs无组织排放整治。石化、化工等行业加强非正常工况废气排放管控。推进涉VOCs产业集群治理提升</w:t>
            </w:r>
            <w:r>
              <w:rPr>
                <w:rFonts w:hint="eastAsia" w:ascii="Times New Roman" w:hAnsi="Times New Roman" w:eastAsia="宋体" w:cs="Times New Roman"/>
                <w:color w:val="auto"/>
                <w:sz w:val="21"/>
                <w:szCs w:val="21"/>
                <w:lang w:eastAsia="zh-CN"/>
              </w:rPr>
              <w:t>。</w:t>
            </w:r>
          </w:p>
        </w:tc>
        <w:tc>
          <w:tcPr>
            <w:tcW w:w="2677" w:type="dxa"/>
            <w:vMerge w:val="continue"/>
            <w:vAlign w:val="center"/>
          </w:tcPr>
          <w:p w14:paraId="7D59A960">
            <w:pPr>
              <w:pStyle w:val="70"/>
              <w:spacing w:line="240" w:lineRule="auto"/>
              <w:rPr>
                <w:rFonts w:hint="eastAsia" w:ascii="Times New Roman" w:hAnsi="Times New Roman" w:eastAsia="宋体" w:cs="Times New Roman"/>
                <w:color w:val="auto"/>
                <w:sz w:val="21"/>
                <w:szCs w:val="21"/>
              </w:rPr>
            </w:pPr>
          </w:p>
        </w:tc>
        <w:tc>
          <w:tcPr>
            <w:tcW w:w="929" w:type="dxa"/>
            <w:vMerge w:val="continue"/>
            <w:vAlign w:val="center"/>
          </w:tcPr>
          <w:p w14:paraId="1DDBA648">
            <w:pPr>
              <w:pStyle w:val="70"/>
              <w:spacing w:line="240" w:lineRule="auto"/>
              <w:rPr>
                <w:rFonts w:hint="eastAsia" w:ascii="Times New Roman" w:hAnsi="Times New Roman" w:eastAsia="宋体" w:cs="Times New Roman"/>
                <w:color w:val="auto"/>
                <w:sz w:val="21"/>
                <w:szCs w:val="21"/>
              </w:rPr>
            </w:pPr>
          </w:p>
        </w:tc>
      </w:tr>
      <w:tr w14:paraId="6440400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016" w:type="dxa"/>
            <w:vMerge w:val="continue"/>
            <w:vAlign w:val="center"/>
          </w:tcPr>
          <w:p w14:paraId="077C232D">
            <w:pPr>
              <w:pStyle w:val="70"/>
              <w:spacing w:line="240" w:lineRule="auto"/>
              <w:rPr>
                <w:rFonts w:hint="eastAsia" w:ascii="Times New Roman" w:hAnsi="Times New Roman" w:eastAsia="宋体" w:cs="Times New Roman"/>
                <w:color w:val="auto"/>
                <w:sz w:val="21"/>
                <w:szCs w:val="21"/>
              </w:rPr>
            </w:pPr>
          </w:p>
        </w:tc>
        <w:tc>
          <w:tcPr>
            <w:tcW w:w="1370" w:type="dxa"/>
            <w:vMerge w:val="continue"/>
            <w:vAlign w:val="center"/>
          </w:tcPr>
          <w:p w14:paraId="349EA9C6">
            <w:pPr>
              <w:pStyle w:val="70"/>
              <w:spacing w:line="240" w:lineRule="auto"/>
              <w:rPr>
                <w:rFonts w:hint="eastAsia" w:ascii="Times New Roman" w:hAnsi="Times New Roman" w:eastAsia="宋体" w:cs="Times New Roman"/>
                <w:color w:val="auto"/>
                <w:sz w:val="21"/>
                <w:szCs w:val="21"/>
              </w:rPr>
            </w:pPr>
          </w:p>
        </w:tc>
        <w:tc>
          <w:tcPr>
            <w:tcW w:w="1547" w:type="dxa"/>
            <w:vAlign w:val="center"/>
          </w:tcPr>
          <w:p w14:paraId="6745BB81">
            <w:pPr>
              <w:pStyle w:val="70"/>
              <w:spacing w:line="240" w:lineRule="auto"/>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资源开发利用效率要求</w:t>
            </w:r>
          </w:p>
        </w:tc>
        <w:tc>
          <w:tcPr>
            <w:tcW w:w="1710" w:type="dxa"/>
            <w:vAlign w:val="center"/>
          </w:tcPr>
          <w:p w14:paraId="5A27A7C8">
            <w:pPr>
              <w:pStyle w:val="70"/>
              <w:spacing w:line="240" w:lineRule="auto"/>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w:t>
            </w:r>
          </w:p>
        </w:tc>
        <w:tc>
          <w:tcPr>
            <w:tcW w:w="3403" w:type="dxa"/>
            <w:vAlign w:val="center"/>
          </w:tcPr>
          <w:p w14:paraId="1FD3D180">
            <w:pPr>
              <w:pStyle w:val="70"/>
              <w:spacing w:line="240" w:lineRule="auto"/>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w:t>
            </w:r>
          </w:p>
        </w:tc>
        <w:tc>
          <w:tcPr>
            <w:tcW w:w="2677" w:type="dxa"/>
            <w:vAlign w:val="center"/>
          </w:tcPr>
          <w:p w14:paraId="3844CB90">
            <w:pPr>
              <w:pStyle w:val="70"/>
              <w:spacing w:line="240" w:lineRule="auto"/>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w:t>
            </w:r>
          </w:p>
        </w:tc>
        <w:tc>
          <w:tcPr>
            <w:tcW w:w="929" w:type="dxa"/>
            <w:vAlign w:val="center"/>
          </w:tcPr>
          <w:p w14:paraId="4E7BD5EC">
            <w:pPr>
              <w:pStyle w:val="70"/>
              <w:spacing w:line="240" w:lineRule="auto"/>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w:t>
            </w:r>
          </w:p>
        </w:tc>
      </w:tr>
      <w:tr w14:paraId="49CAB9D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016" w:type="dxa"/>
            <w:vMerge w:val="restart"/>
            <w:vAlign w:val="center"/>
          </w:tcPr>
          <w:p w14:paraId="797F5AB9">
            <w:pPr>
              <w:pStyle w:val="70"/>
              <w:spacing w:line="240" w:lineRule="auto"/>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YS5119022530001巴州区城镇开发边界</w:t>
            </w:r>
          </w:p>
        </w:tc>
        <w:tc>
          <w:tcPr>
            <w:tcW w:w="1370" w:type="dxa"/>
            <w:vMerge w:val="restart"/>
            <w:vAlign w:val="center"/>
          </w:tcPr>
          <w:p w14:paraId="3A772D2B">
            <w:pPr>
              <w:pStyle w:val="70"/>
              <w:spacing w:line="240" w:lineRule="auto"/>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重点管控区</w:t>
            </w:r>
          </w:p>
        </w:tc>
        <w:tc>
          <w:tcPr>
            <w:tcW w:w="1547" w:type="dxa"/>
            <w:vAlign w:val="center"/>
          </w:tcPr>
          <w:p w14:paraId="10847E8A">
            <w:pPr>
              <w:pStyle w:val="70"/>
              <w:spacing w:line="240" w:lineRule="auto"/>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空间布局约束</w:t>
            </w:r>
          </w:p>
        </w:tc>
        <w:tc>
          <w:tcPr>
            <w:tcW w:w="1710" w:type="dxa"/>
            <w:vAlign w:val="center"/>
          </w:tcPr>
          <w:p w14:paraId="326A7022">
            <w:pPr>
              <w:pStyle w:val="70"/>
              <w:spacing w:line="240" w:lineRule="auto"/>
              <w:rPr>
                <w:rFonts w:hint="eastAsia" w:ascii="Times New Roman" w:hAnsi="Times New Roman" w:eastAsia="宋体" w:cs="Times New Roman"/>
                <w:color w:val="auto"/>
                <w:sz w:val="21"/>
                <w:szCs w:val="21"/>
              </w:rPr>
            </w:pPr>
            <w:r>
              <w:rPr>
                <w:rFonts w:ascii="Times New Roman" w:hAnsi="Times New Roman" w:eastAsia="宋体" w:cs="Times New Roman"/>
                <w:color w:val="auto"/>
                <w:sz w:val="21"/>
                <w:szCs w:val="21"/>
              </w:rPr>
              <w:t>禁止开发建设活动的要求</w:t>
            </w:r>
          </w:p>
        </w:tc>
        <w:tc>
          <w:tcPr>
            <w:tcW w:w="3403" w:type="dxa"/>
            <w:vAlign w:val="center"/>
          </w:tcPr>
          <w:p w14:paraId="254D7C9B">
            <w:pPr>
              <w:pStyle w:val="70"/>
              <w:spacing w:line="240" w:lineRule="auto"/>
              <w:rPr>
                <w:rFonts w:hint="eastAsia" w:ascii="Times New Roman" w:hAnsi="Times New Roman" w:eastAsia="宋体" w:cs="Times New Roman"/>
                <w:color w:val="auto"/>
                <w:sz w:val="21"/>
                <w:szCs w:val="21"/>
              </w:rPr>
            </w:pPr>
            <w:r>
              <w:rPr>
                <w:rFonts w:hint="eastAsia" w:cs="Times New Roman"/>
                <w:color w:val="auto"/>
                <w:sz w:val="21"/>
                <w:szCs w:val="21"/>
                <w:lang w:val="en-US" w:eastAsia="zh-CN"/>
              </w:rPr>
              <w:t>1</w:t>
            </w:r>
            <w:r>
              <w:rPr>
                <w:rFonts w:ascii="Times New Roman" w:hAnsi="Times New Roman" w:eastAsia="宋体" w:cs="Times New Roman"/>
                <w:color w:val="auto"/>
                <w:sz w:val="21"/>
                <w:szCs w:val="21"/>
              </w:rPr>
              <w:t>.以城镇开发建设现状为基础，综合考虑资源承载能力、人口分布、经济布局、城乡统筹、城镇无序蔓延。科学预留一定比例的留白区，为未来发展留有开发空间。城镇建设和发展不得违法违规侵占河道、湖面、滩地。2.城镇开发边界调整报国土空间规划原审批机关审批。</w:t>
            </w:r>
          </w:p>
        </w:tc>
        <w:tc>
          <w:tcPr>
            <w:tcW w:w="2677" w:type="dxa"/>
            <w:vAlign w:val="center"/>
          </w:tcPr>
          <w:p w14:paraId="4A5193AF">
            <w:pPr>
              <w:pStyle w:val="70"/>
              <w:spacing w:line="240" w:lineRule="auto"/>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本项目位于工业园区内，用地为工业用地</w:t>
            </w:r>
          </w:p>
        </w:tc>
        <w:tc>
          <w:tcPr>
            <w:tcW w:w="929" w:type="dxa"/>
            <w:vAlign w:val="center"/>
          </w:tcPr>
          <w:p w14:paraId="2CAFC56B">
            <w:pPr>
              <w:pStyle w:val="70"/>
              <w:spacing w:line="240" w:lineRule="auto"/>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符合</w:t>
            </w:r>
          </w:p>
        </w:tc>
      </w:tr>
      <w:tr w14:paraId="72F2C4D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016" w:type="dxa"/>
            <w:vMerge w:val="continue"/>
            <w:vAlign w:val="center"/>
          </w:tcPr>
          <w:p w14:paraId="2C27027D">
            <w:pPr>
              <w:pStyle w:val="70"/>
              <w:spacing w:line="240" w:lineRule="auto"/>
              <w:rPr>
                <w:rFonts w:hint="eastAsia" w:ascii="Times New Roman" w:hAnsi="Times New Roman" w:eastAsia="宋体" w:cs="Times New Roman"/>
                <w:color w:val="auto"/>
                <w:sz w:val="21"/>
                <w:szCs w:val="21"/>
              </w:rPr>
            </w:pPr>
          </w:p>
        </w:tc>
        <w:tc>
          <w:tcPr>
            <w:tcW w:w="1370" w:type="dxa"/>
            <w:vMerge w:val="continue"/>
            <w:vAlign w:val="center"/>
          </w:tcPr>
          <w:p w14:paraId="08701C28">
            <w:pPr>
              <w:pStyle w:val="70"/>
              <w:spacing w:line="240" w:lineRule="auto"/>
              <w:rPr>
                <w:rFonts w:hint="eastAsia" w:ascii="Times New Roman" w:hAnsi="Times New Roman" w:eastAsia="宋体" w:cs="Times New Roman"/>
                <w:color w:val="auto"/>
                <w:sz w:val="21"/>
                <w:szCs w:val="21"/>
              </w:rPr>
            </w:pPr>
          </w:p>
        </w:tc>
        <w:tc>
          <w:tcPr>
            <w:tcW w:w="1547" w:type="dxa"/>
            <w:vAlign w:val="center"/>
          </w:tcPr>
          <w:p w14:paraId="48D66030">
            <w:pPr>
              <w:pStyle w:val="70"/>
              <w:spacing w:line="240" w:lineRule="auto"/>
              <w:rPr>
                <w:rFonts w:hint="eastAsia" w:ascii="Times New Roman" w:hAnsi="Times New Roman" w:eastAsia="宋体" w:cs="Times New Roman"/>
                <w:color w:val="auto"/>
                <w:sz w:val="21"/>
                <w:szCs w:val="21"/>
              </w:rPr>
            </w:pPr>
            <w:r>
              <w:rPr>
                <w:rFonts w:ascii="Times New Roman" w:hAnsi="Times New Roman" w:eastAsia="宋体" w:cs="Times New Roman"/>
                <w:color w:val="auto"/>
                <w:sz w:val="21"/>
                <w:szCs w:val="21"/>
              </w:rPr>
              <w:t>污染物排放管控</w:t>
            </w:r>
          </w:p>
        </w:tc>
        <w:tc>
          <w:tcPr>
            <w:tcW w:w="1710" w:type="dxa"/>
            <w:vAlign w:val="center"/>
          </w:tcPr>
          <w:p w14:paraId="42D07CD8">
            <w:pPr>
              <w:pStyle w:val="70"/>
              <w:spacing w:line="240" w:lineRule="auto"/>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w:t>
            </w:r>
          </w:p>
        </w:tc>
        <w:tc>
          <w:tcPr>
            <w:tcW w:w="3403" w:type="dxa"/>
            <w:vAlign w:val="center"/>
          </w:tcPr>
          <w:p w14:paraId="57282DC8">
            <w:pPr>
              <w:pStyle w:val="70"/>
              <w:spacing w:line="240" w:lineRule="auto"/>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w:t>
            </w:r>
          </w:p>
        </w:tc>
        <w:tc>
          <w:tcPr>
            <w:tcW w:w="2677" w:type="dxa"/>
            <w:vAlign w:val="center"/>
          </w:tcPr>
          <w:p w14:paraId="19B332F6">
            <w:pPr>
              <w:pStyle w:val="70"/>
              <w:spacing w:line="240" w:lineRule="auto"/>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w:t>
            </w:r>
          </w:p>
        </w:tc>
        <w:tc>
          <w:tcPr>
            <w:tcW w:w="929" w:type="dxa"/>
            <w:vAlign w:val="center"/>
          </w:tcPr>
          <w:p w14:paraId="36751264">
            <w:pPr>
              <w:pStyle w:val="70"/>
              <w:spacing w:line="240" w:lineRule="auto"/>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w:t>
            </w:r>
          </w:p>
        </w:tc>
      </w:tr>
      <w:tr w14:paraId="281E2C3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016" w:type="dxa"/>
            <w:vMerge w:val="continue"/>
            <w:vAlign w:val="center"/>
          </w:tcPr>
          <w:p w14:paraId="6523FC7A">
            <w:pPr>
              <w:pStyle w:val="70"/>
              <w:spacing w:line="240" w:lineRule="auto"/>
              <w:rPr>
                <w:rFonts w:hint="eastAsia" w:ascii="Times New Roman" w:hAnsi="Times New Roman" w:eastAsia="宋体" w:cs="Times New Roman"/>
                <w:color w:val="auto"/>
                <w:sz w:val="21"/>
                <w:szCs w:val="21"/>
              </w:rPr>
            </w:pPr>
          </w:p>
        </w:tc>
        <w:tc>
          <w:tcPr>
            <w:tcW w:w="1370" w:type="dxa"/>
            <w:vMerge w:val="continue"/>
            <w:vAlign w:val="center"/>
          </w:tcPr>
          <w:p w14:paraId="57B1FD95">
            <w:pPr>
              <w:pStyle w:val="70"/>
              <w:spacing w:line="240" w:lineRule="auto"/>
              <w:rPr>
                <w:rFonts w:hint="eastAsia" w:ascii="Times New Roman" w:hAnsi="Times New Roman" w:eastAsia="宋体" w:cs="Times New Roman"/>
                <w:color w:val="auto"/>
                <w:sz w:val="21"/>
                <w:szCs w:val="21"/>
              </w:rPr>
            </w:pPr>
          </w:p>
        </w:tc>
        <w:tc>
          <w:tcPr>
            <w:tcW w:w="1547" w:type="dxa"/>
            <w:vAlign w:val="center"/>
          </w:tcPr>
          <w:p w14:paraId="443BF9CB">
            <w:pPr>
              <w:pStyle w:val="70"/>
              <w:spacing w:line="240" w:lineRule="auto"/>
              <w:rPr>
                <w:rFonts w:hint="eastAsia" w:ascii="Times New Roman" w:hAnsi="Times New Roman" w:eastAsia="宋体" w:cs="Times New Roman"/>
                <w:color w:val="auto"/>
                <w:sz w:val="21"/>
                <w:szCs w:val="21"/>
              </w:rPr>
            </w:pPr>
            <w:r>
              <w:rPr>
                <w:rFonts w:ascii="Times New Roman" w:hAnsi="Times New Roman" w:eastAsia="宋体" w:cs="Times New Roman"/>
                <w:color w:val="auto"/>
                <w:sz w:val="21"/>
                <w:szCs w:val="21"/>
              </w:rPr>
              <w:t>环境风险防控</w:t>
            </w:r>
          </w:p>
        </w:tc>
        <w:tc>
          <w:tcPr>
            <w:tcW w:w="1710" w:type="dxa"/>
            <w:vAlign w:val="center"/>
          </w:tcPr>
          <w:p w14:paraId="56230DAE">
            <w:pPr>
              <w:pStyle w:val="70"/>
              <w:spacing w:line="240" w:lineRule="auto"/>
              <w:rPr>
                <w:rFonts w:hint="eastAsia" w:ascii="Times New Roman" w:hAnsi="Times New Roman" w:eastAsia="宋体" w:cs="Times New Roman"/>
                <w:color w:val="auto"/>
                <w:sz w:val="21"/>
                <w:szCs w:val="21"/>
              </w:rPr>
            </w:pPr>
            <w:r>
              <w:rPr>
                <w:rFonts w:ascii="Times New Roman" w:hAnsi="Times New Roman" w:eastAsia="宋体" w:cs="Times New Roman"/>
                <w:color w:val="auto"/>
                <w:sz w:val="21"/>
                <w:szCs w:val="21"/>
              </w:rPr>
              <w:t>污染地块管控要求</w:t>
            </w:r>
          </w:p>
        </w:tc>
        <w:tc>
          <w:tcPr>
            <w:tcW w:w="3403" w:type="dxa"/>
            <w:vAlign w:val="center"/>
          </w:tcPr>
          <w:p w14:paraId="7C6DECC5">
            <w:pPr>
              <w:pStyle w:val="70"/>
              <w:spacing w:line="240" w:lineRule="auto"/>
              <w:rPr>
                <w:rFonts w:hint="eastAsia" w:ascii="Times New Roman" w:hAnsi="Times New Roman" w:eastAsia="宋体" w:cs="Times New Roman"/>
                <w:color w:val="auto"/>
                <w:sz w:val="21"/>
                <w:szCs w:val="21"/>
              </w:rPr>
            </w:pPr>
            <w:r>
              <w:rPr>
                <w:rFonts w:ascii="Times New Roman" w:hAnsi="Times New Roman" w:eastAsia="宋体" w:cs="Times New Roman"/>
                <w:color w:val="auto"/>
                <w:sz w:val="21"/>
                <w:szCs w:val="21"/>
              </w:rPr>
              <w:t>土地资源开发利用量不得超过土地资源利用上线控制性指标</w:t>
            </w:r>
            <w:r>
              <w:rPr>
                <w:rFonts w:hint="eastAsia" w:ascii="Times New Roman" w:hAnsi="Times New Roman" w:eastAsia="宋体" w:cs="Times New Roman"/>
                <w:color w:val="auto"/>
                <w:sz w:val="21"/>
                <w:szCs w:val="21"/>
                <w:lang w:eastAsia="zh-CN"/>
              </w:rPr>
              <w:t>。</w:t>
            </w:r>
          </w:p>
        </w:tc>
        <w:tc>
          <w:tcPr>
            <w:tcW w:w="2677" w:type="dxa"/>
            <w:vAlign w:val="center"/>
          </w:tcPr>
          <w:p w14:paraId="62EF058C">
            <w:pPr>
              <w:pStyle w:val="70"/>
              <w:spacing w:line="240" w:lineRule="auto"/>
              <w:rPr>
                <w:rFonts w:hint="eastAsia" w:ascii="Times New Roman" w:hAnsi="Times New Roman" w:eastAsia="宋体" w:cs="Times New Roman"/>
                <w:color w:val="auto"/>
                <w:sz w:val="21"/>
                <w:szCs w:val="21"/>
              </w:rPr>
            </w:pPr>
            <w:r>
              <w:rPr>
                <w:rFonts w:hint="eastAsia" w:cs="Times New Roman"/>
                <w:color w:val="auto"/>
                <w:sz w:val="21"/>
                <w:szCs w:val="21"/>
                <w:lang w:val="en-US" w:eastAsia="zh-CN"/>
              </w:rPr>
              <w:t>本项目位于工业园区内，用地性质为工业用地</w:t>
            </w:r>
          </w:p>
        </w:tc>
        <w:tc>
          <w:tcPr>
            <w:tcW w:w="929" w:type="dxa"/>
            <w:vAlign w:val="center"/>
          </w:tcPr>
          <w:p w14:paraId="0EADBFFF">
            <w:pPr>
              <w:pStyle w:val="70"/>
              <w:spacing w:line="240" w:lineRule="auto"/>
              <w:rPr>
                <w:rFonts w:hint="eastAsia" w:ascii="Times New Roman" w:hAnsi="Times New Roman" w:eastAsia="宋体" w:cs="Times New Roman"/>
                <w:color w:val="auto"/>
                <w:sz w:val="21"/>
                <w:szCs w:val="21"/>
              </w:rPr>
            </w:pPr>
            <w:r>
              <w:rPr>
                <w:rFonts w:hint="eastAsia" w:cs="Times New Roman"/>
                <w:color w:val="auto"/>
                <w:sz w:val="21"/>
                <w:szCs w:val="21"/>
                <w:lang w:val="en-US" w:eastAsia="zh-CN"/>
              </w:rPr>
              <w:t>符合</w:t>
            </w:r>
          </w:p>
        </w:tc>
      </w:tr>
      <w:tr w14:paraId="172A256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016" w:type="dxa"/>
            <w:vMerge w:val="continue"/>
            <w:vAlign w:val="center"/>
          </w:tcPr>
          <w:p w14:paraId="3A5B7262">
            <w:pPr>
              <w:pStyle w:val="70"/>
              <w:spacing w:line="240" w:lineRule="auto"/>
              <w:rPr>
                <w:rFonts w:hint="eastAsia" w:ascii="Times New Roman" w:hAnsi="Times New Roman" w:eastAsia="宋体" w:cs="Times New Roman"/>
                <w:color w:val="auto"/>
                <w:sz w:val="21"/>
                <w:szCs w:val="21"/>
              </w:rPr>
            </w:pPr>
          </w:p>
        </w:tc>
        <w:tc>
          <w:tcPr>
            <w:tcW w:w="1370" w:type="dxa"/>
            <w:vMerge w:val="continue"/>
            <w:vAlign w:val="center"/>
          </w:tcPr>
          <w:p w14:paraId="70349CDA">
            <w:pPr>
              <w:pStyle w:val="70"/>
              <w:spacing w:line="240" w:lineRule="auto"/>
              <w:rPr>
                <w:rFonts w:hint="eastAsia" w:ascii="Times New Roman" w:hAnsi="Times New Roman" w:eastAsia="宋体" w:cs="Times New Roman"/>
                <w:color w:val="auto"/>
                <w:sz w:val="21"/>
                <w:szCs w:val="21"/>
              </w:rPr>
            </w:pPr>
          </w:p>
        </w:tc>
        <w:tc>
          <w:tcPr>
            <w:tcW w:w="1547" w:type="dxa"/>
            <w:vAlign w:val="center"/>
          </w:tcPr>
          <w:p w14:paraId="3B0CAF22">
            <w:pPr>
              <w:pStyle w:val="70"/>
              <w:spacing w:line="240" w:lineRule="auto"/>
              <w:rPr>
                <w:rFonts w:hint="eastAsia" w:ascii="Times New Roman" w:hAnsi="Times New Roman" w:eastAsia="宋体" w:cs="Times New Roman"/>
                <w:color w:val="auto"/>
                <w:sz w:val="21"/>
                <w:szCs w:val="21"/>
              </w:rPr>
            </w:pPr>
            <w:r>
              <w:rPr>
                <w:rFonts w:ascii="Times New Roman" w:hAnsi="Times New Roman" w:eastAsia="宋体" w:cs="Times New Roman"/>
                <w:color w:val="auto"/>
                <w:sz w:val="21"/>
                <w:szCs w:val="21"/>
              </w:rPr>
              <w:t>资源开发利用效率要求</w:t>
            </w:r>
          </w:p>
        </w:tc>
        <w:tc>
          <w:tcPr>
            <w:tcW w:w="1710" w:type="dxa"/>
            <w:vAlign w:val="center"/>
          </w:tcPr>
          <w:p w14:paraId="061B53FE">
            <w:pPr>
              <w:pStyle w:val="70"/>
              <w:spacing w:line="240" w:lineRule="auto"/>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w:t>
            </w:r>
          </w:p>
        </w:tc>
        <w:tc>
          <w:tcPr>
            <w:tcW w:w="3403" w:type="dxa"/>
            <w:vAlign w:val="center"/>
          </w:tcPr>
          <w:p w14:paraId="613E2CAD">
            <w:pPr>
              <w:pStyle w:val="70"/>
              <w:spacing w:line="240" w:lineRule="auto"/>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w:t>
            </w:r>
          </w:p>
        </w:tc>
        <w:tc>
          <w:tcPr>
            <w:tcW w:w="2677" w:type="dxa"/>
            <w:vAlign w:val="center"/>
          </w:tcPr>
          <w:p w14:paraId="24C251F9">
            <w:pPr>
              <w:pStyle w:val="70"/>
              <w:spacing w:line="240" w:lineRule="auto"/>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w:t>
            </w:r>
          </w:p>
        </w:tc>
        <w:tc>
          <w:tcPr>
            <w:tcW w:w="929" w:type="dxa"/>
            <w:vAlign w:val="center"/>
          </w:tcPr>
          <w:p w14:paraId="7E97D714">
            <w:pPr>
              <w:pStyle w:val="70"/>
              <w:spacing w:line="240" w:lineRule="auto"/>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w:t>
            </w:r>
          </w:p>
        </w:tc>
      </w:tr>
    </w:tbl>
    <w:p w14:paraId="2AE95F41">
      <w:pPr>
        <w:pStyle w:val="66"/>
        <w:spacing w:line="360" w:lineRule="auto"/>
        <w:rPr>
          <w:color w:val="auto"/>
        </w:rPr>
      </w:pPr>
      <w:r>
        <w:rPr>
          <w:rFonts w:hint="eastAsia"/>
          <w:color w:val="auto"/>
          <w:lang w:val="en-US" w:eastAsia="zh-CN"/>
        </w:rPr>
        <w:t>综上</w:t>
      </w:r>
      <w:r>
        <w:rPr>
          <w:rFonts w:hint="eastAsia"/>
          <w:color w:val="auto"/>
        </w:rPr>
        <w:t>，本项目与区域生态环境分区管控相关要求相符。</w:t>
      </w:r>
    </w:p>
    <w:p w14:paraId="323911C6">
      <w:pPr>
        <w:pStyle w:val="68"/>
        <w:rPr>
          <w:snapToGrid w:val="0"/>
          <w:color w:val="auto"/>
        </w:rPr>
      </w:pPr>
    </w:p>
    <w:p w14:paraId="4F7A1444">
      <w:pPr>
        <w:pStyle w:val="68"/>
        <w:rPr>
          <w:snapToGrid w:val="0"/>
          <w:color w:val="auto"/>
        </w:rPr>
        <w:sectPr>
          <w:pgSz w:w="16838" w:h="11906" w:orient="landscape"/>
          <w:pgMar w:top="1531" w:right="1701" w:bottom="1531" w:left="1701" w:header="851" w:footer="851" w:gutter="0"/>
          <w:cols w:space="720" w:num="1"/>
          <w:docGrid w:linePitch="312" w:charSpace="0"/>
        </w:sectPr>
      </w:pPr>
    </w:p>
    <w:tbl>
      <w:tblPr>
        <w:tblStyle w:val="41"/>
        <w:tblW w:w="910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4"/>
        <w:gridCol w:w="8240"/>
      </w:tblGrid>
      <w:tr w14:paraId="3E8CB4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shd w:val="clear" w:color="auto" w:fill="auto"/>
            <w:vAlign w:val="center"/>
          </w:tcPr>
          <w:p w14:paraId="050CEB67">
            <w:pPr>
              <w:pStyle w:val="66"/>
              <w:spacing w:line="240" w:lineRule="auto"/>
              <w:ind w:firstLine="0" w:firstLineChars="0"/>
              <w:jc w:val="center"/>
              <w:rPr>
                <w:snapToGrid w:val="0"/>
                <w:color w:val="auto"/>
              </w:rPr>
            </w:pPr>
            <w:r>
              <w:rPr>
                <w:rFonts w:hint="eastAsia"/>
                <w:snapToGrid w:val="0"/>
                <w:color w:val="auto"/>
              </w:rPr>
              <w:t>其他符合性分析</w:t>
            </w:r>
          </w:p>
        </w:tc>
        <w:tc>
          <w:tcPr>
            <w:tcW w:w="8240" w:type="dxa"/>
            <w:shd w:val="clear" w:color="auto" w:fill="auto"/>
          </w:tcPr>
          <w:p w14:paraId="77227F58">
            <w:pPr>
              <w:pStyle w:val="66"/>
              <w:spacing w:line="360" w:lineRule="auto"/>
              <w:ind w:firstLine="482"/>
              <w:rPr>
                <w:b/>
                <w:bCs/>
                <w:color w:val="auto"/>
              </w:rPr>
            </w:pPr>
            <w:r>
              <w:rPr>
                <w:rFonts w:hint="eastAsia"/>
                <w:b/>
                <w:bCs/>
                <w:color w:val="auto"/>
                <w:lang w:val="en-US" w:eastAsia="zh-CN"/>
              </w:rPr>
              <w:t>3</w:t>
            </w:r>
            <w:r>
              <w:rPr>
                <w:b/>
                <w:bCs/>
                <w:color w:val="auto"/>
              </w:rPr>
              <w:t>、项目与大气污染</w:t>
            </w:r>
            <w:r>
              <w:rPr>
                <w:rFonts w:hint="eastAsia"/>
                <w:b/>
                <w:bCs/>
                <w:color w:val="auto"/>
              </w:rPr>
              <w:t>防治</w:t>
            </w:r>
            <w:r>
              <w:rPr>
                <w:b/>
                <w:bCs/>
                <w:color w:val="auto"/>
              </w:rPr>
              <w:t>的规范文件的符合性分析</w:t>
            </w:r>
          </w:p>
          <w:p w14:paraId="017C423E">
            <w:pPr>
              <w:pStyle w:val="66"/>
              <w:spacing w:line="360" w:lineRule="auto"/>
              <w:rPr>
                <w:color w:val="auto"/>
              </w:rPr>
            </w:pPr>
            <w:r>
              <w:rPr>
                <w:rFonts w:hint="default" w:ascii="Times New Roman" w:hAnsi="Times New Roman" w:cs="Times New Roman"/>
                <w:color w:val="auto"/>
                <w:sz w:val="24"/>
              </w:rPr>
              <w:t>本项目与大气污染防治相关法规、规范符合性分析</w:t>
            </w:r>
            <w:r>
              <w:rPr>
                <w:rFonts w:hint="default" w:ascii="Times New Roman" w:hAnsi="Times New Roman" w:cs="Times New Roman"/>
                <w:color w:val="auto"/>
                <w:sz w:val="24"/>
                <w:lang w:eastAsia="zh-CN"/>
              </w:rPr>
              <w:t>见下</w:t>
            </w:r>
            <w:r>
              <w:rPr>
                <w:rFonts w:hint="default" w:ascii="Times New Roman" w:hAnsi="Times New Roman" w:cs="Times New Roman"/>
                <w:color w:val="auto"/>
                <w:sz w:val="24"/>
              </w:rPr>
              <w:t>表所示</w:t>
            </w:r>
            <w:r>
              <w:rPr>
                <w:color w:val="auto"/>
              </w:rPr>
              <w:t>：</w:t>
            </w:r>
          </w:p>
          <w:p w14:paraId="1705EDF6">
            <w:pPr>
              <w:pStyle w:val="68"/>
              <w:rPr>
                <w:color w:val="auto"/>
              </w:rPr>
            </w:pPr>
            <w:r>
              <w:rPr>
                <w:rFonts w:hint="eastAsia" w:ascii="Times New Roman" w:hAnsi="Times New Roman" w:eastAsia="宋体" w:cs="Times New Roman"/>
                <w:b/>
                <w:bCs/>
                <w:color w:val="auto"/>
              </w:rPr>
              <w:t>表1-</w:t>
            </w:r>
            <w:r>
              <w:rPr>
                <w:rFonts w:hint="eastAsia" w:eastAsia="宋体" w:cs="Times New Roman"/>
                <w:b/>
                <w:bCs/>
                <w:color w:val="auto"/>
                <w:lang w:val="en-US" w:eastAsia="zh-CN"/>
              </w:rPr>
              <w:t>7</w:t>
            </w:r>
            <w:r>
              <w:rPr>
                <w:rFonts w:hint="eastAsia" w:ascii="Times New Roman" w:hAnsi="Times New Roman" w:eastAsia="宋体" w:cs="Times New Roman"/>
                <w:b/>
                <w:bCs/>
                <w:color w:val="auto"/>
              </w:rPr>
              <w:t xml:space="preserve"> 项目与大气污染防治等相关规划符合性</w:t>
            </w:r>
          </w:p>
          <w:tbl>
            <w:tblPr>
              <w:tblStyle w:val="41"/>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57" w:type="dxa"/>
                <w:bottom w:w="0" w:type="dxa"/>
                <w:right w:w="57" w:type="dxa"/>
              </w:tblCellMar>
            </w:tblPr>
            <w:tblGrid>
              <w:gridCol w:w="1216"/>
              <w:gridCol w:w="3825"/>
              <w:gridCol w:w="2471"/>
              <w:gridCol w:w="512"/>
            </w:tblGrid>
            <w:tr w14:paraId="2BE0D39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jc w:val="center"/>
              </w:trPr>
              <w:tc>
                <w:tcPr>
                  <w:tcW w:w="1216" w:type="dxa"/>
                  <w:shd w:val="clear" w:color="auto" w:fill="auto"/>
                  <w:vAlign w:val="center"/>
                </w:tcPr>
                <w:p w14:paraId="5986BB00">
                  <w:pPr>
                    <w:pStyle w:val="70"/>
                    <w:spacing w:line="240" w:lineRule="auto"/>
                    <w:rPr>
                      <w:rFonts w:hint="eastAsia" w:ascii="Times New Roman" w:hAnsi="Times New Roman" w:eastAsia="宋体" w:cs="Times New Roman"/>
                      <w:b/>
                      <w:color w:val="auto"/>
                      <w:sz w:val="21"/>
                      <w:szCs w:val="21"/>
                      <w:lang w:val="en-US" w:eastAsia="zh-CN"/>
                    </w:rPr>
                  </w:pPr>
                  <w:bookmarkStart w:id="6" w:name="_Hlk164443080"/>
                  <w:r>
                    <w:rPr>
                      <w:rFonts w:hint="eastAsia" w:ascii="Times New Roman" w:hAnsi="Times New Roman" w:eastAsia="宋体" w:cs="Times New Roman"/>
                      <w:b/>
                      <w:color w:val="auto"/>
                      <w:sz w:val="21"/>
                      <w:szCs w:val="21"/>
                      <w:lang w:val="en-US" w:eastAsia="zh-CN"/>
                    </w:rPr>
                    <w:t>大气污染防治规划文件</w:t>
                  </w:r>
                </w:p>
              </w:tc>
              <w:tc>
                <w:tcPr>
                  <w:tcW w:w="3825" w:type="dxa"/>
                  <w:shd w:val="clear" w:color="auto" w:fill="auto"/>
                  <w:vAlign w:val="center"/>
                </w:tcPr>
                <w:p w14:paraId="20C0E307">
                  <w:pPr>
                    <w:pStyle w:val="70"/>
                    <w:spacing w:line="240" w:lineRule="auto"/>
                    <w:rPr>
                      <w:rFonts w:hint="eastAsia" w:ascii="Times New Roman" w:hAnsi="Times New Roman" w:eastAsia="宋体" w:cs="Times New Roman"/>
                      <w:b/>
                      <w:color w:val="auto"/>
                      <w:sz w:val="21"/>
                      <w:szCs w:val="21"/>
                      <w:lang w:val="en-US" w:eastAsia="zh-CN"/>
                    </w:rPr>
                  </w:pPr>
                  <w:r>
                    <w:rPr>
                      <w:rFonts w:hint="eastAsia" w:ascii="Times New Roman" w:hAnsi="Times New Roman" w:eastAsia="宋体" w:cs="Times New Roman"/>
                      <w:b/>
                      <w:color w:val="auto"/>
                      <w:sz w:val="21"/>
                      <w:szCs w:val="21"/>
                      <w:lang w:val="en-US" w:eastAsia="zh-CN"/>
                    </w:rPr>
                    <w:t>规划要求</w:t>
                  </w:r>
                </w:p>
              </w:tc>
              <w:tc>
                <w:tcPr>
                  <w:tcW w:w="2471" w:type="dxa"/>
                  <w:shd w:val="clear" w:color="auto" w:fill="auto"/>
                  <w:vAlign w:val="center"/>
                </w:tcPr>
                <w:p w14:paraId="22D2549E">
                  <w:pPr>
                    <w:pStyle w:val="70"/>
                    <w:spacing w:line="240" w:lineRule="auto"/>
                    <w:rPr>
                      <w:rFonts w:hint="eastAsia" w:ascii="Times New Roman" w:hAnsi="Times New Roman" w:eastAsia="宋体" w:cs="Times New Roman"/>
                      <w:b/>
                      <w:color w:val="auto"/>
                      <w:sz w:val="21"/>
                      <w:szCs w:val="21"/>
                      <w:lang w:val="en-US" w:eastAsia="zh-CN"/>
                    </w:rPr>
                  </w:pPr>
                  <w:r>
                    <w:rPr>
                      <w:rFonts w:hint="eastAsia" w:ascii="Times New Roman" w:hAnsi="Times New Roman" w:eastAsia="宋体" w:cs="Times New Roman"/>
                      <w:b/>
                      <w:color w:val="auto"/>
                      <w:sz w:val="21"/>
                      <w:szCs w:val="21"/>
                      <w:lang w:val="en-US" w:eastAsia="zh-CN"/>
                    </w:rPr>
                    <w:t>本项目情况</w:t>
                  </w:r>
                </w:p>
              </w:tc>
              <w:tc>
                <w:tcPr>
                  <w:tcW w:w="512" w:type="dxa"/>
                  <w:shd w:val="clear" w:color="auto" w:fill="auto"/>
                  <w:vAlign w:val="center"/>
                </w:tcPr>
                <w:p w14:paraId="7A04F967">
                  <w:pPr>
                    <w:pStyle w:val="70"/>
                    <w:spacing w:line="240" w:lineRule="auto"/>
                    <w:rPr>
                      <w:rFonts w:hint="eastAsia" w:ascii="Times New Roman" w:hAnsi="Times New Roman" w:eastAsia="宋体" w:cs="Times New Roman"/>
                      <w:b/>
                      <w:color w:val="auto"/>
                      <w:sz w:val="21"/>
                      <w:szCs w:val="21"/>
                      <w:lang w:val="en-US" w:eastAsia="zh-CN"/>
                    </w:rPr>
                  </w:pPr>
                  <w:r>
                    <w:rPr>
                      <w:rFonts w:hint="eastAsia" w:ascii="Times New Roman" w:hAnsi="Times New Roman" w:eastAsia="宋体" w:cs="Times New Roman"/>
                      <w:b/>
                      <w:color w:val="auto"/>
                      <w:sz w:val="21"/>
                      <w:szCs w:val="21"/>
                      <w:lang w:val="en-US" w:eastAsia="zh-CN"/>
                    </w:rPr>
                    <w:t>符合性</w:t>
                  </w:r>
                </w:p>
              </w:tc>
            </w:tr>
            <w:tr w14:paraId="0C57C91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jc w:val="center"/>
              </w:trPr>
              <w:tc>
                <w:tcPr>
                  <w:tcW w:w="1216" w:type="dxa"/>
                  <w:shd w:val="clear" w:color="auto" w:fill="auto"/>
                  <w:vAlign w:val="center"/>
                </w:tcPr>
                <w:p w14:paraId="6B22F6CA">
                  <w:pPr>
                    <w:pStyle w:val="70"/>
                    <w:spacing w:line="240" w:lineRule="auto"/>
                    <w:jc w:val="both"/>
                    <w:rPr>
                      <w:rFonts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《中华人民共和国大气污染防治法》</w:t>
                  </w:r>
                </w:p>
              </w:tc>
              <w:tc>
                <w:tcPr>
                  <w:tcW w:w="3825" w:type="dxa"/>
                  <w:shd w:val="clear" w:color="auto" w:fill="auto"/>
                  <w:vAlign w:val="center"/>
                </w:tcPr>
                <w:p w14:paraId="37628B89">
                  <w:pPr>
                    <w:pStyle w:val="70"/>
                    <w:spacing w:line="240" w:lineRule="auto"/>
                    <w:jc w:val="both"/>
                    <w:rPr>
                      <w:rFonts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产生含挥发性有机物废气的生产和服务活动，应当在密闭空间或者设备中进行，并按照规定安装、使用污染防治设施；无法密闭的，应当采取措施减少废气排放。</w:t>
                  </w:r>
                </w:p>
              </w:tc>
              <w:tc>
                <w:tcPr>
                  <w:tcW w:w="2471" w:type="dxa"/>
                  <w:shd w:val="clear" w:color="auto" w:fill="auto"/>
                  <w:vAlign w:val="center"/>
                </w:tcPr>
                <w:p w14:paraId="59B1B47C">
                  <w:pPr>
                    <w:pStyle w:val="18"/>
                    <w:keepNext w:val="0"/>
                    <w:keepLines w:val="0"/>
                    <w:pageBreakBefore w:val="0"/>
                    <w:widowControl w:val="0"/>
                    <w:kinsoku/>
                    <w:wordWrap/>
                    <w:overflowPunct/>
                    <w:topLinePunct w:val="0"/>
                    <w:autoSpaceDE w:val="0"/>
                    <w:autoSpaceDN w:val="0"/>
                    <w:bidi w:val="0"/>
                    <w:adjustRightInd/>
                    <w:snapToGrid/>
                    <w:spacing w:line="240" w:lineRule="auto"/>
                    <w:ind w:left="0" w:leftChars="0" w:firstLine="0" w:firstLineChars="0"/>
                    <w:jc w:val="center"/>
                    <w:textAlignment w:val="auto"/>
                    <w:rPr>
                      <w:bCs/>
                      <w:color w:val="auto"/>
                      <w:sz w:val="21"/>
                      <w:szCs w:val="21"/>
                    </w:rPr>
                  </w:pPr>
                  <w:r>
                    <w:rPr>
                      <w:rFonts w:hint="default" w:ascii="Times New Roman" w:hAnsi="Times New Roman" w:cs="Times New Roman"/>
                      <w:color w:val="auto"/>
                      <w:sz w:val="21"/>
                      <w:szCs w:val="21"/>
                      <w:lang w:val="en-US" w:eastAsia="zh-CN"/>
                    </w:rPr>
                    <w:t>本项目严格落实VOCs治理管控，生产车间均密闭，项目涂布烘干工序产生的NMP废气经NMP回收处理装置（TA00</w:t>
                  </w:r>
                  <w:r>
                    <w:rPr>
                      <w:rFonts w:hint="eastAsia" w:ascii="Times New Roman" w:hAnsi="Times New Roman" w:cs="Times New Roman"/>
                      <w:color w:val="auto"/>
                      <w:sz w:val="21"/>
                      <w:szCs w:val="21"/>
                      <w:lang w:val="en-US" w:eastAsia="zh-CN"/>
                    </w:rPr>
                    <w:t>2</w:t>
                  </w:r>
                  <w:r>
                    <w:rPr>
                      <w:rFonts w:hint="default" w:ascii="Times New Roman" w:hAnsi="Times New Roman" w:cs="Times New Roman"/>
                      <w:color w:val="auto"/>
                      <w:sz w:val="21"/>
                      <w:szCs w:val="21"/>
                      <w:lang w:val="en-US" w:eastAsia="zh-CN"/>
                    </w:rPr>
                    <w:t>）处理后通过1根</w:t>
                  </w:r>
                  <w:r>
                    <w:rPr>
                      <w:rFonts w:hint="eastAsia" w:ascii="Times New Roman" w:hAnsi="Times New Roman" w:cs="Times New Roman"/>
                      <w:color w:val="auto"/>
                      <w:sz w:val="21"/>
                      <w:szCs w:val="21"/>
                      <w:lang w:val="en-US" w:eastAsia="zh-CN"/>
                    </w:rPr>
                    <w:t>30</w:t>
                  </w:r>
                  <w:r>
                    <w:rPr>
                      <w:rFonts w:hint="default" w:ascii="Times New Roman" w:hAnsi="Times New Roman" w:cs="Times New Roman"/>
                      <w:color w:val="auto"/>
                      <w:sz w:val="21"/>
                      <w:szCs w:val="21"/>
                      <w:lang w:val="en-US" w:eastAsia="zh-CN"/>
                    </w:rPr>
                    <w:t>m高排气筒（DA001）排放；电解液注液、</w:t>
                  </w:r>
                  <w:r>
                    <w:rPr>
                      <w:rFonts w:hint="eastAsia" w:ascii="Times New Roman" w:hAnsi="Times New Roman" w:cs="Times New Roman"/>
                      <w:color w:val="auto"/>
                      <w:sz w:val="21"/>
                      <w:szCs w:val="21"/>
                      <w:lang w:val="en-US" w:eastAsia="zh-CN"/>
                    </w:rPr>
                    <w:t>二封、电池拆解等工序产生的有机废气</w:t>
                  </w:r>
                  <w:r>
                    <w:rPr>
                      <w:rFonts w:hint="default" w:ascii="Times New Roman" w:hAnsi="Times New Roman" w:cs="Times New Roman"/>
                      <w:color w:val="auto"/>
                      <w:sz w:val="21"/>
                      <w:szCs w:val="21"/>
                      <w:lang w:val="en-US" w:eastAsia="zh-CN"/>
                    </w:rPr>
                    <w:t>经集气管道引至二级活性炭吸附装置（TA00</w:t>
                  </w:r>
                  <w:r>
                    <w:rPr>
                      <w:rFonts w:hint="eastAsia" w:ascii="Times New Roman" w:hAnsi="Times New Roman" w:cs="Times New Roman"/>
                      <w:color w:val="auto"/>
                      <w:sz w:val="21"/>
                      <w:szCs w:val="21"/>
                      <w:lang w:val="en-US" w:eastAsia="zh-CN"/>
                    </w:rPr>
                    <w:t>3</w:t>
                  </w:r>
                  <w:r>
                    <w:rPr>
                      <w:rFonts w:hint="default" w:ascii="Times New Roman" w:hAnsi="Times New Roman" w:cs="Times New Roman"/>
                      <w:color w:val="auto"/>
                      <w:sz w:val="21"/>
                      <w:szCs w:val="21"/>
                      <w:lang w:val="en-US" w:eastAsia="zh-CN"/>
                    </w:rPr>
                    <w:t>）处理后，一根</w:t>
                  </w:r>
                  <w:r>
                    <w:rPr>
                      <w:rFonts w:hint="eastAsia" w:ascii="Times New Roman" w:hAnsi="Times New Roman" w:cs="Times New Roman"/>
                      <w:color w:val="auto"/>
                      <w:sz w:val="21"/>
                      <w:szCs w:val="21"/>
                      <w:lang w:val="en-US" w:eastAsia="zh-CN"/>
                    </w:rPr>
                    <w:t>30</w:t>
                  </w:r>
                  <w:r>
                    <w:rPr>
                      <w:rFonts w:hint="default" w:ascii="Times New Roman" w:hAnsi="Times New Roman" w:cs="Times New Roman"/>
                      <w:color w:val="auto"/>
                      <w:sz w:val="21"/>
                      <w:szCs w:val="21"/>
                      <w:lang w:val="en-US" w:eastAsia="zh-CN"/>
                    </w:rPr>
                    <w:t>m排气筒（DA002）排放</w:t>
                  </w:r>
                  <w:r>
                    <w:rPr>
                      <w:rFonts w:hint="eastAsia" w:ascii="Times New Roman" w:hAnsi="Times New Roman" w:cs="Times New Roman"/>
                      <w:color w:val="auto"/>
                      <w:sz w:val="21"/>
                      <w:szCs w:val="21"/>
                      <w:lang w:val="en-US" w:eastAsia="zh-CN"/>
                    </w:rPr>
                    <w:t>，危废库废气经活性炭吸附装置（TA004）处理后通过15m高排气筒（DA003）排放。</w:t>
                  </w:r>
                </w:p>
              </w:tc>
              <w:tc>
                <w:tcPr>
                  <w:tcW w:w="512" w:type="dxa"/>
                  <w:shd w:val="clear" w:color="auto" w:fill="auto"/>
                  <w:vAlign w:val="center"/>
                </w:tcPr>
                <w:p w14:paraId="1165E03A">
                  <w:pPr>
                    <w:pStyle w:val="18"/>
                    <w:keepNext w:val="0"/>
                    <w:keepLines w:val="0"/>
                    <w:pageBreakBefore w:val="0"/>
                    <w:widowControl w:val="0"/>
                    <w:kinsoku/>
                    <w:wordWrap/>
                    <w:overflowPunct/>
                    <w:topLinePunct w:val="0"/>
                    <w:autoSpaceDE w:val="0"/>
                    <w:autoSpaceDN w:val="0"/>
                    <w:bidi w:val="0"/>
                    <w:adjustRightInd/>
                    <w:snapToGrid/>
                    <w:spacing w:line="240" w:lineRule="auto"/>
                    <w:ind w:left="0" w:leftChars="0" w:firstLine="0" w:firstLineChars="0"/>
                    <w:jc w:val="center"/>
                    <w:textAlignment w:val="auto"/>
                    <w:rPr>
                      <w:color w:val="auto"/>
                      <w:sz w:val="21"/>
                      <w:szCs w:val="21"/>
                    </w:rPr>
                  </w:pPr>
                  <w:r>
                    <w:rPr>
                      <w:rFonts w:hint="default" w:ascii="Times New Roman" w:hAnsi="Times New Roman" w:cs="Times New Roman"/>
                      <w:color w:val="auto"/>
                      <w:sz w:val="21"/>
                      <w:szCs w:val="21"/>
                    </w:rPr>
                    <w:t>符合</w:t>
                  </w:r>
                </w:p>
              </w:tc>
            </w:tr>
            <w:tr w14:paraId="227C8BD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jc w:val="center"/>
              </w:trPr>
              <w:tc>
                <w:tcPr>
                  <w:tcW w:w="1216" w:type="dxa"/>
                  <w:shd w:val="clear" w:color="auto" w:fill="auto"/>
                  <w:vAlign w:val="center"/>
                </w:tcPr>
                <w:p w14:paraId="1ECB58A5">
                  <w:pPr>
                    <w:pStyle w:val="70"/>
                    <w:spacing w:line="240" w:lineRule="auto"/>
                    <w:jc w:val="both"/>
                    <w:rPr>
                      <w:rFonts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《四川省“十四五”环境保护规划》（川府发〔2022〕2号）</w:t>
                  </w:r>
                </w:p>
              </w:tc>
              <w:tc>
                <w:tcPr>
                  <w:tcW w:w="3825" w:type="dxa"/>
                  <w:shd w:val="clear" w:color="auto" w:fill="auto"/>
                  <w:vAlign w:val="center"/>
                </w:tcPr>
                <w:p w14:paraId="7A14761F">
                  <w:pPr>
                    <w:pStyle w:val="70"/>
                    <w:spacing w:line="240" w:lineRule="auto"/>
                    <w:jc w:val="both"/>
                    <w:rPr>
                      <w:rFonts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强化无组织排放管控，加大含VOCs物料储存、转移和输送、设备与管线组件泄漏、敞开液面逸散等管控力度，开展泄漏监测与修复工作。</w:t>
                  </w:r>
                </w:p>
              </w:tc>
              <w:tc>
                <w:tcPr>
                  <w:tcW w:w="2471" w:type="dxa"/>
                  <w:shd w:val="clear" w:color="auto" w:fill="auto"/>
                  <w:vAlign w:val="center"/>
                </w:tcPr>
                <w:p w14:paraId="7E048EB3">
                  <w:pPr>
                    <w:pStyle w:val="70"/>
                    <w:spacing w:line="240" w:lineRule="auto"/>
                    <w:jc w:val="both"/>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kern w:val="0"/>
                      <w:sz w:val="21"/>
                      <w:szCs w:val="21"/>
                      <w:lang w:val="en-US" w:eastAsia="zh-CN" w:bidi="ar-SA"/>
                    </w:rPr>
                    <w:t>项目NMP原液</w:t>
                  </w:r>
                  <w:r>
                    <w:rPr>
                      <w:rFonts w:hint="eastAsia" w:cs="Times New Roman"/>
                      <w:color w:val="auto"/>
                      <w:kern w:val="0"/>
                      <w:sz w:val="21"/>
                      <w:szCs w:val="21"/>
                      <w:lang w:val="en-US" w:eastAsia="zh-CN" w:bidi="ar-SA"/>
                    </w:rPr>
                    <w:t>、电解液采用密闭容器储存。</w:t>
                  </w:r>
                </w:p>
              </w:tc>
              <w:tc>
                <w:tcPr>
                  <w:tcW w:w="512" w:type="dxa"/>
                  <w:shd w:val="clear" w:color="auto" w:fill="auto"/>
                  <w:vAlign w:val="center"/>
                </w:tcPr>
                <w:p w14:paraId="0FE36A95">
                  <w:pPr>
                    <w:pStyle w:val="70"/>
                    <w:spacing w:line="240" w:lineRule="auto"/>
                    <w:rPr>
                      <w:rFonts w:hint="default"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0"/>
                      <w:sz w:val="21"/>
                      <w:szCs w:val="21"/>
                      <w:lang w:val="en-US" w:eastAsia="zh-CN" w:bidi="ar-SA"/>
                    </w:rPr>
                    <w:t>符合</w:t>
                  </w:r>
                </w:p>
              </w:tc>
            </w:tr>
            <w:tr w14:paraId="1E10C47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jc w:val="center"/>
              </w:trPr>
              <w:tc>
                <w:tcPr>
                  <w:tcW w:w="1216" w:type="dxa"/>
                  <w:vMerge w:val="restart"/>
                  <w:shd w:val="clear" w:color="auto" w:fill="auto"/>
                  <w:vAlign w:val="center"/>
                </w:tcPr>
                <w:p w14:paraId="1F0E0D1A">
                  <w:pPr>
                    <w:pStyle w:val="70"/>
                    <w:spacing w:line="240" w:lineRule="auto"/>
                    <w:rPr>
                      <w:color w:val="auto"/>
                    </w:rPr>
                  </w:pPr>
                  <w:r>
                    <w:rPr>
                      <w:rFonts w:hint="eastAsia"/>
                      <w:color w:val="auto"/>
                      <w:sz w:val="21"/>
                      <w:szCs w:val="21"/>
                    </w:rPr>
                    <w:t>《四川省深入打好重污染天气消除、臭氧污染防治和柴油货车污染治理攻坚战实施方案》（川环发〔2023〕4号）</w:t>
                  </w:r>
                </w:p>
              </w:tc>
              <w:tc>
                <w:tcPr>
                  <w:tcW w:w="3825" w:type="dxa"/>
                  <w:shd w:val="clear" w:color="auto" w:fill="auto"/>
                  <w:vAlign w:val="center"/>
                </w:tcPr>
                <w:p w14:paraId="79196F4A">
                  <w:pPr>
                    <w:pStyle w:val="70"/>
                    <w:spacing w:line="240" w:lineRule="auto"/>
                    <w:jc w:val="both"/>
                    <w:rPr>
                      <w:color w:val="auto"/>
                      <w:sz w:val="21"/>
                      <w:szCs w:val="21"/>
                    </w:rPr>
                  </w:pPr>
                  <w:r>
                    <w:rPr>
                      <w:rFonts w:hint="eastAsia"/>
                      <w:color w:val="auto"/>
                      <w:sz w:val="21"/>
                      <w:szCs w:val="21"/>
                    </w:rPr>
                    <w:t>推动产业结构和布局优化调整。坚决遏制高耗能、高排放、低水平项目盲目发展，严格落实国家和四川省产业规划、产业政策、“三线一单”、规划环评，以及产能置换、煤炭消费减量替代、区域污染物削减等要求，坚决叫停不符合要求的高耗能、高排放、低水平项目。</w:t>
                  </w:r>
                </w:p>
              </w:tc>
              <w:tc>
                <w:tcPr>
                  <w:tcW w:w="2471" w:type="dxa"/>
                  <w:shd w:val="clear" w:color="auto" w:fill="auto"/>
                  <w:vAlign w:val="center"/>
                </w:tcPr>
                <w:p w14:paraId="5FCF69B5">
                  <w:pPr>
                    <w:pStyle w:val="70"/>
                    <w:spacing w:line="240" w:lineRule="auto"/>
                    <w:jc w:val="both"/>
                    <w:rPr>
                      <w:color w:val="auto"/>
                      <w:sz w:val="21"/>
                      <w:szCs w:val="21"/>
                    </w:rPr>
                  </w:pPr>
                  <w:r>
                    <w:rPr>
                      <w:rFonts w:hint="eastAsia"/>
                      <w:color w:val="auto"/>
                      <w:sz w:val="21"/>
                      <w:szCs w:val="21"/>
                    </w:rPr>
                    <w:t>项目不属于高耗能、高排放项目、低水平项目，选址不涉及生态红线，符合巴中市生态环境分区管控要求。</w:t>
                  </w:r>
                </w:p>
              </w:tc>
              <w:tc>
                <w:tcPr>
                  <w:tcW w:w="512" w:type="dxa"/>
                  <w:shd w:val="clear" w:color="auto" w:fill="auto"/>
                  <w:vAlign w:val="center"/>
                </w:tcPr>
                <w:p w14:paraId="33174076">
                  <w:pPr>
                    <w:pStyle w:val="70"/>
                    <w:spacing w:line="240" w:lineRule="auto"/>
                    <w:rPr>
                      <w:color w:val="auto"/>
                      <w:sz w:val="21"/>
                      <w:szCs w:val="21"/>
                    </w:rPr>
                  </w:pPr>
                  <w:r>
                    <w:rPr>
                      <w:rFonts w:hint="eastAsia"/>
                      <w:color w:val="auto"/>
                      <w:sz w:val="21"/>
                      <w:szCs w:val="21"/>
                    </w:rPr>
                    <w:t>符合</w:t>
                  </w:r>
                </w:p>
              </w:tc>
            </w:tr>
            <w:tr w14:paraId="7F9FE62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jc w:val="center"/>
              </w:trPr>
              <w:tc>
                <w:tcPr>
                  <w:tcW w:w="1216" w:type="dxa"/>
                  <w:vMerge w:val="continue"/>
                  <w:shd w:val="clear" w:color="auto" w:fill="auto"/>
                  <w:vAlign w:val="center"/>
                </w:tcPr>
                <w:p w14:paraId="08C6996E">
                  <w:pPr>
                    <w:pStyle w:val="70"/>
                    <w:spacing w:line="240" w:lineRule="auto"/>
                    <w:rPr>
                      <w:color w:val="auto"/>
                    </w:rPr>
                  </w:pPr>
                </w:p>
              </w:tc>
              <w:tc>
                <w:tcPr>
                  <w:tcW w:w="3825" w:type="dxa"/>
                  <w:shd w:val="clear" w:color="auto" w:fill="auto"/>
                  <w:vAlign w:val="center"/>
                </w:tcPr>
                <w:p w14:paraId="45F8CBEE">
                  <w:pPr>
                    <w:pStyle w:val="70"/>
                    <w:spacing w:line="240" w:lineRule="auto"/>
                    <w:jc w:val="both"/>
                    <w:rPr>
                      <w:b/>
                      <w:color w:val="auto"/>
                      <w:sz w:val="21"/>
                      <w:szCs w:val="21"/>
                    </w:rPr>
                  </w:pPr>
                  <w:r>
                    <w:rPr>
                      <w:rFonts w:hint="eastAsia"/>
                      <w:color w:val="auto"/>
                      <w:sz w:val="21"/>
                      <w:szCs w:val="21"/>
                    </w:rPr>
                    <w:t>实施低效脱硝设施排查整治。鼓励采用低氮燃烧、选择性催化还原（</w:t>
                  </w:r>
                  <w:r>
                    <w:rPr>
                      <w:color w:val="auto"/>
                      <w:sz w:val="21"/>
                      <w:szCs w:val="21"/>
                    </w:rPr>
                    <w:t>SCR）、选择性非</w:t>
                  </w:r>
                  <w:r>
                    <w:rPr>
                      <w:rFonts w:hint="eastAsia"/>
                      <w:color w:val="auto"/>
                      <w:sz w:val="21"/>
                      <w:szCs w:val="21"/>
                    </w:rPr>
                    <w:t>催化还原（</w:t>
                  </w:r>
                  <w:r>
                    <w:rPr>
                      <w:color w:val="auto"/>
                      <w:sz w:val="21"/>
                      <w:szCs w:val="21"/>
                    </w:rPr>
                    <w:t>SNCR）、活性焦等成熟技术</w:t>
                  </w:r>
                  <w:r>
                    <w:rPr>
                      <w:rFonts w:hint="eastAsia"/>
                      <w:color w:val="auto"/>
                      <w:sz w:val="21"/>
                      <w:szCs w:val="21"/>
                    </w:rPr>
                    <w:t>。</w:t>
                  </w:r>
                </w:p>
              </w:tc>
              <w:tc>
                <w:tcPr>
                  <w:tcW w:w="2471" w:type="dxa"/>
                  <w:vMerge w:val="restart"/>
                  <w:shd w:val="clear" w:color="auto" w:fill="auto"/>
                  <w:vAlign w:val="center"/>
                </w:tcPr>
                <w:p w14:paraId="46E99D18">
                  <w:pPr>
                    <w:pStyle w:val="70"/>
                    <w:spacing w:line="240" w:lineRule="auto"/>
                    <w:jc w:val="both"/>
                    <w:rPr>
                      <w:rFonts w:hint="default" w:eastAsia="宋体"/>
                      <w:color w:val="auto"/>
                      <w:sz w:val="21"/>
                      <w:szCs w:val="21"/>
                      <w:lang w:val="en-US" w:eastAsia="zh-CN"/>
                    </w:rPr>
                  </w:pPr>
                  <w:r>
                    <w:rPr>
                      <w:rFonts w:hint="eastAsia"/>
                      <w:color w:val="auto"/>
                      <w:sz w:val="21"/>
                      <w:szCs w:val="21"/>
                      <w:lang w:val="en-US" w:eastAsia="zh-CN"/>
                    </w:rPr>
                    <w:t>本项目不涉及锅炉、工业炉窑。</w:t>
                  </w:r>
                </w:p>
              </w:tc>
              <w:tc>
                <w:tcPr>
                  <w:tcW w:w="512" w:type="dxa"/>
                  <w:shd w:val="clear" w:color="auto" w:fill="auto"/>
                  <w:vAlign w:val="center"/>
                </w:tcPr>
                <w:p w14:paraId="423ED5E1">
                  <w:pPr>
                    <w:pStyle w:val="70"/>
                    <w:spacing w:line="240" w:lineRule="auto"/>
                    <w:rPr>
                      <w:color w:val="auto"/>
                      <w:sz w:val="21"/>
                      <w:szCs w:val="21"/>
                    </w:rPr>
                  </w:pPr>
                  <w:r>
                    <w:rPr>
                      <w:rFonts w:hint="eastAsia"/>
                      <w:color w:val="auto"/>
                      <w:sz w:val="21"/>
                      <w:szCs w:val="21"/>
                    </w:rPr>
                    <w:t>符合</w:t>
                  </w:r>
                </w:p>
              </w:tc>
            </w:tr>
            <w:tr w14:paraId="7CE2954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jc w:val="center"/>
              </w:trPr>
              <w:tc>
                <w:tcPr>
                  <w:tcW w:w="1216" w:type="dxa"/>
                  <w:vMerge w:val="continue"/>
                  <w:shd w:val="clear" w:color="auto" w:fill="auto"/>
                  <w:vAlign w:val="center"/>
                </w:tcPr>
                <w:p w14:paraId="344CBEE8">
                  <w:pPr>
                    <w:pStyle w:val="70"/>
                    <w:spacing w:line="240" w:lineRule="auto"/>
                    <w:rPr>
                      <w:color w:val="auto"/>
                    </w:rPr>
                  </w:pPr>
                </w:p>
              </w:tc>
              <w:tc>
                <w:tcPr>
                  <w:tcW w:w="3825" w:type="dxa"/>
                  <w:shd w:val="clear" w:color="auto" w:fill="auto"/>
                  <w:vAlign w:val="center"/>
                </w:tcPr>
                <w:p w14:paraId="7F449D39">
                  <w:pPr>
                    <w:pStyle w:val="70"/>
                    <w:spacing w:line="240" w:lineRule="auto"/>
                    <w:jc w:val="both"/>
                    <w:rPr>
                      <w:color w:val="auto"/>
                      <w:sz w:val="21"/>
                      <w:szCs w:val="21"/>
                    </w:rPr>
                  </w:pPr>
                  <w:r>
                    <w:rPr>
                      <w:rFonts w:hint="eastAsia"/>
                      <w:color w:val="auto"/>
                      <w:sz w:val="21"/>
                      <w:szCs w:val="21"/>
                    </w:rPr>
                    <w:t>实施工业锅炉和炉窑提标改造。生物质锅炉氮氧化物排放浓度无法稳定达标的，应采用加装高效脱硝设施等方式实施改造。燃气锅炉实施低氮燃烧改造，对低氮燃烧器、烟气再循环系统、分级燃烧系统、燃料及风量调配系统等关键部件要严把质量关，确保低氮燃烧系统稳定运行，2025年底前基本完成；推动燃气锅炉取消烟气再循环系统开关阀，确有必要保留的，可通过设置电动阀、气动阀或铅封等方式加强监管。</w:t>
                  </w:r>
                </w:p>
              </w:tc>
              <w:tc>
                <w:tcPr>
                  <w:tcW w:w="2471" w:type="dxa"/>
                  <w:vMerge w:val="continue"/>
                  <w:shd w:val="clear" w:color="auto" w:fill="auto"/>
                  <w:vAlign w:val="center"/>
                </w:tcPr>
                <w:p w14:paraId="065096D6">
                  <w:pPr>
                    <w:pStyle w:val="70"/>
                    <w:spacing w:line="240" w:lineRule="auto"/>
                    <w:jc w:val="both"/>
                    <w:rPr>
                      <w:color w:val="auto"/>
                      <w:sz w:val="21"/>
                      <w:szCs w:val="21"/>
                    </w:rPr>
                  </w:pPr>
                </w:p>
              </w:tc>
              <w:tc>
                <w:tcPr>
                  <w:tcW w:w="512" w:type="dxa"/>
                  <w:shd w:val="clear" w:color="auto" w:fill="auto"/>
                  <w:vAlign w:val="center"/>
                </w:tcPr>
                <w:p w14:paraId="5CB73E6C">
                  <w:pPr>
                    <w:pStyle w:val="70"/>
                    <w:spacing w:line="240" w:lineRule="auto"/>
                    <w:rPr>
                      <w:color w:val="auto"/>
                      <w:sz w:val="21"/>
                      <w:szCs w:val="21"/>
                    </w:rPr>
                  </w:pPr>
                  <w:r>
                    <w:rPr>
                      <w:rFonts w:hint="eastAsia"/>
                      <w:color w:val="auto"/>
                      <w:sz w:val="21"/>
                      <w:szCs w:val="21"/>
                    </w:rPr>
                    <w:t>符合</w:t>
                  </w:r>
                </w:p>
              </w:tc>
            </w:tr>
            <w:tr w14:paraId="0F75FC8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2700" w:hRule="atLeast"/>
                <w:jc w:val="center"/>
              </w:trPr>
              <w:tc>
                <w:tcPr>
                  <w:tcW w:w="1216" w:type="dxa"/>
                  <w:shd w:val="clear" w:color="auto" w:fill="auto"/>
                  <w:vAlign w:val="center"/>
                </w:tcPr>
                <w:p w14:paraId="5E6705FA">
                  <w:pPr>
                    <w:pStyle w:val="18"/>
                    <w:keepNext w:val="0"/>
                    <w:keepLines w:val="0"/>
                    <w:pageBreakBefore w:val="0"/>
                    <w:widowControl w:val="0"/>
                    <w:kinsoku/>
                    <w:wordWrap/>
                    <w:overflowPunct/>
                    <w:topLinePunct w:val="0"/>
                    <w:autoSpaceDE w:val="0"/>
                    <w:autoSpaceDN w:val="0"/>
                    <w:bidi w:val="0"/>
                    <w:adjustRightInd/>
                    <w:snapToGrid/>
                    <w:spacing w:line="240" w:lineRule="auto"/>
                    <w:ind w:left="0" w:leftChars="0" w:firstLine="0" w:firstLineChars="0"/>
                    <w:textAlignment w:val="auto"/>
                    <w:rPr>
                      <w:rFonts w:hint="eastAsia"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kern w:val="0"/>
                      <w:sz w:val="21"/>
                      <w:szCs w:val="21"/>
                      <w:lang w:val="en-US" w:eastAsia="zh-CN" w:bidi="ar-SA"/>
                    </w:rPr>
                    <w:t>《四川省空气质量持续改善行动计划实施方案》（川府发〔2024〕15号）</w:t>
                  </w:r>
                </w:p>
              </w:tc>
              <w:tc>
                <w:tcPr>
                  <w:tcW w:w="3825" w:type="dxa"/>
                  <w:shd w:val="clear" w:color="auto" w:fill="auto"/>
                  <w:vAlign w:val="center"/>
                </w:tcPr>
                <w:p w14:paraId="186D9CC4">
                  <w:pPr>
                    <w:pStyle w:val="18"/>
                    <w:keepNext w:val="0"/>
                    <w:keepLines w:val="0"/>
                    <w:pageBreakBefore w:val="0"/>
                    <w:widowControl w:val="0"/>
                    <w:kinsoku/>
                    <w:wordWrap/>
                    <w:overflowPunct/>
                    <w:topLinePunct w:val="0"/>
                    <w:autoSpaceDE w:val="0"/>
                    <w:autoSpaceDN w:val="0"/>
                    <w:bidi w:val="0"/>
                    <w:adjustRightInd/>
                    <w:snapToGrid/>
                    <w:spacing w:line="240" w:lineRule="auto"/>
                    <w:ind w:left="0" w:leftChars="0" w:firstLine="0" w:firstLineChars="0"/>
                    <w:jc w:val="left"/>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kern w:val="0"/>
                      <w:sz w:val="21"/>
                      <w:szCs w:val="21"/>
                      <w:lang w:val="en-US" w:eastAsia="zh-CN" w:bidi="ar-SA"/>
                    </w:rPr>
                    <w:t>严格产业准入。坚决遏制高耗能、高排放、低水平项目盲目上马……从严控制高耗能项目节能审查，对年综合能耗5万吨标准煤以上的项目按要求开展能耗替代。</w:t>
                  </w:r>
                </w:p>
                <w:p w14:paraId="0409C175">
                  <w:pPr>
                    <w:pStyle w:val="18"/>
                    <w:keepNext w:val="0"/>
                    <w:keepLines w:val="0"/>
                    <w:pageBreakBefore w:val="0"/>
                    <w:widowControl w:val="0"/>
                    <w:kinsoku/>
                    <w:wordWrap/>
                    <w:overflowPunct/>
                    <w:topLinePunct w:val="0"/>
                    <w:autoSpaceDE w:val="0"/>
                    <w:autoSpaceDN w:val="0"/>
                    <w:bidi w:val="0"/>
                    <w:adjustRightInd/>
                    <w:snapToGrid/>
                    <w:spacing w:line="240" w:lineRule="auto"/>
                    <w:ind w:left="0" w:leftChars="0" w:firstLine="0" w:firstLineChars="0"/>
                    <w:jc w:val="left"/>
                    <w:textAlignment w:val="auto"/>
                    <w:rPr>
                      <w:rFonts w:hint="eastAsia"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kern w:val="0"/>
                      <w:sz w:val="21"/>
                      <w:szCs w:val="21"/>
                      <w:lang w:val="en-US" w:eastAsia="zh-CN" w:bidi="ar-SA"/>
                    </w:rPr>
                    <w:t>强化VOCs全过程管控。开展低效失效VOCs处理设施排查整治。储罐使用低泄漏的呼吸阀、紧急泄压阀，定期开展密封性检测。</w:t>
                  </w:r>
                </w:p>
              </w:tc>
              <w:tc>
                <w:tcPr>
                  <w:tcW w:w="2471" w:type="dxa"/>
                  <w:shd w:val="clear" w:color="auto" w:fill="auto"/>
                  <w:vAlign w:val="center"/>
                </w:tcPr>
                <w:p w14:paraId="67DF294F">
                  <w:pPr>
                    <w:pStyle w:val="18"/>
                    <w:keepNext w:val="0"/>
                    <w:keepLines w:val="0"/>
                    <w:pageBreakBefore w:val="0"/>
                    <w:widowControl w:val="0"/>
                    <w:kinsoku/>
                    <w:wordWrap/>
                    <w:overflowPunct/>
                    <w:topLinePunct w:val="0"/>
                    <w:autoSpaceDE w:val="0"/>
                    <w:autoSpaceDN w:val="0"/>
                    <w:bidi w:val="0"/>
                    <w:adjustRightInd/>
                    <w:snapToGrid/>
                    <w:spacing w:line="240" w:lineRule="auto"/>
                    <w:ind w:left="0" w:leftChars="0" w:firstLine="0" w:firstLineChars="0"/>
                    <w:jc w:val="left"/>
                    <w:textAlignment w:val="auto"/>
                    <w:rPr>
                      <w:rFonts w:hint="eastAsia"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kern w:val="0"/>
                      <w:sz w:val="21"/>
                      <w:szCs w:val="21"/>
                      <w:lang w:val="en-US" w:eastAsia="zh-CN" w:bidi="ar-SA"/>
                    </w:rPr>
                    <w:t>项目不属于高耗能、高排放、低水平项目。涉及VOCs排放处理不属于低效设施，NMP原液储罐使用低泄漏的呼吸阀、紧急泄压阀，并定期开展密封性检测。</w:t>
                  </w:r>
                </w:p>
              </w:tc>
              <w:tc>
                <w:tcPr>
                  <w:tcW w:w="512" w:type="dxa"/>
                  <w:shd w:val="clear" w:color="auto" w:fill="auto"/>
                  <w:vAlign w:val="center"/>
                </w:tcPr>
                <w:p w14:paraId="1B2E415D">
                  <w:pPr>
                    <w:pStyle w:val="18"/>
                    <w:keepNext w:val="0"/>
                    <w:keepLines w:val="0"/>
                    <w:pageBreakBefore w:val="0"/>
                    <w:widowControl w:val="0"/>
                    <w:kinsoku/>
                    <w:wordWrap/>
                    <w:overflowPunct/>
                    <w:topLinePunct w:val="0"/>
                    <w:autoSpaceDE w:val="0"/>
                    <w:autoSpaceDN w:val="0"/>
                    <w:bidi w:val="0"/>
                    <w:adjustRightInd/>
                    <w:snapToGrid/>
                    <w:spacing w:line="240" w:lineRule="auto"/>
                    <w:ind w:left="0" w:leftChars="0" w:firstLine="0" w:firstLineChars="0"/>
                    <w:jc w:val="center"/>
                    <w:textAlignment w:val="auto"/>
                    <w:rPr>
                      <w:rFonts w:hint="eastAsia"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kern w:val="0"/>
                      <w:sz w:val="21"/>
                      <w:szCs w:val="21"/>
                      <w:lang w:val="en-US" w:eastAsia="zh-CN" w:bidi="ar-SA"/>
                    </w:rPr>
                    <w:t>符合</w:t>
                  </w:r>
                </w:p>
              </w:tc>
            </w:tr>
            <w:tr w14:paraId="6A8A5F0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jc w:val="center"/>
              </w:trPr>
              <w:tc>
                <w:tcPr>
                  <w:tcW w:w="1216" w:type="dxa"/>
                  <w:shd w:val="clear" w:color="auto" w:fill="auto"/>
                  <w:vAlign w:val="center"/>
                </w:tcPr>
                <w:p w14:paraId="1B8632D8">
                  <w:pPr>
                    <w:pStyle w:val="70"/>
                    <w:spacing w:line="240" w:lineRule="auto"/>
                    <w:rPr>
                      <w:color w:val="auto"/>
                    </w:rPr>
                  </w:pPr>
                  <w:r>
                    <w:rPr>
                      <w:rFonts w:hint="eastAsia"/>
                      <w:color w:val="auto"/>
                      <w:sz w:val="21"/>
                      <w:szCs w:val="21"/>
                    </w:rPr>
                    <w:t>《四川省打赢蓝天保卫战实施方案》（川府发〔2019〕4号）</w:t>
                  </w:r>
                </w:p>
              </w:tc>
              <w:tc>
                <w:tcPr>
                  <w:tcW w:w="3825" w:type="dxa"/>
                  <w:shd w:val="clear" w:color="auto" w:fill="auto"/>
                  <w:vAlign w:val="center"/>
                </w:tcPr>
                <w:p w14:paraId="06593ECC">
                  <w:pPr>
                    <w:pStyle w:val="70"/>
                    <w:spacing w:line="240" w:lineRule="auto"/>
                    <w:jc w:val="both"/>
                    <w:rPr>
                      <w:color w:val="auto"/>
                      <w:sz w:val="21"/>
                      <w:szCs w:val="21"/>
                    </w:rPr>
                  </w:pPr>
                  <w:r>
                    <w:rPr>
                      <w:rFonts w:hint="eastAsia"/>
                      <w:color w:val="auto"/>
                      <w:sz w:val="21"/>
                      <w:szCs w:val="21"/>
                    </w:rPr>
                    <w:t>（一）强化“三线一单”（生态保护红线、环境质量底线、资源利用上限、生态环境准入清单）约束，明确禁止和限制发展的产业行业、生产工艺和产业目录，优化产业布局和资源配置，积极推进区域、规划环境影响评价，新、改、扩建钢铁、石化、化工、焦化、建材、有色等项目的环境影响评价应满足区域、规划环境影响评价要求。</w:t>
                  </w:r>
                </w:p>
              </w:tc>
              <w:tc>
                <w:tcPr>
                  <w:tcW w:w="2471" w:type="dxa"/>
                  <w:shd w:val="clear" w:color="auto" w:fill="auto"/>
                  <w:vAlign w:val="center"/>
                </w:tcPr>
                <w:p w14:paraId="28CABFAC">
                  <w:pPr>
                    <w:pStyle w:val="70"/>
                    <w:spacing w:line="240" w:lineRule="auto"/>
                    <w:jc w:val="both"/>
                    <w:rPr>
                      <w:color w:val="auto"/>
                      <w:sz w:val="21"/>
                      <w:szCs w:val="21"/>
                    </w:rPr>
                  </w:pPr>
                  <w:r>
                    <w:rPr>
                      <w:rFonts w:hint="eastAsia"/>
                      <w:color w:val="auto"/>
                      <w:sz w:val="21"/>
                      <w:szCs w:val="21"/>
                    </w:rPr>
                    <w:t>项目选址不涉及生态红线，符合巴中市生态环境分区管控要求。</w:t>
                  </w:r>
                </w:p>
              </w:tc>
              <w:tc>
                <w:tcPr>
                  <w:tcW w:w="512" w:type="dxa"/>
                  <w:shd w:val="clear" w:color="auto" w:fill="auto"/>
                  <w:vAlign w:val="center"/>
                </w:tcPr>
                <w:p w14:paraId="0527FFBB">
                  <w:pPr>
                    <w:pStyle w:val="70"/>
                    <w:spacing w:line="240" w:lineRule="auto"/>
                    <w:rPr>
                      <w:color w:val="auto"/>
                      <w:sz w:val="21"/>
                      <w:szCs w:val="21"/>
                    </w:rPr>
                  </w:pPr>
                  <w:r>
                    <w:rPr>
                      <w:rFonts w:hint="eastAsia"/>
                      <w:color w:val="auto"/>
                      <w:sz w:val="21"/>
                      <w:szCs w:val="21"/>
                    </w:rPr>
                    <w:t>符合</w:t>
                  </w:r>
                </w:p>
              </w:tc>
            </w:tr>
            <w:tr w14:paraId="4426B3E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jc w:val="center"/>
              </w:trPr>
              <w:tc>
                <w:tcPr>
                  <w:tcW w:w="1216" w:type="dxa"/>
                  <w:vMerge w:val="restart"/>
                  <w:shd w:val="clear" w:color="auto" w:fill="auto"/>
                  <w:vAlign w:val="center"/>
                </w:tcPr>
                <w:p w14:paraId="73886603">
                  <w:pPr>
                    <w:pStyle w:val="70"/>
                    <w:spacing w:line="240" w:lineRule="auto"/>
                    <w:rPr>
                      <w:color w:val="auto"/>
                    </w:rPr>
                  </w:pPr>
                  <w:r>
                    <w:rPr>
                      <w:rFonts w:hint="eastAsia"/>
                      <w:color w:val="auto"/>
                      <w:sz w:val="21"/>
                      <w:szCs w:val="21"/>
                    </w:rPr>
                    <w:t>《巴中市“十四五”生态环境保护规划》</w:t>
                  </w:r>
                </w:p>
              </w:tc>
              <w:tc>
                <w:tcPr>
                  <w:tcW w:w="3825" w:type="dxa"/>
                  <w:shd w:val="clear" w:color="auto" w:fill="auto"/>
                  <w:vAlign w:val="center"/>
                </w:tcPr>
                <w:p w14:paraId="52BE7B4C">
                  <w:pPr>
                    <w:pStyle w:val="70"/>
                    <w:spacing w:line="240" w:lineRule="auto"/>
                    <w:jc w:val="both"/>
                    <w:rPr>
                      <w:color w:val="auto"/>
                      <w:sz w:val="21"/>
                      <w:szCs w:val="21"/>
                    </w:rPr>
                  </w:pPr>
                  <w:r>
                    <w:rPr>
                      <w:rFonts w:hint="eastAsia"/>
                      <w:b w:val="0"/>
                      <w:bCs w:val="0"/>
                      <w:color w:val="auto"/>
                      <w:sz w:val="21"/>
                      <w:szCs w:val="21"/>
                    </w:rPr>
                    <w:t>低碳绿色重点项目。新能源新材料：液化天然气（LNG）尾气回收再利用工程，城市垃圾焚烧发电扩建项目，新能源汽车高性能动力电池生产线项目。石墨采选项目，高纯石墨、负极材料和高性能石墨制品等生产线项目，霞石精深加工项目</w:t>
                  </w:r>
                  <w:r>
                    <w:rPr>
                      <w:rFonts w:hint="eastAsia"/>
                      <w:color w:val="auto"/>
                      <w:sz w:val="21"/>
                      <w:szCs w:val="21"/>
                    </w:rPr>
                    <w:t>。</w:t>
                  </w:r>
                </w:p>
              </w:tc>
              <w:tc>
                <w:tcPr>
                  <w:tcW w:w="2471" w:type="dxa"/>
                  <w:shd w:val="clear" w:color="auto" w:fill="auto"/>
                  <w:vAlign w:val="center"/>
                </w:tcPr>
                <w:p w14:paraId="708CF656">
                  <w:pPr>
                    <w:pStyle w:val="70"/>
                    <w:spacing w:line="240" w:lineRule="auto"/>
                    <w:jc w:val="both"/>
                    <w:rPr>
                      <w:rFonts w:hint="default" w:eastAsia="宋体"/>
                      <w:color w:val="auto"/>
                      <w:sz w:val="21"/>
                      <w:szCs w:val="21"/>
                      <w:lang w:val="en-US" w:eastAsia="zh-CN"/>
                    </w:rPr>
                  </w:pPr>
                  <w:r>
                    <w:rPr>
                      <w:rFonts w:hint="eastAsia"/>
                      <w:b w:val="0"/>
                      <w:bCs w:val="0"/>
                      <w:color w:val="auto"/>
                      <w:sz w:val="21"/>
                      <w:szCs w:val="21"/>
                      <w:lang w:val="en-US" w:eastAsia="zh-CN"/>
                    </w:rPr>
                    <w:t>本项目不属于</w:t>
                  </w:r>
                  <w:r>
                    <w:rPr>
                      <w:rFonts w:hint="eastAsia"/>
                      <w:b w:val="0"/>
                      <w:bCs w:val="0"/>
                      <w:color w:val="auto"/>
                      <w:sz w:val="21"/>
                      <w:szCs w:val="21"/>
                    </w:rPr>
                    <w:t>液化天然气（LNG）尾气回收再利用工程</w:t>
                  </w:r>
                  <w:r>
                    <w:rPr>
                      <w:rFonts w:hint="eastAsia"/>
                      <w:b w:val="0"/>
                      <w:bCs w:val="0"/>
                      <w:color w:val="auto"/>
                      <w:sz w:val="21"/>
                      <w:szCs w:val="21"/>
                      <w:lang w:eastAsia="zh-CN"/>
                    </w:rPr>
                    <w:t>、</w:t>
                  </w:r>
                  <w:r>
                    <w:rPr>
                      <w:rFonts w:hint="eastAsia"/>
                      <w:b w:val="0"/>
                      <w:bCs w:val="0"/>
                      <w:color w:val="auto"/>
                      <w:sz w:val="21"/>
                      <w:szCs w:val="21"/>
                    </w:rPr>
                    <w:t>城市垃圾焚烧发电扩建项目</w:t>
                  </w:r>
                  <w:r>
                    <w:rPr>
                      <w:rFonts w:hint="eastAsia"/>
                      <w:b w:val="0"/>
                      <w:bCs w:val="0"/>
                      <w:color w:val="auto"/>
                      <w:sz w:val="21"/>
                      <w:szCs w:val="21"/>
                      <w:lang w:eastAsia="zh-CN"/>
                    </w:rPr>
                    <w:t>、</w:t>
                  </w:r>
                  <w:r>
                    <w:rPr>
                      <w:rFonts w:hint="eastAsia"/>
                      <w:b w:val="0"/>
                      <w:bCs w:val="0"/>
                      <w:color w:val="auto"/>
                      <w:sz w:val="21"/>
                      <w:szCs w:val="21"/>
                    </w:rPr>
                    <w:t>新能源汽车高性能动力电池生产线项目。石墨采选项目，高纯石墨、负极材料和高性能石墨制品等生产线项目</w:t>
                  </w:r>
                  <w:r>
                    <w:rPr>
                      <w:rFonts w:hint="eastAsia"/>
                      <w:b w:val="0"/>
                      <w:bCs w:val="0"/>
                      <w:color w:val="auto"/>
                      <w:sz w:val="21"/>
                      <w:szCs w:val="21"/>
                      <w:lang w:eastAsia="zh-CN"/>
                    </w:rPr>
                    <w:t>、</w:t>
                  </w:r>
                  <w:r>
                    <w:rPr>
                      <w:rFonts w:hint="eastAsia"/>
                      <w:b w:val="0"/>
                      <w:bCs w:val="0"/>
                      <w:color w:val="auto"/>
                      <w:sz w:val="21"/>
                      <w:szCs w:val="21"/>
                    </w:rPr>
                    <w:t>霞石精深加工项目</w:t>
                  </w:r>
                </w:p>
              </w:tc>
              <w:tc>
                <w:tcPr>
                  <w:tcW w:w="512" w:type="dxa"/>
                  <w:shd w:val="clear" w:color="auto" w:fill="auto"/>
                  <w:vAlign w:val="center"/>
                </w:tcPr>
                <w:p w14:paraId="6AD33860">
                  <w:pPr>
                    <w:pStyle w:val="70"/>
                    <w:spacing w:line="240" w:lineRule="auto"/>
                    <w:rPr>
                      <w:color w:val="auto"/>
                      <w:sz w:val="21"/>
                      <w:szCs w:val="21"/>
                    </w:rPr>
                  </w:pPr>
                  <w:r>
                    <w:rPr>
                      <w:rFonts w:hint="eastAsia"/>
                      <w:color w:val="auto"/>
                      <w:sz w:val="21"/>
                      <w:szCs w:val="21"/>
                    </w:rPr>
                    <w:t>符合</w:t>
                  </w:r>
                </w:p>
              </w:tc>
            </w:tr>
            <w:tr w14:paraId="0D9DC14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jc w:val="center"/>
              </w:trPr>
              <w:tc>
                <w:tcPr>
                  <w:tcW w:w="1216" w:type="dxa"/>
                  <w:vMerge w:val="continue"/>
                  <w:shd w:val="clear" w:color="auto" w:fill="auto"/>
                  <w:vAlign w:val="center"/>
                </w:tcPr>
                <w:p w14:paraId="1BCFCC6E">
                  <w:pPr>
                    <w:pStyle w:val="70"/>
                    <w:spacing w:line="240" w:lineRule="auto"/>
                    <w:rPr>
                      <w:color w:val="auto"/>
                    </w:rPr>
                  </w:pPr>
                </w:p>
              </w:tc>
              <w:tc>
                <w:tcPr>
                  <w:tcW w:w="3825" w:type="dxa"/>
                  <w:shd w:val="clear" w:color="auto" w:fill="auto"/>
                  <w:vAlign w:val="center"/>
                </w:tcPr>
                <w:p w14:paraId="0DE25DF3">
                  <w:pPr>
                    <w:pStyle w:val="70"/>
                    <w:spacing w:line="240" w:lineRule="auto"/>
                    <w:jc w:val="both"/>
                    <w:rPr>
                      <w:color w:val="auto"/>
                      <w:sz w:val="21"/>
                      <w:szCs w:val="21"/>
                    </w:rPr>
                  </w:pPr>
                  <w:r>
                    <w:rPr>
                      <w:rFonts w:hint="eastAsia"/>
                      <w:color w:val="auto"/>
                      <w:sz w:val="21"/>
                      <w:szCs w:val="21"/>
                    </w:rPr>
                    <w:t>严格控制挥发性有机物（VOCs）排放。实施VOCs排放总量控制制度，制定VOCs专项整治方案。</w:t>
                  </w:r>
                </w:p>
              </w:tc>
              <w:tc>
                <w:tcPr>
                  <w:tcW w:w="2471" w:type="dxa"/>
                  <w:shd w:val="clear" w:color="auto" w:fill="auto"/>
                  <w:vAlign w:val="center"/>
                </w:tcPr>
                <w:p w14:paraId="2CB3A2CE">
                  <w:pPr>
                    <w:pStyle w:val="70"/>
                    <w:spacing w:line="240" w:lineRule="auto"/>
                    <w:jc w:val="both"/>
                    <w:rPr>
                      <w:color w:val="auto"/>
                      <w:sz w:val="21"/>
                      <w:szCs w:val="21"/>
                    </w:rPr>
                  </w:pPr>
                  <w:r>
                    <w:rPr>
                      <w:rFonts w:hint="default" w:ascii="Times New Roman" w:hAnsi="Times New Roman" w:cs="Times New Roman"/>
                      <w:color w:val="auto"/>
                      <w:sz w:val="21"/>
                      <w:szCs w:val="21"/>
                      <w:lang w:val="en-US" w:eastAsia="zh-CN"/>
                    </w:rPr>
                    <w:t>本项目严格落实VOCs治理管控，生产车间均密闭，</w:t>
                  </w:r>
                  <w:r>
                    <w:rPr>
                      <w:rFonts w:hint="default" w:ascii="Times New Roman" w:hAnsi="Times New Roman" w:eastAsia="宋体" w:cs="Times New Roman"/>
                      <w:color w:val="auto"/>
                      <w:sz w:val="21"/>
                      <w:szCs w:val="21"/>
                      <w:lang w:val="en-US" w:eastAsia="zh-CN"/>
                    </w:rPr>
                    <w:t>项目涂布烘干工序产生的NMP废气经NMP回收处理装置（TA00</w:t>
                  </w:r>
                  <w:r>
                    <w:rPr>
                      <w:rFonts w:hint="eastAsia" w:cs="Times New Roman"/>
                      <w:color w:val="auto"/>
                      <w:sz w:val="21"/>
                      <w:szCs w:val="21"/>
                      <w:lang w:val="en-US" w:eastAsia="zh-CN"/>
                    </w:rPr>
                    <w:t>2</w:t>
                  </w:r>
                  <w:r>
                    <w:rPr>
                      <w:rFonts w:hint="default" w:ascii="Times New Roman" w:hAnsi="Times New Roman" w:eastAsia="宋体" w:cs="Times New Roman"/>
                      <w:color w:val="auto"/>
                      <w:sz w:val="21"/>
                      <w:szCs w:val="21"/>
                      <w:lang w:val="en-US" w:eastAsia="zh-CN"/>
                    </w:rPr>
                    <w:t>）处理后通过1根</w:t>
                  </w:r>
                  <w:r>
                    <w:rPr>
                      <w:rFonts w:hint="eastAsia" w:cs="Times New Roman"/>
                      <w:color w:val="auto"/>
                      <w:sz w:val="21"/>
                      <w:szCs w:val="21"/>
                      <w:lang w:val="en-US" w:eastAsia="zh-CN"/>
                    </w:rPr>
                    <w:t>30</w:t>
                  </w:r>
                  <w:r>
                    <w:rPr>
                      <w:rFonts w:hint="default" w:ascii="Times New Roman" w:hAnsi="Times New Roman" w:eastAsia="宋体" w:cs="Times New Roman"/>
                      <w:color w:val="auto"/>
                      <w:sz w:val="21"/>
                      <w:szCs w:val="21"/>
                      <w:lang w:val="en-US" w:eastAsia="zh-CN"/>
                    </w:rPr>
                    <w:t>m高排气筒（DA001）排放；电解液注液、</w:t>
                  </w:r>
                  <w:r>
                    <w:rPr>
                      <w:rFonts w:hint="eastAsia" w:cs="Times New Roman"/>
                      <w:color w:val="auto"/>
                      <w:sz w:val="21"/>
                      <w:szCs w:val="21"/>
                      <w:lang w:val="en-US" w:eastAsia="zh-CN"/>
                    </w:rPr>
                    <w:t>二封、电池拆解等工序产生的有机废气</w:t>
                  </w:r>
                  <w:r>
                    <w:rPr>
                      <w:rFonts w:hint="default" w:ascii="Times New Roman" w:hAnsi="Times New Roman" w:eastAsia="宋体" w:cs="Times New Roman"/>
                      <w:color w:val="auto"/>
                      <w:sz w:val="21"/>
                      <w:szCs w:val="21"/>
                      <w:lang w:val="en-US" w:eastAsia="zh-CN"/>
                    </w:rPr>
                    <w:t>经集气管道引至二级活性炭吸附装置（TA00</w:t>
                  </w:r>
                  <w:r>
                    <w:rPr>
                      <w:rFonts w:hint="eastAsia" w:cs="Times New Roman"/>
                      <w:color w:val="auto"/>
                      <w:sz w:val="21"/>
                      <w:szCs w:val="21"/>
                      <w:lang w:val="en-US" w:eastAsia="zh-CN"/>
                    </w:rPr>
                    <w:t>3</w:t>
                  </w:r>
                  <w:r>
                    <w:rPr>
                      <w:rFonts w:hint="default" w:ascii="Times New Roman" w:hAnsi="Times New Roman" w:eastAsia="宋体" w:cs="Times New Roman"/>
                      <w:color w:val="auto"/>
                      <w:sz w:val="21"/>
                      <w:szCs w:val="21"/>
                      <w:lang w:val="en-US" w:eastAsia="zh-CN"/>
                    </w:rPr>
                    <w:t>）处理后，一根</w:t>
                  </w:r>
                  <w:r>
                    <w:rPr>
                      <w:rFonts w:hint="eastAsia" w:cs="Times New Roman"/>
                      <w:color w:val="auto"/>
                      <w:sz w:val="21"/>
                      <w:szCs w:val="21"/>
                      <w:lang w:val="en-US" w:eastAsia="zh-CN"/>
                    </w:rPr>
                    <w:t>30</w:t>
                  </w:r>
                  <w:r>
                    <w:rPr>
                      <w:rFonts w:hint="default" w:ascii="Times New Roman" w:hAnsi="Times New Roman" w:eastAsia="宋体" w:cs="Times New Roman"/>
                      <w:color w:val="auto"/>
                      <w:sz w:val="21"/>
                      <w:szCs w:val="21"/>
                      <w:lang w:val="en-US" w:eastAsia="zh-CN"/>
                    </w:rPr>
                    <w:t>m排气筒（DA002）排放</w:t>
                  </w:r>
                  <w:r>
                    <w:rPr>
                      <w:rFonts w:hint="eastAsia" w:cs="Times New Roman"/>
                      <w:color w:val="auto"/>
                      <w:sz w:val="21"/>
                      <w:szCs w:val="21"/>
                      <w:lang w:val="en-US" w:eastAsia="zh-CN"/>
                    </w:rPr>
                    <w:t>，危废库废气经活性炭吸附装置（TA004）处理后通过15m高排气筒（DA003）排放。</w:t>
                  </w:r>
                </w:p>
              </w:tc>
              <w:tc>
                <w:tcPr>
                  <w:tcW w:w="512" w:type="dxa"/>
                  <w:shd w:val="clear" w:color="auto" w:fill="auto"/>
                  <w:vAlign w:val="center"/>
                </w:tcPr>
                <w:p w14:paraId="027996E0">
                  <w:pPr>
                    <w:pStyle w:val="70"/>
                    <w:spacing w:line="240" w:lineRule="auto"/>
                    <w:rPr>
                      <w:color w:val="auto"/>
                      <w:sz w:val="21"/>
                      <w:szCs w:val="21"/>
                    </w:rPr>
                  </w:pPr>
                  <w:r>
                    <w:rPr>
                      <w:rFonts w:hint="eastAsia"/>
                      <w:color w:val="auto"/>
                      <w:sz w:val="21"/>
                      <w:szCs w:val="21"/>
                    </w:rPr>
                    <w:t>符合</w:t>
                  </w:r>
                </w:p>
              </w:tc>
            </w:tr>
            <w:bookmarkEnd w:id="6"/>
          </w:tbl>
          <w:p w14:paraId="204708C9">
            <w:pPr>
              <w:pStyle w:val="66"/>
              <w:spacing w:line="360" w:lineRule="auto"/>
              <w:ind w:firstLine="482"/>
              <w:rPr>
                <w:rFonts w:hint="eastAsia" w:ascii="Times New Roman" w:hAnsi="Times New Roman" w:eastAsia="宋体" w:cs="Times New Roman"/>
                <w:color w:val="auto"/>
                <w:sz w:val="24"/>
                <w:lang w:val="en-US" w:eastAsia="zh-CN"/>
              </w:rPr>
            </w:pPr>
            <w:r>
              <w:rPr>
                <w:rFonts w:hint="eastAsia" w:ascii="Times New Roman" w:hAnsi="Times New Roman" w:eastAsia="宋体" w:cs="Times New Roman"/>
                <w:color w:val="auto"/>
                <w:sz w:val="24"/>
                <w:lang w:val="en-US" w:eastAsia="zh-CN"/>
              </w:rPr>
              <w:t>综上，本项目</w:t>
            </w:r>
            <w:r>
              <w:rPr>
                <w:rFonts w:hint="default" w:ascii="Times New Roman" w:hAnsi="Times New Roman" w:eastAsia="宋体" w:cs="Times New Roman"/>
                <w:color w:val="auto"/>
                <w:sz w:val="24"/>
              </w:rPr>
              <w:t>与大气污染防治相关法规、规范</w:t>
            </w:r>
            <w:r>
              <w:rPr>
                <w:rFonts w:hint="eastAsia" w:ascii="Times New Roman" w:hAnsi="Times New Roman" w:eastAsia="宋体" w:cs="Times New Roman"/>
                <w:color w:val="auto"/>
                <w:sz w:val="24"/>
                <w:lang w:val="en-US" w:eastAsia="zh-CN"/>
              </w:rPr>
              <w:t>相符合。</w:t>
            </w:r>
          </w:p>
          <w:p w14:paraId="55A340F5">
            <w:pPr>
              <w:pStyle w:val="66"/>
              <w:spacing w:line="360" w:lineRule="auto"/>
              <w:ind w:firstLine="482"/>
              <w:rPr>
                <w:rFonts w:hint="eastAsia" w:ascii="Times New Roman" w:hAnsi="Times New Roman" w:eastAsia="宋体" w:cs="Times New Roman"/>
                <w:b/>
                <w:bCs/>
                <w:color w:val="auto"/>
                <w:lang w:val="en-US" w:eastAsia="zh-CN"/>
              </w:rPr>
            </w:pPr>
            <w:r>
              <w:rPr>
                <w:rFonts w:hint="eastAsia" w:ascii="Times New Roman" w:hAnsi="Times New Roman" w:eastAsia="宋体" w:cs="Times New Roman"/>
                <w:b/>
                <w:bCs/>
                <w:color w:val="auto"/>
                <w:lang w:val="en-US" w:eastAsia="zh-CN"/>
              </w:rPr>
              <w:t>4、项目与水污染防治的规范文件的符合性分析</w:t>
            </w:r>
          </w:p>
          <w:p w14:paraId="13416289">
            <w:pPr>
              <w:pStyle w:val="66"/>
              <w:spacing w:line="360" w:lineRule="auto"/>
              <w:rPr>
                <w:rFonts w:hint="eastAsia" w:eastAsia="宋体"/>
                <w:color w:val="auto"/>
                <w:lang w:eastAsia="zh-CN"/>
              </w:rPr>
            </w:pPr>
            <w:r>
              <w:rPr>
                <w:color w:val="auto"/>
              </w:rPr>
              <w:t>本</w:t>
            </w:r>
            <w:r>
              <w:rPr>
                <w:rFonts w:hint="default" w:ascii="Times New Roman" w:hAnsi="Times New Roman" w:eastAsia="宋体" w:cs="Times New Roman"/>
                <w:b w:val="0"/>
                <w:bCs w:val="0"/>
                <w:color w:val="auto"/>
                <w:sz w:val="24"/>
              </w:rPr>
              <w:t>项目</w:t>
            </w:r>
            <w:r>
              <w:rPr>
                <w:rFonts w:hint="eastAsia" w:ascii="Times New Roman" w:hAnsi="Times New Roman" w:eastAsia="宋体" w:cs="Times New Roman"/>
                <w:color w:val="auto"/>
                <w:sz w:val="24"/>
              </w:rPr>
              <w:t>与</w:t>
            </w:r>
            <w:r>
              <w:rPr>
                <w:rFonts w:hint="eastAsia" w:ascii="Times New Roman" w:hAnsi="Times New Roman" w:eastAsia="宋体" w:cs="Times New Roman"/>
                <w:color w:val="auto"/>
                <w:sz w:val="24"/>
                <w:lang w:val="en-US" w:eastAsia="zh-CN"/>
              </w:rPr>
              <w:t>水污染防治</w:t>
            </w:r>
            <w:r>
              <w:rPr>
                <w:rFonts w:hint="default" w:ascii="Times New Roman" w:hAnsi="Times New Roman" w:eastAsia="宋体" w:cs="Times New Roman"/>
                <w:color w:val="auto"/>
                <w:sz w:val="24"/>
              </w:rPr>
              <w:t>相关法</w:t>
            </w:r>
            <w:r>
              <w:rPr>
                <w:rFonts w:hint="default" w:ascii="Times New Roman" w:hAnsi="Times New Roman" w:cs="Times New Roman"/>
                <w:color w:val="auto"/>
                <w:sz w:val="24"/>
              </w:rPr>
              <w:t>规</w:t>
            </w:r>
            <w:r>
              <w:rPr>
                <w:rFonts w:hint="default" w:ascii="Times New Roman" w:hAnsi="Times New Roman" w:cs="Times New Roman"/>
                <w:b w:val="0"/>
                <w:bCs w:val="0"/>
                <w:color w:val="auto"/>
                <w:sz w:val="24"/>
              </w:rPr>
              <w:t>、规范符合性</w:t>
            </w:r>
            <w:r>
              <w:rPr>
                <w:rFonts w:hint="default" w:ascii="Times New Roman" w:hAnsi="Times New Roman" w:cs="Times New Roman"/>
                <w:color w:val="auto"/>
                <w:sz w:val="24"/>
              </w:rPr>
              <w:t>分析</w:t>
            </w:r>
            <w:r>
              <w:rPr>
                <w:rFonts w:hint="default" w:ascii="Times New Roman" w:hAnsi="Times New Roman" w:cs="Times New Roman"/>
                <w:color w:val="auto"/>
                <w:sz w:val="24"/>
                <w:lang w:eastAsia="zh-CN"/>
              </w:rPr>
              <w:t>见下</w:t>
            </w:r>
            <w:r>
              <w:rPr>
                <w:rFonts w:hint="default" w:ascii="Times New Roman" w:hAnsi="Times New Roman" w:cs="Times New Roman"/>
                <w:color w:val="auto"/>
                <w:sz w:val="24"/>
              </w:rPr>
              <w:t>表所示</w:t>
            </w:r>
            <w:r>
              <w:rPr>
                <w:rFonts w:hint="eastAsia" w:ascii="Times New Roman" w:hAnsi="Times New Roman" w:cs="Times New Roman"/>
                <w:color w:val="auto"/>
                <w:sz w:val="24"/>
                <w:lang w:eastAsia="zh-CN"/>
              </w:rPr>
              <w:t>：</w:t>
            </w:r>
          </w:p>
          <w:p w14:paraId="5CDFCF87">
            <w:pPr>
              <w:pStyle w:val="68"/>
              <w:rPr>
                <w:rFonts w:hint="eastAsia" w:ascii="Times New Roman" w:hAnsi="Times New Roman" w:eastAsia="宋体" w:cs="Times New Roman"/>
                <w:b/>
                <w:bCs/>
                <w:color w:val="auto"/>
              </w:rPr>
            </w:pPr>
            <w:r>
              <w:rPr>
                <w:rFonts w:hint="eastAsia" w:ascii="Times New Roman" w:hAnsi="Times New Roman" w:eastAsia="宋体" w:cs="Times New Roman"/>
                <w:b/>
                <w:bCs/>
                <w:color w:val="auto"/>
              </w:rPr>
              <w:t>表1-</w:t>
            </w:r>
            <w:r>
              <w:rPr>
                <w:rFonts w:hint="eastAsia" w:eastAsia="宋体" w:cs="Times New Roman"/>
                <w:b/>
                <w:bCs/>
                <w:color w:val="auto"/>
                <w:lang w:val="en-US" w:eastAsia="zh-CN"/>
              </w:rPr>
              <w:t>8</w:t>
            </w:r>
            <w:r>
              <w:rPr>
                <w:rFonts w:hint="eastAsia" w:ascii="Times New Roman" w:hAnsi="Times New Roman" w:eastAsia="宋体" w:cs="Times New Roman"/>
                <w:b/>
                <w:bCs/>
                <w:color w:val="auto"/>
              </w:rPr>
              <w:t xml:space="preserve"> 项目与水污染防治等相关规划符合性</w:t>
            </w:r>
          </w:p>
          <w:tbl>
            <w:tblPr>
              <w:tblStyle w:val="41"/>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28" w:type="dxa"/>
                <w:bottom w:w="0" w:type="dxa"/>
                <w:right w:w="28" w:type="dxa"/>
              </w:tblCellMar>
            </w:tblPr>
            <w:tblGrid>
              <w:gridCol w:w="1025"/>
              <w:gridCol w:w="5006"/>
              <w:gridCol w:w="1555"/>
              <w:gridCol w:w="438"/>
            </w:tblGrid>
            <w:tr w14:paraId="57DFE0C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69" w:hRule="atLeast"/>
              </w:trPr>
              <w:tc>
                <w:tcPr>
                  <w:tcW w:w="1025" w:type="dxa"/>
                  <w:shd w:val="clear" w:color="auto" w:fill="auto"/>
                  <w:vAlign w:val="center"/>
                </w:tcPr>
                <w:p w14:paraId="4A58D88A">
                  <w:pPr>
                    <w:pStyle w:val="70"/>
                    <w:spacing w:line="240" w:lineRule="auto"/>
                    <w:rPr>
                      <w:rFonts w:hint="default" w:ascii="Times New Roman" w:hAnsi="Times New Roman" w:eastAsia="宋体" w:cs="Times New Roman"/>
                      <w:b/>
                      <w:color w:val="auto"/>
                      <w:sz w:val="21"/>
                      <w:szCs w:val="21"/>
                      <w:lang w:val="en-US" w:eastAsia="zh-CN"/>
                    </w:rPr>
                  </w:pPr>
                  <w:r>
                    <w:rPr>
                      <w:rFonts w:hint="default" w:ascii="Times New Roman" w:hAnsi="Times New Roman" w:eastAsia="宋体" w:cs="Times New Roman"/>
                      <w:b/>
                      <w:color w:val="auto"/>
                      <w:sz w:val="21"/>
                      <w:szCs w:val="21"/>
                      <w:lang w:val="en-US" w:eastAsia="zh-CN"/>
                    </w:rPr>
                    <w:t>水污染防治规划文件</w:t>
                  </w:r>
                </w:p>
              </w:tc>
              <w:tc>
                <w:tcPr>
                  <w:tcW w:w="5006" w:type="dxa"/>
                  <w:shd w:val="clear" w:color="auto" w:fill="auto"/>
                  <w:vAlign w:val="center"/>
                </w:tcPr>
                <w:p w14:paraId="72F6CFAB">
                  <w:pPr>
                    <w:pStyle w:val="70"/>
                    <w:spacing w:line="240" w:lineRule="auto"/>
                    <w:rPr>
                      <w:rFonts w:hint="default" w:ascii="Times New Roman" w:hAnsi="Times New Roman" w:eastAsia="宋体" w:cs="Times New Roman"/>
                      <w:b/>
                      <w:color w:val="auto"/>
                      <w:sz w:val="21"/>
                      <w:szCs w:val="21"/>
                      <w:lang w:val="en-US" w:eastAsia="zh-CN"/>
                    </w:rPr>
                  </w:pPr>
                  <w:r>
                    <w:rPr>
                      <w:rFonts w:hint="default" w:ascii="Times New Roman" w:hAnsi="Times New Roman" w:eastAsia="宋体" w:cs="Times New Roman"/>
                      <w:b/>
                      <w:color w:val="auto"/>
                      <w:sz w:val="21"/>
                      <w:szCs w:val="21"/>
                      <w:lang w:val="en-US" w:eastAsia="zh-CN"/>
                    </w:rPr>
                    <w:t>规划要求</w:t>
                  </w:r>
                </w:p>
              </w:tc>
              <w:tc>
                <w:tcPr>
                  <w:tcW w:w="1555" w:type="dxa"/>
                  <w:shd w:val="clear" w:color="auto" w:fill="auto"/>
                  <w:vAlign w:val="center"/>
                </w:tcPr>
                <w:p w14:paraId="35ECEB45">
                  <w:pPr>
                    <w:pStyle w:val="70"/>
                    <w:spacing w:line="240" w:lineRule="auto"/>
                    <w:rPr>
                      <w:rFonts w:hint="default" w:ascii="Times New Roman" w:hAnsi="Times New Roman" w:eastAsia="宋体" w:cs="Times New Roman"/>
                      <w:b/>
                      <w:color w:val="auto"/>
                      <w:sz w:val="21"/>
                      <w:szCs w:val="21"/>
                      <w:lang w:val="en-US" w:eastAsia="zh-CN"/>
                    </w:rPr>
                  </w:pPr>
                  <w:r>
                    <w:rPr>
                      <w:rFonts w:hint="default" w:ascii="Times New Roman" w:hAnsi="Times New Roman" w:eastAsia="宋体" w:cs="Times New Roman"/>
                      <w:b/>
                      <w:color w:val="auto"/>
                      <w:sz w:val="21"/>
                      <w:szCs w:val="21"/>
                      <w:lang w:val="en-US" w:eastAsia="zh-CN"/>
                    </w:rPr>
                    <w:t>本项目情况</w:t>
                  </w:r>
                </w:p>
              </w:tc>
              <w:tc>
                <w:tcPr>
                  <w:tcW w:w="438" w:type="dxa"/>
                  <w:shd w:val="clear" w:color="auto" w:fill="auto"/>
                  <w:vAlign w:val="center"/>
                </w:tcPr>
                <w:p w14:paraId="089C03A2">
                  <w:pPr>
                    <w:pStyle w:val="70"/>
                    <w:spacing w:line="240" w:lineRule="auto"/>
                    <w:rPr>
                      <w:rFonts w:hint="default" w:ascii="Times New Roman" w:hAnsi="Times New Roman" w:eastAsia="宋体" w:cs="Times New Roman"/>
                      <w:b/>
                      <w:color w:val="auto"/>
                      <w:sz w:val="21"/>
                      <w:szCs w:val="21"/>
                      <w:lang w:val="en-US" w:eastAsia="zh-CN"/>
                    </w:rPr>
                  </w:pPr>
                  <w:r>
                    <w:rPr>
                      <w:rFonts w:hint="default" w:ascii="Times New Roman" w:hAnsi="Times New Roman" w:eastAsia="宋体" w:cs="Times New Roman"/>
                      <w:b/>
                      <w:color w:val="auto"/>
                      <w:sz w:val="21"/>
                      <w:szCs w:val="21"/>
                      <w:lang w:val="en-US" w:eastAsia="zh-CN"/>
                    </w:rPr>
                    <w:t>符合性</w:t>
                  </w:r>
                </w:p>
              </w:tc>
            </w:tr>
            <w:tr w14:paraId="6FAA433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69" w:hRule="atLeast"/>
              </w:trPr>
              <w:tc>
                <w:tcPr>
                  <w:tcW w:w="1025" w:type="dxa"/>
                  <w:shd w:val="clear" w:color="auto" w:fill="auto"/>
                  <w:vAlign w:val="center"/>
                </w:tcPr>
                <w:p w14:paraId="615B0CE1">
                  <w:pPr>
                    <w:pStyle w:val="70"/>
                    <w:spacing w:line="240" w:lineRule="auto"/>
                    <w:jc w:val="both"/>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《中华人民共和国水污染防治法》</w:t>
                  </w:r>
                </w:p>
              </w:tc>
              <w:tc>
                <w:tcPr>
                  <w:tcW w:w="5006" w:type="dxa"/>
                  <w:shd w:val="clear" w:color="auto" w:fill="auto"/>
                  <w:vAlign w:val="center"/>
                </w:tcPr>
                <w:p w14:paraId="0C5CBF71">
                  <w:pPr>
                    <w:pStyle w:val="70"/>
                    <w:spacing w:line="240" w:lineRule="auto"/>
                    <w:jc w:val="both"/>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排放工业废水的企业应当采取有效措施，收集和处理产生的全部废水，防止污染环境…向污水集中处理设施排放工业废水的，应当按照国家有关规</w:t>
                  </w:r>
                  <w:r>
                    <w:rPr>
                      <w:rFonts w:hint="default" w:ascii="Times New Roman" w:hAnsi="Times New Roman" w:eastAsia="宋体" w:cs="Times New Roman"/>
                      <w:color w:val="auto"/>
                      <w:sz w:val="21"/>
                      <w:szCs w:val="21"/>
                    </w:rPr>
                    <w:t>定进行预处理，达到集中处理设施处理工艺要求后方可排放。</w:t>
                  </w:r>
                </w:p>
              </w:tc>
              <w:tc>
                <w:tcPr>
                  <w:tcW w:w="1555" w:type="dxa"/>
                  <w:vMerge w:val="restart"/>
                  <w:shd w:val="clear" w:color="auto" w:fill="auto"/>
                  <w:vAlign w:val="center"/>
                </w:tcPr>
                <w:p w14:paraId="0804FCAF">
                  <w:pPr>
                    <w:pStyle w:val="70"/>
                    <w:spacing w:line="240" w:lineRule="auto"/>
                    <w:jc w:val="both"/>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①</w:t>
                  </w:r>
                  <w:r>
                    <w:rPr>
                      <w:rFonts w:hint="default" w:ascii="Times New Roman" w:hAnsi="Times New Roman" w:eastAsia="宋体" w:cs="Times New Roman"/>
                      <w:color w:val="auto"/>
                      <w:sz w:val="21"/>
                      <w:szCs w:val="21"/>
                    </w:rPr>
                    <w:t>项目属</w:t>
                  </w:r>
                  <w:r>
                    <w:rPr>
                      <w:rFonts w:hint="default" w:ascii="Times New Roman" w:hAnsi="Times New Roman" w:eastAsia="宋体" w:cs="Times New Roman"/>
                      <w:color w:val="auto"/>
                      <w:sz w:val="21"/>
                      <w:szCs w:val="21"/>
                      <w:lang w:val="en-US" w:eastAsia="zh-CN"/>
                    </w:rPr>
                    <w:t>于</w:t>
                  </w:r>
                  <w:r>
                    <w:rPr>
                      <w:rFonts w:hint="default" w:ascii="Times New Roman" w:hAnsi="Times New Roman" w:eastAsia="宋体" w:cs="Times New Roman"/>
                      <w:color w:val="auto"/>
                      <w:sz w:val="21"/>
                      <w:szCs w:val="21"/>
                    </w:rPr>
                    <w:t>C</w:t>
                  </w:r>
                  <w:r>
                    <w:rPr>
                      <w:rFonts w:hint="eastAsia" w:ascii="Times New Roman" w:hAnsi="Times New Roman" w:eastAsia="宋体" w:cs="Times New Roman"/>
                      <w:color w:val="auto"/>
                      <w:sz w:val="21"/>
                      <w:szCs w:val="21"/>
                      <w:lang w:val="en-US" w:eastAsia="zh-CN"/>
                    </w:rPr>
                    <w:t>3841 锂离子电池制造</w:t>
                  </w:r>
                  <w:r>
                    <w:rPr>
                      <w:rFonts w:hint="default" w:ascii="Times New Roman" w:hAnsi="Times New Roman" w:eastAsia="宋体" w:cs="Times New Roman"/>
                      <w:color w:val="auto"/>
                      <w:sz w:val="21"/>
                      <w:szCs w:val="21"/>
                    </w:rPr>
                    <w:t>。</w:t>
                  </w:r>
                </w:p>
                <w:p w14:paraId="5748E65C">
                  <w:pPr>
                    <w:pStyle w:val="70"/>
                    <w:spacing w:line="240" w:lineRule="auto"/>
                    <w:jc w:val="both"/>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②</w:t>
                  </w:r>
                  <w:r>
                    <w:rPr>
                      <w:rFonts w:hint="default" w:ascii="Times New Roman" w:hAnsi="Times New Roman" w:eastAsia="宋体" w:cs="Times New Roman"/>
                      <w:color w:val="auto"/>
                      <w:sz w:val="21"/>
                      <w:szCs w:val="21"/>
                    </w:rPr>
                    <w:t>项目位于四川巴中经济开发区的核心区，选址不涉及生态红线，符合巴中市生态环境分区管控和规划环评要求；项目实行</w:t>
                  </w:r>
                  <w:r>
                    <w:rPr>
                      <w:rFonts w:hint="eastAsia" w:ascii="Times New Roman" w:hAnsi="Times New Roman" w:eastAsia="宋体" w:cs="Times New Roman"/>
                      <w:color w:val="auto"/>
                      <w:sz w:val="21"/>
                      <w:szCs w:val="21"/>
                      <w:lang w:eastAsia="zh-CN"/>
                    </w:rPr>
                    <w:t>“</w:t>
                  </w:r>
                  <w:r>
                    <w:rPr>
                      <w:rFonts w:hint="default" w:ascii="Times New Roman" w:hAnsi="Times New Roman" w:eastAsia="宋体" w:cs="Times New Roman"/>
                      <w:color w:val="auto"/>
                      <w:sz w:val="21"/>
                      <w:szCs w:val="21"/>
                    </w:rPr>
                    <w:t>清污分流、雨污分流；项目不属于高耗水、高污染项目</w:t>
                  </w:r>
                  <w:r>
                    <w:rPr>
                      <w:rFonts w:hint="default" w:ascii="Times New Roman" w:hAnsi="Times New Roman" w:eastAsia="宋体" w:cs="Times New Roman"/>
                      <w:color w:val="auto"/>
                      <w:sz w:val="21"/>
                      <w:szCs w:val="21"/>
                      <w:lang w:eastAsia="zh-CN"/>
                    </w:rPr>
                    <w:t>；</w:t>
                  </w:r>
                </w:p>
                <w:p w14:paraId="1B3CE29A">
                  <w:pPr>
                    <w:pStyle w:val="70"/>
                    <w:spacing w:line="240" w:lineRule="auto"/>
                    <w:jc w:val="both"/>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③</w:t>
                  </w:r>
                  <w:r>
                    <w:rPr>
                      <w:rFonts w:hint="default" w:ascii="Times New Roman" w:hAnsi="Times New Roman" w:eastAsia="宋体" w:cs="Times New Roman"/>
                      <w:color w:val="auto"/>
                      <w:sz w:val="21"/>
                      <w:szCs w:val="21"/>
                    </w:rPr>
                    <w:t>项目</w:t>
                  </w:r>
                  <w:r>
                    <w:rPr>
                      <w:rFonts w:hint="eastAsia" w:cs="Times New Roman"/>
                      <w:color w:val="auto"/>
                      <w:sz w:val="21"/>
                      <w:szCs w:val="21"/>
                      <w:lang w:val="en-US" w:eastAsia="zh-CN"/>
                    </w:rPr>
                    <w:t>生产废水</w:t>
                  </w:r>
                  <w:r>
                    <w:rPr>
                      <w:rFonts w:hint="default" w:ascii="Times New Roman" w:hAnsi="Times New Roman" w:eastAsia="宋体" w:cs="Times New Roman"/>
                      <w:color w:val="auto"/>
                      <w:sz w:val="21"/>
                      <w:szCs w:val="21"/>
                    </w:rPr>
                    <w:t>经厂区污水处理设备处理达</w:t>
                  </w:r>
                  <w:r>
                    <w:rPr>
                      <w:rFonts w:hint="default" w:ascii="Times New Roman" w:hAnsi="Times New Roman" w:eastAsia="宋体" w:cs="Times New Roman"/>
                      <w:color w:val="auto"/>
                      <w:sz w:val="21"/>
                      <w:szCs w:val="21"/>
                      <w:lang w:val="en-US" w:eastAsia="zh-CN"/>
                    </w:rPr>
                    <w:t>到</w:t>
                  </w:r>
                  <w:r>
                    <w:rPr>
                      <w:rFonts w:hint="default" w:ascii="Times New Roman" w:hAnsi="Times New Roman" w:eastAsia="宋体" w:cs="Times New Roman"/>
                      <w:color w:val="auto"/>
                      <w:sz w:val="21"/>
                      <w:szCs w:val="21"/>
                      <w:lang w:eastAsia="zh-CN"/>
                    </w:rPr>
                    <w:t>《电池工业污染物排放标准》（GB 30484-2013）</w:t>
                  </w:r>
                  <w:r>
                    <w:rPr>
                      <w:rFonts w:hint="default" w:ascii="Times New Roman" w:hAnsi="Times New Roman" w:eastAsia="宋体" w:cs="Times New Roman"/>
                      <w:color w:val="auto"/>
                      <w:sz w:val="21"/>
                      <w:szCs w:val="21"/>
                      <w:lang w:val="en-US" w:eastAsia="zh-CN"/>
                    </w:rPr>
                    <w:t>及</w:t>
                  </w:r>
                  <w:r>
                    <w:rPr>
                      <w:rFonts w:hint="default" w:ascii="Times New Roman" w:hAnsi="Times New Roman" w:eastAsia="宋体" w:cs="Times New Roman"/>
                      <w:color w:val="auto"/>
                      <w:sz w:val="21"/>
                      <w:szCs w:val="21"/>
                      <w:lang w:eastAsia="zh-CN"/>
                    </w:rPr>
                    <w:t>巴中经开区污水处理厂进水水质标准</w:t>
                  </w:r>
                  <w:r>
                    <w:rPr>
                      <w:rFonts w:hint="eastAsia" w:cs="Times New Roman"/>
                      <w:color w:val="auto"/>
                      <w:sz w:val="21"/>
                      <w:szCs w:val="21"/>
                      <w:lang w:eastAsia="zh-CN"/>
                    </w:rPr>
                    <w:t>，</w:t>
                  </w:r>
                  <w:r>
                    <w:rPr>
                      <w:rFonts w:hint="eastAsia" w:cs="Times New Roman"/>
                      <w:color w:val="auto"/>
                      <w:sz w:val="21"/>
                      <w:szCs w:val="21"/>
                      <w:lang w:val="en-US" w:eastAsia="zh-CN"/>
                    </w:rPr>
                    <w:t>生活污水经预处理池处理达到《</w:t>
                  </w:r>
                  <w:r>
                    <w:rPr>
                      <w:rFonts w:hint="default" w:ascii="Times New Roman" w:hAnsi="Times New Roman" w:eastAsia="宋体" w:cs="Times New Roman"/>
                      <w:color w:val="auto"/>
                      <w:sz w:val="21"/>
                      <w:szCs w:val="21"/>
                      <w:lang w:val="en-US" w:eastAsia="zh-CN"/>
                    </w:rPr>
                    <w:t>污水综合排放标准》（GB8978-1996）三级标准</w:t>
                  </w:r>
                  <w:r>
                    <w:rPr>
                      <w:rFonts w:hint="default" w:ascii="Times New Roman" w:hAnsi="Times New Roman" w:eastAsia="宋体" w:cs="Times New Roman"/>
                      <w:color w:val="auto"/>
                      <w:sz w:val="21"/>
                      <w:szCs w:val="21"/>
                      <w:lang w:eastAsia="zh-CN"/>
                    </w:rPr>
                    <w:t>，</w:t>
                  </w:r>
                  <w:r>
                    <w:rPr>
                      <w:rFonts w:hint="eastAsia" w:cs="Times New Roman"/>
                      <w:color w:val="auto"/>
                      <w:sz w:val="21"/>
                      <w:szCs w:val="21"/>
                      <w:lang w:val="en-US" w:eastAsia="zh-CN"/>
                    </w:rPr>
                    <w:t>处理后的</w:t>
                  </w:r>
                  <w:r>
                    <w:rPr>
                      <w:rFonts w:hint="default" w:ascii="Times New Roman" w:hAnsi="Times New Roman" w:eastAsia="宋体" w:cs="Times New Roman"/>
                      <w:color w:val="auto"/>
                      <w:sz w:val="21"/>
                      <w:szCs w:val="21"/>
                      <w:lang w:eastAsia="zh-CN"/>
                    </w:rPr>
                    <w:t>排至</w:t>
                  </w:r>
                  <w:r>
                    <w:rPr>
                      <w:rFonts w:hint="default" w:ascii="Times New Roman" w:hAnsi="Times New Roman" w:eastAsia="宋体" w:cs="Times New Roman"/>
                      <w:color w:val="auto"/>
                      <w:sz w:val="21"/>
                      <w:szCs w:val="21"/>
                    </w:rPr>
                    <w:t>经开区污水处理厂</w:t>
                  </w:r>
                  <w:r>
                    <w:rPr>
                      <w:rFonts w:hint="eastAsia" w:cs="Times New Roman"/>
                      <w:color w:val="auto"/>
                      <w:sz w:val="21"/>
                      <w:szCs w:val="21"/>
                      <w:lang w:eastAsia="zh-CN"/>
                    </w:rPr>
                    <w:t>处理达到《城镇</w:t>
                  </w:r>
                  <w:r>
                    <w:rPr>
                      <w:rFonts w:hint="default" w:ascii="Times New Roman" w:hAnsi="Times New Roman" w:eastAsia="宋体" w:cs="Times New Roman"/>
                      <w:color w:val="auto"/>
                      <w:sz w:val="21"/>
                      <w:szCs w:val="21"/>
                    </w:rPr>
                    <w:t>生活污水处理厂污染物排放标准》（GB18918-2002）中的一级A标后排放至巴河。</w:t>
                  </w:r>
                </w:p>
                <w:p w14:paraId="63FB3133">
                  <w:pPr>
                    <w:pStyle w:val="70"/>
                    <w:spacing w:line="240" w:lineRule="auto"/>
                    <w:jc w:val="both"/>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④</w:t>
                  </w:r>
                  <w:r>
                    <w:rPr>
                      <w:rFonts w:hint="default" w:ascii="Times New Roman" w:hAnsi="Times New Roman" w:eastAsia="宋体" w:cs="Times New Roman"/>
                      <w:color w:val="auto"/>
                      <w:sz w:val="21"/>
                      <w:szCs w:val="21"/>
                    </w:rPr>
                    <w:t>评价要求，企业落实污染治理主体责任，按照排污许可证污染物排放总量控制要求，开展自行监测或委托有资质的单位进行监测，并向生态环境部门备案申报。</w:t>
                  </w:r>
                </w:p>
              </w:tc>
              <w:tc>
                <w:tcPr>
                  <w:tcW w:w="438" w:type="dxa"/>
                  <w:shd w:val="clear" w:color="auto" w:fill="auto"/>
                  <w:vAlign w:val="center"/>
                </w:tcPr>
                <w:p w14:paraId="01187185">
                  <w:pPr>
                    <w:pStyle w:val="70"/>
                    <w:spacing w:line="240" w:lineRule="auto"/>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符合</w:t>
                  </w:r>
                </w:p>
              </w:tc>
            </w:tr>
            <w:tr w14:paraId="32D27BD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69" w:hRule="atLeast"/>
              </w:trPr>
              <w:tc>
                <w:tcPr>
                  <w:tcW w:w="1025" w:type="dxa"/>
                  <w:shd w:val="clear" w:color="auto" w:fill="auto"/>
                  <w:vAlign w:val="center"/>
                </w:tcPr>
                <w:p w14:paraId="61A26A4E">
                  <w:pPr>
                    <w:pStyle w:val="70"/>
                    <w:spacing w:line="240" w:lineRule="auto"/>
                    <w:jc w:val="both"/>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《四川省打赢碧水保卫战实施方案》（川府发〔2019〕4号）</w:t>
                  </w:r>
                </w:p>
              </w:tc>
              <w:tc>
                <w:tcPr>
                  <w:tcW w:w="5006" w:type="dxa"/>
                  <w:shd w:val="clear" w:color="auto" w:fill="auto"/>
                  <w:vAlign w:val="center"/>
                </w:tcPr>
                <w:p w14:paraId="32674957">
                  <w:pPr>
                    <w:pStyle w:val="70"/>
                    <w:spacing w:line="240" w:lineRule="auto"/>
                    <w:jc w:val="both"/>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推动产业布局结构调整。落实主体功能区战略，强化</w:t>
                  </w:r>
                  <w:r>
                    <w:rPr>
                      <w:rFonts w:hint="eastAsia" w:ascii="Times New Roman" w:hAnsi="Times New Roman" w:eastAsia="宋体" w:cs="Times New Roman"/>
                      <w:color w:val="auto"/>
                      <w:sz w:val="21"/>
                      <w:szCs w:val="21"/>
                      <w:lang w:eastAsia="zh-CN"/>
                    </w:rPr>
                    <w:t>“</w:t>
                  </w:r>
                  <w:r>
                    <w:rPr>
                      <w:rFonts w:hint="default" w:ascii="Times New Roman" w:hAnsi="Times New Roman" w:eastAsia="宋体" w:cs="Times New Roman"/>
                      <w:color w:val="auto"/>
                      <w:sz w:val="21"/>
                      <w:szCs w:val="21"/>
                    </w:rPr>
                    <w:t>三线一单</w:t>
                  </w:r>
                  <w:r>
                    <w:rPr>
                      <w:rFonts w:hint="eastAsia" w:ascii="Times New Roman" w:hAnsi="Times New Roman" w:eastAsia="宋体" w:cs="Times New Roman"/>
                      <w:color w:val="auto"/>
                      <w:sz w:val="21"/>
                      <w:szCs w:val="21"/>
                      <w:lang w:eastAsia="zh-CN"/>
                    </w:rPr>
                    <w:t>”</w:t>
                  </w:r>
                  <w:r>
                    <w:rPr>
                      <w:rFonts w:hint="default" w:ascii="Times New Roman" w:hAnsi="Times New Roman" w:eastAsia="宋体" w:cs="Times New Roman"/>
                      <w:color w:val="auto"/>
                      <w:sz w:val="21"/>
                      <w:szCs w:val="21"/>
                    </w:rPr>
                    <w:t>约束，积极推进区域、规划环境影响评价，优化产业布局和资源配置，有效控制区域发展规模和发展强度，着力解决沱江流域、岷江中游地区工业企业沿江不合理布局问题。提高环保准入门槛，充分考虑水资源、水环境承载力，以水定业、以水定产、严控高耗水、高污染项目建设，鼓励和支持低耗水、低污染高新技术产业发展，着力推动老工业城市产业升级。强化环保。能耗等标准约束，倒逼淘汰落后产能并防止转移，有序推动危险化学品生产企业搬迁改造，全面降低环境风险。</w:t>
                  </w:r>
                </w:p>
              </w:tc>
              <w:tc>
                <w:tcPr>
                  <w:tcW w:w="1555" w:type="dxa"/>
                  <w:vMerge w:val="continue"/>
                  <w:shd w:val="clear" w:color="auto" w:fill="auto"/>
                  <w:vAlign w:val="center"/>
                </w:tcPr>
                <w:p w14:paraId="4D0907C2">
                  <w:pPr>
                    <w:pStyle w:val="70"/>
                    <w:spacing w:line="240" w:lineRule="auto"/>
                    <w:jc w:val="both"/>
                    <w:rPr>
                      <w:rFonts w:hint="default" w:ascii="Times New Roman" w:hAnsi="Times New Roman" w:eastAsia="宋体" w:cs="Times New Roman"/>
                      <w:color w:val="auto"/>
                      <w:sz w:val="21"/>
                      <w:szCs w:val="21"/>
                    </w:rPr>
                  </w:pPr>
                </w:p>
              </w:tc>
              <w:tc>
                <w:tcPr>
                  <w:tcW w:w="438" w:type="dxa"/>
                  <w:shd w:val="clear" w:color="auto" w:fill="auto"/>
                  <w:vAlign w:val="center"/>
                </w:tcPr>
                <w:p w14:paraId="77502A9F">
                  <w:pPr>
                    <w:pStyle w:val="70"/>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符合</w:t>
                  </w:r>
                </w:p>
              </w:tc>
            </w:tr>
            <w:tr w14:paraId="7F8D582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69" w:hRule="atLeast"/>
              </w:trPr>
              <w:tc>
                <w:tcPr>
                  <w:tcW w:w="1025" w:type="dxa"/>
                  <w:shd w:val="clear" w:color="auto" w:fill="auto"/>
                  <w:vAlign w:val="center"/>
                </w:tcPr>
                <w:p w14:paraId="2686BEBA">
                  <w:pPr>
                    <w:pStyle w:val="70"/>
                    <w:spacing w:line="240" w:lineRule="auto"/>
                    <w:jc w:val="both"/>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《深入打好城市黑臭水体治理攻坚战实施方案》（建城〔2022〕29号）</w:t>
                  </w:r>
                </w:p>
              </w:tc>
              <w:tc>
                <w:tcPr>
                  <w:tcW w:w="5006" w:type="dxa"/>
                  <w:shd w:val="clear" w:color="auto" w:fill="auto"/>
                  <w:vAlign w:val="center"/>
                </w:tcPr>
                <w:p w14:paraId="3FBDB6E7">
                  <w:pPr>
                    <w:pStyle w:val="70"/>
                    <w:spacing w:line="240" w:lineRule="auto"/>
                    <w:jc w:val="both"/>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（六）强化工业企业污染控制。</w:t>
                  </w:r>
                </w:p>
                <w:p w14:paraId="7B10901E">
                  <w:pPr>
                    <w:pStyle w:val="70"/>
                    <w:spacing w:line="240" w:lineRule="auto"/>
                    <w:jc w:val="both"/>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工业企业应加强节水技术改造，开展水效对标达标，提升废水循环利用水平。工业企业排水水质要符合国家或地方相关排放标准规定。工业集聚区要按规定配套建成工业污水集中处理设施并稳定运行，达到相应排放标准后方可排放。</w:t>
                  </w:r>
                </w:p>
                <w:p w14:paraId="2638D1A8">
                  <w:pPr>
                    <w:pStyle w:val="70"/>
                    <w:spacing w:line="240" w:lineRule="auto"/>
                    <w:jc w:val="both"/>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新建冶金、电镀、化工、印染、原料药制造（有工业废水处理资质且出水达到国家标准的原料药制造企业除外）等工业企业排放的含重金属或难以生化降解废水以及有关工业企业排放的高盐废水，不得排入市政污水收集处理设施。对已经进入市政污水收集处理设施的工业企业进行排查、评估。经评估认定污染物不能被城镇污水处理厂有效处理或可能影响城镇污水处理厂出水稳定达标的，要限期退出市政管网，向园区集聚，避免污水资源化利用的环境和安全风险。</w:t>
                  </w:r>
                </w:p>
              </w:tc>
              <w:tc>
                <w:tcPr>
                  <w:tcW w:w="1555" w:type="dxa"/>
                  <w:vMerge w:val="continue"/>
                  <w:shd w:val="clear" w:color="auto" w:fill="auto"/>
                  <w:vAlign w:val="center"/>
                </w:tcPr>
                <w:p w14:paraId="40185711">
                  <w:pPr>
                    <w:pStyle w:val="70"/>
                    <w:spacing w:line="240" w:lineRule="auto"/>
                    <w:jc w:val="both"/>
                    <w:rPr>
                      <w:rFonts w:hint="default" w:ascii="Times New Roman" w:hAnsi="Times New Roman" w:eastAsia="宋体" w:cs="Times New Roman"/>
                      <w:color w:val="auto"/>
                      <w:sz w:val="21"/>
                      <w:szCs w:val="21"/>
                    </w:rPr>
                  </w:pPr>
                </w:p>
              </w:tc>
              <w:tc>
                <w:tcPr>
                  <w:tcW w:w="438" w:type="dxa"/>
                  <w:shd w:val="clear" w:color="auto" w:fill="auto"/>
                  <w:vAlign w:val="center"/>
                </w:tcPr>
                <w:p w14:paraId="76F93541">
                  <w:pPr>
                    <w:pStyle w:val="70"/>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符合</w:t>
                  </w:r>
                </w:p>
              </w:tc>
            </w:tr>
            <w:tr w14:paraId="4BBD0CF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69" w:hRule="atLeast"/>
              </w:trPr>
              <w:tc>
                <w:tcPr>
                  <w:tcW w:w="1025" w:type="dxa"/>
                  <w:shd w:val="clear" w:color="auto" w:fill="auto"/>
                  <w:vAlign w:val="center"/>
                </w:tcPr>
                <w:p w14:paraId="6FB06766">
                  <w:pPr>
                    <w:pStyle w:val="70"/>
                    <w:spacing w:line="240" w:lineRule="auto"/>
                    <w:jc w:val="both"/>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《巴中市打赢碧水保卫战实施方案》（巴府发〔2019〕10号）</w:t>
                  </w:r>
                </w:p>
              </w:tc>
              <w:tc>
                <w:tcPr>
                  <w:tcW w:w="5006" w:type="dxa"/>
                  <w:shd w:val="clear" w:color="auto" w:fill="auto"/>
                  <w:vAlign w:val="center"/>
                </w:tcPr>
                <w:p w14:paraId="5D1EE95B">
                  <w:pPr>
                    <w:pStyle w:val="70"/>
                    <w:spacing w:line="240" w:lineRule="auto"/>
                    <w:jc w:val="both"/>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推动产业布局结构调整。积极实施主体功能区战略，强化</w:t>
                  </w:r>
                  <w:r>
                    <w:rPr>
                      <w:rFonts w:hint="eastAsia" w:ascii="Times New Roman" w:hAnsi="Times New Roman" w:eastAsia="宋体" w:cs="Times New Roman"/>
                      <w:color w:val="auto"/>
                      <w:sz w:val="21"/>
                      <w:szCs w:val="21"/>
                      <w:lang w:eastAsia="zh-CN"/>
                    </w:rPr>
                    <w:t>“</w:t>
                  </w:r>
                  <w:r>
                    <w:rPr>
                      <w:rFonts w:hint="default" w:ascii="Times New Roman" w:hAnsi="Times New Roman" w:eastAsia="宋体" w:cs="Times New Roman"/>
                      <w:color w:val="auto"/>
                      <w:sz w:val="21"/>
                      <w:szCs w:val="21"/>
                    </w:rPr>
                    <w:t>三线一单</w:t>
                  </w:r>
                  <w:r>
                    <w:rPr>
                      <w:rFonts w:hint="eastAsia" w:ascii="Times New Roman" w:hAnsi="Times New Roman" w:eastAsia="宋体" w:cs="Times New Roman"/>
                      <w:color w:val="auto"/>
                      <w:sz w:val="21"/>
                      <w:szCs w:val="21"/>
                      <w:lang w:eastAsia="zh-CN"/>
                    </w:rPr>
                    <w:t>”</w:t>
                  </w:r>
                  <w:r>
                    <w:rPr>
                      <w:rFonts w:hint="default" w:ascii="Times New Roman" w:hAnsi="Times New Roman" w:eastAsia="宋体" w:cs="Times New Roman"/>
                      <w:color w:val="auto"/>
                      <w:sz w:val="21"/>
                      <w:szCs w:val="21"/>
                    </w:rPr>
                    <w:t>约束，优化产业布局和资源配置，有效控制区域发展规模和开发强度，细化准入条件，严格准入标准，强化分类指导。加快巴河沿岸地区产业结构调整，严格坚持环保准入条件，充分考虑水资源、水环境承载力，以水定业、以水定产，严控高耗水、高污染项目建设，鼓励和支持低耗水、低污染高新技术产业发展，着力推动产业升级。强化环保、能耗等标准约束，倒逼淘汰落后产能并防止转移。有序推动危险化学品生产企业搬迁改造，全面降低环境风险。</w:t>
                  </w:r>
                </w:p>
              </w:tc>
              <w:tc>
                <w:tcPr>
                  <w:tcW w:w="1555" w:type="dxa"/>
                  <w:vMerge w:val="continue"/>
                  <w:shd w:val="clear" w:color="auto" w:fill="auto"/>
                  <w:vAlign w:val="center"/>
                </w:tcPr>
                <w:p w14:paraId="63810D32">
                  <w:pPr>
                    <w:pStyle w:val="70"/>
                    <w:spacing w:line="240" w:lineRule="auto"/>
                    <w:jc w:val="both"/>
                    <w:rPr>
                      <w:rFonts w:hint="default" w:ascii="Times New Roman" w:hAnsi="Times New Roman" w:eastAsia="宋体" w:cs="Times New Roman"/>
                      <w:color w:val="auto"/>
                      <w:sz w:val="21"/>
                      <w:szCs w:val="21"/>
                    </w:rPr>
                  </w:pPr>
                </w:p>
              </w:tc>
              <w:tc>
                <w:tcPr>
                  <w:tcW w:w="438" w:type="dxa"/>
                  <w:shd w:val="clear" w:color="auto" w:fill="auto"/>
                  <w:vAlign w:val="center"/>
                </w:tcPr>
                <w:p w14:paraId="517D6ACF">
                  <w:pPr>
                    <w:pStyle w:val="70"/>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符合</w:t>
                  </w:r>
                </w:p>
              </w:tc>
            </w:tr>
            <w:tr w14:paraId="0CFC520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69" w:hRule="atLeast"/>
              </w:trPr>
              <w:tc>
                <w:tcPr>
                  <w:tcW w:w="1025" w:type="dxa"/>
                  <w:vMerge w:val="restart"/>
                  <w:shd w:val="clear" w:color="auto" w:fill="auto"/>
                  <w:vAlign w:val="center"/>
                </w:tcPr>
                <w:p w14:paraId="0B0C4C27">
                  <w:pPr>
                    <w:pStyle w:val="70"/>
                    <w:spacing w:line="240" w:lineRule="auto"/>
                    <w:jc w:val="both"/>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《巴中市</w:t>
                  </w:r>
                  <w:r>
                    <w:rPr>
                      <w:rFonts w:hint="eastAsia" w:ascii="Times New Roman" w:hAnsi="Times New Roman" w:eastAsia="宋体" w:cs="Times New Roman"/>
                      <w:color w:val="auto"/>
                      <w:sz w:val="21"/>
                      <w:szCs w:val="21"/>
                      <w:lang w:eastAsia="zh-CN"/>
                    </w:rPr>
                    <w:t>“</w:t>
                  </w:r>
                  <w:r>
                    <w:rPr>
                      <w:rFonts w:hint="default" w:ascii="Times New Roman" w:hAnsi="Times New Roman" w:eastAsia="宋体" w:cs="Times New Roman"/>
                      <w:color w:val="auto"/>
                      <w:sz w:val="21"/>
                      <w:szCs w:val="21"/>
                    </w:rPr>
                    <w:t>十四五</w:t>
                  </w:r>
                  <w:r>
                    <w:rPr>
                      <w:rFonts w:hint="eastAsia" w:ascii="Times New Roman" w:hAnsi="Times New Roman" w:eastAsia="宋体" w:cs="Times New Roman"/>
                      <w:color w:val="auto"/>
                      <w:sz w:val="21"/>
                      <w:szCs w:val="21"/>
                      <w:lang w:eastAsia="zh-CN"/>
                    </w:rPr>
                    <w:t>”</w:t>
                  </w:r>
                  <w:r>
                    <w:rPr>
                      <w:rFonts w:hint="default" w:ascii="Times New Roman" w:hAnsi="Times New Roman" w:eastAsia="宋体" w:cs="Times New Roman"/>
                      <w:color w:val="auto"/>
                      <w:sz w:val="21"/>
                      <w:szCs w:val="21"/>
                    </w:rPr>
                    <w:t>水生态环境保护规划》</w:t>
                  </w:r>
                </w:p>
              </w:tc>
              <w:tc>
                <w:tcPr>
                  <w:tcW w:w="5006" w:type="dxa"/>
                  <w:shd w:val="clear" w:color="auto" w:fill="auto"/>
                  <w:vAlign w:val="center"/>
                </w:tcPr>
                <w:p w14:paraId="6538A2CC">
                  <w:pPr>
                    <w:pStyle w:val="70"/>
                    <w:spacing w:line="240" w:lineRule="auto"/>
                    <w:jc w:val="both"/>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优化产业空间布局。强化巴河、南江河和通江河沿岸企业整治，禁止在嘉陵江支流岸线一公里范围内新建、扩建化工园区和化工项目……做强新型工业，重点发展食品饮料、生物医药、新能源新材料等产业，加快推进天然气资源勘探和综合开发利用。</w:t>
                  </w:r>
                </w:p>
              </w:tc>
              <w:tc>
                <w:tcPr>
                  <w:tcW w:w="1555" w:type="dxa"/>
                  <w:vMerge w:val="continue"/>
                  <w:shd w:val="clear" w:color="auto" w:fill="auto"/>
                  <w:vAlign w:val="center"/>
                </w:tcPr>
                <w:p w14:paraId="34A43542">
                  <w:pPr>
                    <w:pStyle w:val="70"/>
                    <w:spacing w:line="240" w:lineRule="auto"/>
                    <w:jc w:val="both"/>
                    <w:rPr>
                      <w:rFonts w:hint="default" w:ascii="Times New Roman" w:hAnsi="Times New Roman" w:eastAsia="宋体" w:cs="Times New Roman"/>
                      <w:color w:val="auto"/>
                      <w:sz w:val="21"/>
                      <w:szCs w:val="21"/>
                    </w:rPr>
                  </w:pPr>
                </w:p>
              </w:tc>
              <w:tc>
                <w:tcPr>
                  <w:tcW w:w="438" w:type="dxa"/>
                  <w:shd w:val="clear" w:color="auto" w:fill="auto"/>
                  <w:vAlign w:val="center"/>
                </w:tcPr>
                <w:p w14:paraId="6828186B">
                  <w:pPr>
                    <w:pStyle w:val="70"/>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符合</w:t>
                  </w:r>
                </w:p>
              </w:tc>
            </w:tr>
            <w:tr w14:paraId="394CD60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69" w:hRule="atLeast"/>
              </w:trPr>
              <w:tc>
                <w:tcPr>
                  <w:tcW w:w="1025" w:type="dxa"/>
                  <w:vMerge w:val="continue"/>
                  <w:shd w:val="clear" w:color="auto" w:fill="auto"/>
                  <w:vAlign w:val="center"/>
                </w:tcPr>
                <w:p w14:paraId="579C44D2">
                  <w:pPr>
                    <w:pStyle w:val="70"/>
                    <w:spacing w:line="240" w:lineRule="auto"/>
                    <w:jc w:val="both"/>
                    <w:rPr>
                      <w:rFonts w:hint="default" w:ascii="Times New Roman" w:hAnsi="Times New Roman" w:eastAsia="宋体" w:cs="Times New Roman"/>
                      <w:color w:val="auto"/>
                      <w:sz w:val="21"/>
                      <w:szCs w:val="21"/>
                    </w:rPr>
                  </w:pPr>
                </w:p>
              </w:tc>
              <w:tc>
                <w:tcPr>
                  <w:tcW w:w="5006" w:type="dxa"/>
                  <w:shd w:val="clear" w:color="auto" w:fill="auto"/>
                  <w:vAlign w:val="center"/>
                </w:tcPr>
                <w:p w14:paraId="2C612FEF">
                  <w:pPr>
                    <w:pStyle w:val="70"/>
                    <w:spacing w:line="240" w:lineRule="auto"/>
                    <w:jc w:val="both"/>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强化工业聚集区污水治理……加强企业废水预处理和排水管理，严格执行污水处理厂接管标准。</w:t>
                  </w:r>
                </w:p>
              </w:tc>
              <w:tc>
                <w:tcPr>
                  <w:tcW w:w="1555" w:type="dxa"/>
                  <w:vMerge w:val="continue"/>
                  <w:shd w:val="clear" w:color="auto" w:fill="auto"/>
                  <w:vAlign w:val="center"/>
                </w:tcPr>
                <w:p w14:paraId="4CF07873">
                  <w:pPr>
                    <w:pStyle w:val="70"/>
                    <w:spacing w:line="240" w:lineRule="auto"/>
                    <w:jc w:val="both"/>
                    <w:rPr>
                      <w:rFonts w:hint="default" w:ascii="Times New Roman" w:hAnsi="Times New Roman" w:eastAsia="宋体" w:cs="Times New Roman"/>
                      <w:color w:val="auto"/>
                      <w:sz w:val="21"/>
                      <w:szCs w:val="21"/>
                    </w:rPr>
                  </w:pPr>
                </w:p>
              </w:tc>
              <w:tc>
                <w:tcPr>
                  <w:tcW w:w="438" w:type="dxa"/>
                  <w:shd w:val="clear" w:color="auto" w:fill="auto"/>
                  <w:vAlign w:val="center"/>
                </w:tcPr>
                <w:p w14:paraId="6F761F64">
                  <w:pPr>
                    <w:pStyle w:val="70"/>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符合</w:t>
                  </w:r>
                </w:p>
              </w:tc>
            </w:tr>
            <w:tr w14:paraId="270B3A1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69" w:hRule="atLeast"/>
              </w:trPr>
              <w:tc>
                <w:tcPr>
                  <w:tcW w:w="1025" w:type="dxa"/>
                  <w:vMerge w:val="continue"/>
                  <w:shd w:val="clear" w:color="auto" w:fill="auto"/>
                  <w:vAlign w:val="center"/>
                </w:tcPr>
                <w:p w14:paraId="72949333">
                  <w:pPr>
                    <w:pStyle w:val="70"/>
                    <w:spacing w:line="240" w:lineRule="auto"/>
                    <w:jc w:val="both"/>
                    <w:rPr>
                      <w:rFonts w:hint="default" w:ascii="Times New Roman" w:hAnsi="Times New Roman" w:eastAsia="宋体" w:cs="Times New Roman"/>
                      <w:color w:val="auto"/>
                      <w:sz w:val="21"/>
                      <w:szCs w:val="21"/>
                    </w:rPr>
                  </w:pPr>
                </w:p>
              </w:tc>
              <w:tc>
                <w:tcPr>
                  <w:tcW w:w="5006" w:type="dxa"/>
                  <w:shd w:val="clear" w:color="auto" w:fill="auto"/>
                  <w:vAlign w:val="center"/>
                </w:tcPr>
                <w:p w14:paraId="5206C94F">
                  <w:pPr>
                    <w:pStyle w:val="70"/>
                    <w:spacing w:line="240" w:lineRule="auto"/>
                    <w:jc w:val="both"/>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加强工业污染源治理……落实企业污染治理主体责任，按照排污许可证污染物排放总量控制要求，开展自行监测或委托有资质的单位进行监测，并向生态环境部门备案申报……对于园区内涉水企业，废水需经预处理达有关指标要求后，方可进入污水集中处理设施处置。</w:t>
                  </w:r>
                </w:p>
              </w:tc>
              <w:tc>
                <w:tcPr>
                  <w:tcW w:w="1555" w:type="dxa"/>
                  <w:vMerge w:val="continue"/>
                  <w:shd w:val="clear" w:color="auto" w:fill="auto"/>
                  <w:vAlign w:val="center"/>
                </w:tcPr>
                <w:p w14:paraId="7FF09A76">
                  <w:pPr>
                    <w:pStyle w:val="70"/>
                    <w:spacing w:line="240" w:lineRule="auto"/>
                    <w:jc w:val="both"/>
                    <w:rPr>
                      <w:rFonts w:hint="default" w:ascii="Times New Roman" w:hAnsi="Times New Roman" w:eastAsia="宋体" w:cs="Times New Roman"/>
                      <w:color w:val="auto"/>
                      <w:sz w:val="21"/>
                      <w:szCs w:val="21"/>
                    </w:rPr>
                  </w:pPr>
                </w:p>
              </w:tc>
              <w:tc>
                <w:tcPr>
                  <w:tcW w:w="438" w:type="dxa"/>
                  <w:shd w:val="clear" w:color="auto" w:fill="auto"/>
                  <w:vAlign w:val="center"/>
                </w:tcPr>
                <w:p w14:paraId="7CBEB45F">
                  <w:pPr>
                    <w:pStyle w:val="70"/>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符合</w:t>
                  </w:r>
                </w:p>
              </w:tc>
            </w:tr>
          </w:tbl>
          <w:p w14:paraId="3267C3CE">
            <w:pPr>
              <w:pStyle w:val="66"/>
              <w:spacing w:line="360" w:lineRule="auto"/>
              <w:ind w:firstLine="482"/>
              <w:rPr>
                <w:rFonts w:hint="eastAsia" w:ascii="Times New Roman" w:hAnsi="Times New Roman" w:eastAsia="宋体" w:cs="Times New Roman"/>
                <w:b/>
                <w:bCs/>
                <w:color w:val="auto"/>
                <w:lang w:val="en-US" w:eastAsia="zh-CN"/>
              </w:rPr>
            </w:pPr>
            <w:r>
              <w:rPr>
                <w:rFonts w:hint="eastAsia" w:ascii="Times New Roman" w:hAnsi="Times New Roman" w:eastAsia="宋体" w:cs="Times New Roman"/>
                <w:b/>
                <w:bCs/>
                <w:color w:val="auto"/>
                <w:lang w:val="en-US" w:eastAsia="zh-CN"/>
              </w:rPr>
              <w:t>5、项目与土壤污染防治的规范文件的符合性分析</w:t>
            </w:r>
          </w:p>
          <w:p w14:paraId="030DEF80">
            <w:pPr>
              <w:pStyle w:val="66"/>
              <w:spacing w:line="360" w:lineRule="auto"/>
              <w:rPr>
                <w:color w:val="auto"/>
              </w:rPr>
            </w:pPr>
            <w:r>
              <w:rPr>
                <w:rFonts w:hint="default" w:ascii="Times New Roman" w:hAnsi="Times New Roman" w:cs="Times New Roman"/>
                <w:color w:val="auto"/>
                <w:sz w:val="24"/>
              </w:rPr>
              <w:t>本项目与</w:t>
            </w:r>
            <w:r>
              <w:rPr>
                <w:rFonts w:hint="eastAsia" w:ascii="Times New Roman" w:hAnsi="Times New Roman" w:eastAsia="宋体" w:cs="Times New Roman"/>
                <w:b w:val="0"/>
                <w:bCs w:val="0"/>
                <w:color w:val="auto"/>
                <w:lang w:val="en-US" w:eastAsia="zh-CN"/>
              </w:rPr>
              <w:t>土壤污染防治</w:t>
            </w:r>
            <w:r>
              <w:rPr>
                <w:rFonts w:hint="default" w:ascii="Times New Roman" w:hAnsi="Times New Roman" w:cs="Times New Roman"/>
                <w:color w:val="auto"/>
                <w:sz w:val="24"/>
              </w:rPr>
              <w:t>相关法规、规范符合性分析</w:t>
            </w:r>
            <w:r>
              <w:rPr>
                <w:rFonts w:hint="default" w:ascii="Times New Roman" w:hAnsi="Times New Roman" w:cs="Times New Roman"/>
                <w:color w:val="auto"/>
                <w:sz w:val="24"/>
                <w:lang w:eastAsia="zh-CN"/>
              </w:rPr>
              <w:t>见下</w:t>
            </w:r>
            <w:r>
              <w:rPr>
                <w:rFonts w:hint="default" w:ascii="Times New Roman" w:hAnsi="Times New Roman" w:cs="Times New Roman"/>
                <w:color w:val="auto"/>
                <w:sz w:val="24"/>
              </w:rPr>
              <w:t>表所示</w:t>
            </w:r>
            <w:r>
              <w:rPr>
                <w:color w:val="auto"/>
              </w:rPr>
              <w:t>：</w:t>
            </w:r>
          </w:p>
          <w:p w14:paraId="040E6824">
            <w:pPr>
              <w:pStyle w:val="68"/>
              <w:spacing w:line="240" w:lineRule="auto"/>
              <w:rPr>
                <w:rFonts w:hint="eastAsia" w:ascii="Times New Roman" w:hAnsi="Times New Roman" w:eastAsia="宋体" w:cs="Times New Roman"/>
                <w:b/>
                <w:bCs/>
                <w:color w:val="auto"/>
              </w:rPr>
            </w:pPr>
            <w:r>
              <w:rPr>
                <w:rFonts w:hint="eastAsia" w:ascii="Times New Roman" w:hAnsi="Times New Roman" w:eastAsia="宋体" w:cs="Times New Roman"/>
                <w:b/>
                <w:bCs/>
                <w:color w:val="auto"/>
              </w:rPr>
              <w:t>表1-</w:t>
            </w:r>
            <w:r>
              <w:rPr>
                <w:rFonts w:hint="eastAsia" w:eastAsia="宋体" w:cs="Times New Roman"/>
                <w:b/>
                <w:bCs/>
                <w:color w:val="auto"/>
                <w:lang w:val="en-US" w:eastAsia="zh-CN"/>
              </w:rPr>
              <w:t>9</w:t>
            </w:r>
            <w:r>
              <w:rPr>
                <w:rFonts w:hint="eastAsia" w:ascii="Times New Roman" w:hAnsi="Times New Roman" w:eastAsia="宋体" w:cs="Times New Roman"/>
                <w:b/>
                <w:bCs/>
                <w:color w:val="auto"/>
              </w:rPr>
              <w:t xml:space="preserve">  项目与土壤污染防治等相关规划符合性</w:t>
            </w:r>
          </w:p>
          <w:tbl>
            <w:tblPr>
              <w:tblStyle w:val="41"/>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57" w:type="dxa"/>
                <w:bottom w:w="0" w:type="dxa"/>
                <w:right w:w="57" w:type="dxa"/>
              </w:tblCellMar>
            </w:tblPr>
            <w:tblGrid>
              <w:gridCol w:w="1216"/>
              <w:gridCol w:w="3148"/>
              <w:gridCol w:w="3149"/>
              <w:gridCol w:w="512"/>
            </w:tblGrid>
            <w:tr w14:paraId="5ED3318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jc w:val="center"/>
              </w:trPr>
              <w:tc>
                <w:tcPr>
                  <w:tcW w:w="1259" w:type="dxa"/>
                  <w:shd w:val="clear" w:color="auto" w:fill="auto"/>
                  <w:vAlign w:val="center"/>
                </w:tcPr>
                <w:p w14:paraId="1737DC85">
                  <w:pPr>
                    <w:pStyle w:val="70"/>
                    <w:spacing w:line="240" w:lineRule="auto"/>
                    <w:rPr>
                      <w:rFonts w:hint="eastAsia" w:ascii="Times New Roman" w:hAnsi="Times New Roman" w:eastAsia="宋体" w:cs="Times New Roman"/>
                      <w:b/>
                      <w:color w:val="auto"/>
                      <w:sz w:val="21"/>
                      <w:szCs w:val="21"/>
                      <w:lang w:val="en-US" w:eastAsia="zh-CN"/>
                    </w:rPr>
                  </w:pPr>
                  <w:r>
                    <w:rPr>
                      <w:rFonts w:hint="eastAsia" w:ascii="Times New Roman" w:hAnsi="Times New Roman" w:eastAsia="宋体" w:cs="Times New Roman"/>
                      <w:b/>
                      <w:color w:val="auto"/>
                      <w:sz w:val="21"/>
                      <w:szCs w:val="21"/>
                      <w:lang w:val="en-US" w:eastAsia="zh-CN"/>
                    </w:rPr>
                    <w:t>土壤污染防治规划文件</w:t>
                  </w:r>
                </w:p>
              </w:tc>
              <w:tc>
                <w:tcPr>
                  <w:tcW w:w="3260" w:type="dxa"/>
                  <w:shd w:val="clear" w:color="auto" w:fill="auto"/>
                  <w:vAlign w:val="center"/>
                </w:tcPr>
                <w:p w14:paraId="3BC86A88">
                  <w:pPr>
                    <w:pStyle w:val="70"/>
                    <w:spacing w:line="240" w:lineRule="auto"/>
                    <w:rPr>
                      <w:rFonts w:hint="eastAsia" w:ascii="Times New Roman" w:hAnsi="Times New Roman" w:eastAsia="宋体" w:cs="Times New Roman"/>
                      <w:b/>
                      <w:color w:val="auto"/>
                      <w:sz w:val="21"/>
                      <w:szCs w:val="21"/>
                      <w:lang w:val="en-US" w:eastAsia="zh-CN"/>
                    </w:rPr>
                  </w:pPr>
                  <w:r>
                    <w:rPr>
                      <w:rFonts w:hint="eastAsia" w:ascii="Times New Roman" w:hAnsi="Times New Roman" w:eastAsia="宋体" w:cs="Times New Roman"/>
                      <w:b/>
                      <w:color w:val="auto"/>
                      <w:sz w:val="21"/>
                      <w:szCs w:val="21"/>
                      <w:lang w:val="en-US" w:eastAsia="zh-CN"/>
                    </w:rPr>
                    <w:t>规划要求</w:t>
                  </w:r>
                </w:p>
              </w:tc>
              <w:tc>
                <w:tcPr>
                  <w:tcW w:w="3261" w:type="dxa"/>
                  <w:shd w:val="clear" w:color="auto" w:fill="auto"/>
                  <w:vAlign w:val="center"/>
                </w:tcPr>
                <w:p w14:paraId="037E6ECE">
                  <w:pPr>
                    <w:pStyle w:val="70"/>
                    <w:spacing w:line="240" w:lineRule="auto"/>
                    <w:rPr>
                      <w:rFonts w:hint="eastAsia" w:ascii="Times New Roman" w:hAnsi="Times New Roman" w:eastAsia="宋体" w:cs="Times New Roman"/>
                      <w:b/>
                      <w:color w:val="auto"/>
                      <w:sz w:val="21"/>
                      <w:szCs w:val="21"/>
                      <w:lang w:val="en-US" w:eastAsia="zh-CN"/>
                    </w:rPr>
                  </w:pPr>
                  <w:r>
                    <w:rPr>
                      <w:rFonts w:hint="eastAsia" w:ascii="Times New Roman" w:hAnsi="Times New Roman" w:eastAsia="宋体" w:cs="Times New Roman"/>
                      <w:b/>
                      <w:color w:val="auto"/>
                      <w:sz w:val="21"/>
                      <w:szCs w:val="21"/>
                      <w:lang w:val="en-US" w:eastAsia="zh-CN"/>
                    </w:rPr>
                    <w:t>本项目情况</w:t>
                  </w:r>
                </w:p>
              </w:tc>
              <w:tc>
                <w:tcPr>
                  <w:tcW w:w="530" w:type="dxa"/>
                  <w:shd w:val="clear" w:color="auto" w:fill="auto"/>
                  <w:vAlign w:val="center"/>
                </w:tcPr>
                <w:p w14:paraId="26CD49D0">
                  <w:pPr>
                    <w:pStyle w:val="70"/>
                    <w:spacing w:line="240" w:lineRule="auto"/>
                    <w:rPr>
                      <w:rFonts w:hint="eastAsia" w:ascii="Times New Roman" w:hAnsi="Times New Roman" w:eastAsia="宋体" w:cs="Times New Roman"/>
                      <w:b/>
                      <w:color w:val="auto"/>
                      <w:sz w:val="21"/>
                      <w:szCs w:val="21"/>
                      <w:lang w:val="en-US" w:eastAsia="zh-CN"/>
                    </w:rPr>
                  </w:pPr>
                  <w:r>
                    <w:rPr>
                      <w:rFonts w:hint="eastAsia" w:ascii="Times New Roman" w:hAnsi="Times New Roman" w:eastAsia="宋体" w:cs="Times New Roman"/>
                      <w:b/>
                      <w:color w:val="auto"/>
                      <w:sz w:val="21"/>
                      <w:szCs w:val="21"/>
                      <w:lang w:val="en-US" w:eastAsia="zh-CN"/>
                    </w:rPr>
                    <w:t>符合性</w:t>
                  </w:r>
                </w:p>
              </w:tc>
            </w:tr>
            <w:tr w14:paraId="25BBA0B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jc w:val="center"/>
              </w:trPr>
              <w:tc>
                <w:tcPr>
                  <w:tcW w:w="1259" w:type="dxa"/>
                  <w:shd w:val="clear" w:color="auto" w:fill="auto"/>
                  <w:vAlign w:val="center"/>
                </w:tcPr>
                <w:p w14:paraId="64B15F93">
                  <w:pPr>
                    <w:pStyle w:val="70"/>
                    <w:spacing w:line="240" w:lineRule="auto"/>
                    <w:jc w:val="both"/>
                    <w:rPr>
                      <w:rFonts w:hint="eastAsia"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《中华人民共和国土壤污染防治法》</w:t>
                  </w:r>
                </w:p>
              </w:tc>
              <w:tc>
                <w:tcPr>
                  <w:tcW w:w="3260" w:type="dxa"/>
                  <w:shd w:val="clear" w:color="auto" w:fill="auto"/>
                  <w:vAlign w:val="center"/>
                </w:tcPr>
                <w:p w14:paraId="66AEC6FB">
                  <w:pPr>
                    <w:pStyle w:val="70"/>
                    <w:spacing w:line="240" w:lineRule="auto"/>
                    <w:jc w:val="both"/>
                    <w:rPr>
                      <w:rFonts w:hint="eastAsia"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生产、使用、贮存、运输、回收、处置、排放有毒有害物质的单位和个人，应当采取有效措施，防止有毒有害物质渗漏、流失、扬散，避免土壤受到污染。</w:t>
                  </w:r>
                </w:p>
              </w:tc>
              <w:tc>
                <w:tcPr>
                  <w:tcW w:w="3261" w:type="dxa"/>
                  <w:shd w:val="clear" w:color="auto" w:fill="auto"/>
                  <w:vAlign w:val="center"/>
                </w:tcPr>
                <w:p w14:paraId="0609AF9C">
                  <w:pPr>
                    <w:pStyle w:val="70"/>
                    <w:spacing w:line="240" w:lineRule="auto"/>
                    <w:jc w:val="both"/>
                    <w:rPr>
                      <w:rFonts w:hint="eastAsia"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项目位于四川巴中经济开发区的核心区，采取分区防渗后，可有效防止有毒有害物质渗漏后污染土壤。</w:t>
                  </w:r>
                </w:p>
              </w:tc>
              <w:tc>
                <w:tcPr>
                  <w:tcW w:w="530" w:type="dxa"/>
                  <w:shd w:val="clear" w:color="auto" w:fill="auto"/>
                  <w:vAlign w:val="center"/>
                </w:tcPr>
                <w:p w14:paraId="284E49F7">
                  <w:pPr>
                    <w:pStyle w:val="70"/>
                    <w:spacing w:line="240" w:lineRule="auto"/>
                    <w:jc w:val="center"/>
                    <w:rPr>
                      <w:rFonts w:hint="eastAsia"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符合</w:t>
                  </w:r>
                </w:p>
              </w:tc>
            </w:tr>
            <w:tr w14:paraId="1AB55F5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jc w:val="center"/>
              </w:trPr>
              <w:tc>
                <w:tcPr>
                  <w:tcW w:w="1259" w:type="dxa"/>
                  <w:vMerge w:val="restart"/>
                  <w:shd w:val="clear" w:color="auto" w:fill="auto"/>
                  <w:vAlign w:val="center"/>
                </w:tcPr>
                <w:p w14:paraId="3F92404F">
                  <w:pPr>
                    <w:pStyle w:val="70"/>
                    <w:spacing w:line="240" w:lineRule="auto"/>
                    <w:jc w:val="both"/>
                    <w:rPr>
                      <w:color w:val="auto"/>
                    </w:rPr>
                  </w:pPr>
                  <w:r>
                    <w:rPr>
                      <w:rFonts w:hint="default" w:ascii="Times New Roman" w:hAnsi="Times New Roman" w:eastAsia="宋体" w:cs="Times New Roman"/>
                      <w:color w:val="auto"/>
                      <w:sz w:val="21"/>
                      <w:szCs w:val="21"/>
                    </w:rPr>
                    <w:t>《关于印发土壤污染防治行动计划四川省工作方案的通知》（川府发〔2016〕63号）</w:t>
                  </w:r>
                </w:p>
              </w:tc>
              <w:tc>
                <w:tcPr>
                  <w:tcW w:w="3260" w:type="dxa"/>
                  <w:shd w:val="clear" w:color="auto" w:fill="auto"/>
                  <w:vAlign w:val="center"/>
                </w:tcPr>
                <w:p w14:paraId="54DCC4F9">
                  <w:pPr>
                    <w:pStyle w:val="70"/>
                    <w:spacing w:line="240" w:lineRule="auto"/>
                    <w:jc w:val="both"/>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排放重点污染物的建设项目，在开展环境影响评价时，要增加对土壤环境影响的评价内容，并提出防范土壤污染的具体措施；需要建设的土壤污染防治设施，要与主体工程同时设计、同时施工、同时投产使用；有关环境保护部门要做好有关措施落实情况的监督管理工作。</w:t>
                  </w:r>
                </w:p>
              </w:tc>
              <w:tc>
                <w:tcPr>
                  <w:tcW w:w="3261" w:type="dxa"/>
                  <w:shd w:val="clear" w:color="auto" w:fill="auto"/>
                  <w:vAlign w:val="center"/>
                </w:tcPr>
                <w:p w14:paraId="6F6AFCC6">
                  <w:pPr>
                    <w:pStyle w:val="70"/>
                    <w:spacing w:line="240" w:lineRule="auto"/>
                    <w:jc w:val="both"/>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项目不属于《行动计划》确定的落后产能或产能严重过剩行业，项目采取了严格的污染治理措施，可确保项目废气、废水污染物达标排放，固废不产生二次污染，环境风险可控；</w:t>
                  </w:r>
                  <w:r>
                    <w:rPr>
                      <w:rFonts w:hint="default" w:ascii="Times New Roman" w:hAnsi="Times New Roman" w:eastAsia="宋体" w:cs="Times New Roman"/>
                      <w:color w:val="auto"/>
                      <w:sz w:val="21"/>
                      <w:szCs w:val="21"/>
                    </w:rPr>
                    <w:t>采取分区防渗</w:t>
                  </w:r>
                  <w:r>
                    <w:rPr>
                      <w:rFonts w:hint="eastAsia" w:ascii="Times New Roman" w:hAnsi="Times New Roman" w:eastAsia="宋体" w:cs="Times New Roman"/>
                      <w:color w:val="auto"/>
                      <w:sz w:val="21"/>
                      <w:szCs w:val="21"/>
                      <w:lang w:eastAsia="zh-CN"/>
                    </w:rPr>
                    <w:t>，</w:t>
                  </w:r>
                  <w:r>
                    <w:rPr>
                      <w:rFonts w:hint="default" w:ascii="Times New Roman" w:hAnsi="Times New Roman" w:eastAsia="宋体" w:cs="Times New Roman"/>
                      <w:color w:val="auto"/>
                      <w:sz w:val="21"/>
                      <w:szCs w:val="21"/>
                    </w:rPr>
                    <w:t>不会改变区域土壤环境功能现状</w:t>
                  </w:r>
                  <w:r>
                    <w:rPr>
                      <w:rFonts w:hint="eastAsia" w:ascii="Times New Roman" w:hAnsi="Times New Roman" w:eastAsia="宋体" w:cs="Times New Roman"/>
                      <w:color w:val="auto"/>
                      <w:sz w:val="21"/>
                      <w:szCs w:val="21"/>
                    </w:rPr>
                    <w:t>。</w:t>
                  </w:r>
                </w:p>
              </w:tc>
              <w:tc>
                <w:tcPr>
                  <w:tcW w:w="530" w:type="dxa"/>
                  <w:shd w:val="clear" w:color="auto" w:fill="auto"/>
                  <w:vAlign w:val="center"/>
                </w:tcPr>
                <w:p w14:paraId="359BC6EE">
                  <w:pPr>
                    <w:pStyle w:val="70"/>
                    <w:spacing w:line="240" w:lineRule="auto"/>
                    <w:jc w:val="center"/>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符合</w:t>
                  </w:r>
                </w:p>
              </w:tc>
            </w:tr>
            <w:tr w14:paraId="2FA20EF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jc w:val="center"/>
              </w:trPr>
              <w:tc>
                <w:tcPr>
                  <w:tcW w:w="1259" w:type="dxa"/>
                  <w:vMerge w:val="continue"/>
                  <w:shd w:val="clear" w:color="auto" w:fill="auto"/>
                  <w:vAlign w:val="center"/>
                </w:tcPr>
                <w:p w14:paraId="0877D4FD">
                  <w:pPr>
                    <w:pStyle w:val="70"/>
                    <w:spacing w:line="240" w:lineRule="auto"/>
                    <w:rPr>
                      <w:color w:val="auto"/>
                    </w:rPr>
                  </w:pPr>
                </w:p>
              </w:tc>
              <w:tc>
                <w:tcPr>
                  <w:tcW w:w="3260" w:type="dxa"/>
                  <w:shd w:val="clear" w:color="auto" w:fill="auto"/>
                  <w:vAlign w:val="center"/>
                </w:tcPr>
                <w:p w14:paraId="7FD25778">
                  <w:pPr>
                    <w:pStyle w:val="70"/>
                    <w:spacing w:line="240" w:lineRule="auto"/>
                    <w:jc w:val="both"/>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继续淘汰涉重金属重点行业落后产能，完善重金属相关行业准入条件，禁止新建落后产能或产能严重过剩行业的建设项目。</w:t>
                  </w:r>
                </w:p>
              </w:tc>
              <w:tc>
                <w:tcPr>
                  <w:tcW w:w="3261" w:type="dxa"/>
                  <w:shd w:val="clear" w:color="auto" w:fill="auto"/>
                  <w:vAlign w:val="center"/>
                </w:tcPr>
                <w:p w14:paraId="508DC46A">
                  <w:pPr>
                    <w:pStyle w:val="70"/>
                    <w:spacing w:line="240" w:lineRule="auto"/>
                    <w:jc w:val="both"/>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项目不属于</w:t>
                  </w:r>
                  <w:r>
                    <w:rPr>
                      <w:rFonts w:hint="default" w:ascii="Times New Roman" w:hAnsi="Times New Roman" w:eastAsia="宋体" w:cs="Times New Roman"/>
                      <w:color w:val="auto"/>
                      <w:sz w:val="21"/>
                      <w:szCs w:val="21"/>
                    </w:rPr>
                    <w:t>涉重金属重点行业</w:t>
                  </w:r>
                  <w:r>
                    <w:rPr>
                      <w:rFonts w:hint="eastAsia" w:ascii="Times New Roman" w:hAnsi="Times New Roman" w:eastAsia="宋体" w:cs="Times New Roman"/>
                      <w:color w:val="auto"/>
                      <w:sz w:val="21"/>
                      <w:szCs w:val="21"/>
                    </w:rPr>
                    <w:t>，不属于落后产能和严重过剩产能。</w:t>
                  </w:r>
                </w:p>
              </w:tc>
              <w:tc>
                <w:tcPr>
                  <w:tcW w:w="530" w:type="dxa"/>
                  <w:shd w:val="clear" w:color="auto" w:fill="auto"/>
                  <w:vAlign w:val="center"/>
                </w:tcPr>
                <w:p w14:paraId="3AD5073E">
                  <w:pPr>
                    <w:pStyle w:val="70"/>
                    <w:spacing w:line="240" w:lineRule="auto"/>
                    <w:jc w:val="center"/>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符合</w:t>
                  </w:r>
                </w:p>
              </w:tc>
            </w:tr>
            <w:tr w14:paraId="00B2BCA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jc w:val="center"/>
              </w:trPr>
              <w:tc>
                <w:tcPr>
                  <w:tcW w:w="1259" w:type="dxa"/>
                  <w:vMerge w:val="continue"/>
                  <w:shd w:val="clear" w:color="auto" w:fill="auto"/>
                  <w:vAlign w:val="center"/>
                </w:tcPr>
                <w:p w14:paraId="0E9393A7">
                  <w:pPr>
                    <w:pStyle w:val="70"/>
                    <w:spacing w:line="240" w:lineRule="auto"/>
                    <w:rPr>
                      <w:color w:val="auto"/>
                    </w:rPr>
                  </w:pPr>
                </w:p>
              </w:tc>
              <w:tc>
                <w:tcPr>
                  <w:tcW w:w="3260" w:type="dxa"/>
                  <w:shd w:val="clear" w:color="auto" w:fill="auto"/>
                  <w:vAlign w:val="center"/>
                </w:tcPr>
                <w:p w14:paraId="4F76C87A">
                  <w:pPr>
                    <w:pStyle w:val="70"/>
                    <w:spacing w:line="240" w:lineRule="auto"/>
                    <w:jc w:val="both"/>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严格控制在优先保护类耕地集中区域新建有色金属冶炼、石油加工、化工、焦化、电镀、制革等行业企业，现有相关行业企业要采用新技术、新工艺，加快提标升级改造步伐。鼓励工业企业集聚发展，提高土地节约集约利用水平，减少土壤污染。</w:t>
                  </w:r>
                </w:p>
              </w:tc>
              <w:tc>
                <w:tcPr>
                  <w:tcW w:w="3261" w:type="dxa"/>
                  <w:shd w:val="clear" w:color="auto" w:fill="auto"/>
                  <w:vAlign w:val="center"/>
                </w:tcPr>
                <w:p w14:paraId="273CDF24">
                  <w:pPr>
                    <w:pStyle w:val="70"/>
                    <w:spacing w:line="240" w:lineRule="auto"/>
                    <w:jc w:val="both"/>
                    <w:rPr>
                      <w:rFonts w:hint="eastAsia"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rPr>
                    <w:t>项目</w:t>
                  </w:r>
                  <w:r>
                    <w:rPr>
                      <w:rFonts w:hint="eastAsia" w:ascii="Times New Roman" w:hAnsi="Times New Roman" w:eastAsia="宋体" w:cs="Times New Roman"/>
                      <w:color w:val="auto"/>
                      <w:sz w:val="21"/>
                      <w:szCs w:val="21"/>
                      <w:lang w:val="en-US" w:eastAsia="zh-CN"/>
                    </w:rPr>
                    <w:t>位于工业园区内，用地类型为工业用地</w:t>
                  </w:r>
                  <w:r>
                    <w:rPr>
                      <w:rFonts w:hint="eastAsia" w:ascii="Times New Roman" w:hAnsi="Times New Roman" w:eastAsia="宋体" w:cs="Times New Roman"/>
                      <w:color w:val="auto"/>
                      <w:sz w:val="21"/>
                      <w:szCs w:val="21"/>
                    </w:rPr>
                    <w:t>，项目不属于</w:t>
                  </w:r>
                  <w:r>
                    <w:rPr>
                      <w:rFonts w:hint="default" w:ascii="Times New Roman" w:hAnsi="Times New Roman" w:eastAsia="宋体" w:cs="Times New Roman"/>
                      <w:color w:val="auto"/>
                      <w:sz w:val="21"/>
                      <w:szCs w:val="21"/>
                    </w:rPr>
                    <w:t>有色金属冶炼、石油加工、化工、焦化、电镀、制革等行业</w:t>
                  </w:r>
                  <w:r>
                    <w:rPr>
                      <w:rFonts w:hint="eastAsia" w:ascii="Times New Roman" w:hAnsi="Times New Roman" w:eastAsia="宋体" w:cs="Times New Roman"/>
                      <w:color w:val="auto"/>
                      <w:sz w:val="21"/>
                      <w:szCs w:val="21"/>
                    </w:rPr>
                    <w:t>项目</w:t>
                  </w:r>
                  <w:r>
                    <w:rPr>
                      <w:rFonts w:hint="eastAsia" w:ascii="Times New Roman" w:hAnsi="Times New Roman" w:eastAsia="宋体" w:cs="Times New Roman"/>
                      <w:color w:val="auto"/>
                      <w:sz w:val="21"/>
                      <w:szCs w:val="21"/>
                      <w:lang w:eastAsia="zh-CN"/>
                    </w:rPr>
                    <w:t>。</w:t>
                  </w:r>
                </w:p>
              </w:tc>
              <w:tc>
                <w:tcPr>
                  <w:tcW w:w="530" w:type="dxa"/>
                  <w:shd w:val="clear" w:color="auto" w:fill="auto"/>
                  <w:vAlign w:val="center"/>
                </w:tcPr>
                <w:p w14:paraId="08AF2606">
                  <w:pPr>
                    <w:pStyle w:val="70"/>
                    <w:spacing w:line="240" w:lineRule="auto"/>
                    <w:jc w:val="center"/>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符合</w:t>
                  </w:r>
                </w:p>
              </w:tc>
            </w:tr>
            <w:tr w14:paraId="39A7136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jc w:val="center"/>
              </w:trPr>
              <w:tc>
                <w:tcPr>
                  <w:tcW w:w="1259" w:type="dxa"/>
                  <w:shd w:val="clear" w:color="auto" w:fill="auto"/>
                  <w:vAlign w:val="center"/>
                </w:tcPr>
                <w:p w14:paraId="60F797A8">
                  <w:pPr>
                    <w:pStyle w:val="70"/>
                    <w:spacing w:line="240" w:lineRule="auto"/>
                    <w:jc w:val="both"/>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《巴中市“十四五”土壤污染防治规划》</w:t>
                  </w:r>
                </w:p>
              </w:tc>
              <w:tc>
                <w:tcPr>
                  <w:tcW w:w="3260" w:type="dxa"/>
                  <w:shd w:val="clear" w:color="auto" w:fill="auto"/>
                  <w:vAlign w:val="center"/>
                </w:tcPr>
                <w:p w14:paraId="6B113BCA">
                  <w:pPr>
                    <w:pStyle w:val="70"/>
                    <w:spacing w:line="240" w:lineRule="auto"/>
                    <w:jc w:val="both"/>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切实加强对重点企业全过程环境监管，防范土壤污染风险。</w:t>
                  </w:r>
                </w:p>
                <w:p w14:paraId="7C675B8C">
                  <w:pPr>
                    <w:pStyle w:val="70"/>
                    <w:spacing w:line="240" w:lineRule="auto"/>
                    <w:jc w:val="both"/>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加强重点行业企业监管。严格重点行业企业准入，强化规划环评刚性约束，鼓励工业企业集聚发展。</w:t>
                  </w:r>
                </w:p>
              </w:tc>
              <w:tc>
                <w:tcPr>
                  <w:tcW w:w="3261" w:type="dxa"/>
                  <w:shd w:val="clear" w:color="auto" w:fill="auto"/>
                  <w:vAlign w:val="center"/>
                </w:tcPr>
                <w:p w14:paraId="15B2F83A">
                  <w:pPr>
                    <w:pStyle w:val="70"/>
                    <w:spacing w:line="240" w:lineRule="auto"/>
                    <w:jc w:val="both"/>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项目不属于《行动计划》确定的落后产能或产能严重过剩行业，项目采取了严格的污染治理措施，可确保项目废气、废水污染物达标排放，固废不产生二次污染，环境风险可控；</w:t>
                  </w:r>
                  <w:r>
                    <w:rPr>
                      <w:rFonts w:hint="default" w:ascii="Times New Roman" w:hAnsi="Times New Roman" w:eastAsia="宋体" w:cs="Times New Roman"/>
                      <w:color w:val="auto"/>
                      <w:sz w:val="21"/>
                      <w:szCs w:val="21"/>
                    </w:rPr>
                    <w:t>采取分区防渗</w:t>
                  </w:r>
                  <w:r>
                    <w:rPr>
                      <w:rFonts w:hint="eastAsia" w:ascii="Times New Roman" w:hAnsi="Times New Roman" w:eastAsia="宋体" w:cs="Times New Roman"/>
                      <w:color w:val="auto"/>
                      <w:sz w:val="21"/>
                      <w:szCs w:val="21"/>
                      <w:lang w:eastAsia="zh-CN"/>
                    </w:rPr>
                    <w:t>，</w:t>
                  </w:r>
                  <w:r>
                    <w:rPr>
                      <w:rFonts w:hint="default" w:ascii="Times New Roman" w:hAnsi="Times New Roman" w:eastAsia="宋体" w:cs="Times New Roman"/>
                      <w:color w:val="auto"/>
                      <w:sz w:val="21"/>
                      <w:szCs w:val="21"/>
                    </w:rPr>
                    <w:t>不会改变区域土壤环境功能现状</w:t>
                  </w:r>
                  <w:r>
                    <w:rPr>
                      <w:rFonts w:hint="eastAsia" w:ascii="Times New Roman" w:hAnsi="Times New Roman" w:eastAsia="宋体" w:cs="Times New Roman"/>
                      <w:color w:val="auto"/>
                      <w:sz w:val="21"/>
                      <w:szCs w:val="21"/>
                    </w:rPr>
                    <w:t>。</w:t>
                  </w:r>
                </w:p>
              </w:tc>
              <w:tc>
                <w:tcPr>
                  <w:tcW w:w="530" w:type="dxa"/>
                  <w:shd w:val="clear" w:color="auto" w:fill="auto"/>
                  <w:vAlign w:val="center"/>
                </w:tcPr>
                <w:p w14:paraId="502B5B2C">
                  <w:pPr>
                    <w:pStyle w:val="70"/>
                    <w:spacing w:line="240" w:lineRule="auto"/>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符合</w:t>
                  </w:r>
                </w:p>
              </w:tc>
            </w:tr>
          </w:tbl>
          <w:p w14:paraId="01DBA622">
            <w:pPr>
              <w:pStyle w:val="66"/>
              <w:spacing w:line="360" w:lineRule="auto"/>
              <w:ind w:firstLine="482"/>
              <w:rPr>
                <w:rFonts w:hint="eastAsia" w:ascii="Times New Roman" w:hAnsi="Times New Roman" w:eastAsia="宋体" w:cs="Times New Roman"/>
                <w:color w:val="auto"/>
                <w:sz w:val="24"/>
                <w:lang w:val="en-US" w:eastAsia="zh-CN"/>
              </w:rPr>
            </w:pPr>
            <w:r>
              <w:rPr>
                <w:rFonts w:hint="eastAsia" w:ascii="Times New Roman" w:hAnsi="Times New Roman" w:eastAsia="宋体" w:cs="Times New Roman"/>
                <w:color w:val="auto"/>
                <w:sz w:val="24"/>
                <w:lang w:val="en-US" w:eastAsia="zh-CN"/>
              </w:rPr>
              <w:t>综上，本项目</w:t>
            </w:r>
            <w:r>
              <w:rPr>
                <w:rFonts w:hint="default" w:ascii="Times New Roman" w:hAnsi="Times New Roman" w:eastAsia="宋体" w:cs="Times New Roman"/>
                <w:color w:val="auto"/>
                <w:sz w:val="24"/>
              </w:rPr>
              <w:t>与</w:t>
            </w:r>
            <w:r>
              <w:rPr>
                <w:rFonts w:hint="eastAsia" w:ascii="Times New Roman" w:hAnsi="Times New Roman" w:eastAsia="宋体" w:cs="Times New Roman"/>
                <w:b w:val="0"/>
                <w:bCs w:val="0"/>
                <w:color w:val="auto"/>
                <w:lang w:val="en-US" w:eastAsia="zh-CN"/>
              </w:rPr>
              <w:t>土壤污染防治</w:t>
            </w:r>
            <w:r>
              <w:rPr>
                <w:rFonts w:hint="default" w:ascii="Times New Roman" w:hAnsi="Times New Roman" w:eastAsia="宋体" w:cs="Times New Roman"/>
                <w:color w:val="auto"/>
                <w:sz w:val="24"/>
              </w:rPr>
              <w:t>相关法规、规范</w:t>
            </w:r>
            <w:r>
              <w:rPr>
                <w:rFonts w:hint="eastAsia" w:ascii="Times New Roman" w:hAnsi="Times New Roman" w:eastAsia="宋体" w:cs="Times New Roman"/>
                <w:color w:val="auto"/>
                <w:sz w:val="24"/>
                <w:lang w:val="en-US" w:eastAsia="zh-CN"/>
              </w:rPr>
              <w:t>相符合。</w:t>
            </w:r>
          </w:p>
          <w:p w14:paraId="06ADBB01">
            <w:pPr>
              <w:pStyle w:val="66"/>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firstLine="482" w:firstLineChars="200"/>
              <w:textAlignment w:val="auto"/>
              <w:rPr>
                <w:rFonts w:hint="eastAsia" w:ascii="Times New Roman" w:hAnsi="Times New Roman" w:eastAsia="宋体" w:cs="Times New Roman"/>
                <w:b/>
                <w:bCs/>
                <w:color w:val="auto"/>
                <w:lang w:val="en-US" w:eastAsia="zh-CN"/>
              </w:rPr>
            </w:pPr>
            <w:r>
              <w:rPr>
                <w:rFonts w:hint="eastAsia" w:cs="Times New Roman"/>
                <w:b/>
                <w:bCs/>
                <w:color w:val="auto"/>
                <w:lang w:val="en-US" w:eastAsia="zh-CN"/>
              </w:rPr>
              <w:t>6</w:t>
            </w:r>
            <w:r>
              <w:rPr>
                <w:rFonts w:hint="eastAsia" w:ascii="Times New Roman" w:hAnsi="Times New Roman" w:eastAsia="宋体" w:cs="Times New Roman"/>
                <w:b/>
                <w:bCs/>
                <w:color w:val="auto"/>
                <w:lang w:val="en-US" w:eastAsia="zh-CN"/>
              </w:rPr>
              <w:t>、项目与</w:t>
            </w:r>
            <w:r>
              <w:rPr>
                <w:rFonts w:hint="eastAsia" w:ascii="Times New Roman" w:hAnsi="Times New Roman"/>
                <w:b/>
                <w:bCs/>
                <w:color w:val="auto"/>
                <w:sz w:val="24"/>
                <w:highlight w:val="none"/>
              </w:rPr>
              <w:t>固体废弃物</w:t>
            </w:r>
            <w:r>
              <w:rPr>
                <w:rFonts w:hint="eastAsia" w:ascii="Times New Roman" w:hAnsi="Times New Roman" w:eastAsia="宋体" w:cs="Times New Roman"/>
                <w:b/>
                <w:bCs/>
                <w:color w:val="auto"/>
                <w:lang w:val="en-US" w:eastAsia="zh-CN"/>
              </w:rPr>
              <w:t>防治的规范文件的符合性分析</w:t>
            </w:r>
          </w:p>
          <w:p w14:paraId="70159793">
            <w:pPr>
              <w:pStyle w:val="66"/>
              <w:spacing w:line="360" w:lineRule="auto"/>
              <w:rPr>
                <w:rFonts w:hint="eastAsia" w:ascii="Times New Roman" w:hAnsi="Times New Roman" w:eastAsia="宋体" w:cs="Times New Roman"/>
                <w:b/>
                <w:bCs/>
                <w:color w:val="auto"/>
                <w:lang w:val="en-US" w:eastAsia="zh-CN"/>
              </w:rPr>
            </w:pPr>
            <w:r>
              <w:rPr>
                <w:color w:val="auto"/>
              </w:rPr>
              <w:t>本</w:t>
            </w:r>
            <w:r>
              <w:rPr>
                <w:rFonts w:hint="default" w:ascii="Times New Roman" w:hAnsi="Times New Roman" w:eastAsia="宋体" w:cs="Times New Roman"/>
                <w:b w:val="0"/>
                <w:bCs w:val="0"/>
                <w:color w:val="auto"/>
                <w:sz w:val="24"/>
              </w:rPr>
              <w:t>项目</w:t>
            </w:r>
            <w:r>
              <w:rPr>
                <w:rFonts w:hint="eastAsia" w:ascii="Times New Roman" w:hAnsi="Times New Roman"/>
                <w:color w:val="auto"/>
                <w:sz w:val="24"/>
                <w:highlight w:val="none"/>
              </w:rPr>
              <w:t>与固体废弃物防治</w:t>
            </w:r>
            <w:r>
              <w:rPr>
                <w:rFonts w:hint="default" w:ascii="Times New Roman" w:hAnsi="Times New Roman" w:eastAsia="宋体" w:cs="Times New Roman"/>
                <w:b w:val="0"/>
                <w:bCs w:val="0"/>
                <w:color w:val="auto"/>
                <w:sz w:val="24"/>
              </w:rPr>
              <w:t>相关法</w:t>
            </w:r>
            <w:r>
              <w:rPr>
                <w:rFonts w:hint="default" w:ascii="Times New Roman" w:hAnsi="Times New Roman" w:cs="Times New Roman"/>
                <w:color w:val="auto"/>
                <w:sz w:val="24"/>
              </w:rPr>
              <w:t>规</w:t>
            </w:r>
            <w:r>
              <w:rPr>
                <w:rFonts w:hint="default" w:ascii="Times New Roman" w:hAnsi="Times New Roman" w:cs="Times New Roman"/>
                <w:b w:val="0"/>
                <w:bCs w:val="0"/>
                <w:color w:val="auto"/>
                <w:sz w:val="24"/>
              </w:rPr>
              <w:t>、规范符合性</w:t>
            </w:r>
            <w:r>
              <w:rPr>
                <w:rFonts w:hint="default" w:ascii="Times New Roman" w:hAnsi="Times New Roman" w:cs="Times New Roman"/>
                <w:color w:val="auto"/>
                <w:sz w:val="24"/>
              </w:rPr>
              <w:t>分析</w:t>
            </w:r>
            <w:r>
              <w:rPr>
                <w:rFonts w:hint="default" w:ascii="Times New Roman" w:hAnsi="Times New Roman" w:cs="Times New Roman"/>
                <w:color w:val="auto"/>
                <w:sz w:val="24"/>
                <w:lang w:eastAsia="zh-CN"/>
              </w:rPr>
              <w:t>见下</w:t>
            </w:r>
            <w:r>
              <w:rPr>
                <w:rFonts w:hint="default" w:ascii="Times New Roman" w:hAnsi="Times New Roman" w:cs="Times New Roman"/>
                <w:color w:val="auto"/>
                <w:sz w:val="24"/>
              </w:rPr>
              <w:t>表所示</w:t>
            </w:r>
            <w:r>
              <w:rPr>
                <w:rFonts w:hint="eastAsia" w:ascii="Times New Roman" w:hAnsi="Times New Roman" w:cs="Times New Roman"/>
                <w:color w:val="auto"/>
                <w:sz w:val="24"/>
                <w:lang w:eastAsia="zh-CN"/>
              </w:rPr>
              <w:t>：</w:t>
            </w:r>
          </w:p>
          <w:p w14:paraId="10AF7D01">
            <w:pPr>
              <w:pStyle w:val="68"/>
              <w:spacing w:line="240" w:lineRule="auto"/>
              <w:rPr>
                <w:rFonts w:hint="eastAsia" w:ascii="Times New Roman" w:hAnsi="Times New Roman" w:eastAsia="宋体" w:cs="Times New Roman"/>
                <w:b/>
                <w:bCs/>
                <w:color w:val="auto"/>
                <w:lang w:val="en-US" w:eastAsia="zh-CN"/>
              </w:rPr>
            </w:pPr>
            <w:r>
              <w:rPr>
                <w:rFonts w:hint="eastAsia" w:ascii="Times New Roman" w:hAnsi="Times New Roman" w:eastAsia="宋体" w:cs="Times New Roman"/>
                <w:b/>
                <w:bCs/>
                <w:color w:val="auto"/>
              </w:rPr>
              <w:t>表1-</w:t>
            </w:r>
            <w:r>
              <w:rPr>
                <w:rFonts w:hint="eastAsia" w:eastAsia="宋体" w:cs="Times New Roman"/>
                <w:b/>
                <w:bCs/>
                <w:color w:val="auto"/>
                <w:lang w:val="en-US" w:eastAsia="zh-CN"/>
              </w:rPr>
              <w:t>10</w:t>
            </w:r>
            <w:r>
              <w:rPr>
                <w:rFonts w:hint="eastAsia" w:ascii="Times New Roman" w:hAnsi="Times New Roman" w:eastAsia="宋体" w:cs="Times New Roman"/>
                <w:b/>
                <w:bCs/>
                <w:color w:val="auto"/>
              </w:rPr>
              <w:t xml:space="preserve"> 项目与土壤污染防治等相关规划符合性</w:t>
            </w:r>
          </w:p>
          <w:tbl>
            <w:tblPr>
              <w:tblStyle w:val="41"/>
              <w:tblW w:w="0" w:type="auto"/>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983"/>
              <w:gridCol w:w="4385"/>
              <w:gridCol w:w="2144"/>
              <w:gridCol w:w="485"/>
            </w:tblGrid>
            <w:tr w14:paraId="20617E0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983" w:type="dxa"/>
                  <w:shd w:val="clear" w:color="auto" w:fill="auto"/>
                  <w:noWrap w:val="0"/>
                  <w:vAlign w:val="center"/>
                </w:tcPr>
                <w:p w14:paraId="25ABB8DF">
                  <w:pPr>
                    <w:autoSpaceDE w:val="0"/>
                    <w:autoSpaceDN w:val="0"/>
                    <w:adjustRightInd w:val="0"/>
                    <w:snapToGrid w:val="0"/>
                    <w:spacing w:line="240" w:lineRule="auto"/>
                    <w:jc w:val="center"/>
                    <w:rPr>
                      <w:rFonts w:ascii="Times New Roman" w:hAnsi="Times New Roman"/>
                      <w:b/>
                      <w:bCs/>
                      <w:color w:val="auto"/>
                      <w:kern w:val="0"/>
                      <w:szCs w:val="21"/>
                      <w:highlight w:val="none"/>
                    </w:rPr>
                  </w:pPr>
                  <w:r>
                    <w:rPr>
                      <w:rFonts w:ascii="Times New Roman" w:hAnsi="Times New Roman"/>
                      <w:b/>
                      <w:bCs/>
                      <w:color w:val="auto"/>
                      <w:kern w:val="0"/>
                      <w:szCs w:val="21"/>
                      <w:highlight w:val="none"/>
                    </w:rPr>
                    <w:t>政策名称</w:t>
                  </w:r>
                </w:p>
              </w:tc>
              <w:tc>
                <w:tcPr>
                  <w:tcW w:w="4385" w:type="dxa"/>
                  <w:shd w:val="clear" w:color="auto" w:fill="auto"/>
                  <w:noWrap w:val="0"/>
                  <w:vAlign w:val="center"/>
                </w:tcPr>
                <w:p w14:paraId="1BF912E3">
                  <w:pPr>
                    <w:autoSpaceDE w:val="0"/>
                    <w:autoSpaceDN w:val="0"/>
                    <w:adjustRightInd w:val="0"/>
                    <w:snapToGrid w:val="0"/>
                    <w:spacing w:line="240" w:lineRule="auto"/>
                    <w:jc w:val="center"/>
                    <w:rPr>
                      <w:rFonts w:ascii="Times New Roman" w:hAnsi="Times New Roman"/>
                      <w:b/>
                      <w:bCs/>
                      <w:color w:val="auto"/>
                      <w:kern w:val="0"/>
                      <w:szCs w:val="21"/>
                      <w:highlight w:val="none"/>
                    </w:rPr>
                  </w:pPr>
                  <w:r>
                    <w:rPr>
                      <w:rFonts w:ascii="Times New Roman" w:hAnsi="Times New Roman"/>
                      <w:b/>
                      <w:bCs/>
                      <w:color w:val="auto"/>
                      <w:kern w:val="0"/>
                      <w:szCs w:val="21"/>
                      <w:highlight w:val="none"/>
                    </w:rPr>
                    <w:t>要求</w:t>
                  </w:r>
                </w:p>
              </w:tc>
              <w:tc>
                <w:tcPr>
                  <w:tcW w:w="2144" w:type="dxa"/>
                  <w:shd w:val="clear" w:color="auto" w:fill="auto"/>
                  <w:noWrap w:val="0"/>
                  <w:vAlign w:val="center"/>
                </w:tcPr>
                <w:p w14:paraId="4C4658CE">
                  <w:pPr>
                    <w:autoSpaceDE w:val="0"/>
                    <w:autoSpaceDN w:val="0"/>
                    <w:adjustRightInd w:val="0"/>
                    <w:snapToGrid w:val="0"/>
                    <w:spacing w:line="240" w:lineRule="auto"/>
                    <w:jc w:val="center"/>
                    <w:rPr>
                      <w:rFonts w:ascii="Times New Roman" w:hAnsi="Times New Roman"/>
                      <w:b/>
                      <w:bCs/>
                      <w:color w:val="auto"/>
                      <w:kern w:val="0"/>
                      <w:szCs w:val="21"/>
                      <w:highlight w:val="none"/>
                    </w:rPr>
                  </w:pPr>
                  <w:r>
                    <w:rPr>
                      <w:rFonts w:ascii="Times New Roman" w:hAnsi="Times New Roman"/>
                      <w:b/>
                      <w:bCs/>
                      <w:color w:val="auto"/>
                      <w:kern w:val="0"/>
                      <w:szCs w:val="21"/>
                      <w:highlight w:val="none"/>
                    </w:rPr>
                    <w:t>本项目情况</w:t>
                  </w:r>
                </w:p>
              </w:tc>
              <w:tc>
                <w:tcPr>
                  <w:tcW w:w="485" w:type="dxa"/>
                  <w:shd w:val="clear" w:color="auto" w:fill="auto"/>
                  <w:noWrap w:val="0"/>
                  <w:vAlign w:val="center"/>
                </w:tcPr>
                <w:p w14:paraId="6A68D0FF">
                  <w:pPr>
                    <w:autoSpaceDE w:val="0"/>
                    <w:autoSpaceDN w:val="0"/>
                    <w:adjustRightInd w:val="0"/>
                    <w:snapToGrid w:val="0"/>
                    <w:spacing w:line="240" w:lineRule="auto"/>
                    <w:jc w:val="center"/>
                    <w:rPr>
                      <w:rFonts w:ascii="Times New Roman" w:hAnsi="Times New Roman"/>
                      <w:b/>
                      <w:bCs/>
                      <w:color w:val="auto"/>
                      <w:kern w:val="0"/>
                      <w:szCs w:val="21"/>
                      <w:highlight w:val="none"/>
                    </w:rPr>
                  </w:pPr>
                  <w:r>
                    <w:rPr>
                      <w:rFonts w:ascii="Times New Roman" w:hAnsi="Times New Roman"/>
                      <w:b/>
                      <w:bCs/>
                      <w:color w:val="auto"/>
                      <w:kern w:val="0"/>
                      <w:szCs w:val="21"/>
                      <w:highlight w:val="none"/>
                    </w:rPr>
                    <w:t>符合性</w:t>
                  </w:r>
                </w:p>
              </w:tc>
            </w:tr>
            <w:tr w14:paraId="363016C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983" w:type="dxa"/>
                  <w:vMerge w:val="restart"/>
                  <w:shd w:val="clear" w:color="auto" w:fill="auto"/>
                  <w:noWrap w:val="0"/>
                  <w:vAlign w:val="center"/>
                </w:tcPr>
                <w:p w14:paraId="2627C2DA">
                  <w:pPr>
                    <w:autoSpaceDE w:val="0"/>
                    <w:autoSpaceDN w:val="0"/>
                    <w:adjustRightInd w:val="0"/>
                    <w:snapToGrid w:val="0"/>
                    <w:spacing w:line="240" w:lineRule="auto"/>
                    <w:jc w:val="center"/>
                    <w:rPr>
                      <w:rFonts w:ascii="Times New Roman" w:hAnsi="Times New Roman"/>
                      <w:color w:val="auto"/>
                      <w:kern w:val="0"/>
                      <w:szCs w:val="21"/>
                      <w:highlight w:val="none"/>
                    </w:rPr>
                  </w:pPr>
                  <w:r>
                    <w:rPr>
                      <w:rFonts w:ascii="Times New Roman" w:hAnsi="Times New Roman"/>
                      <w:color w:val="auto"/>
                      <w:kern w:val="0"/>
                      <w:szCs w:val="21"/>
                      <w:highlight w:val="none"/>
                    </w:rPr>
                    <w:t>《中华人民共和国固体废物污染环境防治法》（2020年4月29日第二次修订）</w:t>
                  </w:r>
                </w:p>
              </w:tc>
              <w:tc>
                <w:tcPr>
                  <w:tcW w:w="4385" w:type="dxa"/>
                  <w:shd w:val="clear" w:color="auto" w:fill="auto"/>
                  <w:noWrap w:val="0"/>
                  <w:vAlign w:val="center"/>
                </w:tcPr>
                <w:p w14:paraId="1AC114D4">
                  <w:pPr>
                    <w:autoSpaceDE w:val="0"/>
                    <w:autoSpaceDN w:val="0"/>
                    <w:adjustRightInd w:val="0"/>
                    <w:snapToGrid w:val="0"/>
                    <w:spacing w:line="240" w:lineRule="auto"/>
                    <w:jc w:val="center"/>
                    <w:rPr>
                      <w:rFonts w:hint="eastAsia" w:ascii="Times New Roman" w:hAnsi="Times New Roman" w:eastAsia="宋体"/>
                      <w:color w:val="auto"/>
                      <w:kern w:val="0"/>
                      <w:szCs w:val="21"/>
                      <w:highlight w:val="none"/>
                      <w:lang w:eastAsia="zh-CN"/>
                    </w:rPr>
                  </w:pPr>
                  <w:r>
                    <w:rPr>
                      <w:rFonts w:hint="eastAsia" w:ascii="Times New Roman" w:hAnsi="Times New Roman"/>
                      <w:color w:val="auto"/>
                      <w:kern w:val="0"/>
                      <w:szCs w:val="21"/>
                      <w:highlight w:val="none"/>
                    </w:rPr>
                    <w:t>第三十六条：产生工业固体废物的单位应当建立健全工业固体废物产生、收集、贮存、运输、利用、处置全过程的污染环境防治责任制度，建立工业固体废物管理台账，如实记录产生工业固体废物的种类、数量、流向、贮存、利用、处置等信息，实现工业固体废物可追溯、可查询，并采取防治工业固体废物防治污染环境的措施。禁止向生活垃圾收集设施中投放工业固体废物</w:t>
                  </w:r>
                  <w:r>
                    <w:rPr>
                      <w:rFonts w:hint="eastAsia" w:ascii="Times New Roman" w:hAnsi="Times New Roman"/>
                      <w:color w:val="auto"/>
                      <w:kern w:val="0"/>
                      <w:szCs w:val="21"/>
                      <w:highlight w:val="none"/>
                      <w:lang w:eastAsia="zh-CN"/>
                    </w:rPr>
                    <w:t>。</w:t>
                  </w:r>
                </w:p>
              </w:tc>
              <w:tc>
                <w:tcPr>
                  <w:tcW w:w="2144" w:type="dxa"/>
                  <w:vMerge w:val="restart"/>
                  <w:shd w:val="clear" w:color="auto" w:fill="auto"/>
                  <w:noWrap w:val="0"/>
                  <w:vAlign w:val="center"/>
                </w:tcPr>
                <w:p w14:paraId="67EEA6AE">
                  <w:pPr>
                    <w:autoSpaceDE w:val="0"/>
                    <w:autoSpaceDN w:val="0"/>
                    <w:adjustRightInd w:val="0"/>
                    <w:snapToGrid w:val="0"/>
                    <w:spacing w:line="240" w:lineRule="auto"/>
                    <w:jc w:val="center"/>
                    <w:rPr>
                      <w:rFonts w:hint="eastAsia" w:ascii="Times New Roman" w:hAnsi="Times New Roman" w:eastAsia="宋体"/>
                      <w:color w:val="auto"/>
                      <w:kern w:val="0"/>
                      <w:szCs w:val="21"/>
                      <w:highlight w:val="none"/>
                      <w:lang w:eastAsia="zh-CN"/>
                    </w:rPr>
                  </w:pPr>
                  <w:r>
                    <w:rPr>
                      <w:rFonts w:hint="eastAsia" w:ascii="Times New Roman" w:hAnsi="Times New Roman"/>
                      <w:color w:val="auto"/>
                      <w:kern w:val="0"/>
                      <w:szCs w:val="21"/>
                      <w:highlight w:val="none"/>
                    </w:rPr>
                    <w:t>本项目设置有专人负责项目的环境保护工作，包括：建立废物管理台账、项目建设的暂存场所，采取符合国家环境保护标准的防护措施</w:t>
                  </w:r>
                  <w:r>
                    <w:rPr>
                      <w:rFonts w:hint="eastAsia" w:ascii="Times New Roman" w:hAnsi="Times New Roman"/>
                      <w:color w:val="auto"/>
                      <w:kern w:val="0"/>
                      <w:szCs w:val="21"/>
                      <w:highlight w:val="none"/>
                      <w:lang w:eastAsia="zh-CN"/>
                    </w:rPr>
                    <w:t>。</w:t>
                  </w:r>
                </w:p>
              </w:tc>
              <w:tc>
                <w:tcPr>
                  <w:tcW w:w="485" w:type="dxa"/>
                  <w:shd w:val="clear" w:color="auto" w:fill="auto"/>
                  <w:noWrap w:val="0"/>
                  <w:vAlign w:val="center"/>
                </w:tcPr>
                <w:p w14:paraId="1D8356DE">
                  <w:pPr>
                    <w:autoSpaceDE w:val="0"/>
                    <w:autoSpaceDN w:val="0"/>
                    <w:adjustRightInd w:val="0"/>
                    <w:snapToGrid w:val="0"/>
                    <w:spacing w:line="240" w:lineRule="auto"/>
                    <w:jc w:val="center"/>
                    <w:rPr>
                      <w:rFonts w:ascii="Times New Roman" w:hAnsi="Times New Roman"/>
                      <w:color w:val="auto"/>
                      <w:kern w:val="0"/>
                      <w:szCs w:val="21"/>
                      <w:highlight w:val="none"/>
                    </w:rPr>
                  </w:pPr>
                  <w:r>
                    <w:rPr>
                      <w:rFonts w:hint="eastAsia" w:ascii="Times New Roman" w:hAnsi="Times New Roman"/>
                      <w:color w:val="auto"/>
                      <w:kern w:val="0"/>
                      <w:szCs w:val="21"/>
                      <w:highlight w:val="none"/>
                    </w:rPr>
                    <w:t>符合</w:t>
                  </w:r>
                </w:p>
              </w:tc>
            </w:tr>
            <w:tr w14:paraId="701A581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983" w:type="dxa"/>
                  <w:vMerge w:val="continue"/>
                  <w:shd w:val="clear" w:color="auto" w:fill="auto"/>
                  <w:noWrap w:val="0"/>
                  <w:vAlign w:val="center"/>
                </w:tcPr>
                <w:p w14:paraId="19BFF594">
                  <w:pPr>
                    <w:autoSpaceDE w:val="0"/>
                    <w:autoSpaceDN w:val="0"/>
                    <w:adjustRightInd w:val="0"/>
                    <w:snapToGrid w:val="0"/>
                    <w:spacing w:line="240" w:lineRule="auto"/>
                    <w:jc w:val="center"/>
                    <w:rPr>
                      <w:rFonts w:ascii="Times New Roman" w:hAnsi="Times New Roman"/>
                      <w:color w:val="auto"/>
                      <w:kern w:val="0"/>
                      <w:szCs w:val="21"/>
                      <w:highlight w:val="none"/>
                    </w:rPr>
                  </w:pPr>
                </w:p>
              </w:tc>
              <w:tc>
                <w:tcPr>
                  <w:tcW w:w="4385" w:type="dxa"/>
                  <w:shd w:val="clear" w:color="auto" w:fill="auto"/>
                  <w:noWrap w:val="0"/>
                  <w:vAlign w:val="center"/>
                </w:tcPr>
                <w:p w14:paraId="55EE49D2">
                  <w:pPr>
                    <w:autoSpaceDE w:val="0"/>
                    <w:autoSpaceDN w:val="0"/>
                    <w:adjustRightInd w:val="0"/>
                    <w:snapToGrid w:val="0"/>
                    <w:spacing w:line="240" w:lineRule="auto"/>
                    <w:jc w:val="center"/>
                    <w:rPr>
                      <w:rFonts w:hint="eastAsia" w:ascii="Times New Roman" w:hAnsi="Times New Roman" w:eastAsia="宋体"/>
                      <w:color w:val="auto"/>
                      <w:kern w:val="0"/>
                      <w:szCs w:val="21"/>
                      <w:highlight w:val="none"/>
                      <w:lang w:eastAsia="zh-CN"/>
                    </w:rPr>
                  </w:pPr>
                  <w:r>
                    <w:rPr>
                      <w:rFonts w:hint="eastAsia" w:ascii="Times New Roman" w:hAnsi="Times New Roman"/>
                      <w:color w:val="auto"/>
                      <w:kern w:val="0"/>
                      <w:szCs w:val="21"/>
                      <w:highlight w:val="none"/>
                    </w:rPr>
                    <w:t>第三十七条：产生工业固体废物的单位委托他人运输、利用、处置工业固体废物的，应当对受托方的主体资格和技术能力进行核实，依法签订书面合同，在合同中约定污染防治要求</w:t>
                  </w:r>
                  <w:r>
                    <w:rPr>
                      <w:rFonts w:hint="eastAsia" w:ascii="Times New Roman" w:hAnsi="Times New Roman"/>
                      <w:color w:val="auto"/>
                      <w:kern w:val="0"/>
                      <w:szCs w:val="21"/>
                      <w:highlight w:val="none"/>
                      <w:lang w:eastAsia="zh-CN"/>
                    </w:rPr>
                    <w:t>。</w:t>
                  </w:r>
                </w:p>
              </w:tc>
              <w:tc>
                <w:tcPr>
                  <w:tcW w:w="2144" w:type="dxa"/>
                  <w:vMerge w:val="continue"/>
                  <w:shd w:val="clear" w:color="auto" w:fill="auto"/>
                  <w:noWrap w:val="0"/>
                  <w:vAlign w:val="center"/>
                </w:tcPr>
                <w:p w14:paraId="40EB509A">
                  <w:pPr>
                    <w:autoSpaceDE w:val="0"/>
                    <w:autoSpaceDN w:val="0"/>
                    <w:adjustRightInd w:val="0"/>
                    <w:snapToGrid w:val="0"/>
                    <w:spacing w:line="240" w:lineRule="auto"/>
                    <w:jc w:val="center"/>
                    <w:rPr>
                      <w:rFonts w:ascii="Times New Roman" w:hAnsi="Times New Roman"/>
                      <w:color w:val="auto"/>
                      <w:kern w:val="0"/>
                      <w:szCs w:val="21"/>
                      <w:highlight w:val="none"/>
                    </w:rPr>
                  </w:pPr>
                </w:p>
              </w:tc>
              <w:tc>
                <w:tcPr>
                  <w:tcW w:w="485" w:type="dxa"/>
                  <w:shd w:val="clear" w:color="auto" w:fill="auto"/>
                  <w:noWrap w:val="0"/>
                  <w:vAlign w:val="center"/>
                </w:tcPr>
                <w:p w14:paraId="2FC51D74">
                  <w:pPr>
                    <w:autoSpaceDE w:val="0"/>
                    <w:autoSpaceDN w:val="0"/>
                    <w:adjustRightInd w:val="0"/>
                    <w:snapToGrid w:val="0"/>
                    <w:spacing w:line="240" w:lineRule="auto"/>
                    <w:jc w:val="center"/>
                    <w:rPr>
                      <w:rFonts w:ascii="Times New Roman" w:hAnsi="Times New Roman"/>
                      <w:color w:val="auto"/>
                      <w:kern w:val="0"/>
                      <w:szCs w:val="21"/>
                      <w:highlight w:val="none"/>
                    </w:rPr>
                  </w:pPr>
                  <w:r>
                    <w:rPr>
                      <w:rFonts w:hint="eastAsia" w:ascii="Times New Roman" w:hAnsi="Times New Roman"/>
                      <w:color w:val="auto"/>
                      <w:kern w:val="0"/>
                      <w:szCs w:val="21"/>
                      <w:highlight w:val="none"/>
                    </w:rPr>
                    <w:t>符合</w:t>
                  </w:r>
                </w:p>
              </w:tc>
            </w:tr>
            <w:tr w14:paraId="4F6E18D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983" w:type="dxa"/>
                  <w:vMerge w:val="continue"/>
                  <w:shd w:val="clear" w:color="auto" w:fill="auto"/>
                  <w:noWrap w:val="0"/>
                  <w:vAlign w:val="center"/>
                </w:tcPr>
                <w:p w14:paraId="45ECD3E3">
                  <w:pPr>
                    <w:autoSpaceDE w:val="0"/>
                    <w:autoSpaceDN w:val="0"/>
                    <w:adjustRightInd w:val="0"/>
                    <w:snapToGrid w:val="0"/>
                    <w:spacing w:line="240" w:lineRule="auto"/>
                    <w:jc w:val="center"/>
                    <w:rPr>
                      <w:rFonts w:ascii="Times New Roman" w:hAnsi="Times New Roman"/>
                      <w:color w:val="auto"/>
                      <w:kern w:val="0"/>
                      <w:szCs w:val="21"/>
                      <w:highlight w:val="none"/>
                    </w:rPr>
                  </w:pPr>
                </w:p>
              </w:tc>
              <w:tc>
                <w:tcPr>
                  <w:tcW w:w="4385" w:type="dxa"/>
                  <w:shd w:val="clear" w:color="auto" w:fill="auto"/>
                  <w:noWrap w:val="0"/>
                  <w:vAlign w:val="center"/>
                </w:tcPr>
                <w:p w14:paraId="56331442">
                  <w:pPr>
                    <w:autoSpaceDE w:val="0"/>
                    <w:autoSpaceDN w:val="0"/>
                    <w:adjustRightInd w:val="0"/>
                    <w:snapToGrid w:val="0"/>
                    <w:spacing w:line="240" w:lineRule="auto"/>
                    <w:jc w:val="center"/>
                    <w:rPr>
                      <w:rFonts w:hint="eastAsia" w:ascii="Times New Roman" w:hAnsi="Times New Roman" w:eastAsia="宋体"/>
                      <w:color w:val="auto"/>
                      <w:kern w:val="0"/>
                      <w:szCs w:val="21"/>
                      <w:highlight w:val="none"/>
                      <w:lang w:eastAsia="zh-CN"/>
                    </w:rPr>
                  </w:pPr>
                  <w:r>
                    <w:rPr>
                      <w:rFonts w:hint="eastAsia" w:ascii="Times New Roman" w:hAnsi="Times New Roman"/>
                      <w:color w:val="auto"/>
                      <w:kern w:val="0"/>
                      <w:szCs w:val="21"/>
                      <w:highlight w:val="none"/>
                    </w:rPr>
                    <w:t>第四十条：产生工业固体废物的单位应当根据经济、技术条件对工业固体废物加以利用；对暂时不利用或者不能利用的，应当按照国务院生态环境等主管部门的规定建设贮存设施、场所，安全分类存放，或者采取无害化处置措施。贮存工业固体废物应当采取符合国家环境保护标准的防护措施。建设工业固体废物贮存、处置的设施、场所，应当符合国家环境保护标准</w:t>
                  </w:r>
                  <w:r>
                    <w:rPr>
                      <w:rFonts w:hint="eastAsia" w:ascii="Times New Roman" w:hAnsi="Times New Roman"/>
                      <w:color w:val="auto"/>
                      <w:kern w:val="0"/>
                      <w:szCs w:val="21"/>
                      <w:highlight w:val="none"/>
                      <w:lang w:eastAsia="zh-CN"/>
                    </w:rPr>
                    <w:t>。</w:t>
                  </w:r>
                </w:p>
              </w:tc>
              <w:tc>
                <w:tcPr>
                  <w:tcW w:w="2144" w:type="dxa"/>
                  <w:vMerge w:val="continue"/>
                  <w:shd w:val="clear" w:color="auto" w:fill="auto"/>
                  <w:noWrap w:val="0"/>
                  <w:vAlign w:val="center"/>
                </w:tcPr>
                <w:p w14:paraId="49063A19">
                  <w:pPr>
                    <w:autoSpaceDE w:val="0"/>
                    <w:autoSpaceDN w:val="0"/>
                    <w:adjustRightInd w:val="0"/>
                    <w:snapToGrid w:val="0"/>
                    <w:spacing w:line="240" w:lineRule="auto"/>
                    <w:jc w:val="center"/>
                    <w:rPr>
                      <w:rFonts w:ascii="Times New Roman" w:hAnsi="Times New Roman"/>
                      <w:color w:val="auto"/>
                      <w:kern w:val="0"/>
                      <w:szCs w:val="21"/>
                      <w:highlight w:val="none"/>
                    </w:rPr>
                  </w:pPr>
                </w:p>
              </w:tc>
              <w:tc>
                <w:tcPr>
                  <w:tcW w:w="485" w:type="dxa"/>
                  <w:shd w:val="clear" w:color="auto" w:fill="auto"/>
                  <w:noWrap w:val="0"/>
                  <w:vAlign w:val="center"/>
                </w:tcPr>
                <w:p w14:paraId="3EE2709F">
                  <w:pPr>
                    <w:autoSpaceDE w:val="0"/>
                    <w:autoSpaceDN w:val="0"/>
                    <w:adjustRightInd w:val="0"/>
                    <w:snapToGrid w:val="0"/>
                    <w:spacing w:line="240" w:lineRule="auto"/>
                    <w:jc w:val="center"/>
                    <w:rPr>
                      <w:rFonts w:ascii="Times New Roman" w:hAnsi="Times New Roman"/>
                      <w:color w:val="auto"/>
                      <w:kern w:val="0"/>
                      <w:szCs w:val="21"/>
                      <w:highlight w:val="none"/>
                    </w:rPr>
                  </w:pPr>
                  <w:r>
                    <w:rPr>
                      <w:rFonts w:hint="eastAsia" w:ascii="Times New Roman" w:hAnsi="Times New Roman"/>
                      <w:color w:val="auto"/>
                      <w:kern w:val="0"/>
                      <w:szCs w:val="21"/>
                      <w:highlight w:val="none"/>
                    </w:rPr>
                    <w:t>符合</w:t>
                  </w:r>
                </w:p>
              </w:tc>
            </w:tr>
            <w:tr w14:paraId="735645A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983" w:type="dxa"/>
                  <w:vMerge w:val="continue"/>
                  <w:shd w:val="clear" w:color="auto" w:fill="auto"/>
                  <w:noWrap w:val="0"/>
                  <w:vAlign w:val="center"/>
                </w:tcPr>
                <w:p w14:paraId="4C74CBF5">
                  <w:pPr>
                    <w:autoSpaceDE w:val="0"/>
                    <w:autoSpaceDN w:val="0"/>
                    <w:adjustRightInd w:val="0"/>
                    <w:snapToGrid w:val="0"/>
                    <w:spacing w:line="240" w:lineRule="auto"/>
                    <w:jc w:val="center"/>
                    <w:rPr>
                      <w:rFonts w:ascii="Times New Roman" w:hAnsi="Times New Roman"/>
                      <w:color w:val="auto"/>
                      <w:kern w:val="0"/>
                      <w:szCs w:val="21"/>
                      <w:highlight w:val="none"/>
                    </w:rPr>
                  </w:pPr>
                </w:p>
              </w:tc>
              <w:tc>
                <w:tcPr>
                  <w:tcW w:w="4385" w:type="dxa"/>
                  <w:shd w:val="clear" w:color="auto" w:fill="auto"/>
                  <w:noWrap w:val="0"/>
                  <w:vAlign w:val="center"/>
                </w:tcPr>
                <w:p w14:paraId="34C3B82F">
                  <w:pPr>
                    <w:autoSpaceDE w:val="0"/>
                    <w:autoSpaceDN w:val="0"/>
                    <w:adjustRightInd w:val="0"/>
                    <w:snapToGrid w:val="0"/>
                    <w:spacing w:line="240" w:lineRule="auto"/>
                    <w:jc w:val="center"/>
                    <w:rPr>
                      <w:rFonts w:hint="eastAsia" w:ascii="Times New Roman" w:hAnsi="Times New Roman" w:eastAsia="宋体"/>
                      <w:color w:val="auto"/>
                      <w:kern w:val="0"/>
                      <w:szCs w:val="21"/>
                      <w:highlight w:val="none"/>
                      <w:lang w:eastAsia="zh-CN"/>
                    </w:rPr>
                  </w:pPr>
                  <w:r>
                    <w:rPr>
                      <w:rFonts w:hint="eastAsia" w:ascii="Times New Roman" w:hAnsi="Times New Roman"/>
                      <w:color w:val="auto"/>
                      <w:kern w:val="0"/>
                      <w:szCs w:val="21"/>
                      <w:highlight w:val="none"/>
                    </w:rPr>
                    <w:t>第七十八条：产生危险废物的单位，应当按照国家有关规定制定危险废物管理计划；建立危险废物管理台账，如实记录有关信息，并通过国家危险废物信息管理系统向所在地生态环境主管部门申报危险废物的种类、产生量、流向、贮存、处置等有关资料</w:t>
                  </w:r>
                  <w:r>
                    <w:rPr>
                      <w:rFonts w:hint="eastAsia" w:ascii="Times New Roman" w:hAnsi="Times New Roman"/>
                      <w:color w:val="auto"/>
                      <w:kern w:val="0"/>
                      <w:szCs w:val="21"/>
                      <w:highlight w:val="none"/>
                      <w:lang w:eastAsia="zh-CN"/>
                    </w:rPr>
                    <w:t>。</w:t>
                  </w:r>
                </w:p>
              </w:tc>
              <w:tc>
                <w:tcPr>
                  <w:tcW w:w="2144" w:type="dxa"/>
                  <w:vMerge w:val="continue"/>
                  <w:shd w:val="clear" w:color="auto" w:fill="auto"/>
                  <w:noWrap w:val="0"/>
                  <w:vAlign w:val="center"/>
                </w:tcPr>
                <w:p w14:paraId="73612301">
                  <w:pPr>
                    <w:autoSpaceDE w:val="0"/>
                    <w:autoSpaceDN w:val="0"/>
                    <w:adjustRightInd w:val="0"/>
                    <w:snapToGrid w:val="0"/>
                    <w:spacing w:line="240" w:lineRule="auto"/>
                    <w:jc w:val="center"/>
                    <w:rPr>
                      <w:rFonts w:ascii="Times New Roman" w:hAnsi="Times New Roman"/>
                      <w:color w:val="auto"/>
                      <w:kern w:val="0"/>
                      <w:szCs w:val="21"/>
                      <w:highlight w:val="none"/>
                    </w:rPr>
                  </w:pPr>
                </w:p>
              </w:tc>
              <w:tc>
                <w:tcPr>
                  <w:tcW w:w="485" w:type="dxa"/>
                  <w:shd w:val="clear" w:color="auto" w:fill="auto"/>
                  <w:noWrap w:val="0"/>
                  <w:vAlign w:val="center"/>
                </w:tcPr>
                <w:p w14:paraId="3A92DE44">
                  <w:pPr>
                    <w:autoSpaceDE w:val="0"/>
                    <w:autoSpaceDN w:val="0"/>
                    <w:adjustRightInd w:val="0"/>
                    <w:snapToGrid w:val="0"/>
                    <w:spacing w:line="240" w:lineRule="auto"/>
                    <w:jc w:val="center"/>
                    <w:rPr>
                      <w:rFonts w:ascii="Times New Roman" w:hAnsi="Times New Roman"/>
                      <w:color w:val="auto"/>
                      <w:kern w:val="0"/>
                      <w:szCs w:val="21"/>
                      <w:highlight w:val="none"/>
                    </w:rPr>
                  </w:pPr>
                  <w:r>
                    <w:rPr>
                      <w:rFonts w:hint="eastAsia" w:ascii="Times New Roman" w:hAnsi="Times New Roman"/>
                      <w:color w:val="auto"/>
                      <w:kern w:val="0"/>
                      <w:szCs w:val="21"/>
                      <w:highlight w:val="none"/>
                    </w:rPr>
                    <w:t>符合</w:t>
                  </w:r>
                </w:p>
              </w:tc>
            </w:tr>
            <w:tr w14:paraId="5BA3E48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983" w:type="dxa"/>
                  <w:vMerge w:val="continue"/>
                  <w:shd w:val="clear" w:color="auto" w:fill="auto"/>
                  <w:noWrap w:val="0"/>
                  <w:vAlign w:val="center"/>
                </w:tcPr>
                <w:p w14:paraId="080F4BF4">
                  <w:pPr>
                    <w:autoSpaceDE w:val="0"/>
                    <w:autoSpaceDN w:val="0"/>
                    <w:adjustRightInd w:val="0"/>
                    <w:snapToGrid w:val="0"/>
                    <w:spacing w:line="240" w:lineRule="auto"/>
                    <w:jc w:val="center"/>
                    <w:rPr>
                      <w:rFonts w:ascii="Times New Roman" w:hAnsi="Times New Roman"/>
                      <w:color w:val="auto"/>
                      <w:kern w:val="0"/>
                      <w:szCs w:val="21"/>
                      <w:highlight w:val="none"/>
                    </w:rPr>
                  </w:pPr>
                </w:p>
              </w:tc>
              <w:tc>
                <w:tcPr>
                  <w:tcW w:w="4385" w:type="dxa"/>
                  <w:shd w:val="clear" w:color="auto" w:fill="auto"/>
                  <w:noWrap w:val="0"/>
                  <w:vAlign w:val="center"/>
                </w:tcPr>
                <w:p w14:paraId="0F34DC79">
                  <w:pPr>
                    <w:autoSpaceDE w:val="0"/>
                    <w:autoSpaceDN w:val="0"/>
                    <w:adjustRightInd w:val="0"/>
                    <w:snapToGrid w:val="0"/>
                    <w:spacing w:line="240" w:lineRule="auto"/>
                    <w:jc w:val="center"/>
                    <w:rPr>
                      <w:rFonts w:hint="eastAsia" w:ascii="Times New Roman" w:hAnsi="Times New Roman"/>
                      <w:color w:val="auto"/>
                      <w:kern w:val="0"/>
                      <w:szCs w:val="21"/>
                      <w:highlight w:val="none"/>
                    </w:rPr>
                  </w:pPr>
                  <w:r>
                    <w:rPr>
                      <w:rFonts w:hint="eastAsia" w:ascii="Times New Roman" w:hAnsi="Times New Roman"/>
                      <w:color w:val="auto"/>
                      <w:kern w:val="0"/>
                      <w:szCs w:val="21"/>
                      <w:highlight w:val="none"/>
                    </w:rPr>
                    <w:t>第七十九条：产生危险废物的单位，应当按照国家有关规定和环境保护标准要求贮存、利用、处置危险废物，不得擅自倾倒、堆放。</w:t>
                  </w:r>
                </w:p>
              </w:tc>
              <w:tc>
                <w:tcPr>
                  <w:tcW w:w="2144" w:type="dxa"/>
                  <w:vMerge w:val="continue"/>
                  <w:shd w:val="clear" w:color="auto" w:fill="auto"/>
                  <w:noWrap w:val="0"/>
                  <w:vAlign w:val="center"/>
                </w:tcPr>
                <w:p w14:paraId="7D6DACB3">
                  <w:pPr>
                    <w:autoSpaceDE w:val="0"/>
                    <w:autoSpaceDN w:val="0"/>
                    <w:adjustRightInd w:val="0"/>
                    <w:snapToGrid w:val="0"/>
                    <w:spacing w:line="240" w:lineRule="auto"/>
                    <w:jc w:val="center"/>
                    <w:rPr>
                      <w:rFonts w:ascii="Times New Roman" w:hAnsi="Times New Roman"/>
                      <w:color w:val="auto"/>
                      <w:kern w:val="0"/>
                      <w:szCs w:val="21"/>
                      <w:highlight w:val="none"/>
                    </w:rPr>
                  </w:pPr>
                </w:p>
              </w:tc>
              <w:tc>
                <w:tcPr>
                  <w:tcW w:w="485" w:type="dxa"/>
                  <w:shd w:val="clear" w:color="auto" w:fill="auto"/>
                  <w:noWrap w:val="0"/>
                  <w:vAlign w:val="center"/>
                </w:tcPr>
                <w:p w14:paraId="2C9E3C0D">
                  <w:pPr>
                    <w:autoSpaceDE w:val="0"/>
                    <w:autoSpaceDN w:val="0"/>
                    <w:adjustRightInd w:val="0"/>
                    <w:snapToGrid w:val="0"/>
                    <w:spacing w:line="240" w:lineRule="auto"/>
                    <w:jc w:val="center"/>
                    <w:rPr>
                      <w:rFonts w:ascii="Times New Roman" w:hAnsi="Times New Roman"/>
                      <w:color w:val="auto"/>
                      <w:kern w:val="0"/>
                      <w:szCs w:val="21"/>
                      <w:highlight w:val="none"/>
                    </w:rPr>
                  </w:pPr>
                  <w:r>
                    <w:rPr>
                      <w:rFonts w:hint="eastAsia" w:ascii="Times New Roman" w:hAnsi="Times New Roman"/>
                      <w:color w:val="auto"/>
                      <w:kern w:val="0"/>
                      <w:szCs w:val="21"/>
                      <w:highlight w:val="none"/>
                    </w:rPr>
                    <w:t>符合</w:t>
                  </w:r>
                </w:p>
              </w:tc>
            </w:tr>
            <w:tr w14:paraId="782F37F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983" w:type="dxa"/>
                  <w:vMerge w:val="restart"/>
                  <w:shd w:val="clear" w:color="auto" w:fill="auto"/>
                  <w:noWrap w:val="0"/>
                  <w:vAlign w:val="center"/>
                </w:tcPr>
                <w:p w14:paraId="114D3063">
                  <w:pPr>
                    <w:autoSpaceDE w:val="0"/>
                    <w:autoSpaceDN w:val="0"/>
                    <w:adjustRightInd w:val="0"/>
                    <w:snapToGrid w:val="0"/>
                    <w:spacing w:line="240" w:lineRule="auto"/>
                    <w:jc w:val="center"/>
                    <w:rPr>
                      <w:rFonts w:ascii="Times New Roman" w:hAnsi="Times New Roman"/>
                      <w:color w:val="auto"/>
                      <w:kern w:val="0"/>
                      <w:szCs w:val="21"/>
                      <w:highlight w:val="none"/>
                    </w:rPr>
                  </w:pPr>
                  <w:r>
                    <w:rPr>
                      <w:rFonts w:hint="eastAsia" w:ascii="Times New Roman" w:hAnsi="Times New Roman"/>
                      <w:color w:val="auto"/>
                      <w:kern w:val="0"/>
                      <w:szCs w:val="21"/>
                      <w:highlight w:val="none"/>
                      <w:lang w:eastAsia="zh-CN"/>
                    </w:rPr>
                    <w:t>《</w:t>
                  </w:r>
                  <w:r>
                    <w:rPr>
                      <w:rFonts w:hint="eastAsia" w:ascii="Times New Roman" w:hAnsi="Times New Roman"/>
                      <w:color w:val="auto"/>
                      <w:kern w:val="0"/>
                      <w:szCs w:val="21"/>
                      <w:highlight w:val="none"/>
                    </w:rPr>
                    <w:t>四川省</w:t>
                  </w:r>
                  <w:r>
                    <w:rPr>
                      <w:rFonts w:hint="eastAsia" w:ascii="Times New Roman" w:hAnsi="Times New Roman"/>
                      <w:color w:val="auto"/>
                      <w:kern w:val="0"/>
                      <w:szCs w:val="21"/>
                      <w:highlight w:val="none"/>
                      <w:lang w:val="en-US" w:eastAsia="zh-CN"/>
                    </w:rPr>
                    <w:t>固体废物</w:t>
                  </w:r>
                  <w:r>
                    <w:rPr>
                      <w:rFonts w:hint="eastAsia" w:ascii="Times New Roman" w:hAnsi="Times New Roman"/>
                      <w:color w:val="auto"/>
                      <w:kern w:val="0"/>
                      <w:szCs w:val="21"/>
                      <w:highlight w:val="none"/>
                    </w:rPr>
                    <w:t>污染环境防治条例</w:t>
                  </w:r>
                  <w:r>
                    <w:rPr>
                      <w:rFonts w:hint="eastAsia" w:ascii="Times New Roman" w:hAnsi="Times New Roman"/>
                      <w:color w:val="auto"/>
                      <w:kern w:val="0"/>
                      <w:szCs w:val="21"/>
                      <w:highlight w:val="none"/>
                      <w:lang w:eastAsia="zh-CN"/>
                    </w:rPr>
                    <w:t>》（</w:t>
                  </w:r>
                  <w:r>
                    <w:rPr>
                      <w:rFonts w:hint="eastAsia" w:ascii="Times New Roman" w:hAnsi="Times New Roman"/>
                      <w:color w:val="auto"/>
                      <w:kern w:val="0"/>
                      <w:szCs w:val="21"/>
                      <w:highlight w:val="none"/>
                      <w:lang w:val="en-US" w:eastAsia="zh-CN"/>
                    </w:rPr>
                    <w:t>2022修订版</w:t>
                  </w:r>
                  <w:r>
                    <w:rPr>
                      <w:rFonts w:hint="eastAsia" w:ascii="Times New Roman" w:hAnsi="Times New Roman"/>
                      <w:color w:val="auto"/>
                      <w:kern w:val="0"/>
                      <w:szCs w:val="21"/>
                      <w:highlight w:val="none"/>
                      <w:lang w:eastAsia="zh-CN"/>
                    </w:rPr>
                    <w:t>）</w:t>
                  </w:r>
                </w:p>
              </w:tc>
              <w:tc>
                <w:tcPr>
                  <w:tcW w:w="4385" w:type="dxa"/>
                  <w:shd w:val="clear" w:color="auto" w:fill="auto"/>
                  <w:noWrap w:val="0"/>
                  <w:vAlign w:val="center"/>
                </w:tcPr>
                <w:p w14:paraId="73106FE0">
                  <w:pPr>
                    <w:autoSpaceDE w:val="0"/>
                    <w:autoSpaceDN w:val="0"/>
                    <w:adjustRightInd w:val="0"/>
                    <w:snapToGrid w:val="0"/>
                    <w:spacing w:line="240" w:lineRule="auto"/>
                    <w:jc w:val="center"/>
                    <w:rPr>
                      <w:rFonts w:hint="eastAsia" w:ascii="Times New Roman" w:hAnsi="Times New Roman" w:eastAsia="宋体"/>
                      <w:color w:val="auto"/>
                      <w:kern w:val="0"/>
                      <w:szCs w:val="21"/>
                      <w:highlight w:val="none"/>
                      <w:lang w:eastAsia="zh-CN"/>
                    </w:rPr>
                  </w:pPr>
                  <w:r>
                    <w:rPr>
                      <w:rFonts w:hint="eastAsia" w:ascii="Times New Roman" w:hAnsi="Times New Roman"/>
                      <w:color w:val="auto"/>
                      <w:kern w:val="0"/>
                      <w:szCs w:val="21"/>
                      <w:highlight w:val="none"/>
                    </w:rPr>
                    <w:t>第三条：固体废物污染环境防治坚持预防优先、防治结合、综合治理，实行减量化、资源化、无害化和污染担责原则</w:t>
                  </w:r>
                  <w:r>
                    <w:rPr>
                      <w:rFonts w:hint="eastAsia" w:ascii="Times New Roman" w:hAnsi="Times New Roman"/>
                      <w:color w:val="auto"/>
                      <w:kern w:val="0"/>
                      <w:szCs w:val="21"/>
                      <w:highlight w:val="none"/>
                      <w:lang w:eastAsia="zh-CN"/>
                    </w:rPr>
                    <w:t>。</w:t>
                  </w:r>
                </w:p>
              </w:tc>
              <w:tc>
                <w:tcPr>
                  <w:tcW w:w="2144" w:type="dxa"/>
                  <w:shd w:val="clear" w:color="auto" w:fill="auto"/>
                  <w:noWrap w:val="0"/>
                  <w:vAlign w:val="center"/>
                </w:tcPr>
                <w:p w14:paraId="59D3B724">
                  <w:pPr>
                    <w:autoSpaceDE w:val="0"/>
                    <w:autoSpaceDN w:val="0"/>
                    <w:adjustRightInd w:val="0"/>
                    <w:snapToGrid w:val="0"/>
                    <w:spacing w:line="240" w:lineRule="auto"/>
                    <w:jc w:val="center"/>
                    <w:rPr>
                      <w:rFonts w:hint="eastAsia" w:ascii="Times New Roman" w:hAnsi="Times New Roman" w:eastAsia="宋体"/>
                      <w:color w:val="auto"/>
                      <w:kern w:val="0"/>
                      <w:szCs w:val="21"/>
                      <w:highlight w:val="none"/>
                      <w:lang w:eastAsia="zh-CN"/>
                    </w:rPr>
                  </w:pPr>
                  <w:r>
                    <w:rPr>
                      <w:rFonts w:hint="eastAsia" w:ascii="Times New Roman" w:hAnsi="Times New Roman"/>
                      <w:color w:val="auto"/>
                      <w:kern w:val="0"/>
                      <w:szCs w:val="21"/>
                      <w:highlight w:val="none"/>
                    </w:rPr>
                    <w:t>本项目运营期固体废弃物采取分类收集处置，对于能综合利用的固废进行回收</w:t>
                  </w:r>
                  <w:r>
                    <w:rPr>
                      <w:rFonts w:hint="eastAsia" w:ascii="Times New Roman" w:hAnsi="Times New Roman"/>
                      <w:color w:val="auto"/>
                      <w:kern w:val="0"/>
                      <w:szCs w:val="21"/>
                      <w:highlight w:val="none"/>
                      <w:lang w:eastAsia="zh-CN"/>
                    </w:rPr>
                    <w:t>。</w:t>
                  </w:r>
                </w:p>
              </w:tc>
              <w:tc>
                <w:tcPr>
                  <w:tcW w:w="485" w:type="dxa"/>
                  <w:shd w:val="clear" w:color="auto" w:fill="auto"/>
                  <w:noWrap w:val="0"/>
                  <w:vAlign w:val="center"/>
                </w:tcPr>
                <w:p w14:paraId="1741FA07">
                  <w:pPr>
                    <w:autoSpaceDE w:val="0"/>
                    <w:autoSpaceDN w:val="0"/>
                    <w:adjustRightInd w:val="0"/>
                    <w:snapToGrid w:val="0"/>
                    <w:spacing w:line="240" w:lineRule="auto"/>
                    <w:jc w:val="center"/>
                    <w:rPr>
                      <w:rFonts w:hint="eastAsia" w:ascii="Times New Roman" w:hAnsi="Times New Roman"/>
                      <w:color w:val="auto"/>
                      <w:kern w:val="0"/>
                      <w:szCs w:val="21"/>
                      <w:highlight w:val="none"/>
                    </w:rPr>
                  </w:pPr>
                  <w:r>
                    <w:rPr>
                      <w:rFonts w:hint="eastAsia" w:ascii="Times New Roman" w:hAnsi="Times New Roman"/>
                      <w:color w:val="auto"/>
                      <w:kern w:val="0"/>
                      <w:szCs w:val="21"/>
                      <w:highlight w:val="none"/>
                    </w:rPr>
                    <w:t>符合</w:t>
                  </w:r>
                </w:p>
              </w:tc>
            </w:tr>
            <w:tr w14:paraId="56985B1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983" w:type="dxa"/>
                  <w:vMerge w:val="continue"/>
                  <w:shd w:val="clear" w:color="auto" w:fill="auto"/>
                  <w:noWrap w:val="0"/>
                  <w:vAlign w:val="center"/>
                </w:tcPr>
                <w:p w14:paraId="6D9DF278">
                  <w:pPr>
                    <w:autoSpaceDE w:val="0"/>
                    <w:autoSpaceDN w:val="0"/>
                    <w:adjustRightInd w:val="0"/>
                    <w:snapToGrid w:val="0"/>
                    <w:spacing w:line="240" w:lineRule="auto"/>
                    <w:jc w:val="center"/>
                    <w:rPr>
                      <w:rFonts w:ascii="Times New Roman" w:hAnsi="Times New Roman"/>
                      <w:color w:val="auto"/>
                      <w:kern w:val="0"/>
                      <w:szCs w:val="21"/>
                      <w:highlight w:val="none"/>
                    </w:rPr>
                  </w:pPr>
                </w:p>
              </w:tc>
              <w:tc>
                <w:tcPr>
                  <w:tcW w:w="4385" w:type="dxa"/>
                  <w:shd w:val="clear" w:color="auto" w:fill="auto"/>
                  <w:noWrap w:val="0"/>
                  <w:vAlign w:val="center"/>
                </w:tcPr>
                <w:p w14:paraId="206809ED">
                  <w:pPr>
                    <w:autoSpaceDE w:val="0"/>
                    <w:autoSpaceDN w:val="0"/>
                    <w:adjustRightInd w:val="0"/>
                    <w:snapToGrid w:val="0"/>
                    <w:spacing w:line="240" w:lineRule="auto"/>
                    <w:jc w:val="center"/>
                    <w:rPr>
                      <w:rFonts w:hint="eastAsia" w:ascii="Times New Roman" w:hAnsi="Times New Roman" w:eastAsia="宋体"/>
                      <w:color w:val="auto"/>
                      <w:kern w:val="0"/>
                      <w:szCs w:val="21"/>
                      <w:highlight w:val="none"/>
                      <w:lang w:eastAsia="zh-CN"/>
                    </w:rPr>
                  </w:pPr>
                  <w:r>
                    <w:rPr>
                      <w:rFonts w:hint="eastAsia" w:ascii="Times New Roman" w:hAnsi="Times New Roman"/>
                      <w:color w:val="auto"/>
                      <w:kern w:val="0"/>
                      <w:szCs w:val="21"/>
                      <w:highlight w:val="none"/>
                    </w:rPr>
                    <w:t>第十九条：产生工业固体废物的单位，应当按照国家规定依法取得排污许可、实施清洁生产审核，建立健全固体废物产生、收集、贮存、运输、利用、处置全过程污染环境防治责任和台账管理制度，如实记录固体废物的种类、数量、流向、贮存、利用、处置等信息，实现可追溯、可查询，并采取防扬散、防流失、防渗漏或者其他防止污染环境的措施。禁止向生活垃圾收集设施中投放工业固体废物</w:t>
                  </w:r>
                  <w:r>
                    <w:rPr>
                      <w:rFonts w:hint="eastAsia" w:ascii="Times New Roman" w:hAnsi="Times New Roman"/>
                      <w:color w:val="auto"/>
                      <w:kern w:val="0"/>
                      <w:szCs w:val="21"/>
                      <w:highlight w:val="none"/>
                      <w:lang w:eastAsia="zh-CN"/>
                    </w:rPr>
                    <w:t>。</w:t>
                  </w:r>
                </w:p>
              </w:tc>
              <w:tc>
                <w:tcPr>
                  <w:tcW w:w="2144" w:type="dxa"/>
                  <w:shd w:val="clear" w:color="auto" w:fill="auto"/>
                  <w:noWrap w:val="0"/>
                  <w:vAlign w:val="center"/>
                </w:tcPr>
                <w:p w14:paraId="6AEE22D0">
                  <w:pPr>
                    <w:autoSpaceDE w:val="0"/>
                    <w:autoSpaceDN w:val="0"/>
                    <w:adjustRightInd w:val="0"/>
                    <w:snapToGrid w:val="0"/>
                    <w:spacing w:line="240" w:lineRule="auto"/>
                    <w:jc w:val="center"/>
                    <w:rPr>
                      <w:rFonts w:hint="eastAsia" w:ascii="Times New Roman" w:hAnsi="Times New Roman" w:eastAsia="宋体"/>
                      <w:color w:val="auto"/>
                      <w:kern w:val="0"/>
                      <w:szCs w:val="21"/>
                      <w:highlight w:val="none"/>
                      <w:lang w:eastAsia="zh-CN"/>
                    </w:rPr>
                  </w:pPr>
                  <w:r>
                    <w:rPr>
                      <w:rFonts w:hint="eastAsia" w:ascii="Times New Roman" w:hAnsi="Times New Roman"/>
                      <w:color w:val="auto"/>
                      <w:kern w:val="0"/>
                      <w:szCs w:val="21"/>
                      <w:highlight w:val="none"/>
                    </w:rPr>
                    <w:t>本项目运营期严格落实排污许可事项、危废转移、处置事项</w:t>
                  </w:r>
                  <w:r>
                    <w:rPr>
                      <w:rFonts w:hint="eastAsia" w:ascii="Times New Roman" w:hAnsi="Times New Roman"/>
                      <w:color w:val="auto"/>
                      <w:kern w:val="0"/>
                      <w:szCs w:val="21"/>
                      <w:highlight w:val="none"/>
                      <w:lang w:eastAsia="zh-CN"/>
                    </w:rPr>
                    <w:t>。</w:t>
                  </w:r>
                </w:p>
              </w:tc>
              <w:tc>
                <w:tcPr>
                  <w:tcW w:w="485" w:type="dxa"/>
                  <w:shd w:val="clear" w:color="auto" w:fill="auto"/>
                  <w:noWrap w:val="0"/>
                  <w:vAlign w:val="center"/>
                </w:tcPr>
                <w:p w14:paraId="607CEFB3">
                  <w:pPr>
                    <w:autoSpaceDE w:val="0"/>
                    <w:autoSpaceDN w:val="0"/>
                    <w:adjustRightInd w:val="0"/>
                    <w:snapToGrid w:val="0"/>
                    <w:spacing w:line="240" w:lineRule="auto"/>
                    <w:jc w:val="center"/>
                    <w:rPr>
                      <w:rFonts w:hint="eastAsia" w:ascii="Times New Roman" w:hAnsi="Times New Roman"/>
                      <w:color w:val="auto"/>
                      <w:kern w:val="0"/>
                      <w:szCs w:val="21"/>
                      <w:highlight w:val="none"/>
                    </w:rPr>
                  </w:pPr>
                  <w:r>
                    <w:rPr>
                      <w:rFonts w:hint="eastAsia" w:ascii="Times New Roman" w:hAnsi="Times New Roman"/>
                      <w:color w:val="auto"/>
                      <w:kern w:val="0"/>
                      <w:szCs w:val="21"/>
                      <w:highlight w:val="none"/>
                    </w:rPr>
                    <w:t>符合</w:t>
                  </w:r>
                </w:p>
              </w:tc>
            </w:tr>
            <w:tr w14:paraId="1E8D0A8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983" w:type="dxa"/>
                  <w:vMerge w:val="continue"/>
                  <w:shd w:val="clear" w:color="auto" w:fill="auto"/>
                  <w:noWrap w:val="0"/>
                  <w:vAlign w:val="center"/>
                </w:tcPr>
                <w:p w14:paraId="13BA891B">
                  <w:pPr>
                    <w:autoSpaceDE w:val="0"/>
                    <w:autoSpaceDN w:val="0"/>
                    <w:adjustRightInd w:val="0"/>
                    <w:snapToGrid w:val="0"/>
                    <w:spacing w:line="240" w:lineRule="auto"/>
                    <w:jc w:val="center"/>
                    <w:rPr>
                      <w:rFonts w:ascii="Times New Roman" w:hAnsi="Times New Roman"/>
                      <w:color w:val="auto"/>
                      <w:kern w:val="0"/>
                      <w:szCs w:val="21"/>
                      <w:highlight w:val="none"/>
                    </w:rPr>
                  </w:pPr>
                </w:p>
              </w:tc>
              <w:tc>
                <w:tcPr>
                  <w:tcW w:w="4385" w:type="dxa"/>
                  <w:shd w:val="clear" w:color="auto" w:fill="auto"/>
                  <w:noWrap w:val="0"/>
                  <w:vAlign w:val="center"/>
                </w:tcPr>
                <w:p w14:paraId="1F7DD431">
                  <w:pPr>
                    <w:autoSpaceDE w:val="0"/>
                    <w:autoSpaceDN w:val="0"/>
                    <w:adjustRightInd w:val="0"/>
                    <w:snapToGrid w:val="0"/>
                    <w:spacing w:line="240" w:lineRule="auto"/>
                    <w:jc w:val="center"/>
                    <w:rPr>
                      <w:rFonts w:hint="eastAsia" w:ascii="Times New Roman" w:hAnsi="Times New Roman" w:eastAsia="宋体"/>
                      <w:color w:val="auto"/>
                      <w:kern w:val="0"/>
                      <w:szCs w:val="21"/>
                      <w:highlight w:val="none"/>
                      <w:lang w:eastAsia="zh-CN"/>
                    </w:rPr>
                  </w:pPr>
                  <w:r>
                    <w:rPr>
                      <w:rFonts w:hint="eastAsia" w:ascii="Times New Roman" w:hAnsi="Times New Roman"/>
                      <w:color w:val="auto"/>
                      <w:kern w:val="0"/>
                      <w:szCs w:val="21"/>
                      <w:highlight w:val="none"/>
                    </w:rPr>
                    <w:t>第二十一条：产生工业固体废物的单位应当根据经济、技术条件对工业固体废物加以利用。对暂时不利用或者不能利用的，应当按照国家规定和环境保护标准采取安全防护措施进行分类存放，或者采取无害化处置措施</w:t>
                  </w:r>
                  <w:r>
                    <w:rPr>
                      <w:rFonts w:hint="eastAsia" w:ascii="Times New Roman" w:hAnsi="Times New Roman"/>
                      <w:color w:val="auto"/>
                      <w:kern w:val="0"/>
                      <w:szCs w:val="21"/>
                      <w:highlight w:val="none"/>
                      <w:lang w:eastAsia="zh-CN"/>
                    </w:rPr>
                    <w:t>。</w:t>
                  </w:r>
                </w:p>
              </w:tc>
              <w:tc>
                <w:tcPr>
                  <w:tcW w:w="2144" w:type="dxa"/>
                  <w:shd w:val="clear" w:color="auto" w:fill="auto"/>
                  <w:noWrap w:val="0"/>
                  <w:vAlign w:val="center"/>
                </w:tcPr>
                <w:p w14:paraId="0A7571AA">
                  <w:pPr>
                    <w:autoSpaceDE w:val="0"/>
                    <w:autoSpaceDN w:val="0"/>
                    <w:adjustRightInd w:val="0"/>
                    <w:snapToGrid w:val="0"/>
                    <w:spacing w:line="240" w:lineRule="auto"/>
                    <w:jc w:val="center"/>
                    <w:rPr>
                      <w:rFonts w:hint="eastAsia" w:ascii="Times New Roman" w:hAnsi="Times New Roman" w:eastAsia="宋体"/>
                      <w:color w:val="auto"/>
                      <w:kern w:val="0"/>
                      <w:szCs w:val="21"/>
                      <w:highlight w:val="none"/>
                      <w:lang w:eastAsia="zh-CN"/>
                    </w:rPr>
                  </w:pPr>
                  <w:r>
                    <w:rPr>
                      <w:rFonts w:hint="eastAsia" w:ascii="Times New Roman" w:hAnsi="Times New Roman"/>
                      <w:color w:val="auto"/>
                      <w:kern w:val="0"/>
                      <w:szCs w:val="21"/>
                      <w:highlight w:val="none"/>
                    </w:rPr>
                    <w:t>本项目运营期固废采取分类收集处置</w:t>
                  </w:r>
                  <w:r>
                    <w:rPr>
                      <w:rFonts w:hint="eastAsia" w:ascii="Times New Roman" w:hAnsi="Times New Roman"/>
                      <w:color w:val="auto"/>
                      <w:kern w:val="0"/>
                      <w:szCs w:val="21"/>
                      <w:highlight w:val="none"/>
                      <w:lang w:eastAsia="zh-CN"/>
                    </w:rPr>
                    <w:t>。</w:t>
                  </w:r>
                </w:p>
              </w:tc>
              <w:tc>
                <w:tcPr>
                  <w:tcW w:w="485" w:type="dxa"/>
                  <w:shd w:val="clear" w:color="auto" w:fill="auto"/>
                  <w:noWrap w:val="0"/>
                  <w:vAlign w:val="center"/>
                </w:tcPr>
                <w:p w14:paraId="677D135A">
                  <w:pPr>
                    <w:autoSpaceDE w:val="0"/>
                    <w:autoSpaceDN w:val="0"/>
                    <w:adjustRightInd w:val="0"/>
                    <w:snapToGrid w:val="0"/>
                    <w:spacing w:line="240" w:lineRule="auto"/>
                    <w:jc w:val="center"/>
                    <w:rPr>
                      <w:rFonts w:hint="eastAsia" w:ascii="Times New Roman" w:hAnsi="Times New Roman"/>
                      <w:color w:val="auto"/>
                      <w:kern w:val="0"/>
                      <w:szCs w:val="21"/>
                      <w:highlight w:val="none"/>
                    </w:rPr>
                  </w:pPr>
                  <w:r>
                    <w:rPr>
                      <w:rFonts w:hint="eastAsia" w:ascii="Times New Roman" w:hAnsi="Times New Roman"/>
                      <w:color w:val="auto"/>
                      <w:kern w:val="0"/>
                      <w:szCs w:val="21"/>
                      <w:highlight w:val="none"/>
                    </w:rPr>
                    <w:t>符合</w:t>
                  </w:r>
                </w:p>
              </w:tc>
            </w:tr>
          </w:tbl>
          <w:p w14:paraId="10E04034">
            <w:pPr>
              <w:pStyle w:val="66"/>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textAlignment w:val="auto"/>
              <w:rPr>
                <w:rFonts w:hint="eastAsia"/>
                <w:b/>
                <w:bCs/>
                <w:color w:val="auto"/>
              </w:rPr>
            </w:pPr>
            <w:r>
              <w:rPr>
                <w:rFonts w:hint="eastAsia" w:ascii="Times New Roman" w:hAnsi="Times New Roman" w:eastAsia="宋体" w:cs="Times New Roman"/>
                <w:color w:val="auto"/>
                <w:sz w:val="24"/>
                <w:lang w:val="en-US" w:eastAsia="zh-CN"/>
              </w:rPr>
              <w:t>综上，本项目</w:t>
            </w:r>
            <w:r>
              <w:rPr>
                <w:rFonts w:hint="default" w:ascii="Times New Roman" w:hAnsi="Times New Roman" w:eastAsia="宋体" w:cs="Times New Roman"/>
                <w:color w:val="auto"/>
                <w:sz w:val="24"/>
              </w:rPr>
              <w:t>与</w:t>
            </w:r>
            <w:r>
              <w:rPr>
                <w:rFonts w:hint="eastAsia" w:ascii="Times New Roman" w:hAnsi="Times New Roman" w:eastAsia="宋体" w:cs="Times New Roman"/>
                <w:color w:val="auto"/>
                <w:sz w:val="24"/>
                <w:lang w:val="en-US" w:eastAsia="zh-CN"/>
              </w:rPr>
              <w:t>固体废弃物</w:t>
            </w:r>
            <w:r>
              <w:rPr>
                <w:rFonts w:hint="default" w:ascii="Times New Roman" w:hAnsi="Times New Roman" w:eastAsia="宋体" w:cs="Times New Roman"/>
                <w:color w:val="auto"/>
                <w:sz w:val="24"/>
              </w:rPr>
              <w:t>防治相关法规、规范</w:t>
            </w:r>
            <w:r>
              <w:rPr>
                <w:rFonts w:hint="eastAsia" w:ascii="Times New Roman" w:hAnsi="Times New Roman" w:eastAsia="宋体" w:cs="Times New Roman"/>
                <w:color w:val="auto"/>
                <w:sz w:val="24"/>
                <w:lang w:val="en-US" w:eastAsia="zh-CN"/>
              </w:rPr>
              <w:t>相符合。</w:t>
            </w:r>
          </w:p>
          <w:p w14:paraId="742A7B10">
            <w:pPr>
              <w:pStyle w:val="66"/>
              <w:keepNext w:val="0"/>
              <w:keepLines w:val="0"/>
              <w:pageBreakBefore w:val="0"/>
              <w:widowControl w:val="0"/>
              <w:kinsoku/>
              <w:wordWrap/>
              <w:overflowPunct/>
              <w:topLinePunct w:val="0"/>
              <w:autoSpaceDE w:val="0"/>
              <w:autoSpaceDN w:val="0"/>
              <w:bidi w:val="0"/>
              <w:adjustRightInd w:val="0"/>
              <w:snapToGrid w:val="0"/>
              <w:spacing w:line="360" w:lineRule="auto"/>
              <w:ind w:firstLine="482" w:firstLineChars="200"/>
              <w:textAlignment w:val="auto"/>
              <w:rPr>
                <w:rFonts w:hint="eastAsia"/>
                <w:b/>
                <w:bCs/>
                <w:color w:val="auto"/>
              </w:rPr>
            </w:pPr>
            <w:r>
              <w:rPr>
                <w:rFonts w:hint="eastAsia"/>
                <w:b/>
                <w:bCs/>
                <w:color w:val="auto"/>
                <w:lang w:val="en-US" w:eastAsia="zh-CN"/>
              </w:rPr>
              <w:t>7、</w:t>
            </w:r>
            <w:r>
              <w:rPr>
                <w:rFonts w:hint="eastAsia"/>
                <w:b/>
                <w:bCs/>
                <w:color w:val="auto"/>
              </w:rPr>
              <w:t>与《四川省、重庆市长江经济带发展负面清单实施细则（试行，2022年版）》（川长江办〔2022〕17号）的符合性分析</w:t>
            </w:r>
          </w:p>
          <w:p w14:paraId="391D6CC7">
            <w:pPr>
              <w:pStyle w:val="66"/>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textAlignment w:val="auto"/>
              <w:rPr>
                <w:rFonts w:hint="eastAsia" w:eastAsia="宋体"/>
                <w:b/>
                <w:bCs/>
                <w:color w:val="auto"/>
                <w:lang w:eastAsia="zh-CN"/>
              </w:rPr>
            </w:pPr>
            <w:r>
              <w:rPr>
                <w:color w:val="auto"/>
              </w:rPr>
              <w:t>本</w:t>
            </w:r>
            <w:r>
              <w:rPr>
                <w:rFonts w:hint="default" w:ascii="Times New Roman" w:hAnsi="Times New Roman" w:eastAsia="宋体" w:cs="Times New Roman"/>
                <w:b w:val="0"/>
                <w:bCs w:val="0"/>
                <w:color w:val="auto"/>
                <w:sz w:val="24"/>
              </w:rPr>
              <w:t>项</w:t>
            </w:r>
            <w:r>
              <w:rPr>
                <w:rFonts w:hint="default" w:ascii="Times New Roman" w:hAnsi="Times New Roman" w:cs="Times New Roman"/>
                <w:b w:val="0"/>
                <w:bCs w:val="0"/>
                <w:color w:val="auto"/>
                <w:sz w:val="24"/>
              </w:rPr>
              <w:t>目</w:t>
            </w:r>
            <w:r>
              <w:rPr>
                <w:rFonts w:hint="eastAsia" w:ascii="Times New Roman" w:hAnsi="Times New Roman" w:cs="Times New Roman"/>
                <w:b w:val="0"/>
                <w:bCs w:val="0"/>
                <w:color w:val="auto"/>
                <w:sz w:val="24"/>
              </w:rPr>
              <w:t>与《四川省、重庆市长江经济带发展负面清单实施细则（试行，2022年版）》（川长江办〔2022〕17号）</w:t>
            </w:r>
            <w:r>
              <w:rPr>
                <w:rFonts w:hint="default" w:ascii="Times New Roman" w:hAnsi="Times New Roman" w:cs="Times New Roman"/>
                <w:b w:val="0"/>
                <w:bCs w:val="0"/>
                <w:color w:val="auto"/>
                <w:sz w:val="24"/>
              </w:rPr>
              <w:t>符合性</w:t>
            </w:r>
            <w:r>
              <w:rPr>
                <w:rFonts w:hint="default" w:ascii="Times New Roman" w:hAnsi="Times New Roman" w:cs="Times New Roman"/>
                <w:color w:val="auto"/>
                <w:sz w:val="24"/>
              </w:rPr>
              <w:t>分析</w:t>
            </w:r>
            <w:r>
              <w:rPr>
                <w:rFonts w:hint="default" w:ascii="Times New Roman" w:hAnsi="Times New Roman" w:cs="Times New Roman"/>
                <w:color w:val="auto"/>
                <w:sz w:val="24"/>
                <w:lang w:eastAsia="zh-CN"/>
              </w:rPr>
              <w:t>见下</w:t>
            </w:r>
            <w:r>
              <w:rPr>
                <w:rFonts w:hint="default" w:ascii="Times New Roman" w:hAnsi="Times New Roman" w:cs="Times New Roman"/>
                <w:color w:val="auto"/>
                <w:sz w:val="24"/>
              </w:rPr>
              <w:t>表所示</w:t>
            </w:r>
            <w:r>
              <w:rPr>
                <w:rFonts w:hint="eastAsia" w:cs="Times New Roman"/>
                <w:color w:val="auto"/>
                <w:sz w:val="24"/>
                <w:lang w:eastAsia="zh-CN"/>
              </w:rPr>
              <w:t>：</w:t>
            </w:r>
          </w:p>
          <w:p w14:paraId="44F6FA92">
            <w:pPr>
              <w:pStyle w:val="68"/>
              <w:rPr>
                <w:rFonts w:hint="eastAsia" w:ascii="Times New Roman" w:hAnsi="Times New Roman" w:eastAsia="宋体" w:cs="Times New Roman"/>
                <w:b/>
                <w:bCs/>
                <w:color w:val="auto"/>
              </w:rPr>
            </w:pPr>
            <w:r>
              <w:rPr>
                <w:rFonts w:hint="eastAsia" w:ascii="Times New Roman" w:hAnsi="Times New Roman" w:eastAsia="宋体" w:cs="Times New Roman"/>
                <w:b/>
                <w:bCs/>
                <w:color w:val="auto"/>
              </w:rPr>
              <w:t>表1-</w:t>
            </w:r>
            <w:r>
              <w:rPr>
                <w:rFonts w:hint="eastAsia" w:eastAsia="宋体" w:cs="Times New Roman"/>
                <w:b/>
                <w:bCs/>
                <w:color w:val="auto"/>
                <w:lang w:val="en-US" w:eastAsia="zh-CN"/>
              </w:rPr>
              <w:t>11</w:t>
            </w:r>
            <w:r>
              <w:rPr>
                <w:rFonts w:hint="eastAsia" w:ascii="Times New Roman" w:hAnsi="Times New Roman" w:eastAsia="宋体" w:cs="Times New Roman"/>
                <w:b/>
                <w:bCs/>
                <w:color w:val="auto"/>
              </w:rPr>
              <w:t xml:space="preserve">  项目与《四川省、重庆市长江经济带发展负面清单实施细则（试行，2022年版）》（川长江办〔2022〕17号）的符合性</w:t>
            </w:r>
          </w:p>
          <w:tbl>
            <w:tblPr>
              <w:tblStyle w:val="41"/>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57" w:type="dxa"/>
                <w:bottom w:w="0" w:type="dxa"/>
                <w:right w:w="57" w:type="dxa"/>
              </w:tblCellMar>
            </w:tblPr>
            <w:tblGrid>
              <w:gridCol w:w="5870"/>
              <w:gridCol w:w="1585"/>
              <w:gridCol w:w="569"/>
            </w:tblGrid>
            <w:tr w14:paraId="5075E52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jc w:val="center"/>
              </w:trPr>
              <w:tc>
                <w:tcPr>
                  <w:tcW w:w="6079" w:type="dxa"/>
                  <w:shd w:val="clear" w:color="auto" w:fill="auto"/>
                  <w:vAlign w:val="center"/>
                </w:tcPr>
                <w:p w14:paraId="501B6B6E">
                  <w:pPr>
                    <w:pStyle w:val="70"/>
                    <w:spacing w:line="240" w:lineRule="auto"/>
                    <w:rPr>
                      <w:rFonts w:hint="default" w:ascii="Times New Roman" w:hAnsi="Times New Roman" w:eastAsia="宋体" w:cs="Times New Roman"/>
                      <w:b/>
                      <w:color w:val="auto"/>
                      <w:sz w:val="21"/>
                      <w:szCs w:val="21"/>
                      <w:lang w:val="en-US" w:eastAsia="zh-CN"/>
                    </w:rPr>
                  </w:pPr>
                  <w:r>
                    <w:rPr>
                      <w:rFonts w:hint="eastAsia" w:ascii="Times New Roman" w:hAnsi="Times New Roman" w:eastAsia="宋体" w:cs="Times New Roman"/>
                      <w:b/>
                      <w:color w:val="auto"/>
                      <w:sz w:val="21"/>
                      <w:szCs w:val="21"/>
                      <w:lang w:val="en-US" w:eastAsia="zh-CN"/>
                    </w:rPr>
                    <w:t>川长江办〔2022〕17号</w:t>
                  </w:r>
                  <w:r>
                    <w:rPr>
                      <w:rFonts w:hint="default" w:ascii="Times New Roman" w:hAnsi="Times New Roman" w:eastAsia="宋体" w:cs="Times New Roman"/>
                      <w:b/>
                      <w:color w:val="auto"/>
                      <w:sz w:val="21"/>
                      <w:szCs w:val="21"/>
                      <w:lang w:val="en-US" w:eastAsia="zh-CN"/>
                    </w:rPr>
                    <w:t>要求</w:t>
                  </w:r>
                </w:p>
              </w:tc>
              <w:tc>
                <w:tcPr>
                  <w:tcW w:w="1642" w:type="dxa"/>
                  <w:shd w:val="clear" w:color="auto" w:fill="auto"/>
                  <w:vAlign w:val="center"/>
                </w:tcPr>
                <w:p w14:paraId="7CDFFC2C">
                  <w:pPr>
                    <w:pStyle w:val="70"/>
                    <w:spacing w:line="240" w:lineRule="auto"/>
                    <w:rPr>
                      <w:rFonts w:hint="default" w:ascii="Times New Roman" w:hAnsi="Times New Roman" w:eastAsia="宋体" w:cs="Times New Roman"/>
                      <w:b/>
                      <w:color w:val="auto"/>
                      <w:sz w:val="21"/>
                      <w:szCs w:val="21"/>
                      <w:lang w:val="en-US" w:eastAsia="zh-CN"/>
                    </w:rPr>
                  </w:pPr>
                  <w:r>
                    <w:rPr>
                      <w:rFonts w:hint="default" w:ascii="Times New Roman" w:hAnsi="Times New Roman" w:eastAsia="宋体" w:cs="Times New Roman"/>
                      <w:b/>
                      <w:color w:val="auto"/>
                      <w:sz w:val="21"/>
                      <w:szCs w:val="21"/>
                      <w:lang w:val="en-US" w:eastAsia="zh-CN"/>
                    </w:rPr>
                    <w:t>本项目情况</w:t>
                  </w:r>
                </w:p>
              </w:tc>
              <w:tc>
                <w:tcPr>
                  <w:tcW w:w="589" w:type="dxa"/>
                  <w:shd w:val="clear" w:color="auto" w:fill="auto"/>
                  <w:vAlign w:val="center"/>
                </w:tcPr>
                <w:p w14:paraId="48FC897B">
                  <w:pPr>
                    <w:pStyle w:val="70"/>
                    <w:spacing w:line="240" w:lineRule="auto"/>
                    <w:rPr>
                      <w:rFonts w:hint="default" w:ascii="Times New Roman" w:hAnsi="Times New Roman" w:eastAsia="宋体" w:cs="Times New Roman"/>
                      <w:b/>
                      <w:color w:val="auto"/>
                      <w:sz w:val="21"/>
                      <w:szCs w:val="21"/>
                      <w:lang w:val="en-US" w:eastAsia="zh-CN"/>
                    </w:rPr>
                  </w:pPr>
                  <w:r>
                    <w:rPr>
                      <w:rFonts w:hint="default" w:ascii="Times New Roman" w:hAnsi="Times New Roman" w:eastAsia="宋体" w:cs="Times New Roman"/>
                      <w:b/>
                      <w:color w:val="auto"/>
                      <w:sz w:val="21"/>
                      <w:szCs w:val="21"/>
                      <w:lang w:val="en-US" w:eastAsia="zh-CN"/>
                    </w:rPr>
                    <w:t>符合性</w:t>
                  </w:r>
                </w:p>
              </w:tc>
            </w:tr>
            <w:tr w14:paraId="426965C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jc w:val="center"/>
              </w:trPr>
              <w:tc>
                <w:tcPr>
                  <w:tcW w:w="6079" w:type="dxa"/>
                  <w:shd w:val="clear" w:color="auto" w:fill="auto"/>
                  <w:vAlign w:val="center"/>
                </w:tcPr>
                <w:p w14:paraId="453F93E8">
                  <w:pPr>
                    <w:pStyle w:val="70"/>
                    <w:spacing w:line="240" w:lineRule="auto"/>
                    <w:jc w:val="both"/>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 xml:space="preserve">第五条 </w:t>
                  </w:r>
                  <w:r>
                    <w:rPr>
                      <w:rFonts w:hint="default" w:ascii="Times New Roman" w:hAnsi="Times New Roman" w:eastAsia="宋体" w:cs="Times New Roman"/>
                      <w:color w:val="auto"/>
                      <w:sz w:val="21"/>
                      <w:szCs w:val="21"/>
                    </w:rPr>
                    <w:t>禁止新建、改建和扩建不符合全国港口布局规划，以及</w:t>
                  </w:r>
                  <w:r>
                    <w:rPr>
                      <w:rFonts w:hint="eastAsia" w:ascii="Times New Roman" w:hAnsi="Times New Roman" w:eastAsia="宋体" w:cs="Times New Roman"/>
                      <w:color w:val="auto"/>
                      <w:sz w:val="21"/>
                      <w:szCs w:val="21"/>
                    </w:rPr>
                    <w:t>《四川省</w:t>
                  </w:r>
                  <w:r>
                    <w:rPr>
                      <w:rFonts w:hint="default" w:ascii="Times New Roman" w:hAnsi="Times New Roman" w:eastAsia="宋体" w:cs="Times New Roman"/>
                      <w:color w:val="auto"/>
                      <w:sz w:val="21"/>
                      <w:szCs w:val="21"/>
                    </w:rPr>
                    <w:t>内河水运发展规划</w:t>
                  </w:r>
                  <w:r>
                    <w:rPr>
                      <w:rFonts w:hint="eastAsia" w:ascii="Times New Roman" w:hAnsi="Times New Roman" w:eastAsia="宋体" w:cs="Times New Roman"/>
                      <w:color w:val="auto"/>
                      <w:sz w:val="21"/>
                      <w:szCs w:val="21"/>
                    </w:rPr>
                    <w:t>》《泸州-宜宾-乐山港</w:t>
                  </w:r>
                  <w:r>
                    <w:rPr>
                      <w:rFonts w:hint="default" w:ascii="Times New Roman" w:hAnsi="Times New Roman" w:eastAsia="宋体" w:cs="Times New Roman"/>
                      <w:color w:val="auto"/>
                      <w:sz w:val="21"/>
                      <w:szCs w:val="21"/>
                    </w:rPr>
                    <w:t>口群布局规划</w:t>
                  </w:r>
                  <w:r>
                    <w:rPr>
                      <w:rFonts w:hint="eastAsia" w:ascii="Times New Roman" w:hAnsi="Times New Roman" w:eastAsia="宋体" w:cs="Times New Roman"/>
                      <w:color w:val="auto"/>
                      <w:sz w:val="21"/>
                      <w:szCs w:val="21"/>
                    </w:rPr>
                    <w:t>》《</w:t>
                  </w:r>
                  <w:r>
                    <w:rPr>
                      <w:rFonts w:hint="default" w:ascii="Times New Roman" w:hAnsi="Times New Roman" w:eastAsia="宋体" w:cs="Times New Roman"/>
                      <w:color w:val="auto"/>
                      <w:sz w:val="21"/>
                      <w:szCs w:val="21"/>
                    </w:rPr>
                    <w:t>重庆港总体规划</w:t>
                  </w:r>
                  <w:r>
                    <w:rPr>
                      <w:rFonts w:hint="eastAsia" w:ascii="Times New Roman" w:hAnsi="Times New Roman" w:eastAsia="宋体" w:cs="Times New Roman"/>
                      <w:color w:val="auto"/>
                      <w:sz w:val="21"/>
                      <w:szCs w:val="21"/>
                    </w:rPr>
                    <w:t>（</w:t>
                  </w:r>
                  <w:r>
                    <w:rPr>
                      <w:rFonts w:hint="default" w:ascii="Times New Roman" w:hAnsi="Times New Roman" w:eastAsia="宋体" w:cs="Times New Roman"/>
                      <w:color w:val="auto"/>
                      <w:sz w:val="21"/>
                      <w:szCs w:val="21"/>
                    </w:rPr>
                    <w:t>2035</w:t>
                  </w:r>
                  <w:r>
                    <w:rPr>
                      <w:rFonts w:hint="eastAsia" w:ascii="Times New Roman" w:hAnsi="Times New Roman" w:eastAsia="宋体" w:cs="Times New Roman"/>
                      <w:color w:val="auto"/>
                      <w:sz w:val="21"/>
                      <w:szCs w:val="21"/>
                    </w:rPr>
                    <w:t>）》</w:t>
                  </w:r>
                  <w:r>
                    <w:rPr>
                      <w:rFonts w:hint="default" w:ascii="Times New Roman" w:hAnsi="Times New Roman" w:eastAsia="宋体" w:cs="Times New Roman"/>
                      <w:color w:val="auto"/>
                      <w:sz w:val="21"/>
                      <w:szCs w:val="21"/>
                    </w:rPr>
                    <w:t>等省级港口布局规划</w:t>
                  </w:r>
                  <w:r>
                    <w:rPr>
                      <w:rFonts w:hint="eastAsia" w:ascii="Times New Roman" w:hAnsi="Times New Roman" w:eastAsia="宋体" w:cs="Times New Roman"/>
                      <w:color w:val="auto"/>
                      <w:sz w:val="21"/>
                      <w:szCs w:val="21"/>
                    </w:rPr>
                    <w:t>及</w:t>
                  </w:r>
                  <w:r>
                    <w:rPr>
                      <w:rFonts w:hint="default" w:ascii="Times New Roman" w:hAnsi="Times New Roman" w:eastAsia="宋体" w:cs="Times New Roman"/>
                      <w:color w:val="auto"/>
                      <w:sz w:val="21"/>
                      <w:szCs w:val="21"/>
                    </w:rPr>
                    <w:t>市级港口总体规划的码头项目。</w:t>
                  </w:r>
                </w:p>
              </w:tc>
              <w:tc>
                <w:tcPr>
                  <w:tcW w:w="1642" w:type="dxa"/>
                  <w:shd w:val="clear" w:color="auto" w:fill="auto"/>
                  <w:vAlign w:val="center"/>
                </w:tcPr>
                <w:p w14:paraId="44632246">
                  <w:pPr>
                    <w:pStyle w:val="70"/>
                    <w:spacing w:line="240" w:lineRule="auto"/>
                    <w:jc w:val="center"/>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不涉及</w:t>
                  </w:r>
                </w:p>
              </w:tc>
              <w:tc>
                <w:tcPr>
                  <w:tcW w:w="589" w:type="dxa"/>
                  <w:shd w:val="clear" w:color="auto" w:fill="auto"/>
                  <w:vAlign w:val="center"/>
                </w:tcPr>
                <w:p w14:paraId="489F22F1">
                  <w:pPr>
                    <w:pStyle w:val="70"/>
                    <w:spacing w:line="240" w:lineRule="auto"/>
                    <w:jc w:val="center"/>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w:t>
                  </w:r>
                </w:p>
              </w:tc>
            </w:tr>
            <w:tr w14:paraId="5F1DA7D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jc w:val="center"/>
              </w:trPr>
              <w:tc>
                <w:tcPr>
                  <w:tcW w:w="6079" w:type="dxa"/>
                  <w:shd w:val="clear" w:color="auto" w:fill="auto"/>
                  <w:vAlign w:val="center"/>
                </w:tcPr>
                <w:p w14:paraId="4E443C74">
                  <w:pPr>
                    <w:pStyle w:val="70"/>
                    <w:spacing w:line="240" w:lineRule="auto"/>
                    <w:jc w:val="both"/>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第六条</w:t>
                  </w:r>
                  <w:r>
                    <w:rPr>
                      <w:rFonts w:hint="eastAsia" w:ascii="Times New Roman" w:hAnsi="Times New Roman" w:eastAsia="宋体" w:cs="Times New Roman"/>
                      <w:color w:val="auto"/>
                      <w:sz w:val="21"/>
                      <w:szCs w:val="21"/>
                    </w:rPr>
                    <w:t xml:space="preserve"> </w:t>
                  </w:r>
                  <w:r>
                    <w:rPr>
                      <w:rFonts w:hint="default" w:ascii="Times New Roman" w:hAnsi="Times New Roman" w:eastAsia="宋体" w:cs="Times New Roman"/>
                      <w:color w:val="auto"/>
                      <w:sz w:val="21"/>
                      <w:szCs w:val="21"/>
                    </w:rPr>
                    <w:t>禁止新建改建和扩建不符合《长江干线过江通道布局规划</w:t>
                  </w:r>
                  <w:r>
                    <w:rPr>
                      <w:rFonts w:hint="eastAsia" w:ascii="Times New Roman" w:hAnsi="Times New Roman" w:eastAsia="宋体" w:cs="Times New Roman"/>
                      <w:color w:val="auto"/>
                      <w:sz w:val="21"/>
                      <w:szCs w:val="21"/>
                    </w:rPr>
                    <w:t>（2</w:t>
                  </w:r>
                  <w:r>
                    <w:rPr>
                      <w:rFonts w:hint="default" w:ascii="Times New Roman" w:hAnsi="Times New Roman" w:eastAsia="宋体" w:cs="Times New Roman"/>
                      <w:color w:val="auto"/>
                      <w:sz w:val="21"/>
                      <w:szCs w:val="21"/>
                    </w:rPr>
                    <w:t>020-2035</w:t>
                  </w:r>
                  <w:r>
                    <w:rPr>
                      <w:rFonts w:hint="eastAsia" w:ascii="Times New Roman" w:hAnsi="Times New Roman" w:eastAsia="宋体" w:cs="Times New Roman"/>
                      <w:color w:val="auto"/>
                      <w:sz w:val="21"/>
                      <w:szCs w:val="21"/>
                    </w:rPr>
                    <w:t>年）》</w:t>
                  </w:r>
                  <w:r>
                    <w:rPr>
                      <w:rFonts w:hint="default" w:ascii="Times New Roman" w:hAnsi="Times New Roman" w:eastAsia="宋体" w:cs="Times New Roman"/>
                      <w:color w:val="auto"/>
                      <w:sz w:val="21"/>
                      <w:szCs w:val="21"/>
                    </w:rPr>
                    <w:t>的过长江通道项目</w:t>
                  </w:r>
                  <w:r>
                    <w:rPr>
                      <w:rFonts w:hint="eastAsia" w:ascii="Times New Roman" w:hAnsi="Times New Roman" w:eastAsia="宋体" w:cs="Times New Roman"/>
                      <w:color w:val="auto"/>
                      <w:sz w:val="21"/>
                      <w:szCs w:val="21"/>
                    </w:rPr>
                    <w:t>（</w:t>
                  </w:r>
                  <w:r>
                    <w:rPr>
                      <w:rFonts w:hint="default" w:ascii="Times New Roman" w:hAnsi="Times New Roman" w:eastAsia="宋体" w:cs="Times New Roman"/>
                      <w:color w:val="auto"/>
                      <w:sz w:val="21"/>
                      <w:szCs w:val="21"/>
                    </w:rPr>
                    <w:t>含桥梁、</w:t>
                  </w:r>
                  <w:r>
                    <w:rPr>
                      <w:rFonts w:hint="eastAsia" w:ascii="Times New Roman" w:hAnsi="Times New Roman" w:eastAsia="宋体" w:cs="Times New Roman"/>
                      <w:color w:val="auto"/>
                      <w:sz w:val="21"/>
                      <w:szCs w:val="21"/>
                    </w:rPr>
                    <w:t>隧道）</w:t>
                  </w:r>
                  <w:r>
                    <w:rPr>
                      <w:rFonts w:hint="default" w:ascii="Times New Roman" w:hAnsi="Times New Roman" w:eastAsia="宋体" w:cs="Times New Roman"/>
                      <w:color w:val="auto"/>
                      <w:sz w:val="21"/>
                      <w:szCs w:val="21"/>
                    </w:rPr>
                    <w:t>，国家发展改革委同意过长江通道线位调整的除外。</w:t>
                  </w:r>
                </w:p>
              </w:tc>
              <w:tc>
                <w:tcPr>
                  <w:tcW w:w="1642" w:type="dxa"/>
                  <w:shd w:val="clear" w:color="auto" w:fill="auto"/>
                  <w:vAlign w:val="center"/>
                </w:tcPr>
                <w:p w14:paraId="52F97E99">
                  <w:pPr>
                    <w:pStyle w:val="70"/>
                    <w:spacing w:line="240" w:lineRule="auto"/>
                    <w:jc w:val="center"/>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不涉及</w:t>
                  </w:r>
                </w:p>
              </w:tc>
              <w:tc>
                <w:tcPr>
                  <w:tcW w:w="589" w:type="dxa"/>
                  <w:shd w:val="clear" w:color="auto" w:fill="auto"/>
                  <w:vAlign w:val="center"/>
                </w:tcPr>
                <w:p w14:paraId="5FA0FC1B">
                  <w:pPr>
                    <w:pStyle w:val="70"/>
                    <w:spacing w:line="240" w:lineRule="auto"/>
                    <w:jc w:val="center"/>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w:t>
                  </w:r>
                </w:p>
              </w:tc>
            </w:tr>
            <w:tr w14:paraId="5C0D524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jc w:val="center"/>
              </w:trPr>
              <w:tc>
                <w:tcPr>
                  <w:tcW w:w="6079" w:type="dxa"/>
                  <w:shd w:val="clear" w:color="auto" w:fill="auto"/>
                  <w:vAlign w:val="center"/>
                </w:tcPr>
                <w:p w14:paraId="645CCC7B">
                  <w:pPr>
                    <w:pStyle w:val="70"/>
                    <w:spacing w:line="240" w:lineRule="auto"/>
                    <w:jc w:val="both"/>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第七条</w:t>
                  </w:r>
                  <w:r>
                    <w:rPr>
                      <w:rFonts w:hint="eastAsia" w:ascii="Times New Roman" w:hAnsi="Times New Roman" w:eastAsia="宋体" w:cs="Times New Roman"/>
                      <w:color w:val="auto"/>
                      <w:sz w:val="21"/>
                      <w:szCs w:val="21"/>
                    </w:rPr>
                    <w:t xml:space="preserve"> </w:t>
                  </w:r>
                  <w:r>
                    <w:rPr>
                      <w:rFonts w:hint="default" w:ascii="Times New Roman" w:hAnsi="Times New Roman" w:eastAsia="宋体" w:cs="Times New Roman"/>
                      <w:color w:val="auto"/>
                      <w:sz w:val="21"/>
                      <w:szCs w:val="21"/>
                    </w:rPr>
                    <w:t>禁止在自然保护区核心区</w:t>
                  </w:r>
                  <w:r>
                    <w:rPr>
                      <w:rFonts w:hint="eastAsia" w:ascii="Times New Roman" w:hAnsi="Times New Roman" w:eastAsia="宋体" w:cs="Times New Roman"/>
                      <w:color w:val="auto"/>
                      <w:sz w:val="21"/>
                      <w:szCs w:val="21"/>
                    </w:rPr>
                    <w:t>、</w:t>
                  </w:r>
                  <w:r>
                    <w:rPr>
                      <w:rFonts w:hint="default" w:ascii="Times New Roman" w:hAnsi="Times New Roman" w:eastAsia="宋体" w:cs="Times New Roman"/>
                      <w:color w:val="auto"/>
                      <w:sz w:val="21"/>
                      <w:szCs w:val="21"/>
                    </w:rPr>
                    <w:t>缓冲区的岸线和河段范围内投资建设旅游和生产经营项目。自然保护区的内部未分区的依照核心区和缓冲区的规定管控。</w:t>
                  </w:r>
                </w:p>
              </w:tc>
              <w:tc>
                <w:tcPr>
                  <w:tcW w:w="1642" w:type="dxa"/>
                  <w:shd w:val="clear" w:color="auto" w:fill="auto"/>
                  <w:vAlign w:val="center"/>
                </w:tcPr>
                <w:p w14:paraId="66A9A81E">
                  <w:pPr>
                    <w:pStyle w:val="70"/>
                    <w:spacing w:line="240" w:lineRule="auto"/>
                    <w:jc w:val="center"/>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不涉及</w:t>
                  </w:r>
                </w:p>
              </w:tc>
              <w:tc>
                <w:tcPr>
                  <w:tcW w:w="589" w:type="dxa"/>
                  <w:shd w:val="clear" w:color="auto" w:fill="auto"/>
                  <w:vAlign w:val="center"/>
                </w:tcPr>
                <w:p w14:paraId="72D6D284">
                  <w:pPr>
                    <w:pStyle w:val="70"/>
                    <w:spacing w:line="240" w:lineRule="auto"/>
                    <w:jc w:val="center"/>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w:t>
                  </w:r>
                </w:p>
              </w:tc>
            </w:tr>
            <w:tr w14:paraId="4881110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jc w:val="center"/>
              </w:trPr>
              <w:tc>
                <w:tcPr>
                  <w:tcW w:w="6079" w:type="dxa"/>
                  <w:shd w:val="clear" w:color="auto" w:fill="auto"/>
                  <w:vAlign w:val="center"/>
                </w:tcPr>
                <w:p w14:paraId="7727D223">
                  <w:pPr>
                    <w:pStyle w:val="70"/>
                    <w:spacing w:line="240" w:lineRule="auto"/>
                    <w:jc w:val="both"/>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第八条 禁止违反风景名胜区规划，在风景名胜区内设立各类开发区。禁止在风景名胜区核心景区的岸线和河段范围内建设宾馆、招待所、培训中心、疗养院以及与风景名胜资源保护无关的项目。</w:t>
                  </w:r>
                </w:p>
              </w:tc>
              <w:tc>
                <w:tcPr>
                  <w:tcW w:w="1642" w:type="dxa"/>
                  <w:shd w:val="clear" w:color="auto" w:fill="auto"/>
                  <w:vAlign w:val="center"/>
                </w:tcPr>
                <w:p w14:paraId="215BC0D2">
                  <w:pPr>
                    <w:pStyle w:val="70"/>
                    <w:spacing w:line="240" w:lineRule="auto"/>
                    <w:jc w:val="center"/>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不涉及</w:t>
                  </w:r>
                </w:p>
              </w:tc>
              <w:tc>
                <w:tcPr>
                  <w:tcW w:w="589" w:type="dxa"/>
                  <w:shd w:val="clear" w:color="auto" w:fill="auto"/>
                  <w:vAlign w:val="center"/>
                </w:tcPr>
                <w:p w14:paraId="4DCDBC73">
                  <w:pPr>
                    <w:pStyle w:val="70"/>
                    <w:spacing w:line="240" w:lineRule="auto"/>
                    <w:jc w:val="center"/>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w:t>
                  </w:r>
                </w:p>
              </w:tc>
            </w:tr>
            <w:tr w14:paraId="1A963F7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jc w:val="center"/>
              </w:trPr>
              <w:tc>
                <w:tcPr>
                  <w:tcW w:w="6079" w:type="dxa"/>
                  <w:shd w:val="clear" w:color="auto" w:fill="auto"/>
                  <w:vAlign w:val="center"/>
                </w:tcPr>
                <w:p w14:paraId="36CC3290">
                  <w:pPr>
                    <w:pStyle w:val="70"/>
                    <w:spacing w:line="240" w:lineRule="auto"/>
                    <w:jc w:val="both"/>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第九条 禁止在饮用水水源准保护区的岸线和河段范围内新建、扩建对水体污染严重的建设项目，禁止改建增加排污量的建设项目。</w:t>
                  </w:r>
                </w:p>
              </w:tc>
              <w:tc>
                <w:tcPr>
                  <w:tcW w:w="1642" w:type="dxa"/>
                  <w:shd w:val="clear" w:color="auto" w:fill="auto"/>
                  <w:vAlign w:val="center"/>
                </w:tcPr>
                <w:p w14:paraId="4711C60D">
                  <w:pPr>
                    <w:pStyle w:val="70"/>
                    <w:spacing w:line="240" w:lineRule="auto"/>
                    <w:jc w:val="center"/>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不涉及</w:t>
                  </w:r>
                </w:p>
              </w:tc>
              <w:tc>
                <w:tcPr>
                  <w:tcW w:w="589" w:type="dxa"/>
                  <w:shd w:val="clear" w:color="auto" w:fill="auto"/>
                  <w:vAlign w:val="center"/>
                </w:tcPr>
                <w:p w14:paraId="7D205F27">
                  <w:pPr>
                    <w:pStyle w:val="70"/>
                    <w:spacing w:line="240" w:lineRule="auto"/>
                    <w:jc w:val="center"/>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w:t>
                  </w:r>
                </w:p>
              </w:tc>
            </w:tr>
            <w:tr w14:paraId="3FCA9B6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jc w:val="center"/>
              </w:trPr>
              <w:tc>
                <w:tcPr>
                  <w:tcW w:w="6079" w:type="dxa"/>
                  <w:shd w:val="clear" w:color="auto" w:fill="auto"/>
                  <w:vAlign w:val="center"/>
                </w:tcPr>
                <w:p w14:paraId="004BF416">
                  <w:pPr>
                    <w:pStyle w:val="70"/>
                    <w:spacing w:line="240" w:lineRule="auto"/>
                    <w:jc w:val="both"/>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第十条 饮用水水源二级保护区的岸线和河段范围内，除遵守准保护区规定外，禁止新建、改建、扩建排放污染物的投资建设项目；禁止从事对水体有污染的水产养殖等活动。</w:t>
                  </w:r>
                </w:p>
              </w:tc>
              <w:tc>
                <w:tcPr>
                  <w:tcW w:w="1642" w:type="dxa"/>
                  <w:shd w:val="clear" w:color="auto" w:fill="auto"/>
                  <w:vAlign w:val="center"/>
                </w:tcPr>
                <w:p w14:paraId="4CE437CF">
                  <w:pPr>
                    <w:pStyle w:val="70"/>
                    <w:spacing w:line="240" w:lineRule="auto"/>
                    <w:jc w:val="center"/>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不涉及</w:t>
                  </w:r>
                </w:p>
              </w:tc>
              <w:tc>
                <w:tcPr>
                  <w:tcW w:w="589" w:type="dxa"/>
                  <w:shd w:val="clear" w:color="auto" w:fill="auto"/>
                  <w:vAlign w:val="center"/>
                </w:tcPr>
                <w:p w14:paraId="4707C07A">
                  <w:pPr>
                    <w:pStyle w:val="70"/>
                    <w:spacing w:line="240" w:lineRule="auto"/>
                    <w:jc w:val="center"/>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w:t>
                  </w:r>
                </w:p>
              </w:tc>
            </w:tr>
            <w:tr w14:paraId="74FD08F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jc w:val="center"/>
              </w:trPr>
              <w:tc>
                <w:tcPr>
                  <w:tcW w:w="6079" w:type="dxa"/>
                  <w:shd w:val="clear" w:color="auto" w:fill="auto"/>
                  <w:vAlign w:val="center"/>
                </w:tcPr>
                <w:p w14:paraId="3C976E11">
                  <w:pPr>
                    <w:pStyle w:val="70"/>
                    <w:spacing w:line="240" w:lineRule="auto"/>
                    <w:jc w:val="both"/>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第十一条 饮用水水源一级保护区的岸线和河段范围内，除遵守二级保护区规定外，禁止新建、改建、扩建与供水设施和保护水源无关的项目，以及网箱养殖、畜禽养殖、旅游等可能污染饮用水水体的投资建设项目。</w:t>
                  </w:r>
                </w:p>
              </w:tc>
              <w:tc>
                <w:tcPr>
                  <w:tcW w:w="1642" w:type="dxa"/>
                  <w:shd w:val="clear" w:color="auto" w:fill="auto"/>
                  <w:vAlign w:val="center"/>
                </w:tcPr>
                <w:p w14:paraId="180A7689">
                  <w:pPr>
                    <w:pStyle w:val="70"/>
                    <w:spacing w:line="240" w:lineRule="auto"/>
                    <w:jc w:val="center"/>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不涉及</w:t>
                  </w:r>
                </w:p>
              </w:tc>
              <w:tc>
                <w:tcPr>
                  <w:tcW w:w="589" w:type="dxa"/>
                  <w:shd w:val="clear" w:color="auto" w:fill="auto"/>
                  <w:vAlign w:val="center"/>
                </w:tcPr>
                <w:p w14:paraId="030C4BE6">
                  <w:pPr>
                    <w:pStyle w:val="70"/>
                    <w:spacing w:line="240" w:lineRule="auto"/>
                    <w:jc w:val="center"/>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w:t>
                  </w:r>
                </w:p>
              </w:tc>
            </w:tr>
            <w:tr w14:paraId="230FA2C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jc w:val="center"/>
              </w:trPr>
              <w:tc>
                <w:tcPr>
                  <w:tcW w:w="6079" w:type="dxa"/>
                  <w:shd w:val="clear" w:color="auto" w:fill="auto"/>
                  <w:vAlign w:val="center"/>
                </w:tcPr>
                <w:p w14:paraId="0219CC98">
                  <w:pPr>
                    <w:pStyle w:val="70"/>
                    <w:spacing w:line="240" w:lineRule="auto"/>
                    <w:jc w:val="both"/>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第十二条 禁止在水产种质资源保护区岸线和河段范围内新建围湖造田、围湖造地或挖沙采石等投资建设项目。</w:t>
                  </w:r>
                </w:p>
              </w:tc>
              <w:tc>
                <w:tcPr>
                  <w:tcW w:w="1642" w:type="dxa"/>
                  <w:shd w:val="clear" w:color="auto" w:fill="auto"/>
                  <w:vAlign w:val="center"/>
                </w:tcPr>
                <w:p w14:paraId="03142EBC">
                  <w:pPr>
                    <w:pStyle w:val="70"/>
                    <w:spacing w:line="240" w:lineRule="auto"/>
                    <w:jc w:val="center"/>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不涉及</w:t>
                  </w:r>
                </w:p>
              </w:tc>
              <w:tc>
                <w:tcPr>
                  <w:tcW w:w="589" w:type="dxa"/>
                  <w:shd w:val="clear" w:color="auto" w:fill="auto"/>
                  <w:vAlign w:val="center"/>
                </w:tcPr>
                <w:p w14:paraId="1C87130C">
                  <w:pPr>
                    <w:pStyle w:val="70"/>
                    <w:spacing w:line="240" w:lineRule="auto"/>
                    <w:jc w:val="center"/>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w:t>
                  </w:r>
                </w:p>
              </w:tc>
            </w:tr>
            <w:tr w14:paraId="3989CC5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jc w:val="center"/>
              </w:trPr>
              <w:tc>
                <w:tcPr>
                  <w:tcW w:w="6079" w:type="dxa"/>
                  <w:shd w:val="clear" w:color="auto" w:fill="auto"/>
                  <w:vAlign w:val="center"/>
                </w:tcPr>
                <w:p w14:paraId="65544FF4">
                  <w:pPr>
                    <w:pStyle w:val="70"/>
                    <w:spacing w:line="240" w:lineRule="auto"/>
                    <w:jc w:val="both"/>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第十三条 禁止在国家湿地公园的岸线和河段范围内开（围）垦、填埋或者排干湿地，截断湿地水源，挖沙、采矿，倾倒有毒有害物质、废弃物、垃圾，从事房地产、度假村、高尔夫球场、风力发电、光伏发电等任何不符合主体功能定位的建设项目和开发活动，破坏野生动物栖息地和迁徙通道、鱼类</w:t>
                  </w:r>
                  <w:r>
                    <w:rPr>
                      <w:rFonts w:hint="eastAsia" w:cs="Times New Roman"/>
                      <w:color w:val="auto"/>
                      <w:sz w:val="21"/>
                      <w:szCs w:val="21"/>
                      <w:lang w:eastAsia="zh-CN"/>
                    </w:rPr>
                    <w:t>洄游</w:t>
                  </w:r>
                  <w:r>
                    <w:rPr>
                      <w:rFonts w:hint="eastAsia" w:ascii="Times New Roman" w:hAnsi="Times New Roman" w:eastAsia="宋体" w:cs="Times New Roman"/>
                      <w:color w:val="auto"/>
                      <w:sz w:val="21"/>
                      <w:szCs w:val="21"/>
                    </w:rPr>
                    <w:t>通道。</w:t>
                  </w:r>
                </w:p>
              </w:tc>
              <w:tc>
                <w:tcPr>
                  <w:tcW w:w="1642" w:type="dxa"/>
                  <w:shd w:val="clear" w:color="auto" w:fill="auto"/>
                  <w:vAlign w:val="center"/>
                </w:tcPr>
                <w:p w14:paraId="3739BAF9">
                  <w:pPr>
                    <w:pStyle w:val="70"/>
                    <w:spacing w:line="240" w:lineRule="auto"/>
                    <w:jc w:val="center"/>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不涉及</w:t>
                  </w:r>
                </w:p>
              </w:tc>
              <w:tc>
                <w:tcPr>
                  <w:tcW w:w="589" w:type="dxa"/>
                  <w:shd w:val="clear" w:color="auto" w:fill="auto"/>
                  <w:vAlign w:val="center"/>
                </w:tcPr>
                <w:p w14:paraId="6DB670B2">
                  <w:pPr>
                    <w:pStyle w:val="70"/>
                    <w:spacing w:line="240" w:lineRule="auto"/>
                    <w:jc w:val="center"/>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w:t>
                  </w:r>
                </w:p>
              </w:tc>
            </w:tr>
            <w:tr w14:paraId="3679273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jc w:val="center"/>
              </w:trPr>
              <w:tc>
                <w:tcPr>
                  <w:tcW w:w="6079" w:type="dxa"/>
                  <w:shd w:val="clear" w:color="auto" w:fill="auto"/>
                  <w:vAlign w:val="center"/>
                </w:tcPr>
                <w:p w14:paraId="47E4C201">
                  <w:pPr>
                    <w:pStyle w:val="70"/>
                    <w:spacing w:line="240" w:lineRule="auto"/>
                    <w:jc w:val="both"/>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第十四条 禁止违法利用、占用长江流域河湖岸线。禁止在《长江岸线保护和开发利用总体规划》划定的岸线保护区和岸线保留区内投资建设除事关公共安全及公众利益的防洪护岸、河道治理、供水、生态环境保护、航道整治、国家重要基础设施以外的项目。</w:t>
                  </w:r>
                </w:p>
              </w:tc>
              <w:tc>
                <w:tcPr>
                  <w:tcW w:w="1642" w:type="dxa"/>
                  <w:shd w:val="clear" w:color="auto" w:fill="auto"/>
                  <w:vAlign w:val="center"/>
                </w:tcPr>
                <w:p w14:paraId="0C660634">
                  <w:pPr>
                    <w:pStyle w:val="70"/>
                    <w:spacing w:line="240" w:lineRule="auto"/>
                    <w:jc w:val="center"/>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不涉及</w:t>
                  </w:r>
                </w:p>
              </w:tc>
              <w:tc>
                <w:tcPr>
                  <w:tcW w:w="589" w:type="dxa"/>
                  <w:shd w:val="clear" w:color="auto" w:fill="auto"/>
                  <w:vAlign w:val="center"/>
                </w:tcPr>
                <w:p w14:paraId="77662192">
                  <w:pPr>
                    <w:pStyle w:val="70"/>
                    <w:spacing w:line="240" w:lineRule="auto"/>
                    <w:jc w:val="center"/>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w:t>
                  </w:r>
                </w:p>
              </w:tc>
            </w:tr>
            <w:tr w14:paraId="7C237B6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jc w:val="center"/>
              </w:trPr>
              <w:tc>
                <w:tcPr>
                  <w:tcW w:w="6079" w:type="dxa"/>
                  <w:shd w:val="clear" w:color="auto" w:fill="auto"/>
                  <w:vAlign w:val="center"/>
                </w:tcPr>
                <w:p w14:paraId="085A8D73">
                  <w:pPr>
                    <w:pStyle w:val="70"/>
                    <w:spacing w:line="240" w:lineRule="auto"/>
                    <w:jc w:val="both"/>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第十五条 禁止在《全国重要江河湖泊水功能区划》划定的河段及湖泊保护区、保留区内投资建设不利于水资源及自然生态保护的项目。</w:t>
                  </w:r>
                </w:p>
              </w:tc>
              <w:tc>
                <w:tcPr>
                  <w:tcW w:w="1642" w:type="dxa"/>
                  <w:shd w:val="clear" w:color="auto" w:fill="auto"/>
                  <w:vAlign w:val="center"/>
                </w:tcPr>
                <w:p w14:paraId="6FECE29A">
                  <w:pPr>
                    <w:pStyle w:val="70"/>
                    <w:spacing w:line="240" w:lineRule="auto"/>
                    <w:jc w:val="center"/>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不涉及</w:t>
                  </w:r>
                </w:p>
              </w:tc>
              <w:tc>
                <w:tcPr>
                  <w:tcW w:w="589" w:type="dxa"/>
                  <w:shd w:val="clear" w:color="auto" w:fill="auto"/>
                  <w:vAlign w:val="center"/>
                </w:tcPr>
                <w:p w14:paraId="1A947F6A">
                  <w:pPr>
                    <w:pStyle w:val="70"/>
                    <w:spacing w:line="240" w:lineRule="auto"/>
                    <w:jc w:val="center"/>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w:t>
                  </w:r>
                </w:p>
              </w:tc>
            </w:tr>
            <w:tr w14:paraId="3F3E5C9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jc w:val="center"/>
              </w:trPr>
              <w:tc>
                <w:tcPr>
                  <w:tcW w:w="6079" w:type="dxa"/>
                  <w:shd w:val="clear" w:color="auto" w:fill="auto"/>
                  <w:vAlign w:val="center"/>
                </w:tcPr>
                <w:p w14:paraId="174C18FE">
                  <w:pPr>
                    <w:pStyle w:val="70"/>
                    <w:spacing w:line="240" w:lineRule="auto"/>
                    <w:jc w:val="both"/>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第十六条 禁止在长江流域江河、湖泊新设、改设或者扩大排污口，经有管辖权的生态环境主管部门或者长江流域生态环境监督管理机构同意的除外。</w:t>
                  </w:r>
                </w:p>
              </w:tc>
              <w:tc>
                <w:tcPr>
                  <w:tcW w:w="1642" w:type="dxa"/>
                  <w:shd w:val="clear" w:color="auto" w:fill="auto"/>
                  <w:vAlign w:val="center"/>
                </w:tcPr>
                <w:p w14:paraId="0CCA5037">
                  <w:pPr>
                    <w:pStyle w:val="70"/>
                    <w:spacing w:line="240" w:lineRule="auto"/>
                    <w:jc w:val="center"/>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项目不涉及新设、改设或扩大排污口。</w:t>
                  </w:r>
                </w:p>
              </w:tc>
              <w:tc>
                <w:tcPr>
                  <w:tcW w:w="589" w:type="dxa"/>
                  <w:shd w:val="clear" w:color="auto" w:fill="auto"/>
                  <w:vAlign w:val="center"/>
                </w:tcPr>
                <w:p w14:paraId="183CCE4A">
                  <w:pPr>
                    <w:pStyle w:val="70"/>
                    <w:spacing w:line="240" w:lineRule="auto"/>
                    <w:jc w:val="center"/>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符合</w:t>
                  </w:r>
                </w:p>
              </w:tc>
            </w:tr>
            <w:tr w14:paraId="793344B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jc w:val="center"/>
              </w:trPr>
              <w:tc>
                <w:tcPr>
                  <w:tcW w:w="6079" w:type="dxa"/>
                  <w:shd w:val="clear" w:color="auto" w:fill="auto"/>
                  <w:vAlign w:val="center"/>
                </w:tcPr>
                <w:p w14:paraId="33885895">
                  <w:pPr>
                    <w:pStyle w:val="70"/>
                    <w:spacing w:line="240" w:lineRule="auto"/>
                    <w:jc w:val="both"/>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第十七条禁止在长江干流、大渡河、岷江、赤水河、沱江、嘉陵江、乌江、汉江和51个（四川省45个、重庆市6个）水生生物保护区开展生产性捕捞。</w:t>
                  </w:r>
                </w:p>
              </w:tc>
              <w:tc>
                <w:tcPr>
                  <w:tcW w:w="1642" w:type="dxa"/>
                  <w:shd w:val="clear" w:color="auto" w:fill="auto"/>
                  <w:vAlign w:val="center"/>
                </w:tcPr>
                <w:p w14:paraId="404DDFC8">
                  <w:pPr>
                    <w:pStyle w:val="70"/>
                    <w:spacing w:line="240" w:lineRule="auto"/>
                    <w:jc w:val="center"/>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不涉及</w:t>
                  </w:r>
                </w:p>
              </w:tc>
              <w:tc>
                <w:tcPr>
                  <w:tcW w:w="589" w:type="dxa"/>
                  <w:shd w:val="clear" w:color="auto" w:fill="auto"/>
                  <w:vAlign w:val="center"/>
                </w:tcPr>
                <w:p w14:paraId="503C45D2">
                  <w:pPr>
                    <w:pStyle w:val="70"/>
                    <w:spacing w:line="240" w:lineRule="auto"/>
                    <w:jc w:val="center"/>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w:t>
                  </w:r>
                </w:p>
              </w:tc>
            </w:tr>
            <w:tr w14:paraId="7F6F63C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jc w:val="center"/>
              </w:trPr>
              <w:tc>
                <w:tcPr>
                  <w:tcW w:w="6079" w:type="dxa"/>
                  <w:shd w:val="clear" w:color="auto" w:fill="auto"/>
                  <w:vAlign w:val="center"/>
                </w:tcPr>
                <w:p w14:paraId="1B8A0E34">
                  <w:pPr>
                    <w:pStyle w:val="70"/>
                    <w:spacing w:line="240" w:lineRule="auto"/>
                    <w:jc w:val="both"/>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第十八条 禁止在长江干支流、重要湖泊岸线一公里范围内新建、扩建化工园区和化工项目。</w:t>
                  </w:r>
                </w:p>
              </w:tc>
              <w:tc>
                <w:tcPr>
                  <w:tcW w:w="1642" w:type="dxa"/>
                  <w:shd w:val="clear" w:color="auto" w:fill="auto"/>
                  <w:vAlign w:val="center"/>
                </w:tcPr>
                <w:p w14:paraId="3768F721">
                  <w:pPr>
                    <w:pStyle w:val="70"/>
                    <w:spacing w:line="240" w:lineRule="auto"/>
                    <w:jc w:val="center"/>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项目不涉及新建、扩建化工项目。</w:t>
                  </w:r>
                </w:p>
              </w:tc>
              <w:tc>
                <w:tcPr>
                  <w:tcW w:w="589" w:type="dxa"/>
                  <w:shd w:val="clear" w:color="auto" w:fill="auto"/>
                  <w:vAlign w:val="center"/>
                </w:tcPr>
                <w:p w14:paraId="4BF995BC">
                  <w:pPr>
                    <w:pStyle w:val="70"/>
                    <w:spacing w:line="240" w:lineRule="auto"/>
                    <w:jc w:val="center"/>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符合</w:t>
                  </w:r>
                </w:p>
              </w:tc>
            </w:tr>
            <w:tr w14:paraId="0F15329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jc w:val="center"/>
              </w:trPr>
              <w:tc>
                <w:tcPr>
                  <w:tcW w:w="6079" w:type="dxa"/>
                  <w:shd w:val="clear" w:color="auto" w:fill="auto"/>
                  <w:vAlign w:val="center"/>
                </w:tcPr>
                <w:p w14:paraId="35986B2B">
                  <w:pPr>
                    <w:pStyle w:val="70"/>
                    <w:spacing w:line="240" w:lineRule="auto"/>
                    <w:jc w:val="both"/>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第十九条 禁止在长江干流岸线三公里范围内和重要支流岸线一公里范围内新建、改建、扩建尾矿库、冶炼渣库、磷石膏库，以提升安全、生态环境保护水平为目的的改建除外。</w:t>
                  </w:r>
                </w:p>
              </w:tc>
              <w:tc>
                <w:tcPr>
                  <w:tcW w:w="1642" w:type="dxa"/>
                  <w:shd w:val="clear" w:color="auto" w:fill="auto"/>
                  <w:vAlign w:val="center"/>
                </w:tcPr>
                <w:p w14:paraId="2EFED5AF">
                  <w:pPr>
                    <w:pStyle w:val="70"/>
                    <w:spacing w:line="240" w:lineRule="auto"/>
                    <w:jc w:val="center"/>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不涉及</w:t>
                  </w:r>
                </w:p>
              </w:tc>
              <w:tc>
                <w:tcPr>
                  <w:tcW w:w="589" w:type="dxa"/>
                  <w:shd w:val="clear" w:color="auto" w:fill="auto"/>
                  <w:vAlign w:val="center"/>
                </w:tcPr>
                <w:p w14:paraId="5D219ED7">
                  <w:pPr>
                    <w:pStyle w:val="70"/>
                    <w:spacing w:line="240" w:lineRule="auto"/>
                    <w:jc w:val="center"/>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w:t>
                  </w:r>
                </w:p>
              </w:tc>
            </w:tr>
            <w:tr w14:paraId="077096D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jc w:val="center"/>
              </w:trPr>
              <w:tc>
                <w:tcPr>
                  <w:tcW w:w="6079" w:type="dxa"/>
                  <w:shd w:val="clear" w:color="auto" w:fill="auto"/>
                  <w:vAlign w:val="center"/>
                </w:tcPr>
                <w:p w14:paraId="548958F8">
                  <w:pPr>
                    <w:pStyle w:val="70"/>
                    <w:spacing w:line="240" w:lineRule="auto"/>
                    <w:jc w:val="both"/>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第二十条 禁止在生态保护红线区域、永久基本农田集中区域和其他需要特别保护的区域内选址建设尾矿库、冶炼渣库磷石膏库。</w:t>
                  </w:r>
                </w:p>
              </w:tc>
              <w:tc>
                <w:tcPr>
                  <w:tcW w:w="1642" w:type="dxa"/>
                  <w:shd w:val="clear" w:color="auto" w:fill="auto"/>
                  <w:vAlign w:val="center"/>
                </w:tcPr>
                <w:p w14:paraId="5F5CBEA2">
                  <w:pPr>
                    <w:pStyle w:val="70"/>
                    <w:spacing w:line="240" w:lineRule="auto"/>
                    <w:jc w:val="center"/>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不涉及</w:t>
                  </w:r>
                </w:p>
              </w:tc>
              <w:tc>
                <w:tcPr>
                  <w:tcW w:w="589" w:type="dxa"/>
                  <w:shd w:val="clear" w:color="auto" w:fill="auto"/>
                  <w:vAlign w:val="center"/>
                </w:tcPr>
                <w:p w14:paraId="29D79D15">
                  <w:pPr>
                    <w:pStyle w:val="70"/>
                    <w:spacing w:line="240" w:lineRule="auto"/>
                    <w:jc w:val="center"/>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w:t>
                  </w:r>
                </w:p>
              </w:tc>
            </w:tr>
            <w:tr w14:paraId="2A19928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jc w:val="center"/>
              </w:trPr>
              <w:tc>
                <w:tcPr>
                  <w:tcW w:w="6079" w:type="dxa"/>
                  <w:shd w:val="clear" w:color="auto" w:fill="auto"/>
                  <w:vAlign w:val="center"/>
                </w:tcPr>
                <w:p w14:paraId="3BD47834">
                  <w:pPr>
                    <w:pStyle w:val="70"/>
                    <w:spacing w:line="240" w:lineRule="auto"/>
                    <w:jc w:val="both"/>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第二十一条 禁止在合规园区外新建、扩建钢铁、石化、化工、焦化、建材、有色、制浆造纸等高污染项目。</w:t>
                  </w:r>
                </w:p>
              </w:tc>
              <w:tc>
                <w:tcPr>
                  <w:tcW w:w="1642" w:type="dxa"/>
                  <w:shd w:val="clear" w:color="auto" w:fill="auto"/>
                  <w:vAlign w:val="center"/>
                </w:tcPr>
                <w:p w14:paraId="3360AF12">
                  <w:pPr>
                    <w:pStyle w:val="70"/>
                    <w:spacing w:line="240" w:lineRule="auto"/>
                    <w:jc w:val="center"/>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项目位于合规园区内，</w:t>
                  </w:r>
                  <w:r>
                    <w:rPr>
                      <w:rFonts w:hint="eastAsia" w:ascii="Times New Roman" w:hAnsi="Times New Roman" w:eastAsia="宋体" w:cs="Times New Roman"/>
                      <w:color w:val="auto"/>
                      <w:sz w:val="21"/>
                      <w:szCs w:val="21"/>
                      <w:lang w:val="en-US" w:eastAsia="zh-CN"/>
                    </w:rPr>
                    <w:t>不属于</w:t>
                  </w:r>
                  <w:r>
                    <w:rPr>
                      <w:rFonts w:hint="eastAsia" w:ascii="Times New Roman" w:hAnsi="Times New Roman" w:eastAsia="宋体" w:cs="Times New Roman"/>
                      <w:color w:val="auto"/>
                      <w:sz w:val="21"/>
                      <w:szCs w:val="21"/>
                    </w:rPr>
                    <w:t>钢铁、石化、化工、焦化、建材、有色、制浆造纸等高污染项目。</w:t>
                  </w:r>
                </w:p>
              </w:tc>
              <w:tc>
                <w:tcPr>
                  <w:tcW w:w="589" w:type="dxa"/>
                  <w:shd w:val="clear" w:color="auto" w:fill="auto"/>
                  <w:vAlign w:val="center"/>
                </w:tcPr>
                <w:p w14:paraId="3630ADCE">
                  <w:pPr>
                    <w:pStyle w:val="70"/>
                    <w:spacing w:line="240" w:lineRule="auto"/>
                    <w:jc w:val="center"/>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符合</w:t>
                  </w:r>
                </w:p>
              </w:tc>
            </w:tr>
            <w:tr w14:paraId="033F956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jc w:val="center"/>
              </w:trPr>
              <w:tc>
                <w:tcPr>
                  <w:tcW w:w="6079" w:type="dxa"/>
                  <w:shd w:val="clear" w:color="auto" w:fill="auto"/>
                  <w:vAlign w:val="center"/>
                </w:tcPr>
                <w:p w14:paraId="2ECC2E84">
                  <w:pPr>
                    <w:pStyle w:val="70"/>
                    <w:spacing w:line="240" w:lineRule="auto"/>
                    <w:jc w:val="both"/>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第二十二条 禁止新建、扩建不符合国家石化、现代煤化工等产业布局规划的项目。</w:t>
                  </w:r>
                </w:p>
              </w:tc>
              <w:tc>
                <w:tcPr>
                  <w:tcW w:w="1642" w:type="dxa"/>
                  <w:shd w:val="clear" w:color="auto" w:fill="auto"/>
                  <w:vAlign w:val="center"/>
                </w:tcPr>
                <w:p w14:paraId="50A7F347">
                  <w:pPr>
                    <w:pStyle w:val="70"/>
                    <w:spacing w:line="240" w:lineRule="auto"/>
                    <w:jc w:val="center"/>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不涉及</w:t>
                  </w:r>
                </w:p>
              </w:tc>
              <w:tc>
                <w:tcPr>
                  <w:tcW w:w="589" w:type="dxa"/>
                  <w:shd w:val="clear" w:color="auto" w:fill="auto"/>
                  <w:vAlign w:val="center"/>
                </w:tcPr>
                <w:p w14:paraId="3130F890">
                  <w:pPr>
                    <w:pStyle w:val="70"/>
                    <w:spacing w:line="240" w:lineRule="auto"/>
                    <w:jc w:val="center"/>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w:t>
                  </w:r>
                </w:p>
              </w:tc>
            </w:tr>
            <w:tr w14:paraId="4E35A02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jc w:val="center"/>
              </w:trPr>
              <w:tc>
                <w:tcPr>
                  <w:tcW w:w="6079" w:type="dxa"/>
                  <w:shd w:val="clear" w:color="auto" w:fill="auto"/>
                  <w:vAlign w:val="center"/>
                </w:tcPr>
                <w:p w14:paraId="1555145F">
                  <w:pPr>
                    <w:pStyle w:val="70"/>
                    <w:spacing w:line="240" w:lineRule="auto"/>
                    <w:jc w:val="both"/>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第二十三条 禁止新建、扩建法律法规和相关政策明令禁止的落后产能项目。对《产业结构调整指导目录》中淘汰类项目，禁止投资；限制类的新建项目，禁止投资，对属于限制类的现有生产能力，允许企业在一定期限内采取措施改造升级。</w:t>
                  </w:r>
                </w:p>
              </w:tc>
              <w:tc>
                <w:tcPr>
                  <w:tcW w:w="1642" w:type="dxa"/>
                  <w:shd w:val="clear" w:color="auto" w:fill="auto"/>
                  <w:vAlign w:val="center"/>
                </w:tcPr>
                <w:p w14:paraId="32D373FB">
                  <w:pPr>
                    <w:pStyle w:val="70"/>
                    <w:spacing w:line="240" w:lineRule="auto"/>
                    <w:jc w:val="center"/>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项目不属于《产业结构调整指导目录（2024年本）》中淘汰类、限制类项目。</w:t>
                  </w:r>
                </w:p>
              </w:tc>
              <w:tc>
                <w:tcPr>
                  <w:tcW w:w="589" w:type="dxa"/>
                  <w:shd w:val="clear" w:color="auto" w:fill="auto"/>
                  <w:vAlign w:val="center"/>
                </w:tcPr>
                <w:p w14:paraId="199A3A0B">
                  <w:pPr>
                    <w:pStyle w:val="70"/>
                    <w:spacing w:line="240" w:lineRule="auto"/>
                    <w:jc w:val="center"/>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符合</w:t>
                  </w:r>
                </w:p>
              </w:tc>
            </w:tr>
            <w:tr w14:paraId="463BACE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jc w:val="center"/>
              </w:trPr>
              <w:tc>
                <w:tcPr>
                  <w:tcW w:w="6079" w:type="dxa"/>
                  <w:shd w:val="clear" w:color="auto" w:fill="auto"/>
                  <w:vAlign w:val="center"/>
                </w:tcPr>
                <w:p w14:paraId="7B1CDE71">
                  <w:pPr>
                    <w:pStyle w:val="70"/>
                    <w:spacing w:line="240" w:lineRule="auto"/>
                    <w:jc w:val="both"/>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第二十四条 禁止新建、扩建不符合国家产能置换要求的严重过剩产能行业的项目。对于不符合国家产能置换要求的严重过剩产能行业，不得以其他任何名义、任何方式备案新增产能项目。</w:t>
                  </w:r>
                </w:p>
              </w:tc>
              <w:tc>
                <w:tcPr>
                  <w:tcW w:w="1642" w:type="dxa"/>
                  <w:shd w:val="clear" w:color="auto" w:fill="auto"/>
                  <w:vAlign w:val="center"/>
                </w:tcPr>
                <w:p w14:paraId="2D33275E">
                  <w:pPr>
                    <w:pStyle w:val="70"/>
                    <w:spacing w:line="240" w:lineRule="auto"/>
                    <w:jc w:val="center"/>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项目不属于严重过剩产能行业。</w:t>
                  </w:r>
                </w:p>
              </w:tc>
              <w:tc>
                <w:tcPr>
                  <w:tcW w:w="589" w:type="dxa"/>
                  <w:shd w:val="clear" w:color="auto" w:fill="auto"/>
                  <w:vAlign w:val="center"/>
                </w:tcPr>
                <w:p w14:paraId="6C3B83CE">
                  <w:pPr>
                    <w:pStyle w:val="70"/>
                    <w:spacing w:line="240" w:lineRule="auto"/>
                    <w:jc w:val="center"/>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符合</w:t>
                  </w:r>
                </w:p>
              </w:tc>
            </w:tr>
            <w:tr w14:paraId="4DA5866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jc w:val="center"/>
              </w:trPr>
              <w:tc>
                <w:tcPr>
                  <w:tcW w:w="6079" w:type="dxa"/>
                  <w:shd w:val="clear" w:color="auto" w:fill="auto"/>
                  <w:vAlign w:val="center"/>
                </w:tcPr>
                <w:p w14:paraId="5E2C3178">
                  <w:pPr>
                    <w:pStyle w:val="70"/>
                    <w:spacing w:line="240" w:lineRule="auto"/>
                    <w:jc w:val="both"/>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第二十五条 禁止建设以下燃油汽车投资项目（不在中国境内销售产品的投资项目除外）：</w:t>
                  </w:r>
                </w:p>
                <w:p w14:paraId="5D1AB79A">
                  <w:pPr>
                    <w:pStyle w:val="70"/>
                    <w:spacing w:line="240" w:lineRule="auto"/>
                    <w:jc w:val="both"/>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（一）新建独立燃油汽车企业；</w:t>
                  </w:r>
                </w:p>
                <w:p w14:paraId="1A9AEC2C">
                  <w:pPr>
                    <w:pStyle w:val="70"/>
                    <w:spacing w:line="240" w:lineRule="auto"/>
                    <w:jc w:val="both"/>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（二）现有汽车企业跨乘用车、商用车类别建设燃油汽车生产能力；</w:t>
                  </w:r>
                </w:p>
                <w:p w14:paraId="0CA5F8CB">
                  <w:pPr>
                    <w:pStyle w:val="70"/>
                    <w:spacing w:line="240" w:lineRule="auto"/>
                    <w:jc w:val="both"/>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（三）外省现有燃油汽车企业整体搬迁至本省（列入国家级区域发展规划或不改变企业股权结构的项目除外）；</w:t>
                  </w:r>
                </w:p>
                <w:p w14:paraId="4DD9C304">
                  <w:pPr>
                    <w:pStyle w:val="70"/>
                    <w:spacing w:line="240" w:lineRule="auto"/>
                    <w:jc w:val="both"/>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（四）对行业管理部门特别公示的燃油汽车企业进行投资（企业原有股东投资或将该企业转为非独立法人的投资项目除外）。</w:t>
                  </w:r>
                </w:p>
              </w:tc>
              <w:tc>
                <w:tcPr>
                  <w:tcW w:w="1642" w:type="dxa"/>
                  <w:shd w:val="clear" w:color="auto" w:fill="auto"/>
                  <w:vAlign w:val="center"/>
                </w:tcPr>
                <w:p w14:paraId="498845CD">
                  <w:pPr>
                    <w:pStyle w:val="70"/>
                    <w:spacing w:line="240" w:lineRule="auto"/>
                    <w:jc w:val="center"/>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不涉及</w:t>
                  </w:r>
                </w:p>
              </w:tc>
              <w:tc>
                <w:tcPr>
                  <w:tcW w:w="589" w:type="dxa"/>
                  <w:shd w:val="clear" w:color="auto" w:fill="auto"/>
                  <w:vAlign w:val="center"/>
                </w:tcPr>
                <w:p w14:paraId="389B721A">
                  <w:pPr>
                    <w:pStyle w:val="70"/>
                    <w:spacing w:line="240" w:lineRule="auto"/>
                    <w:jc w:val="center"/>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w:t>
                  </w:r>
                </w:p>
              </w:tc>
            </w:tr>
            <w:tr w14:paraId="0FA4BFB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jc w:val="center"/>
              </w:trPr>
              <w:tc>
                <w:tcPr>
                  <w:tcW w:w="6079" w:type="dxa"/>
                  <w:shd w:val="clear" w:color="auto" w:fill="auto"/>
                  <w:vAlign w:val="center"/>
                </w:tcPr>
                <w:p w14:paraId="5D33714F">
                  <w:pPr>
                    <w:pStyle w:val="70"/>
                    <w:spacing w:line="240" w:lineRule="auto"/>
                    <w:jc w:val="both"/>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第二十六条 禁止新建、扩建不符合要求的高耗能、高排放、低水平项目。</w:t>
                  </w:r>
                </w:p>
              </w:tc>
              <w:tc>
                <w:tcPr>
                  <w:tcW w:w="1642" w:type="dxa"/>
                  <w:shd w:val="clear" w:color="auto" w:fill="auto"/>
                  <w:vAlign w:val="center"/>
                </w:tcPr>
                <w:p w14:paraId="08A04F82">
                  <w:pPr>
                    <w:pStyle w:val="70"/>
                    <w:spacing w:line="240" w:lineRule="auto"/>
                    <w:jc w:val="center"/>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项目不属于高能耗、高排放、低水平项目。</w:t>
                  </w:r>
                </w:p>
              </w:tc>
              <w:tc>
                <w:tcPr>
                  <w:tcW w:w="589" w:type="dxa"/>
                  <w:shd w:val="clear" w:color="auto" w:fill="auto"/>
                  <w:vAlign w:val="center"/>
                </w:tcPr>
                <w:p w14:paraId="25D81BD1">
                  <w:pPr>
                    <w:pStyle w:val="70"/>
                    <w:spacing w:line="240" w:lineRule="auto"/>
                    <w:jc w:val="center"/>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符合</w:t>
                  </w:r>
                </w:p>
              </w:tc>
            </w:tr>
          </w:tbl>
          <w:p w14:paraId="72C08604">
            <w:pPr>
              <w:pStyle w:val="66"/>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textAlignment w:val="auto"/>
              <w:rPr>
                <w:rFonts w:hint="eastAsia" w:eastAsia="宋体"/>
                <w:b w:val="0"/>
                <w:bCs w:val="0"/>
                <w:color w:val="auto"/>
                <w:lang w:val="en-US" w:eastAsia="zh-CN"/>
              </w:rPr>
            </w:pPr>
            <w:r>
              <w:rPr>
                <w:rFonts w:hint="eastAsia"/>
                <w:b w:val="0"/>
                <w:bCs w:val="0"/>
                <w:color w:val="auto"/>
                <w:lang w:val="en-US" w:eastAsia="zh-CN"/>
              </w:rPr>
              <w:t>综上，</w:t>
            </w:r>
            <w:r>
              <w:rPr>
                <w:rFonts w:hint="default" w:ascii="Times New Roman" w:hAnsi="Times New Roman" w:cs="Times New Roman"/>
                <w:b w:val="0"/>
                <w:bCs w:val="0"/>
                <w:color w:val="auto"/>
                <w:sz w:val="24"/>
              </w:rPr>
              <w:t>本项目符合川长江办〔2022〕17号文</w:t>
            </w:r>
            <w:r>
              <w:rPr>
                <w:rFonts w:hint="eastAsia" w:ascii="Times New Roman" w:hAnsi="Times New Roman" w:cs="Times New Roman"/>
                <w:b w:val="0"/>
                <w:bCs w:val="0"/>
                <w:color w:val="auto"/>
                <w:sz w:val="24"/>
                <w:lang w:val="en-US" w:eastAsia="zh-CN"/>
              </w:rPr>
              <w:t>相关</w:t>
            </w:r>
            <w:r>
              <w:rPr>
                <w:rFonts w:hint="default" w:ascii="Times New Roman" w:hAnsi="Times New Roman" w:cs="Times New Roman"/>
                <w:b w:val="0"/>
                <w:bCs w:val="0"/>
                <w:color w:val="auto"/>
                <w:sz w:val="24"/>
              </w:rPr>
              <w:t>要求</w:t>
            </w:r>
            <w:r>
              <w:rPr>
                <w:rFonts w:hint="eastAsia" w:ascii="Times New Roman" w:hAnsi="Times New Roman" w:cs="Times New Roman"/>
                <w:b w:val="0"/>
                <w:bCs w:val="0"/>
                <w:color w:val="auto"/>
                <w:sz w:val="24"/>
                <w:lang w:eastAsia="zh-CN"/>
              </w:rPr>
              <w:t>。</w:t>
            </w:r>
          </w:p>
          <w:p w14:paraId="416D49DE">
            <w:pPr>
              <w:pStyle w:val="66"/>
              <w:keepNext w:val="0"/>
              <w:keepLines w:val="0"/>
              <w:pageBreakBefore w:val="0"/>
              <w:widowControl w:val="0"/>
              <w:kinsoku/>
              <w:wordWrap/>
              <w:overflowPunct/>
              <w:topLinePunct w:val="0"/>
              <w:autoSpaceDE w:val="0"/>
              <w:autoSpaceDN w:val="0"/>
              <w:bidi w:val="0"/>
              <w:adjustRightInd w:val="0"/>
              <w:snapToGrid w:val="0"/>
              <w:spacing w:line="360" w:lineRule="auto"/>
              <w:ind w:firstLine="482" w:firstLineChars="200"/>
              <w:textAlignment w:val="auto"/>
              <w:rPr>
                <w:b/>
                <w:bCs/>
                <w:color w:val="auto"/>
              </w:rPr>
            </w:pPr>
            <w:r>
              <w:rPr>
                <w:rFonts w:hint="eastAsia"/>
                <w:b/>
                <w:bCs/>
                <w:color w:val="auto"/>
                <w:lang w:val="en-US" w:eastAsia="zh-CN"/>
              </w:rPr>
              <w:t>8</w:t>
            </w:r>
            <w:r>
              <w:rPr>
                <w:rFonts w:hint="eastAsia" w:ascii="Times New Roman" w:hAnsi="Times New Roman" w:eastAsia="宋体" w:cs="Times New Roman"/>
                <w:b/>
                <w:bCs/>
                <w:color w:val="auto"/>
                <w:lang w:val="en-US" w:eastAsia="zh-CN"/>
              </w:rPr>
              <w:t>、</w:t>
            </w:r>
            <w:r>
              <w:rPr>
                <w:rFonts w:hint="default" w:ascii="Times New Roman" w:hAnsi="Times New Roman" w:eastAsia="宋体" w:cs="Times New Roman"/>
                <w:b/>
                <w:bCs/>
                <w:color w:val="auto"/>
                <w:lang w:val="en-US" w:eastAsia="zh-CN"/>
              </w:rPr>
              <w:t>与《关于印发集成电路制造、锂离子电池及相关电池材料制造、电解铝、水泥制造四个行业建设项目环境影响评价文件审批原则的通知》（环办环评〔2023〕18号）符合性</w:t>
            </w:r>
          </w:p>
          <w:p w14:paraId="5088B9FB">
            <w:pPr>
              <w:pStyle w:val="66"/>
              <w:spacing w:line="360" w:lineRule="auto"/>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本项目与</w:t>
            </w:r>
            <w:r>
              <w:rPr>
                <w:rFonts w:hint="default" w:ascii="Times New Roman" w:hAnsi="Times New Roman" w:eastAsia="宋体" w:cs="Times New Roman"/>
                <w:color w:val="auto"/>
                <w:lang w:val="en-US" w:eastAsia="zh-CN"/>
              </w:rPr>
              <w:t>环办环评〔2023〕18号</w:t>
            </w:r>
            <w:r>
              <w:rPr>
                <w:rFonts w:hint="eastAsia" w:ascii="Times New Roman" w:hAnsi="Times New Roman" w:eastAsia="宋体" w:cs="Times New Roman"/>
                <w:color w:val="auto"/>
                <w:lang w:val="en-US" w:eastAsia="zh-CN"/>
              </w:rPr>
              <w:t>相关内容符合性分析见下表所示：</w:t>
            </w:r>
          </w:p>
          <w:p w14:paraId="6C781CE4">
            <w:pPr>
              <w:pStyle w:val="68"/>
              <w:spacing w:line="240" w:lineRule="auto"/>
              <w:rPr>
                <w:rFonts w:hint="eastAsia" w:ascii="Times New Roman" w:hAnsi="Times New Roman" w:eastAsia="宋体" w:cs="Times New Roman"/>
                <w:b/>
                <w:bCs/>
                <w:color w:val="auto"/>
              </w:rPr>
            </w:pPr>
            <w:r>
              <w:rPr>
                <w:rFonts w:hint="eastAsia" w:ascii="Times New Roman" w:hAnsi="Times New Roman" w:eastAsia="宋体" w:cs="Times New Roman"/>
                <w:b/>
                <w:bCs/>
                <w:color w:val="auto"/>
              </w:rPr>
              <w:t>表1-</w:t>
            </w:r>
            <w:r>
              <w:rPr>
                <w:rFonts w:hint="eastAsia" w:eastAsia="宋体" w:cs="Times New Roman"/>
                <w:b/>
                <w:bCs/>
                <w:color w:val="auto"/>
                <w:lang w:val="en-US" w:eastAsia="zh-CN"/>
              </w:rPr>
              <w:t>12</w:t>
            </w:r>
            <w:r>
              <w:rPr>
                <w:rFonts w:hint="eastAsia" w:ascii="Times New Roman" w:hAnsi="Times New Roman" w:eastAsia="宋体" w:cs="Times New Roman"/>
                <w:b/>
                <w:bCs/>
                <w:color w:val="auto"/>
              </w:rPr>
              <w:t xml:space="preserve">  项目与水污染防治等相关规划符合性</w:t>
            </w:r>
          </w:p>
          <w:tbl>
            <w:tblPr>
              <w:tblStyle w:val="41"/>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57" w:type="dxa"/>
                <w:bottom w:w="0" w:type="dxa"/>
                <w:right w:w="57" w:type="dxa"/>
              </w:tblCellMar>
            </w:tblPr>
            <w:tblGrid>
              <w:gridCol w:w="4808"/>
              <w:gridCol w:w="2647"/>
              <w:gridCol w:w="569"/>
            </w:tblGrid>
            <w:tr w14:paraId="5840E7B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jc w:val="center"/>
              </w:trPr>
              <w:tc>
                <w:tcPr>
                  <w:tcW w:w="4808" w:type="dxa"/>
                  <w:shd w:val="clear" w:color="auto" w:fill="auto"/>
                  <w:vAlign w:val="center"/>
                </w:tcPr>
                <w:p w14:paraId="2D3F555E">
                  <w:pPr>
                    <w:pStyle w:val="70"/>
                    <w:spacing w:line="240" w:lineRule="auto"/>
                    <w:rPr>
                      <w:rFonts w:hint="default" w:ascii="Times New Roman" w:hAnsi="Times New Roman" w:eastAsia="宋体" w:cs="Times New Roman"/>
                      <w:b/>
                      <w:color w:val="auto"/>
                      <w:sz w:val="21"/>
                      <w:szCs w:val="21"/>
                      <w:lang w:val="en-US" w:eastAsia="zh-CN"/>
                    </w:rPr>
                  </w:pPr>
                  <w:r>
                    <w:rPr>
                      <w:rFonts w:hint="default" w:ascii="Times New Roman" w:hAnsi="Times New Roman" w:eastAsia="宋体" w:cs="Times New Roman"/>
                      <w:b/>
                      <w:color w:val="auto"/>
                      <w:sz w:val="21"/>
                      <w:szCs w:val="21"/>
                      <w:lang w:val="en-US" w:eastAsia="zh-CN"/>
                    </w:rPr>
                    <w:t>锂离子电池及相关电池材料制造建设项目环境影响评价文件审批原则（2024年版）相关要求</w:t>
                  </w:r>
                </w:p>
              </w:tc>
              <w:tc>
                <w:tcPr>
                  <w:tcW w:w="2647" w:type="dxa"/>
                  <w:shd w:val="clear" w:color="auto" w:fill="auto"/>
                  <w:vAlign w:val="center"/>
                </w:tcPr>
                <w:p w14:paraId="105EB76C">
                  <w:pPr>
                    <w:pStyle w:val="70"/>
                    <w:spacing w:line="240" w:lineRule="auto"/>
                    <w:rPr>
                      <w:rFonts w:hint="default" w:ascii="Times New Roman" w:hAnsi="Times New Roman" w:eastAsia="宋体" w:cs="Times New Roman"/>
                      <w:b/>
                      <w:color w:val="auto"/>
                      <w:sz w:val="21"/>
                      <w:szCs w:val="21"/>
                      <w:lang w:val="en-US" w:eastAsia="zh-CN"/>
                    </w:rPr>
                  </w:pPr>
                  <w:r>
                    <w:rPr>
                      <w:rFonts w:hint="default" w:ascii="Times New Roman" w:hAnsi="Times New Roman" w:eastAsia="宋体" w:cs="Times New Roman"/>
                      <w:b/>
                      <w:color w:val="auto"/>
                      <w:sz w:val="21"/>
                      <w:szCs w:val="21"/>
                      <w:lang w:val="en-US" w:eastAsia="zh-CN"/>
                    </w:rPr>
                    <w:t>本项目情况</w:t>
                  </w:r>
                </w:p>
              </w:tc>
              <w:tc>
                <w:tcPr>
                  <w:tcW w:w="569" w:type="dxa"/>
                  <w:shd w:val="clear" w:color="auto" w:fill="auto"/>
                  <w:vAlign w:val="center"/>
                </w:tcPr>
                <w:p w14:paraId="7FCDA243">
                  <w:pPr>
                    <w:pStyle w:val="70"/>
                    <w:spacing w:line="240" w:lineRule="auto"/>
                    <w:rPr>
                      <w:rFonts w:hint="default" w:ascii="Times New Roman" w:hAnsi="Times New Roman" w:eastAsia="宋体" w:cs="Times New Roman"/>
                      <w:b/>
                      <w:color w:val="auto"/>
                      <w:sz w:val="21"/>
                      <w:szCs w:val="21"/>
                      <w:lang w:val="en-US" w:eastAsia="zh-CN"/>
                    </w:rPr>
                  </w:pPr>
                  <w:r>
                    <w:rPr>
                      <w:rFonts w:hint="default" w:ascii="Times New Roman" w:hAnsi="Times New Roman" w:eastAsia="宋体" w:cs="Times New Roman"/>
                      <w:b/>
                      <w:color w:val="auto"/>
                      <w:sz w:val="21"/>
                      <w:szCs w:val="21"/>
                      <w:lang w:val="en-US" w:eastAsia="zh-CN"/>
                    </w:rPr>
                    <w:t>符合性</w:t>
                  </w:r>
                </w:p>
              </w:tc>
            </w:tr>
            <w:tr w14:paraId="7F996AE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jc w:val="center"/>
              </w:trPr>
              <w:tc>
                <w:tcPr>
                  <w:tcW w:w="4808" w:type="dxa"/>
                  <w:shd w:val="clear" w:color="auto" w:fill="auto"/>
                  <w:vAlign w:val="center"/>
                </w:tcPr>
                <w:p w14:paraId="4F02AE42">
                  <w:pPr>
                    <w:pStyle w:val="70"/>
                    <w:spacing w:line="240" w:lineRule="auto"/>
                    <w:jc w:val="both"/>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第二条 项目应符合生态环境保护相关法律法规、法定规划，以及相关产业结构调整、区域及行业碳达峰碳中和目标、重点污染物总量控制等政策要求。</w:t>
                  </w:r>
                </w:p>
              </w:tc>
              <w:tc>
                <w:tcPr>
                  <w:tcW w:w="2647" w:type="dxa"/>
                  <w:shd w:val="clear" w:color="auto" w:fill="auto"/>
                  <w:vAlign w:val="center"/>
                </w:tcPr>
                <w:p w14:paraId="0D0E7266">
                  <w:pPr>
                    <w:pStyle w:val="70"/>
                    <w:spacing w:line="240" w:lineRule="auto"/>
                    <w:jc w:val="both"/>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本项目建设符合国家现行法律法规、产业政策要求。</w:t>
                  </w:r>
                </w:p>
              </w:tc>
              <w:tc>
                <w:tcPr>
                  <w:tcW w:w="569" w:type="dxa"/>
                  <w:shd w:val="clear" w:color="auto" w:fill="auto"/>
                  <w:vAlign w:val="center"/>
                </w:tcPr>
                <w:p w14:paraId="3167E03F">
                  <w:pPr>
                    <w:pStyle w:val="70"/>
                    <w:spacing w:line="240" w:lineRule="auto"/>
                    <w:jc w:val="both"/>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符合</w:t>
                  </w:r>
                </w:p>
              </w:tc>
            </w:tr>
            <w:tr w14:paraId="504D0F8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jc w:val="center"/>
              </w:trPr>
              <w:tc>
                <w:tcPr>
                  <w:tcW w:w="4808" w:type="dxa"/>
                  <w:shd w:val="clear" w:color="auto" w:fill="auto"/>
                  <w:vAlign w:val="center"/>
                </w:tcPr>
                <w:p w14:paraId="341B53D3">
                  <w:pPr>
                    <w:pStyle w:val="70"/>
                    <w:spacing w:line="240" w:lineRule="auto"/>
                    <w:jc w:val="both"/>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第三条 项目选址应符合生态环境分区管控要求，不得位于法律法规明令禁止建设的区域，应避开生态保护红线。新建、扩建涉及正极材料前驱体和锂盐制造的建设项目（盐湖资源类锂盐制造项目除外）应布设在依法合规设立的产业园区内，符合园区规划及规划环境影响评价要求。</w:t>
                  </w:r>
                </w:p>
              </w:tc>
              <w:tc>
                <w:tcPr>
                  <w:tcW w:w="2647" w:type="dxa"/>
                  <w:shd w:val="clear" w:color="auto" w:fill="auto"/>
                  <w:vAlign w:val="center"/>
                </w:tcPr>
                <w:p w14:paraId="0C50FBDA">
                  <w:pPr>
                    <w:pStyle w:val="70"/>
                    <w:spacing w:line="240" w:lineRule="auto"/>
                    <w:jc w:val="both"/>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项目位于四川省巴中市经济开发区核心区</w:t>
                  </w:r>
                  <w:r>
                    <w:rPr>
                      <w:rFonts w:hint="eastAsia" w:ascii="Times New Roman" w:hAnsi="Times New Roman" w:eastAsia="宋体" w:cs="Times New Roman"/>
                      <w:color w:val="auto"/>
                      <w:sz w:val="21"/>
                      <w:szCs w:val="21"/>
                    </w:rPr>
                    <w:t>低空</w:t>
                  </w:r>
                  <w:r>
                    <w:rPr>
                      <w:rFonts w:hint="eastAsia" w:cs="Times New Roman"/>
                      <w:color w:val="auto"/>
                      <w:sz w:val="21"/>
                      <w:szCs w:val="21"/>
                      <w:lang w:val="en-US" w:eastAsia="zh-CN"/>
                    </w:rPr>
                    <w:t>数字</w:t>
                  </w:r>
                  <w:r>
                    <w:rPr>
                      <w:rFonts w:hint="eastAsia" w:ascii="Times New Roman" w:hAnsi="Times New Roman" w:eastAsia="宋体" w:cs="Times New Roman"/>
                      <w:color w:val="auto"/>
                      <w:sz w:val="21"/>
                      <w:szCs w:val="21"/>
                    </w:rPr>
                    <w:t>经济产业园</w:t>
                  </w:r>
                  <w:r>
                    <w:rPr>
                      <w:rFonts w:hint="default" w:ascii="Times New Roman" w:hAnsi="Times New Roman" w:eastAsia="宋体" w:cs="Times New Roman"/>
                      <w:color w:val="auto"/>
                      <w:sz w:val="21"/>
                      <w:szCs w:val="21"/>
                    </w:rPr>
                    <w:t>，符合园区规划及规划环境影响评价要求。</w:t>
                  </w:r>
                </w:p>
              </w:tc>
              <w:tc>
                <w:tcPr>
                  <w:tcW w:w="569" w:type="dxa"/>
                  <w:shd w:val="clear" w:color="auto" w:fill="auto"/>
                  <w:vAlign w:val="center"/>
                </w:tcPr>
                <w:p w14:paraId="561D326C">
                  <w:pPr>
                    <w:pStyle w:val="70"/>
                    <w:spacing w:line="240" w:lineRule="auto"/>
                    <w:jc w:val="both"/>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符合</w:t>
                  </w:r>
                </w:p>
              </w:tc>
            </w:tr>
            <w:tr w14:paraId="5B648D3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jc w:val="center"/>
              </w:trPr>
              <w:tc>
                <w:tcPr>
                  <w:tcW w:w="4808" w:type="dxa"/>
                  <w:shd w:val="clear" w:color="auto" w:fill="auto"/>
                  <w:vAlign w:val="center"/>
                </w:tcPr>
                <w:p w14:paraId="50DF6EA6">
                  <w:pPr>
                    <w:pStyle w:val="70"/>
                    <w:spacing w:line="240" w:lineRule="auto"/>
                    <w:jc w:val="both"/>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第四条 新建、改建、扩建项目应采用资源利用率高、污染物产生量小的清洁生产技术、工艺和设备，单位产品的能耗、物耗、水耗、资源综合利用和污染物控制等指标应达到行业先进水平。新建锂离子电池制造项目清洁生产指标宜达到《电池行业清洁生产评价指标体系》中国内清洁生产先进水平。</w:t>
                  </w:r>
                </w:p>
              </w:tc>
              <w:tc>
                <w:tcPr>
                  <w:tcW w:w="2647" w:type="dxa"/>
                  <w:shd w:val="clear" w:color="auto" w:fill="auto"/>
                  <w:vAlign w:val="center"/>
                </w:tcPr>
                <w:p w14:paraId="66750634">
                  <w:pPr>
                    <w:pStyle w:val="70"/>
                    <w:spacing w:line="240" w:lineRule="auto"/>
                    <w:jc w:val="both"/>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本项目采用国内先进的生产工艺、设备及污染治理水平，能耗、物耗与水耗等均能达到国内同类企业先进水平</w:t>
                  </w:r>
                  <w:r>
                    <w:rPr>
                      <w:rFonts w:hint="eastAsia" w:ascii="Times New Roman" w:hAnsi="Times New Roman" w:eastAsia="宋体" w:cs="Times New Roman"/>
                      <w:color w:val="auto"/>
                      <w:sz w:val="21"/>
                      <w:szCs w:val="21"/>
                      <w:lang w:eastAsia="zh-CN"/>
                    </w:rPr>
                    <w:t>（</w:t>
                  </w:r>
                  <w:r>
                    <w:rPr>
                      <w:rFonts w:hint="eastAsia" w:cs="Times New Roman"/>
                      <w:color w:val="auto"/>
                      <w:sz w:val="21"/>
                      <w:szCs w:val="21"/>
                      <w:lang w:eastAsia="zh-CN"/>
                    </w:rPr>
                    <w:t>Ⅱ级</w:t>
                  </w:r>
                  <w:r>
                    <w:rPr>
                      <w:rFonts w:hint="eastAsia" w:ascii="Times New Roman" w:hAnsi="Times New Roman" w:eastAsia="宋体" w:cs="Times New Roman"/>
                      <w:color w:val="auto"/>
                      <w:sz w:val="21"/>
                      <w:szCs w:val="21"/>
                      <w:lang w:eastAsia="zh-CN"/>
                    </w:rPr>
                    <w:t>）</w:t>
                  </w:r>
                  <w:r>
                    <w:rPr>
                      <w:rFonts w:hint="default" w:ascii="Times New Roman" w:hAnsi="Times New Roman" w:eastAsia="宋体" w:cs="Times New Roman"/>
                      <w:color w:val="auto"/>
                      <w:sz w:val="21"/>
                      <w:szCs w:val="21"/>
                    </w:rPr>
                    <w:t>。</w:t>
                  </w:r>
                </w:p>
              </w:tc>
              <w:tc>
                <w:tcPr>
                  <w:tcW w:w="569" w:type="dxa"/>
                  <w:shd w:val="clear" w:color="auto" w:fill="auto"/>
                  <w:vAlign w:val="center"/>
                </w:tcPr>
                <w:p w14:paraId="7F7452F2">
                  <w:pPr>
                    <w:pStyle w:val="70"/>
                    <w:spacing w:line="240" w:lineRule="auto"/>
                    <w:jc w:val="both"/>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符合</w:t>
                  </w:r>
                </w:p>
              </w:tc>
            </w:tr>
            <w:tr w14:paraId="47FC2FD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jc w:val="center"/>
              </w:trPr>
              <w:tc>
                <w:tcPr>
                  <w:tcW w:w="4808" w:type="dxa"/>
                  <w:shd w:val="clear" w:color="auto" w:fill="auto"/>
                  <w:vAlign w:val="center"/>
                </w:tcPr>
                <w:p w14:paraId="7CC62AB1">
                  <w:pPr>
                    <w:pStyle w:val="70"/>
                    <w:numPr>
                      <w:ilvl w:val="0"/>
                      <w:numId w:val="3"/>
                    </w:numPr>
                    <w:spacing w:line="240" w:lineRule="auto"/>
                    <w:jc w:val="both"/>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项目应根据工程内容、原辅材料性质、工艺流程情况配备高效的除尘、脱硫、脱硝以及特征污染物治理设施，依据废气特征等合理选择治理技术。</w:t>
                  </w:r>
                </w:p>
                <w:p w14:paraId="068803F1">
                  <w:pPr>
                    <w:pStyle w:val="70"/>
                    <w:numPr>
                      <w:ilvl w:val="0"/>
                      <w:numId w:val="0"/>
                    </w:numPr>
                    <w:spacing w:line="240" w:lineRule="auto"/>
                    <w:jc w:val="both"/>
                    <w:rPr>
                      <w:rFonts w:hint="eastAsia" w:ascii="宋体" w:hAnsi="宋体" w:eastAsia="宋体" w:cs="宋体"/>
                      <w:color w:val="auto"/>
                      <w:sz w:val="21"/>
                      <w:szCs w:val="21"/>
                    </w:rPr>
                  </w:pPr>
                  <w:r>
                    <w:rPr>
                      <w:rFonts w:hint="default" w:ascii="Times New Roman" w:hAnsi="Times New Roman" w:eastAsia="宋体" w:cs="Times New Roman"/>
                      <w:color w:val="auto"/>
                      <w:sz w:val="21"/>
                      <w:szCs w:val="21"/>
                    </w:rPr>
                    <w:t>锂离子电池涂布、极片烘烤工序应配备N-甲基吡咯烷酮</w:t>
                  </w:r>
                  <w:r>
                    <w:rPr>
                      <w:rFonts w:hint="eastAsia" w:cs="Times New Roman"/>
                      <w:color w:val="auto"/>
                      <w:sz w:val="21"/>
                      <w:szCs w:val="21"/>
                      <w:lang w:eastAsia="zh-CN"/>
                    </w:rPr>
                    <w:t>（</w:t>
                  </w:r>
                  <w:r>
                    <w:rPr>
                      <w:rFonts w:hint="default" w:ascii="Times New Roman" w:hAnsi="Times New Roman" w:eastAsia="宋体" w:cs="Times New Roman"/>
                      <w:color w:val="auto"/>
                      <w:sz w:val="21"/>
                      <w:szCs w:val="21"/>
                    </w:rPr>
                    <w:t>NMP</w:t>
                  </w:r>
                  <w:r>
                    <w:rPr>
                      <w:rFonts w:hint="eastAsia" w:cs="Times New Roman"/>
                      <w:color w:val="auto"/>
                      <w:sz w:val="21"/>
                      <w:szCs w:val="21"/>
                      <w:lang w:eastAsia="zh-CN"/>
                    </w:rPr>
                    <w:t>）</w:t>
                  </w:r>
                  <w:r>
                    <w:rPr>
                      <w:rFonts w:hint="eastAsia" w:ascii="宋体" w:hAnsi="宋体" w:eastAsia="宋体" w:cs="宋体"/>
                      <w:color w:val="auto"/>
                      <w:sz w:val="21"/>
                      <w:szCs w:val="21"/>
                    </w:rPr>
                    <w:t>回收装置，设置挥发</w:t>
                  </w:r>
                  <w:r>
                    <w:rPr>
                      <w:rFonts w:hint="default" w:ascii="Times New Roman" w:hAnsi="Times New Roman" w:eastAsia="宋体" w:cs="Times New Roman"/>
                      <w:color w:val="auto"/>
                      <w:sz w:val="21"/>
                      <w:szCs w:val="21"/>
                    </w:rPr>
                    <w:t>性有机物吸附或燃烧等装置，排</w:t>
                  </w:r>
                  <w:r>
                    <w:rPr>
                      <w:rFonts w:hint="eastAsia" w:ascii="宋体" w:hAnsi="宋体" w:eastAsia="宋体" w:cs="宋体"/>
                      <w:color w:val="auto"/>
                      <w:sz w:val="21"/>
                      <w:szCs w:val="21"/>
                    </w:rPr>
                    <w:t>放的废气污染物应符合《电池工业污染物排放标准》</w:t>
                  </w:r>
                  <w:r>
                    <w:rPr>
                      <w:rFonts w:hint="eastAsia" w:ascii="宋体" w:hAnsi="宋体" w:cs="宋体"/>
                      <w:color w:val="auto"/>
                      <w:sz w:val="21"/>
                      <w:szCs w:val="21"/>
                      <w:lang w:eastAsia="zh-CN"/>
                    </w:rPr>
                    <w:t>（</w:t>
                  </w:r>
                  <w:r>
                    <w:rPr>
                      <w:rFonts w:hint="default" w:ascii="Times New Roman" w:hAnsi="Times New Roman" w:eastAsia="宋体" w:cs="Times New Roman"/>
                      <w:color w:val="auto"/>
                      <w:sz w:val="21"/>
                      <w:szCs w:val="21"/>
                    </w:rPr>
                    <w:t>GB30484</w:t>
                  </w:r>
                  <w:r>
                    <w:rPr>
                      <w:rFonts w:hint="eastAsia" w:cs="Times New Roman"/>
                      <w:color w:val="auto"/>
                      <w:sz w:val="21"/>
                      <w:szCs w:val="21"/>
                      <w:lang w:eastAsia="zh-CN"/>
                    </w:rPr>
                    <w:t>）</w:t>
                  </w:r>
                  <w:r>
                    <w:rPr>
                      <w:rFonts w:hint="eastAsia" w:ascii="宋体" w:hAnsi="宋体" w:eastAsia="宋体" w:cs="宋体"/>
                      <w:color w:val="auto"/>
                      <w:sz w:val="21"/>
                      <w:szCs w:val="21"/>
                    </w:rPr>
                    <w:t>要求。</w:t>
                  </w:r>
                </w:p>
                <w:p w14:paraId="6701BB6D">
                  <w:pPr>
                    <w:pStyle w:val="70"/>
                    <w:numPr>
                      <w:ilvl w:val="0"/>
                      <w:numId w:val="0"/>
                    </w:numPr>
                    <w:spacing w:line="240" w:lineRule="auto"/>
                    <w:jc w:val="both"/>
                    <w:rPr>
                      <w:rFonts w:hint="default" w:ascii="Times New Roman" w:hAnsi="Times New Roman" w:eastAsia="宋体" w:cs="Times New Roman"/>
                      <w:color w:val="auto"/>
                      <w:sz w:val="21"/>
                      <w:szCs w:val="21"/>
                    </w:rPr>
                  </w:pPr>
                  <w:r>
                    <w:rPr>
                      <w:rFonts w:hint="eastAsia" w:ascii="宋体" w:hAnsi="宋体" w:eastAsia="宋体" w:cs="宋体"/>
                      <w:color w:val="auto"/>
                      <w:sz w:val="21"/>
                      <w:szCs w:val="21"/>
                    </w:rPr>
                    <w:t>正极材料制造涉及氨、硫酸雾、磷酸雾排放的应配备吸收、洗涤装置。以锂辉石、锂云母、锂渣等为原料进行焙烧生产锂盐及其他中间产品的，焙烧烟气净化装置应具备去除氟化物</w:t>
                  </w:r>
                  <w:r>
                    <w:rPr>
                      <w:rFonts w:hint="eastAsia" w:ascii="宋体" w:hAnsi="宋体" w:cs="宋体"/>
                      <w:color w:val="auto"/>
                      <w:sz w:val="21"/>
                      <w:szCs w:val="21"/>
                      <w:lang w:eastAsia="zh-CN"/>
                    </w:rPr>
                    <w:t>（</w:t>
                  </w:r>
                  <w:r>
                    <w:rPr>
                      <w:rFonts w:hint="eastAsia" w:ascii="宋体" w:hAnsi="宋体" w:eastAsia="宋体" w:cs="宋体"/>
                      <w:color w:val="auto"/>
                      <w:sz w:val="21"/>
                      <w:szCs w:val="21"/>
                    </w:rPr>
                    <w:t>锂云母类</w:t>
                  </w:r>
                  <w:r>
                    <w:rPr>
                      <w:rFonts w:hint="eastAsia" w:ascii="宋体" w:hAnsi="宋体" w:cs="宋体"/>
                      <w:color w:val="auto"/>
                      <w:sz w:val="21"/>
                      <w:szCs w:val="21"/>
                      <w:lang w:eastAsia="zh-CN"/>
                    </w:rPr>
                    <w:t>）</w:t>
                  </w:r>
                  <w:r>
                    <w:rPr>
                      <w:rFonts w:hint="eastAsia" w:ascii="宋体" w:hAnsi="宋体" w:eastAsia="宋体" w:cs="宋体"/>
                      <w:color w:val="auto"/>
                      <w:sz w:val="21"/>
                      <w:szCs w:val="21"/>
                    </w:rPr>
                    <w:t>、</w:t>
                  </w:r>
                  <w:r>
                    <w:rPr>
                      <w:rFonts w:hint="default" w:ascii="Times New Roman" w:hAnsi="Times New Roman" w:eastAsia="宋体" w:cs="Times New Roman"/>
                      <w:color w:val="auto"/>
                      <w:sz w:val="21"/>
                      <w:szCs w:val="21"/>
                    </w:rPr>
                    <w:t>重金属等污染物的功能，硫酸酸化焙烧等工序还应配备酸雾吸</w:t>
                  </w:r>
                  <w:r>
                    <w:rPr>
                      <w:rFonts w:hint="eastAsia" w:ascii="宋体" w:hAnsi="宋体" w:eastAsia="宋体" w:cs="宋体"/>
                      <w:color w:val="auto"/>
                      <w:sz w:val="21"/>
                      <w:szCs w:val="21"/>
                    </w:rPr>
                    <w:t>收装置。锂盐制造和正极材料制造项目排放的废气污染物应符合《无机化学工业污染物排放标准》</w:t>
                  </w:r>
                  <w:r>
                    <w:rPr>
                      <w:rFonts w:hint="eastAsia" w:ascii="宋体" w:hAnsi="宋体" w:cs="宋体"/>
                      <w:color w:val="auto"/>
                      <w:sz w:val="21"/>
                      <w:szCs w:val="21"/>
                      <w:lang w:eastAsia="zh-CN"/>
                    </w:rPr>
                    <w:t>（</w:t>
                  </w:r>
                  <w:r>
                    <w:rPr>
                      <w:rFonts w:hint="default" w:ascii="Times New Roman" w:hAnsi="Times New Roman" w:eastAsia="宋体" w:cs="Times New Roman"/>
                      <w:color w:val="auto"/>
                      <w:sz w:val="21"/>
                      <w:szCs w:val="21"/>
                    </w:rPr>
                    <w:t>GB31573</w:t>
                  </w:r>
                  <w:r>
                    <w:rPr>
                      <w:rFonts w:hint="eastAsia" w:cs="Times New Roman"/>
                      <w:color w:val="auto"/>
                      <w:sz w:val="21"/>
                      <w:szCs w:val="21"/>
                      <w:lang w:eastAsia="zh-CN"/>
                    </w:rPr>
                    <w:t>）</w:t>
                  </w:r>
                  <w:r>
                    <w:rPr>
                      <w:rFonts w:hint="eastAsia" w:ascii="宋体" w:hAnsi="宋体" w:eastAsia="宋体" w:cs="宋体"/>
                      <w:color w:val="auto"/>
                      <w:sz w:val="21"/>
                      <w:szCs w:val="21"/>
                    </w:rPr>
                    <w:t>要求。</w:t>
                  </w:r>
                </w:p>
                <w:p w14:paraId="6FE580D3">
                  <w:pPr>
                    <w:pStyle w:val="70"/>
                    <w:spacing w:line="240" w:lineRule="auto"/>
                    <w:jc w:val="both"/>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负极材料制造涉及使用沥青物料的应设置沥青烟、苯并[a]花、挥发性有机物治理设施，采用吸附或燃烧等方法处理；包覆、炭化、石墨化工序应配备高效烟气收集系统及除尘设施，并根据原燃料类型、填充物料含硫量及烟气特征设置必要的脱硫、脱硝设施。……石墨类负极材料制造项目炉窑烟气执行《工业炉窑大气污染物排放标准》（GB9078），其他环节废气执行《大气污染物综合排放标准》（GB16297）要求。</w:t>
                  </w:r>
                </w:p>
                <w:p w14:paraId="3E94AFAE">
                  <w:pPr>
                    <w:pStyle w:val="70"/>
                    <w:spacing w:line="240" w:lineRule="auto"/>
                    <w:jc w:val="both"/>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涉及使用VOCs物料的，厂区内挥发性有机物无组织排放控制还应符合《挥发性有机物无组织排放控制标准》（GB37822）相关要求。大气环境防护距离范围内不应有居民区、学校、医院等环境敏感目标。有地方污染物排放标准的，废气排放还应符合地方标准要求。</w:t>
                  </w:r>
                </w:p>
              </w:tc>
              <w:tc>
                <w:tcPr>
                  <w:tcW w:w="2647" w:type="dxa"/>
                  <w:shd w:val="clear" w:color="auto" w:fill="auto"/>
                  <w:vAlign w:val="center"/>
                </w:tcPr>
                <w:p w14:paraId="504716B4">
                  <w:pPr>
                    <w:pStyle w:val="70"/>
                    <w:spacing w:line="240" w:lineRule="auto"/>
                    <w:jc w:val="center"/>
                    <w:rPr>
                      <w:rFonts w:hint="default" w:ascii="Times New Roman" w:hAnsi="Times New Roman" w:eastAsia="宋体" w:cs="Times New Roman"/>
                      <w:color w:val="auto"/>
                      <w:sz w:val="21"/>
                      <w:szCs w:val="21"/>
                    </w:rPr>
                  </w:pPr>
                  <w:r>
                    <w:rPr>
                      <w:rFonts w:hint="default" w:cs="Times New Roman"/>
                      <w:color w:val="auto"/>
                      <w:sz w:val="21"/>
                      <w:szCs w:val="21"/>
                      <w:lang w:val="en-US" w:eastAsia="zh-CN"/>
                    </w:rPr>
                    <w:t>本项目</w:t>
                  </w:r>
                  <w:r>
                    <w:rPr>
                      <w:rFonts w:hint="default" w:ascii="Times New Roman" w:hAnsi="Times New Roman" w:cs="Times New Roman"/>
                      <w:color w:val="auto"/>
                      <w:sz w:val="21"/>
                      <w:szCs w:val="21"/>
                      <w:lang w:val="en-US" w:eastAsia="zh-CN"/>
                    </w:rPr>
                    <w:t>生产车间均密闭，</w:t>
                  </w:r>
                  <w:r>
                    <w:rPr>
                      <w:rFonts w:hint="default" w:ascii="Times New Roman" w:hAnsi="Times New Roman" w:eastAsia="宋体" w:cs="Times New Roman"/>
                      <w:color w:val="auto"/>
                      <w:sz w:val="21"/>
                      <w:szCs w:val="21"/>
                      <w:lang w:val="en-US" w:eastAsia="zh-CN"/>
                    </w:rPr>
                    <w:t>项目涂布烘干工序产生的NMP废气经NMP回收处理装置（TA00</w:t>
                  </w:r>
                  <w:r>
                    <w:rPr>
                      <w:rFonts w:hint="eastAsia" w:cs="Times New Roman"/>
                      <w:color w:val="auto"/>
                      <w:sz w:val="21"/>
                      <w:szCs w:val="21"/>
                      <w:lang w:val="en-US" w:eastAsia="zh-CN"/>
                    </w:rPr>
                    <w:t>2</w:t>
                  </w:r>
                  <w:r>
                    <w:rPr>
                      <w:rFonts w:hint="default" w:ascii="Times New Roman" w:hAnsi="Times New Roman" w:eastAsia="宋体" w:cs="Times New Roman"/>
                      <w:color w:val="auto"/>
                      <w:sz w:val="21"/>
                      <w:szCs w:val="21"/>
                      <w:lang w:val="en-US" w:eastAsia="zh-CN"/>
                    </w:rPr>
                    <w:t>）处理后通过1根</w:t>
                  </w:r>
                  <w:r>
                    <w:rPr>
                      <w:rFonts w:hint="eastAsia" w:cs="Times New Roman"/>
                      <w:color w:val="auto"/>
                      <w:sz w:val="21"/>
                      <w:szCs w:val="21"/>
                      <w:lang w:val="en-US" w:eastAsia="zh-CN"/>
                    </w:rPr>
                    <w:t>30</w:t>
                  </w:r>
                  <w:r>
                    <w:rPr>
                      <w:rFonts w:hint="default" w:ascii="Times New Roman" w:hAnsi="Times New Roman" w:eastAsia="宋体" w:cs="Times New Roman"/>
                      <w:color w:val="auto"/>
                      <w:sz w:val="21"/>
                      <w:szCs w:val="21"/>
                      <w:lang w:val="en-US" w:eastAsia="zh-CN"/>
                    </w:rPr>
                    <w:t>m高排气筒（DA001）排放；电解液注液、</w:t>
                  </w:r>
                  <w:r>
                    <w:rPr>
                      <w:rFonts w:hint="eastAsia" w:cs="Times New Roman"/>
                      <w:color w:val="auto"/>
                      <w:sz w:val="21"/>
                      <w:szCs w:val="21"/>
                      <w:lang w:val="en-US" w:eastAsia="zh-CN"/>
                    </w:rPr>
                    <w:t>二封、电池拆解等工序产生的有机废气</w:t>
                  </w:r>
                  <w:r>
                    <w:rPr>
                      <w:rFonts w:hint="default" w:ascii="Times New Roman" w:hAnsi="Times New Roman" w:eastAsia="宋体" w:cs="Times New Roman"/>
                      <w:color w:val="auto"/>
                      <w:sz w:val="21"/>
                      <w:szCs w:val="21"/>
                      <w:lang w:val="en-US" w:eastAsia="zh-CN"/>
                    </w:rPr>
                    <w:t>经集气管道引至二级活性炭吸附装置（TA00</w:t>
                  </w:r>
                  <w:r>
                    <w:rPr>
                      <w:rFonts w:hint="eastAsia" w:cs="Times New Roman"/>
                      <w:color w:val="auto"/>
                      <w:sz w:val="21"/>
                      <w:szCs w:val="21"/>
                      <w:lang w:val="en-US" w:eastAsia="zh-CN"/>
                    </w:rPr>
                    <w:t>3</w:t>
                  </w:r>
                  <w:r>
                    <w:rPr>
                      <w:rFonts w:hint="default" w:ascii="Times New Roman" w:hAnsi="Times New Roman" w:eastAsia="宋体" w:cs="Times New Roman"/>
                      <w:color w:val="auto"/>
                      <w:sz w:val="21"/>
                      <w:szCs w:val="21"/>
                      <w:lang w:val="en-US" w:eastAsia="zh-CN"/>
                    </w:rPr>
                    <w:t>）处理后，一根</w:t>
                  </w:r>
                  <w:r>
                    <w:rPr>
                      <w:rFonts w:hint="eastAsia" w:cs="Times New Roman"/>
                      <w:color w:val="auto"/>
                      <w:sz w:val="21"/>
                      <w:szCs w:val="21"/>
                      <w:lang w:val="en-US" w:eastAsia="zh-CN"/>
                    </w:rPr>
                    <w:t>30</w:t>
                  </w:r>
                  <w:r>
                    <w:rPr>
                      <w:rFonts w:hint="default" w:ascii="Times New Roman" w:hAnsi="Times New Roman" w:eastAsia="宋体" w:cs="Times New Roman"/>
                      <w:color w:val="auto"/>
                      <w:sz w:val="21"/>
                      <w:szCs w:val="21"/>
                      <w:lang w:val="en-US" w:eastAsia="zh-CN"/>
                    </w:rPr>
                    <w:t>m排气筒（DA002）排放</w:t>
                  </w:r>
                  <w:r>
                    <w:rPr>
                      <w:rFonts w:hint="eastAsia" w:cs="Times New Roman"/>
                      <w:color w:val="auto"/>
                      <w:sz w:val="21"/>
                      <w:szCs w:val="21"/>
                      <w:lang w:val="en-US" w:eastAsia="zh-CN"/>
                    </w:rPr>
                    <w:t>，危废库废气经活性炭吸附装置（TA004）处理后通过15m高排气筒（DA003）排放。</w:t>
                  </w:r>
                </w:p>
              </w:tc>
              <w:tc>
                <w:tcPr>
                  <w:tcW w:w="569" w:type="dxa"/>
                  <w:shd w:val="clear" w:color="auto" w:fill="auto"/>
                  <w:vAlign w:val="center"/>
                </w:tcPr>
                <w:p w14:paraId="0BC824C1">
                  <w:pPr>
                    <w:pStyle w:val="70"/>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符合</w:t>
                  </w:r>
                </w:p>
              </w:tc>
            </w:tr>
            <w:tr w14:paraId="68D9ED1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jc w:val="center"/>
              </w:trPr>
              <w:tc>
                <w:tcPr>
                  <w:tcW w:w="4808" w:type="dxa"/>
                  <w:shd w:val="clear" w:color="auto" w:fill="auto"/>
                  <w:vAlign w:val="center"/>
                </w:tcPr>
                <w:p w14:paraId="62120FFE">
                  <w:pPr>
                    <w:pStyle w:val="70"/>
                    <w:spacing w:line="240" w:lineRule="auto"/>
                    <w:jc w:val="both"/>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第六条 鼓励将温室气体排放纳入建设项目环境影响评价，核算项目温室气体排放量，推进减污降碳协同增效，推动减碳技术创新示范应用。优先采用电、天然气等清洁能源或新能源加热方式，鼓励高温烟气余热回收。</w:t>
                  </w:r>
                </w:p>
              </w:tc>
              <w:tc>
                <w:tcPr>
                  <w:tcW w:w="2647" w:type="dxa"/>
                  <w:shd w:val="clear" w:color="auto" w:fill="auto"/>
                  <w:vAlign w:val="center"/>
                </w:tcPr>
                <w:p w14:paraId="1401DD79">
                  <w:pPr>
                    <w:pStyle w:val="70"/>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本项目采用电</w:t>
                  </w:r>
                  <w:r>
                    <w:rPr>
                      <w:rFonts w:hint="eastAsia" w:ascii="Times New Roman" w:hAnsi="Times New Roman" w:eastAsia="宋体" w:cs="Times New Roman"/>
                      <w:color w:val="auto"/>
                      <w:sz w:val="21"/>
                      <w:szCs w:val="21"/>
                      <w:lang w:val="en-US" w:eastAsia="zh-CN"/>
                    </w:rPr>
                    <w:t>能</w:t>
                  </w:r>
                  <w:r>
                    <w:rPr>
                      <w:rFonts w:hint="default" w:ascii="Times New Roman" w:hAnsi="Times New Roman" w:eastAsia="宋体" w:cs="Times New Roman"/>
                      <w:color w:val="auto"/>
                      <w:sz w:val="21"/>
                      <w:szCs w:val="21"/>
                    </w:rPr>
                    <w:t>。</w:t>
                  </w:r>
                </w:p>
              </w:tc>
              <w:tc>
                <w:tcPr>
                  <w:tcW w:w="569" w:type="dxa"/>
                  <w:shd w:val="clear" w:color="auto" w:fill="auto"/>
                  <w:vAlign w:val="center"/>
                </w:tcPr>
                <w:p w14:paraId="4C6F2A28">
                  <w:pPr>
                    <w:pStyle w:val="70"/>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符合</w:t>
                  </w:r>
                </w:p>
              </w:tc>
            </w:tr>
            <w:tr w14:paraId="0889A27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jc w:val="center"/>
              </w:trPr>
              <w:tc>
                <w:tcPr>
                  <w:tcW w:w="4808" w:type="dxa"/>
                  <w:shd w:val="clear" w:color="auto" w:fill="auto"/>
                  <w:vAlign w:val="center"/>
                </w:tcPr>
                <w:p w14:paraId="0AAC115C">
                  <w:pPr>
                    <w:pStyle w:val="70"/>
                    <w:spacing w:line="240" w:lineRule="auto"/>
                    <w:jc w:val="both"/>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第七条 做好清污分流、雨污分流、分类收集、分质处理。生产废水优先回用，污染雨水收集处理。</w:t>
                  </w:r>
                </w:p>
                <w:p w14:paraId="37F6462D">
                  <w:pPr>
                    <w:pStyle w:val="70"/>
                    <w:spacing w:line="240" w:lineRule="auto"/>
                    <w:jc w:val="both"/>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含盐废水应根据来水水质和排水去向，有针对性设置具备脱氮、脱盐、除氟（锂云母类）、除重金属等功能的处理设施。严禁生产废水未经有效处理直接排入城镇污水收集处理系统。锂离子电池制造项目废水排放执行《电池工业污染物排放标准》（GB30484）要求；锂盐制造、正极材料制造、钛酸锂负极材料制造等项目排放的废水污染物应符合《无机化学工业污染物排放标准》（GB31573）要求；石墨类负极材料制造等执行《污水综合排放标准》（GB8978）相关要求。有地方污染物排放标准的，废水排放还应符合地方标准要求。</w:t>
                  </w:r>
                </w:p>
              </w:tc>
              <w:tc>
                <w:tcPr>
                  <w:tcW w:w="2647" w:type="dxa"/>
                  <w:shd w:val="clear" w:color="auto" w:fill="auto"/>
                  <w:vAlign w:val="center"/>
                </w:tcPr>
                <w:p w14:paraId="119A6FFA">
                  <w:pPr>
                    <w:pStyle w:val="70"/>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项目排水实行</w:t>
                  </w:r>
                  <w:r>
                    <w:rPr>
                      <w:rFonts w:hint="eastAsia" w:ascii="Times New Roman" w:hAnsi="Times New Roman" w:eastAsia="宋体" w:cs="Times New Roman"/>
                      <w:color w:val="auto"/>
                      <w:sz w:val="21"/>
                      <w:szCs w:val="21"/>
                      <w:lang w:eastAsia="zh-CN"/>
                    </w:rPr>
                    <w:t>“</w:t>
                  </w:r>
                  <w:r>
                    <w:rPr>
                      <w:rFonts w:hint="default" w:ascii="Times New Roman" w:hAnsi="Times New Roman" w:eastAsia="宋体" w:cs="Times New Roman"/>
                      <w:color w:val="auto"/>
                      <w:sz w:val="21"/>
                      <w:szCs w:val="21"/>
                    </w:rPr>
                    <w:t>雨污分流、分类收集、分质处理</w:t>
                  </w:r>
                  <w:r>
                    <w:rPr>
                      <w:rFonts w:hint="eastAsia" w:ascii="Times New Roman" w:hAnsi="Times New Roman" w:eastAsia="宋体" w:cs="Times New Roman"/>
                      <w:color w:val="auto"/>
                      <w:sz w:val="21"/>
                      <w:szCs w:val="21"/>
                      <w:lang w:eastAsia="zh-CN"/>
                    </w:rPr>
                    <w:t>”</w:t>
                  </w:r>
                  <w:r>
                    <w:rPr>
                      <w:rFonts w:hint="default" w:ascii="Times New Roman" w:hAnsi="Times New Roman" w:eastAsia="宋体" w:cs="Times New Roman"/>
                      <w:color w:val="auto"/>
                      <w:sz w:val="21"/>
                      <w:szCs w:val="21"/>
                    </w:rPr>
                    <w:t>。项目</w:t>
                  </w:r>
                  <w:r>
                    <w:rPr>
                      <w:rFonts w:hint="eastAsia" w:cs="Times New Roman"/>
                      <w:color w:val="auto"/>
                      <w:sz w:val="21"/>
                      <w:szCs w:val="21"/>
                      <w:lang w:val="en-US" w:eastAsia="zh-CN"/>
                    </w:rPr>
                    <w:t>生活污水及纯水制备浓水排入厂区预处理池处理达到</w:t>
                  </w:r>
                  <w:r>
                    <w:rPr>
                      <w:rFonts w:hint="default" w:ascii="Times New Roman" w:hAnsi="Times New Roman" w:cs="Times New Roman"/>
                      <w:bCs/>
                      <w:color w:val="auto"/>
                      <w:sz w:val="21"/>
                      <w:szCs w:val="21"/>
                      <w:lang w:val="en-US" w:eastAsia="zh-CN"/>
                    </w:rPr>
                    <w:t>《污水综合排放标准》（GB8978-1996）三级标准</w:t>
                  </w:r>
                  <w:r>
                    <w:rPr>
                      <w:rFonts w:hint="eastAsia" w:cs="Times New Roman"/>
                      <w:color w:val="auto"/>
                      <w:sz w:val="21"/>
                      <w:szCs w:val="21"/>
                      <w:lang w:val="en-US" w:eastAsia="zh-CN"/>
                    </w:rPr>
                    <w:t>，生产废水经厂区污水处理设施处理</w:t>
                  </w:r>
                  <w:r>
                    <w:rPr>
                      <w:rFonts w:hint="default" w:ascii="Times New Roman" w:hAnsi="Times New Roman" w:eastAsia="宋体" w:cs="Times New Roman"/>
                      <w:color w:val="auto"/>
                      <w:sz w:val="21"/>
                      <w:szCs w:val="21"/>
                      <w:lang w:val="en-US" w:eastAsia="zh-CN"/>
                    </w:rPr>
                    <w:t>达到《电池工业污染物排放标准》（GB 30484-2013）表2中</w:t>
                  </w:r>
                  <w:r>
                    <w:rPr>
                      <w:rFonts w:hint="eastAsia" w:ascii="Times New Roman" w:hAnsi="Times New Roman" w:eastAsia="宋体" w:cs="Times New Roman"/>
                      <w:color w:val="auto"/>
                      <w:sz w:val="21"/>
                      <w:szCs w:val="21"/>
                      <w:lang w:val="en-US" w:eastAsia="zh-CN"/>
                    </w:rPr>
                    <w:t>“</w:t>
                  </w:r>
                  <w:r>
                    <w:rPr>
                      <w:rFonts w:hint="default" w:ascii="Times New Roman" w:hAnsi="Times New Roman" w:eastAsia="宋体" w:cs="Times New Roman"/>
                      <w:color w:val="auto"/>
                      <w:sz w:val="21"/>
                      <w:szCs w:val="21"/>
                      <w:lang w:val="en-US" w:eastAsia="zh-CN"/>
                    </w:rPr>
                    <w:t>间接排放</w:t>
                  </w:r>
                  <w:r>
                    <w:rPr>
                      <w:rFonts w:hint="eastAsia" w:ascii="Times New Roman" w:hAnsi="Times New Roman" w:eastAsia="宋体" w:cs="Times New Roman"/>
                      <w:color w:val="auto"/>
                      <w:sz w:val="21"/>
                      <w:szCs w:val="21"/>
                      <w:lang w:val="en-US" w:eastAsia="zh-CN"/>
                    </w:rPr>
                    <w:t>”</w:t>
                  </w:r>
                  <w:r>
                    <w:rPr>
                      <w:rFonts w:hint="default" w:ascii="Times New Roman" w:hAnsi="Times New Roman" w:eastAsia="宋体" w:cs="Times New Roman"/>
                      <w:color w:val="auto"/>
                      <w:sz w:val="21"/>
                      <w:szCs w:val="21"/>
                    </w:rPr>
                    <w:t>，</w:t>
                  </w:r>
                  <w:r>
                    <w:rPr>
                      <w:rFonts w:hint="eastAsia" w:cs="Times New Roman"/>
                      <w:color w:val="auto"/>
                      <w:sz w:val="21"/>
                      <w:szCs w:val="21"/>
                      <w:lang w:val="en-US" w:eastAsia="zh-CN"/>
                    </w:rPr>
                    <w:t>处理后的废水接入厂区废水总排口，</w:t>
                  </w:r>
                  <w:r>
                    <w:rPr>
                      <w:rFonts w:hint="default" w:ascii="Times New Roman" w:hAnsi="Times New Roman" w:eastAsia="宋体" w:cs="Times New Roman"/>
                      <w:color w:val="auto"/>
                      <w:sz w:val="21"/>
                      <w:szCs w:val="21"/>
                    </w:rPr>
                    <w:t>最终进入</w:t>
                  </w:r>
                  <w:r>
                    <w:rPr>
                      <w:rFonts w:hint="default" w:ascii="Times New Roman" w:hAnsi="Times New Roman" w:eastAsia="宋体" w:cs="Times New Roman"/>
                      <w:color w:val="auto"/>
                      <w:sz w:val="21"/>
                      <w:szCs w:val="21"/>
                      <w:lang w:val="en-US" w:eastAsia="zh-CN"/>
                    </w:rPr>
                    <w:t>园区</w:t>
                  </w:r>
                  <w:r>
                    <w:rPr>
                      <w:rFonts w:hint="default" w:ascii="Times New Roman" w:hAnsi="Times New Roman" w:eastAsia="宋体" w:cs="Times New Roman"/>
                      <w:color w:val="auto"/>
                      <w:sz w:val="21"/>
                      <w:szCs w:val="21"/>
                    </w:rPr>
                    <w:t>污水处理厂处理。</w:t>
                  </w:r>
                </w:p>
              </w:tc>
              <w:tc>
                <w:tcPr>
                  <w:tcW w:w="569" w:type="dxa"/>
                  <w:shd w:val="clear" w:color="auto" w:fill="auto"/>
                  <w:vAlign w:val="center"/>
                </w:tcPr>
                <w:p w14:paraId="66980238">
                  <w:pPr>
                    <w:pStyle w:val="70"/>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符合</w:t>
                  </w:r>
                </w:p>
              </w:tc>
            </w:tr>
            <w:tr w14:paraId="5B59026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jc w:val="center"/>
              </w:trPr>
              <w:tc>
                <w:tcPr>
                  <w:tcW w:w="4808" w:type="dxa"/>
                  <w:shd w:val="clear" w:color="auto" w:fill="auto"/>
                  <w:vAlign w:val="center"/>
                </w:tcPr>
                <w:p w14:paraId="2D06E77D">
                  <w:pPr>
                    <w:pStyle w:val="70"/>
                    <w:spacing w:line="240" w:lineRule="auto"/>
                    <w:jc w:val="both"/>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第八条 土壤及地下水污染防治应坚持源头控制、分区防控、跟踪监测和应急响应的防控原则。项目应对涉及有毒有害物质生产、使用、贮存、运输、回收、处置、排放的装置、设备设施及场所，提出防腐蚀、防渗漏、防流失、防扬散等土壤和地下水污染防治具体措施，并根据环境保护目标的敏感程度、项目平面布局、水文地质条件等采取分区防渗措施，提出有效的土壤、地下水监控和应急方案，避免污染土壤和地下水。对于可能受影响的地下水环境敏感目标，应提出保护措施；涉及饮用水功能的，强化地下水环境保护措施，确保饮用水安全。涉及土壤污染重点监管单位的新建、改建、扩建项目，需提出土壤污染隐患排查、土壤和地下水自行监测相关要求。</w:t>
                  </w:r>
                </w:p>
              </w:tc>
              <w:tc>
                <w:tcPr>
                  <w:tcW w:w="2647" w:type="dxa"/>
                  <w:shd w:val="clear" w:color="auto" w:fill="auto"/>
                  <w:vAlign w:val="center"/>
                </w:tcPr>
                <w:p w14:paraId="789B0BC9">
                  <w:pPr>
                    <w:pStyle w:val="70"/>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本项目根据《环境影响评价技术导则 地下水环境》（HJ610-2016）防渗分区原则，将项目区域划分为重点防渗区、一般防渗区。</w:t>
                  </w:r>
                </w:p>
              </w:tc>
              <w:tc>
                <w:tcPr>
                  <w:tcW w:w="569" w:type="dxa"/>
                  <w:shd w:val="clear" w:color="auto" w:fill="auto"/>
                  <w:vAlign w:val="center"/>
                </w:tcPr>
                <w:p w14:paraId="704931F8">
                  <w:pPr>
                    <w:pStyle w:val="70"/>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符合</w:t>
                  </w:r>
                </w:p>
              </w:tc>
            </w:tr>
            <w:tr w14:paraId="268A73D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jc w:val="center"/>
              </w:trPr>
              <w:tc>
                <w:tcPr>
                  <w:tcW w:w="4808" w:type="dxa"/>
                  <w:shd w:val="clear" w:color="auto" w:fill="auto"/>
                  <w:vAlign w:val="center"/>
                </w:tcPr>
                <w:p w14:paraId="0346EE0A">
                  <w:pPr>
                    <w:pStyle w:val="70"/>
                    <w:spacing w:line="240" w:lineRule="auto"/>
                    <w:jc w:val="both"/>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第九条 按照减量化、资源化、无害化原则，妥善处理处置固体废物。NMP废液、废浆料等应严格管理，规范其收集、贮存、资源化利用等过程各项环境管理要求；废水处理产生的结晶盐作为副产品外售的应满足适用的产品质量标准要求；鼓励锂渣综合利用，无法综合利用的明确处理或处置去向，属于危险废物的应落实危险废物相关管理要求。固体废物贮存和处置应符合《危险废物贮存污染控制标准》（GB18597）、《危险废物填埋污染控制标准》（GB18598）、《一般工业固体废物贮存和填埋污染控制标准》（GB18599）；《危险废物焚烧污染控制标准》（GB18484）等相关要求。</w:t>
                  </w:r>
                </w:p>
              </w:tc>
              <w:tc>
                <w:tcPr>
                  <w:tcW w:w="2647" w:type="dxa"/>
                  <w:shd w:val="clear" w:color="auto" w:fill="auto"/>
                  <w:vAlign w:val="center"/>
                </w:tcPr>
                <w:p w14:paraId="0C7DD36D">
                  <w:pPr>
                    <w:pStyle w:val="70"/>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本项目严格按照</w:t>
                  </w:r>
                  <w:r>
                    <w:rPr>
                      <w:rFonts w:hint="eastAsia" w:ascii="Times New Roman" w:hAnsi="Times New Roman" w:eastAsia="宋体" w:cs="Times New Roman"/>
                      <w:color w:val="auto"/>
                      <w:sz w:val="21"/>
                      <w:szCs w:val="21"/>
                      <w:lang w:eastAsia="zh-CN"/>
                    </w:rPr>
                    <w:t>“</w:t>
                  </w:r>
                  <w:r>
                    <w:rPr>
                      <w:rFonts w:hint="default" w:ascii="Times New Roman" w:hAnsi="Times New Roman" w:eastAsia="宋体" w:cs="Times New Roman"/>
                      <w:color w:val="auto"/>
                      <w:sz w:val="21"/>
                      <w:szCs w:val="21"/>
                    </w:rPr>
                    <w:t>减量化、资源化、无害化</w:t>
                  </w:r>
                  <w:r>
                    <w:rPr>
                      <w:rFonts w:hint="eastAsia" w:ascii="Times New Roman" w:hAnsi="Times New Roman" w:eastAsia="宋体" w:cs="Times New Roman"/>
                      <w:color w:val="auto"/>
                      <w:sz w:val="21"/>
                      <w:szCs w:val="21"/>
                      <w:lang w:eastAsia="zh-CN"/>
                    </w:rPr>
                    <w:t>”</w:t>
                  </w:r>
                  <w:r>
                    <w:rPr>
                      <w:rFonts w:hint="default" w:ascii="Times New Roman" w:hAnsi="Times New Roman" w:eastAsia="宋体" w:cs="Times New Roman"/>
                      <w:color w:val="auto"/>
                      <w:sz w:val="21"/>
                      <w:szCs w:val="21"/>
                    </w:rPr>
                    <w:t>原则，对项目产生的固废分类收集、处置；固废暂存严格按照《一般工业固体废物贮存和填埋污染控制标准》（GB18599-2020）、《危险废物贮存污染控制标准》（GB18597-2023）执行。</w:t>
                  </w:r>
                </w:p>
              </w:tc>
              <w:tc>
                <w:tcPr>
                  <w:tcW w:w="569" w:type="dxa"/>
                  <w:shd w:val="clear" w:color="auto" w:fill="auto"/>
                  <w:vAlign w:val="center"/>
                </w:tcPr>
                <w:p w14:paraId="2F8A082A">
                  <w:pPr>
                    <w:pStyle w:val="70"/>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符合</w:t>
                  </w:r>
                </w:p>
              </w:tc>
            </w:tr>
            <w:tr w14:paraId="21E7EBF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jc w:val="center"/>
              </w:trPr>
              <w:tc>
                <w:tcPr>
                  <w:tcW w:w="4808" w:type="dxa"/>
                  <w:shd w:val="clear" w:color="auto" w:fill="auto"/>
                  <w:vAlign w:val="center"/>
                </w:tcPr>
                <w:p w14:paraId="72280C98">
                  <w:pPr>
                    <w:pStyle w:val="70"/>
                    <w:spacing w:line="240" w:lineRule="auto"/>
                    <w:jc w:val="both"/>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第十条 优化厂区平面布置，优先选择低噪声设备和工艺，采取减振、隔声、消声等措施有效控制噪声污染。加强厂区内固定设备、运输工具、货物装卸等噪声源管理，同时避免突发噪声扰民。厂界噪声应满足《工业企业厂界环境噪声排放标准》（GB12348）要求。位于噪声敏感建筑物集中区域的改建、扩建项目，应强化噪声污染防治措施，进一步降低噪声影响。</w:t>
                  </w:r>
                </w:p>
              </w:tc>
              <w:tc>
                <w:tcPr>
                  <w:tcW w:w="2647" w:type="dxa"/>
                  <w:shd w:val="clear" w:color="auto" w:fill="auto"/>
                  <w:vAlign w:val="center"/>
                </w:tcPr>
                <w:p w14:paraId="59429362">
                  <w:pPr>
                    <w:pStyle w:val="70"/>
                    <w:spacing w:line="240" w:lineRule="auto"/>
                    <w:jc w:val="both"/>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根据总平面布置图可知，项目主要生产设备位于生产车间内部，远离了厂界，同时采取减振、隔声、消声等措施后，厂界噪声可满足《工业企业厂界环境噪声排放标准》（GB12348-2008）3类标准。</w:t>
                  </w:r>
                </w:p>
              </w:tc>
              <w:tc>
                <w:tcPr>
                  <w:tcW w:w="569" w:type="dxa"/>
                  <w:shd w:val="clear" w:color="auto" w:fill="auto"/>
                  <w:vAlign w:val="center"/>
                </w:tcPr>
                <w:p w14:paraId="2C96BCB6">
                  <w:pPr>
                    <w:pStyle w:val="70"/>
                    <w:spacing w:line="240" w:lineRule="auto"/>
                    <w:jc w:val="both"/>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符合</w:t>
                  </w:r>
                </w:p>
              </w:tc>
            </w:tr>
          </w:tbl>
          <w:p w14:paraId="20A564FD">
            <w:pPr>
              <w:spacing w:line="360" w:lineRule="auto"/>
              <w:ind w:firstLine="480" w:firstLineChars="200"/>
              <w:rPr>
                <w:rFonts w:hint="eastAsia" w:ascii="Times New Roman" w:hAnsi="Times New Roman" w:eastAsia="宋体" w:cs="Times New Roman"/>
                <w:color w:val="auto"/>
                <w:sz w:val="24"/>
                <w:highlight w:val="none"/>
              </w:rPr>
            </w:pPr>
            <w:r>
              <w:rPr>
                <w:rFonts w:hint="default" w:ascii="Times New Roman" w:hAnsi="Times New Roman" w:cs="Times New Roman"/>
                <w:color w:val="auto"/>
                <w:kern w:val="0"/>
                <w:sz w:val="24"/>
                <w:szCs w:val="21"/>
              </w:rPr>
              <w:t>综上所述，本项目建设与锂离子电池及相关电池材料制造建设项目环境影响评价</w:t>
            </w:r>
            <w:r>
              <w:rPr>
                <w:rFonts w:hint="default" w:ascii="Times New Roman" w:hAnsi="Times New Roman" w:eastAsia="宋体" w:cs="Times New Roman"/>
                <w:color w:val="auto"/>
                <w:sz w:val="24"/>
                <w:highlight w:val="none"/>
              </w:rPr>
              <w:t>文件审批原则相符合。</w:t>
            </w:r>
          </w:p>
          <w:p w14:paraId="3DD9CCB2">
            <w:pPr>
              <w:pStyle w:val="66"/>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firstLine="482" w:firstLineChars="200"/>
              <w:textAlignment w:val="auto"/>
              <w:rPr>
                <w:rFonts w:hint="eastAsia" w:ascii="Times New Roman" w:hAnsi="Times New Roman" w:eastAsia="宋体" w:cs="Times New Roman"/>
                <w:b/>
                <w:bCs/>
                <w:color w:val="auto"/>
                <w:highlight w:val="none"/>
                <w:lang w:val="en-US" w:eastAsia="zh-CN"/>
              </w:rPr>
            </w:pPr>
            <w:r>
              <w:rPr>
                <w:rFonts w:hint="eastAsia" w:cs="Times New Roman"/>
                <w:b/>
                <w:bCs/>
                <w:color w:val="auto"/>
                <w:sz w:val="24"/>
                <w:highlight w:val="none"/>
                <w:lang w:val="en-US" w:eastAsia="zh-CN"/>
              </w:rPr>
              <w:t>9</w:t>
            </w:r>
            <w:r>
              <w:rPr>
                <w:rFonts w:hint="eastAsia" w:ascii="Times New Roman" w:hAnsi="Times New Roman" w:eastAsia="宋体" w:cs="Times New Roman"/>
                <w:b/>
                <w:bCs/>
                <w:color w:val="auto"/>
                <w:sz w:val="24"/>
                <w:highlight w:val="none"/>
                <w:lang w:val="en-US" w:eastAsia="zh-CN"/>
              </w:rPr>
              <w:t>、</w:t>
            </w:r>
            <w:r>
              <w:rPr>
                <w:rFonts w:hint="eastAsia" w:ascii="Times New Roman" w:hAnsi="Times New Roman" w:eastAsia="宋体" w:cs="Times New Roman"/>
                <w:b/>
                <w:bCs/>
                <w:color w:val="auto"/>
                <w:highlight w:val="none"/>
                <w:lang w:val="en-US" w:eastAsia="zh-CN"/>
              </w:rPr>
              <w:t>土地利用符合性分析</w:t>
            </w:r>
          </w:p>
          <w:p w14:paraId="14E49BA9">
            <w:pPr>
              <w:spacing w:line="360" w:lineRule="auto"/>
              <w:ind w:firstLine="480" w:firstLineChars="200"/>
              <w:rPr>
                <w:rFonts w:hint="eastAsia" w:ascii="Times New Roman" w:hAnsi="Times New Roman" w:eastAsia="宋体" w:cs="Times New Roman"/>
                <w:color w:val="auto"/>
                <w:kern w:val="0"/>
                <w:sz w:val="24"/>
                <w:szCs w:val="21"/>
                <w:lang w:eastAsia="zh-CN"/>
              </w:rPr>
            </w:pPr>
            <w:r>
              <w:rPr>
                <w:rFonts w:hint="eastAsia" w:ascii="Times New Roman" w:hAnsi="Times New Roman" w:eastAsia="宋体" w:cs="Times New Roman"/>
                <w:color w:val="auto"/>
                <w:kern w:val="0"/>
                <w:sz w:val="24"/>
                <w:szCs w:val="21"/>
                <w:lang w:val="en-US" w:eastAsia="zh-CN"/>
              </w:rPr>
              <w:t>本</w:t>
            </w:r>
            <w:r>
              <w:rPr>
                <w:rFonts w:ascii="宋体" w:hAnsi="宋体" w:eastAsia="宋体" w:cs="宋体"/>
                <w:color w:val="auto"/>
                <w:sz w:val="24"/>
                <w:szCs w:val="24"/>
              </w:rPr>
              <w:t>项目位于四川省巴中市经开区创业路低空</w:t>
            </w:r>
            <w:r>
              <w:rPr>
                <w:rFonts w:hint="eastAsia" w:ascii="宋体" w:hAnsi="宋体" w:cs="宋体"/>
                <w:color w:val="auto"/>
                <w:sz w:val="24"/>
                <w:szCs w:val="24"/>
                <w:lang w:val="en-US" w:eastAsia="zh-CN"/>
              </w:rPr>
              <w:t>数字</w:t>
            </w:r>
            <w:r>
              <w:rPr>
                <w:rFonts w:ascii="宋体" w:hAnsi="宋体" w:eastAsia="宋体" w:cs="宋体"/>
                <w:color w:val="auto"/>
                <w:sz w:val="24"/>
                <w:szCs w:val="24"/>
              </w:rPr>
              <w:t>经济产业园，租赁四川秦巴瑞耀产业园经营管理有限公司在建厂房建设，现阶段厂房尚未竣工，暂定租赁建筑面</w:t>
            </w:r>
            <w:r>
              <w:rPr>
                <w:rFonts w:hint="eastAsia" w:ascii="Times New Roman" w:hAnsi="Times New Roman" w:eastAsia="宋体" w:cs="Times New Roman"/>
                <w:color w:val="auto"/>
                <w:kern w:val="0"/>
                <w:sz w:val="24"/>
                <w:szCs w:val="21"/>
                <w:lang w:val="en-US" w:eastAsia="zh-CN"/>
              </w:rPr>
              <w:t>积27257.7</w:t>
            </w:r>
            <w:r>
              <w:rPr>
                <w:rFonts w:hint="eastAsia" w:cs="Times New Roman"/>
                <w:color w:val="auto"/>
                <w:kern w:val="0"/>
                <w:sz w:val="24"/>
                <w:szCs w:val="21"/>
                <w:lang w:val="en-US" w:eastAsia="zh-CN"/>
              </w:rPr>
              <w:t>m</w:t>
            </w:r>
            <w:r>
              <w:rPr>
                <w:rFonts w:hint="eastAsia" w:cs="Times New Roman"/>
                <w:color w:val="auto"/>
                <w:kern w:val="0"/>
                <w:sz w:val="24"/>
                <w:szCs w:val="21"/>
                <w:vertAlign w:val="superscript"/>
                <w:lang w:val="en-US" w:eastAsia="zh-CN"/>
              </w:rPr>
              <w:t>2</w:t>
            </w:r>
            <w:r>
              <w:rPr>
                <w:rFonts w:hint="eastAsia" w:ascii="Times New Roman" w:hAnsi="Times New Roman" w:eastAsia="宋体" w:cs="Times New Roman"/>
                <w:color w:val="auto"/>
                <w:kern w:val="0"/>
                <w:sz w:val="24"/>
                <w:szCs w:val="21"/>
                <w:lang w:val="en-US" w:eastAsia="zh-CN"/>
              </w:rPr>
              <w:t>。根据四川秦巴瑞耀产业园经营管理有限公司不动产权证书（川（2025）巴中市市不动产权第0001861号）可知，本项目用地规划用地为工业用地</w:t>
            </w:r>
            <w:r>
              <w:rPr>
                <w:rFonts w:hint="eastAsia" w:ascii="Times New Roman" w:hAnsi="Times New Roman" w:eastAsia="宋体" w:cs="Times New Roman"/>
                <w:color w:val="auto"/>
                <w:kern w:val="0"/>
                <w:sz w:val="24"/>
                <w:szCs w:val="21"/>
                <w:lang w:eastAsia="zh-CN"/>
              </w:rPr>
              <w:t>。</w:t>
            </w:r>
          </w:p>
          <w:p w14:paraId="15CE45D0">
            <w:pPr>
              <w:autoSpaceDE w:val="0"/>
              <w:autoSpaceDN w:val="0"/>
              <w:spacing w:line="360" w:lineRule="auto"/>
              <w:ind w:firstLine="480" w:firstLineChars="200"/>
              <w:rPr>
                <w:rFonts w:hint="eastAsia" w:ascii="Times New Roman" w:hAnsi="Times New Roman" w:eastAsia="宋体"/>
                <w:b/>
                <w:bCs/>
                <w:color w:val="auto"/>
                <w:sz w:val="24"/>
                <w:highlight w:val="none"/>
                <w:lang w:val="en-US" w:eastAsia="zh-CN"/>
              </w:rPr>
            </w:pPr>
            <w:r>
              <w:rPr>
                <w:rFonts w:hint="eastAsia" w:ascii="Times New Roman" w:hAnsi="Times New Roman"/>
                <w:color w:val="auto"/>
                <w:kern w:val="0"/>
                <w:sz w:val="24"/>
                <w:highlight w:val="none"/>
              </w:rPr>
              <w:t>因此，本项目用地符合规划</w:t>
            </w:r>
            <w:r>
              <w:rPr>
                <w:rFonts w:hint="eastAsia" w:ascii="Times New Roman" w:hAnsi="Times New Roman"/>
                <w:color w:val="auto"/>
                <w:kern w:val="0"/>
                <w:sz w:val="24"/>
                <w:highlight w:val="none"/>
                <w:lang w:eastAsia="zh-CN"/>
              </w:rPr>
              <w:t>。</w:t>
            </w:r>
          </w:p>
          <w:p w14:paraId="5CC6A138">
            <w:pPr>
              <w:spacing w:line="360" w:lineRule="auto"/>
              <w:ind w:firstLine="482" w:firstLineChars="200"/>
              <w:rPr>
                <w:rFonts w:hint="default" w:ascii="Times New Roman" w:hAnsi="Times New Roman" w:eastAsia="宋体" w:cs="Times New Roman"/>
                <w:b/>
                <w:bCs/>
                <w:color w:val="auto"/>
                <w:highlight w:val="none"/>
                <w:lang w:val="en-US" w:eastAsia="zh-CN"/>
              </w:rPr>
            </w:pPr>
            <w:r>
              <w:rPr>
                <w:rFonts w:hint="eastAsia" w:cs="Times New Roman"/>
                <w:b/>
                <w:bCs/>
                <w:color w:val="auto"/>
                <w:sz w:val="24"/>
                <w:highlight w:val="none"/>
                <w:lang w:val="en-US" w:eastAsia="zh-CN"/>
              </w:rPr>
              <w:t>10</w:t>
            </w:r>
            <w:r>
              <w:rPr>
                <w:rFonts w:hint="eastAsia" w:ascii="Times New Roman" w:hAnsi="Times New Roman" w:eastAsia="宋体" w:cs="Times New Roman"/>
                <w:b/>
                <w:bCs/>
                <w:color w:val="auto"/>
                <w:sz w:val="24"/>
                <w:highlight w:val="none"/>
                <w:lang w:val="en-US" w:eastAsia="zh-CN"/>
              </w:rPr>
              <w:t>、选址合理性分析</w:t>
            </w:r>
          </w:p>
          <w:p w14:paraId="5957AB14">
            <w:pPr>
              <w:keepLines w:val="0"/>
              <w:pageBreakBefore w:val="0"/>
              <w:widowControl w:val="0"/>
              <w:kinsoku/>
              <w:wordWrap/>
              <w:overflowPunct/>
              <w:topLinePunct w:val="0"/>
              <w:bidi w:val="0"/>
              <w:adjustRightInd w:val="0"/>
              <w:snapToGrid w:val="0"/>
              <w:spacing w:line="360" w:lineRule="auto"/>
              <w:ind w:left="0" w:right="0" w:firstLine="482" w:firstLineChars="200"/>
              <w:jc w:val="both"/>
              <w:textAlignment w:val="baseline"/>
              <w:rPr>
                <w:rFonts w:hint="default" w:ascii="Times New Roman" w:hAnsi="Times New Roman" w:eastAsia="宋体" w:cs="Times New Roman"/>
                <w:b/>
                <w:bCs/>
                <w:color w:val="auto"/>
                <w:kern w:val="0"/>
                <w:sz w:val="24"/>
                <w:szCs w:val="24"/>
                <w:highlight w:val="none"/>
                <w:lang w:val="en-US" w:eastAsia="zh-CN" w:bidi="ar-SA"/>
              </w:rPr>
            </w:pPr>
            <w:r>
              <w:rPr>
                <w:rFonts w:hint="eastAsia" w:ascii="Times New Roman" w:hAnsi="Times New Roman" w:eastAsia="宋体" w:cs="Times New Roman"/>
                <w:b/>
                <w:bCs/>
                <w:color w:val="auto"/>
                <w:kern w:val="0"/>
                <w:sz w:val="24"/>
                <w:szCs w:val="24"/>
                <w:highlight w:val="none"/>
                <w:lang w:val="en-US" w:eastAsia="zh-CN" w:bidi="ar-SA"/>
              </w:rPr>
              <w:t>（</w:t>
            </w:r>
            <w:r>
              <w:rPr>
                <w:rFonts w:hint="eastAsia" w:cs="Times New Roman"/>
                <w:b/>
                <w:bCs/>
                <w:color w:val="auto"/>
                <w:kern w:val="0"/>
                <w:sz w:val="24"/>
                <w:szCs w:val="24"/>
                <w:highlight w:val="none"/>
                <w:lang w:val="en-US" w:eastAsia="zh-CN" w:bidi="ar-SA"/>
              </w:rPr>
              <w:t>1</w:t>
            </w:r>
            <w:r>
              <w:rPr>
                <w:rFonts w:hint="eastAsia" w:ascii="Times New Roman" w:hAnsi="Times New Roman" w:eastAsia="宋体" w:cs="Times New Roman"/>
                <w:b/>
                <w:bCs/>
                <w:color w:val="auto"/>
                <w:kern w:val="0"/>
                <w:sz w:val="24"/>
                <w:szCs w:val="24"/>
                <w:highlight w:val="none"/>
                <w:lang w:val="en-US" w:eastAsia="zh-CN" w:bidi="ar-SA"/>
              </w:rPr>
              <w:t>）外环境相容性分析</w:t>
            </w:r>
          </w:p>
          <w:p w14:paraId="30D2F2B6">
            <w:pPr>
              <w:keepNext w:val="0"/>
              <w:keepLines w:val="0"/>
              <w:pageBreakBefore w:val="0"/>
              <w:widowControl w:val="0"/>
              <w:kinsoku/>
              <w:wordWrap/>
              <w:overflowPunct/>
              <w:topLinePunct w:val="0"/>
              <w:autoSpaceDE/>
              <w:autoSpaceDN/>
              <w:bidi w:val="0"/>
              <w:adjustRightInd w:val="0"/>
              <w:snapToGrid w:val="0"/>
              <w:spacing w:line="360" w:lineRule="auto"/>
              <w:ind w:left="0" w:right="0" w:firstLine="480" w:firstLineChars="200"/>
              <w:jc w:val="both"/>
              <w:textAlignment w:val="baseline"/>
              <w:rPr>
                <w:rFonts w:hint="default" w:ascii="Times New Roman" w:hAnsi="Times New Roman" w:eastAsia="宋体" w:cs="Times New Roman"/>
                <w:color w:val="auto"/>
                <w:kern w:val="0"/>
                <w:sz w:val="24"/>
                <w:szCs w:val="20"/>
                <w:highlight w:val="none"/>
                <w:lang w:val="en-US" w:eastAsia="zh-CN" w:bidi="ar-SA"/>
              </w:rPr>
            </w:pPr>
            <w:r>
              <w:rPr>
                <w:rFonts w:hint="eastAsia" w:cs="Times New Roman"/>
                <w:color w:val="auto"/>
                <w:kern w:val="0"/>
                <w:sz w:val="24"/>
                <w:szCs w:val="20"/>
                <w:highlight w:val="none"/>
                <w:lang w:val="en-US" w:eastAsia="zh-CN" w:bidi="ar-SA"/>
              </w:rPr>
              <w:t>根据现场调查，本项目外环境关系见下表，其</w:t>
            </w:r>
            <w:r>
              <w:rPr>
                <w:rFonts w:hint="eastAsia" w:ascii="Times New Roman" w:hAnsi="Times New Roman" w:eastAsia="宋体" w:cs="Times New Roman"/>
                <w:color w:val="auto"/>
                <w:kern w:val="0"/>
                <w:sz w:val="24"/>
                <w:szCs w:val="20"/>
                <w:highlight w:val="none"/>
                <w:lang w:val="en-US" w:eastAsia="zh-CN" w:bidi="ar-SA"/>
              </w:rPr>
              <w:t>外环境关系图见附图</w:t>
            </w:r>
            <w:r>
              <w:rPr>
                <w:rFonts w:hint="eastAsia" w:ascii="Times New Roman" w:hAnsi="Times New Roman" w:cs="Times New Roman"/>
                <w:color w:val="auto"/>
                <w:kern w:val="0"/>
                <w:sz w:val="24"/>
                <w:szCs w:val="20"/>
                <w:highlight w:val="none"/>
                <w:lang w:val="en-US" w:eastAsia="zh-CN" w:bidi="ar-SA"/>
              </w:rPr>
              <w:t>4</w:t>
            </w:r>
            <w:r>
              <w:rPr>
                <w:rFonts w:hint="default" w:ascii="Times New Roman" w:hAnsi="Times New Roman" w:eastAsia="宋体" w:cs="Times New Roman"/>
                <w:color w:val="auto"/>
                <w:kern w:val="0"/>
                <w:sz w:val="24"/>
                <w:szCs w:val="20"/>
                <w:highlight w:val="none"/>
                <w:lang w:val="en-US" w:eastAsia="zh-CN" w:bidi="ar-SA"/>
              </w:rPr>
              <w:t>。</w:t>
            </w:r>
          </w:p>
          <w:p w14:paraId="08098DF7">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ascii="Times New Roman" w:hAnsi="Times New Roman" w:eastAsia="宋体" w:cs="Times New Roman"/>
                <w:b/>
                <w:bCs/>
                <w:color w:val="auto"/>
                <w:kern w:val="2"/>
                <w:sz w:val="21"/>
                <w:szCs w:val="21"/>
                <w:lang w:val="en-US" w:eastAsia="zh-CN" w:bidi="ar-SA"/>
              </w:rPr>
            </w:pPr>
            <w:r>
              <w:rPr>
                <w:rFonts w:hint="default" w:ascii="Times New Roman" w:hAnsi="Times New Roman" w:eastAsia="宋体" w:cs="Times New Roman"/>
                <w:b/>
                <w:bCs/>
                <w:color w:val="auto"/>
                <w:kern w:val="2"/>
                <w:sz w:val="21"/>
                <w:szCs w:val="21"/>
                <w:lang w:val="en-US" w:eastAsia="zh-CN" w:bidi="ar-SA"/>
              </w:rPr>
              <w:t>表1-</w:t>
            </w:r>
            <w:r>
              <w:rPr>
                <w:rFonts w:hint="eastAsia" w:ascii="Times New Roman" w:hAnsi="Times New Roman" w:eastAsia="宋体" w:cs="Times New Roman"/>
                <w:b/>
                <w:bCs/>
                <w:color w:val="auto"/>
                <w:kern w:val="2"/>
                <w:sz w:val="21"/>
                <w:szCs w:val="21"/>
                <w:lang w:val="en-US" w:eastAsia="zh-CN" w:bidi="ar-SA"/>
              </w:rPr>
              <w:t>1</w:t>
            </w:r>
            <w:r>
              <w:rPr>
                <w:rFonts w:hint="eastAsia" w:cs="Times New Roman"/>
                <w:b/>
                <w:bCs/>
                <w:color w:val="auto"/>
                <w:kern w:val="2"/>
                <w:sz w:val="21"/>
                <w:szCs w:val="21"/>
                <w:lang w:val="en-US" w:eastAsia="zh-CN" w:bidi="ar-SA"/>
              </w:rPr>
              <w:t>3</w:t>
            </w:r>
            <w:r>
              <w:rPr>
                <w:rFonts w:hint="default" w:ascii="Times New Roman" w:hAnsi="Times New Roman" w:eastAsia="宋体" w:cs="Times New Roman"/>
                <w:b/>
                <w:bCs/>
                <w:color w:val="auto"/>
                <w:kern w:val="2"/>
                <w:sz w:val="21"/>
                <w:szCs w:val="21"/>
                <w:lang w:val="en-US" w:eastAsia="zh-CN" w:bidi="ar-SA"/>
              </w:rPr>
              <w:t xml:space="preserve"> 项目外环境关系表</w:t>
            </w:r>
          </w:p>
          <w:tbl>
            <w:tblPr>
              <w:tblStyle w:val="41"/>
              <w:tblW w:w="4996" w:type="pct"/>
              <w:jc w:val="center"/>
              <w:tblBorders>
                <w:top w:val="single" w:color="auto" w:sz="2" w:space="0"/>
                <w:left w:val="none" w:color="auto" w:sz="0" w:space="0"/>
                <w:bottom w:val="single" w:color="auto" w:sz="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533"/>
              <w:gridCol w:w="3596"/>
              <w:gridCol w:w="1120"/>
              <w:gridCol w:w="1039"/>
              <w:gridCol w:w="1730"/>
            </w:tblGrid>
            <w:tr w14:paraId="1958FFD6">
              <w:tblPrEx>
                <w:tblBorders>
                  <w:top w:val="single" w:color="auto" w:sz="2" w:space="0"/>
                  <w:left w:val="none" w:color="auto" w:sz="0" w:space="0"/>
                  <w:bottom w:val="single" w:color="auto" w:sz="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27" w:hRule="atLeast"/>
                <w:jc w:val="center"/>
              </w:trPr>
              <w:tc>
                <w:tcPr>
                  <w:tcW w:w="332" w:type="pct"/>
                  <w:tcBorders>
                    <w:bottom w:val="single" w:color="auto" w:sz="2" w:space="0"/>
                  </w:tcBorders>
                  <w:noWrap w:val="0"/>
                  <w:vAlign w:val="center"/>
                </w:tcPr>
                <w:p w14:paraId="58B41755">
                  <w:pPr>
                    <w:pStyle w:val="70"/>
                    <w:spacing w:line="240" w:lineRule="auto"/>
                    <w:rPr>
                      <w:rFonts w:hint="default" w:ascii="Times New Roman" w:hAnsi="Times New Roman" w:eastAsia="宋体" w:cs="Times New Roman"/>
                      <w:b/>
                      <w:color w:val="auto"/>
                      <w:sz w:val="21"/>
                      <w:szCs w:val="21"/>
                      <w:lang w:val="en-US" w:eastAsia="zh-CN"/>
                    </w:rPr>
                  </w:pPr>
                  <w:r>
                    <w:rPr>
                      <w:rFonts w:hint="default" w:ascii="Times New Roman" w:hAnsi="Times New Roman" w:eastAsia="宋体" w:cs="Times New Roman"/>
                      <w:b/>
                      <w:color w:val="auto"/>
                      <w:sz w:val="21"/>
                      <w:szCs w:val="21"/>
                      <w:lang w:val="en-US" w:eastAsia="zh-CN"/>
                    </w:rPr>
                    <w:t>序号</w:t>
                  </w:r>
                </w:p>
              </w:tc>
              <w:tc>
                <w:tcPr>
                  <w:tcW w:w="2242" w:type="pct"/>
                  <w:tcBorders>
                    <w:bottom w:val="single" w:color="auto" w:sz="2" w:space="0"/>
                  </w:tcBorders>
                  <w:noWrap w:val="0"/>
                  <w:vAlign w:val="center"/>
                </w:tcPr>
                <w:p w14:paraId="5B78E32A">
                  <w:pPr>
                    <w:pStyle w:val="70"/>
                    <w:spacing w:line="240" w:lineRule="auto"/>
                    <w:rPr>
                      <w:rFonts w:hint="default" w:ascii="Times New Roman" w:hAnsi="Times New Roman" w:eastAsia="宋体" w:cs="Times New Roman"/>
                      <w:b/>
                      <w:color w:val="auto"/>
                      <w:sz w:val="21"/>
                      <w:szCs w:val="21"/>
                      <w:lang w:val="en-US" w:eastAsia="zh-CN"/>
                    </w:rPr>
                  </w:pPr>
                  <w:r>
                    <w:rPr>
                      <w:rFonts w:hint="default" w:ascii="Times New Roman" w:hAnsi="Times New Roman" w:eastAsia="宋体" w:cs="Times New Roman"/>
                      <w:b/>
                      <w:color w:val="auto"/>
                      <w:sz w:val="21"/>
                      <w:szCs w:val="21"/>
                      <w:lang w:val="en-US" w:eastAsia="zh-CN"/>
                    </w:rPr>
                    <w:t>名称</w:t>
                  </w:r>
                </w:p>
              </w:tc>
              <w:tc>
                <w:tcPr>
                  <w:tcW w:w="698" w:type="pct"/>
                  <w:tcBorders>
                    <w:bottom w:val="single" w:color="auto" w:sz="2" w:space="0"/>
                  </w:tcBorders>
                  <w:noWrap w:val="0"/>
                  <w:vAlign w:val="center"/>
                </w:tcPr>
                <w:p w14:paraId="3968164A">
                  <w:pPr>
                    <w:pStyle w:val="70"/>
                    <w:spacing w:line="240" w:lineRule="auto"/>
                    <w:rPr>
                      <w:rFonts w:hint="default" w:ascii="Times New Roman" w:hAnsi="Times New Roman" w:eastAsia="宋体" w:cs="Times New Roman"/>
                      <w:b/>
                      <w:color w:val="auto"/>
                      <w:sz w:val="21"/>
                      <w:szCs w:val="21"/>
                      <w:lang w:val="en-US" w:eastAsia="zh-CN"/>
                    </w:rPr>
                  </w:pPr>
                  <w:r>
                    <w:rPr>
                      <w:rFonts w:hint="default" w:ascii="Times New Roman" w:hAnsi="Times New Roman" w:eastAsia="宋体" w:cs="Times New Roman"/>
                      <w:b/>
                      <w:color w:val="auto"/>
                      <w:sz w:val="21"/>
                      <w:szCs w:val="21"/>
                      <w:lang w:val="en-US" w:eastAsia="zh-CN"/>
                    </w:rPr>
                    <w:t>方位</w:t>
                  </w:r>
                </w:p>
              </w:tc>
              <w:tc>
                <w:tcPr>
                  <w:tcW w:w="647" w:type="pct"/>
                  <w:tcBorders>
                    <w:bottom w:val="single" w:color="auto" w:sz="2" w:space="0"/>
                  </w:tcBorders>
                  <w:noWrap w:val="0"/>
                  <w:vAlign w:val="center"/>
                </w:tcPr>
                <w:p w14:paraId="5657D4F3">
                  <w:pPr>
                    <w:pStyle w:val="70"/>
                    <w:spacing w:line="240" w:lineRule="auto"/>
                    <w:rPr>
                      <w:rFonts w:hint="default" w:ascii="Times New Roman" w:hAnsi="Times New Roman" w:eastAsia="宋体" w:cs="Times New Roman"/>
                      <w:b/>
                      <w:color w:val="auto"/>
                      <w:sz w:val="21"/>
                      <w:szCs w:val="21"/>
                      <w:lang w:val="en-US" w:eastAsia="zh-CN"/>
                    </w:rPr>
                  </w:pPr>
                  <w:r>
                    <w:rPr>
                      <w:rFonts w:hint="eastAsia" w:ascii="Times New Roman" w:hAnsi="Times New Roman" w:eastAsia="宋体" w:cs="Times New Roman"/>
                      <w:b/>
                      <w:color w:val="auto"/>
                      <w:sz w:val="21"/>
                      <w:szCs w:val="21"/>
                      <w:lang w:val="en-US" w:eastAsia="zh-CN"/>
                    </w:rPr>
                    <w:t>最近距离（m）</w:t>
                  </w:r>
                </w:p>
              </w:tc>
              <w:tc>
                <w:tcPr>
                  <w:tcW w:w="1078" w:type="pct"/>
                  <w:tcBorders>
                    <w:bottom w:val="single" w:color="auto" w:sz="2" w:space="0"/>
                  </w:tcBorders>
                  <w:noWrap w:val="0"/>
                  <w:vAlign w:val="center"/>
                </w:tcPr>
                <w:p w14:paraId="612F4E95">
                  <w:pPr>
                    <w:pStyle w:val="70"/>
                    <w:spacing w:line="240" w:lineRule="auto"/>
                    <w:rPr>
                      <w:rFonts w:hint="default" w:ascii="Times New Roman" w:hAnsi="Times New Roman" w:eastAsia="宋体" w:cs="Times New Roman"/>
                      <w:b/>
                      <w:color w:val="auto"/>
                      <w:sz w:val="21"/>
                      <w:szCs w:val="21"/>
                      <w:lang w:val="en-US" w:eastAsia="zh-CN"/>
                    </w:rPr>
                  </w:pPr>
                  <w:r>
                    <w:rPr>
                      <w:rFonts w:hint="eastAsia" w:ascii="Times New Roman" w:hAnsi="Times New Roman" w:eastAsia="宋体" w:cs="Times New Roman"/>
                      <w:b/>
                      <w:color w:val="auto"/>
                      <w:sz w:val="21"/>
                      <w:szCs w:val="21"/>
                      <w:lang w:val="en-US" w:eastAsia="zh-CN"/>
                    </w:rPr>
                    <w:t>备注</w:t>
                  </w:r>
                </w:p>
              </w:tc>
            </w:tr>
            <w:tr w14:paraId="5591D996">
              <w:tblPrEx>
                <w:tblBorders>
                  <w:top w:val="single" w:color="auto" w:sz="2" w:space="0"/>
                  <w:left w:val="none" w:color="auto" w:sz="0" w:space="0"/>
                  <w:bottom w:val="single" w:color="auto" w:sz="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32" w:type="pct"/>
                  <w:tcBorders>
                    <w:top w:val="single" w:color="auto" w:sz="2" w:space="0"/>
                  </w:tcBorders>
                  <w:noWrap w:val="0"/>
                  <w:vAlign w:val="center"/>
                </w:tcPr>
                <w:p w14:paraId="2A9A2E32">
                  <w:pPr>
                    <w:pStyle w:val="70"/>
                    <w:spacing w:line="240" w:lineRule="auto"/>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1</w:t>
                  </w:r>
                </w:p>
              </w:tc>
              <w:tc>
                <w:tcPr>
                  <w:tcW w:w="2242" w:type="pct"/>
                  <w:tcBorders>
                    <w:top w:val="single" w:color="auto" w:sz="2" w:space="0"/>
                  </w:tcBorders>
                  <w:noWrap w:val="0"/>
                  <w:vAlign w:val="center"/>
                </w:tcPr>
                <w:p w14:paraId="1C5FAD7A">
                  <w:pPr>
                    <w:pStyle w:val="70"/>
                    <w:spacing w:line="240" w:lineRule="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食堂</w:t>
                  </w:r>
                </w:p>
              </w:tc>
              <w:tc>
                <w:tcPr>
                  <w:tcW w:w="698" w:type="pct"/>
                  <w:tcBorders>
                    <w:top w:val="single" w:color="auto" w:sz="2" w:space="0"/>
                  </w:tcBorders>
                  <w:noWrap w:val="0"/>
                  <w:vAlign w:val="center"/>
                </w:tcPr>
                <w:p w14:paraId="187125E9">
                  <w:pPr>
                    <w:pStyle w:val="70"/>
                    <w:spacing w:line="240" w:lineRule="auto"/>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北侧</w:t>
                  </w:r>
                </w:p>
              </w:tc>
              <w:tc>
                <w:tcPr>
                  <w:tcW w:w="647" w:type="pct"/>
                  <w:tcBorders>
                    <w:top w:val="single" w:color="auto" w:sz="2" w:space="0"/>
                  </w:tcBorders>
                  <w:noWrap w:val="0"/>
                  <w:vAlign w:val="center"/>
                </w:tcPr>
                <w:p w14:paraId="576E13CC">
                  <w:pPr>
                    <w:pStyle w:val="70"/>
                    <w:spacing w:line="240" w:lineRule="auto"/>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23</w:t>
                  </w:r>
                </w:p>
              </w:tc>
              <w:tc>
                <w:tcPr>
                  <w:tcW w:w="1078" w:type="pct"/>
                  <w:tcBorders>
                    <w:top w:val="single" w:color="auto" w:sz="2" w:space="0"/>
                  </w:tcBorders>
                  <w:noWrap w:val="0"/>
                  <w:vAlign w:val="center"/>
                </w:tcPr>
                <w:p w14:paraId="01F82293">
                  <w:pPr>
                    <w:pStyle w:val="70"/>
                    <w:spacing w:line="240" w:lineRule="auto"/>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w:t>
                  </w:r>
                </w:p>
              </w:tc>
            </w:tr>
            <w:tr w14:paraId="2CD3B92F">
              <w:tblPrEx>
                <w:tblBorders>
                  <w:top w:val="single" w:color="auto" w:sz="2" w:space="0"/>
                  <w:left w:val="none" w:color="auto" w:sz="0" w:space="0"/>
                  <w:bottom w:val="single" w:color="auto" w:sz="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332" w:type="pct"/>
                  <w:noWrap w:val="0"/>
                  <w:vAlign w:val="center"/>
                </w:tcPr>
                <w:p w14:paraId="0D89B8AA">
                  <w:pPr>
                    <w:pStyle w:val="70"/>
                    <w:spacing w:line="240" w:lineRule="auto"/>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2</w:t>
                  </w:r>
                </w:p>
              </w:tc>
              <w:tc>
                <w:tcPr>
                  <w:tcW w:w="2242" w:type="pct"/>
                  <w:noWrap w:val="0"/>
                  <w:vAlign w:val="center"/>
                </w:tcPr>
                <w:p w14:paraId="73F1BA3B">
                  <w:pPr>
                    <w:pStyle w:val="70"/>
                    <w:spacing w:line="240" w:lineRule="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公租房</w:t>
                  </w:r>
                </w:p>
              </w:tc>
              <w:tc>
                <w:tcPr>
                  <w:tcW w:w="698" w:type="pct"/>
                  <w:noWrap w:val="0"/>
                  <w:vAlign w:val="center"/>
                </w:tcPr>
                <w:p w14:paraId="750815FE">
                  <w:pPr>
                    <w:spacing w:line="240" w:lineRule="auto"/>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北侧</w:t>
                  </w:r>
                </w:p>
              </w:tc>
              <w:tc>
                <w:tcPr>
                  <w:tcW w:w="647" w:type="pct"/>
                  <w:noWrap w:val="0"/>
                  <w:vAlign w:val="center"/>
                </w:tcPr>
                <w:p w14:paraId="2F8FD7EA">
                  <w:pPr>
                    <w:pStyle w:val="70"/>
                    <w:spacing w:line="240" w:lineRule="auto"/>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52</w:t>
                  </w:r>
                </w:p>
              </w:tc>
              <w:tc>
                <w:tcPr>
                  <w:tcW w:w="1078" w:type="pct"/>
                  <w:noWrap w:val="0"/>
                  <w:vAlign w:val="center"/>
                </w:tcPr>
                <w:p w14:paraId="2615444E">
                  <w:pPr>
                    <w:pStyle w:val="70"/>
                    <w:spacing w:line="240" w:lineRule="auto"/>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约200人</w:t>
                  </w:r>
                </w:p>
              </w:tc>
            </w:tr>
            <w:tr w14:paraId="7CE4F800">
              <w:tblPrEx>
                <w:tblBorders>
                  <w:top w:val="single" w:color="auto" w:sz="2" w:space="0"/>
                  <w:left w:val="none" w:color="auto" w:sz="0" w:space="0"/>
                  <w:bottom w:val="single" w:color="auto" w:sz="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6" w:hRule="atLeast"/>
                <w:jc w:val="center"/>
              </w:trPr>
              <w:tc>
                <w:tcPr>
                  <w:tcW w:w="332" w:type="pct"/>
                  <w:noWrap w:val="0"/>
                  <w:vAlign w:val="center"/>
                </w:tcPr>
                <w:p w14:paraId="4CAABBE7">
                  <w:pPr>
                    <w:pStyle w:val="70"/>
                    <w:spacing w:line="240" w:lineRule="auto"/>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3</w:t>
                  </w:r>
                </w:p>
              </w:tc>
              <w:tc>
                <w:tcPr>
                  <w:tcW w:w="2242" w:type="pct"/>
                  <w:noWrap w:val="0"/>
                  <w:vAlign w:val="center"/>
                </w:tcPr>
                <w:p w14:paraId="6231337E">
                  <w:pPr>
                    <w:pStyle w:val="70"/>
                    <w:spacing w:line="240" w:lineRule="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五谷社区</w:t>
                  </w:r>
                  <w:r>
                    <w:rPr>
                      <w:rFonts w:hint="eastAsia" w:cs="Times New Roman"/>
                      <w:color w:val="auto"/>
                      <w:sz w:val="21"/>
                      <w:szCs w:val="21"/>
                      <w:lang w:val="en-US" w:eastAsia="zh-CN"/>
                    </w:rPr>
                    <w:t>原居委会（已闲置）</w:t>
                  </w:r>
                </w:p>
              </w:tc>
              <w:tc>
                <w:tcPr>
                  <w:tcW w:w="698" w:type="pct"/>
                  <w:noWrap w:val="0"/>
                  <w:vAlign w:val="center"/>
                </w:tcPr>
                <w:p w14:paraId="269ADFC3">
                  <w:pPr>
                    <w:spacing w:line="240" w:lineRule="auto"/>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北侧</w:t>
                  </w:r>
                </w:p>
              </w:tc>
              <w:tc>
                <w:tcPr>
                  <w:tcW w:w="647" w:type="pct"/>
                  <w:noWrap w:val="0"/>
                  <w:vAlign w:val="center"/>
                </w:tcPr>
                <w:p w14:paraId="71283E78">
                  <w:pPr>
                    <w:pStyle w:val="70"/>
                    <w:spacing w:line="240" w:lineRule="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25</w:t>
                  </w:r>
                  <w:r>
                    <w:rPr>
                      <w:rFonts w:hint="eastAsia" w:cs="Times New Roman"/>
                      <w:color w:val="auto"/>
                      <w:sz w:val="21"/>
                      <w:szCs w:val="21"/>
                      <w:lang w:val="en-US" w:eastAsia="zh-CN"/>
                    </w:rPr>
                    <w:t>3</w:t>
                  </w:r>
                </w:p>
              </w:tc>
              <w:tc>
                <w:tcPr>
                  <w:tcW w:w="1078" w:type="pct"/>
                  <w:noWrap w:val="0"/>
                  <w:vAlign w:val="center"/>
                </w:tcPr>
                <w:p w14:paraId="406E13A9">
                  <w:pPr>
                    <w:pStyle w:val="70"/>
                    <w:spacing w:line="240" w:lineRule="auto"/>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w:t>
                  </w:r>
                </w:p>
              </w:tc>
            </w:tr>
            <w:tr w14:paraId="53C4FAD8">
              <w:tblPrEx>
                <w:tblBorders>
                  <w:top w:val="single" w:color="auto" w:sz="2" w:space="0"/>
                  <w:left w:val="none" w:color="auto" w:sz="0" w:space="0"/>
                  <w:bottom w:val="single" w:color="auto" w:sz="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6" w:hRule="atLeast"/>
                <w:jc w:val="center"/>
              </w:trPr>
              <w:tc>
                <w:tcPr>
                  <w:tcW w:w="332" w:type="pct"/>
                  <w:noWrap w:val="0"/>
                  <w:vAlign w:val="center"/>
                </w:tcPr>
                <w:p w14:paraId="78C4006F">
                  <w:pPr>
                    <w:pStyle w:val="70"/>
                    <w:spacing w:line="240" w:lineRule="auto"/>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4</w:t>
                  </w:r>
                </w:p>
              </w:tc>
              <w:tc>
                <w:tcPr>
                  <w:tcW w:w="2242" w:type="pct"/>
                  <w:noWrap w:val="0"/>
                  <w:vAlign w:val="center"/>
                </w:tcPr>
                <w:p w14:paraId="00658F7E">
                  <w:pPr>
                    <w:pStyle w:val="70"/>
                    <w:spacing w:line="240" w:lineRule="auto"/>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达芙妮变电站</w:t>
                  </w:r>
                </w:p>
              </w:tc>
              <w:tc>
                <w:tcPr>
                  <w:tcW w:w="698" w:type="pct"/>
                  <w:noWrap w:val="0"/>
                  <w:vAlign w:val="center"/>
                </w:tcPr>
                <w:p w14:paraId="3B15E010">
                  <w:pPr>
                    <w:spacing w:line="240" w:lineRule="auto"/>
                    <w:jc w:val="center"/>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北侧</w:t>
                  </w:r>
                </w:p>
              </w:tc>
              <w:tc>
                <w:tcPr>
                  <w:tcW w:w="647" w:type="pct"/>
                  <w:noWrap w:val="0"/>
                  <w:vAlign w:val="center"/>
                </w:tcPr>
                <w:p w14:paraId="4B9B6ED2">
                  <w:pPr>
                    <w:pStyle w:val="70"/>
                    <w:spacing w:line="240" w:lineRule="auto"/>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213</w:t>
                  </w:r>
                </w:p>
              </w:tc>
              <w:tc>
                <w:tcPr>
                  <w:tcW w:w="1078" w:type="pct"/>
                  <w:noWrap w:val="0"/>
                  <w:vAlign w:val="center"/>
                </w:tcPr>
                <w:p w14:paraId="1C41DE75">
                  <w:pPr>
                    <w:pStyle w:val="70"/>
                    <w:spacing w:line="240" w:lineRule="auto"/>
                    <w:rPr>
                      <w:rFonts w:hint="default" w:cs="Times New Roman"/>
                      <w:color w:val="auto"/>
                      <w:sz w:val="21"/>
                      <w:szCs w:val="21"/>
                      <w:lang w:val="en-US" w:eastAsia="zh-CN"/>
                    </w:rPr>
                  </w:pPr>
                  <w:r>
                    <w:rPr>
                      <w:rFonts w:hint="eastAsia" w:cs="Times New Roman"/>
                      <w:color w:val="auto"/>
                      <w:sz w:val="21"/>
                      <w:szCs w:val="21"/>
                      <w:lang w:val="en-US" w:eastAsia="zh-CN"/>
                    </w:rPr>
                    <w:t>/</w:t>
                  </w:r>
                </w:p>
              </w:tc>
            </w:tr>
            <w:tr w14:paraId="5242D2FB">
              <w:tblPrEx>
                <w:tblBorders>
                  <w:top w:val="single" w:color="auto" w:sz="2" w:space="0"/>
                  <w:left w:val="none" w:color="auto" w:sz="0" w:space="0"/>
                  <w:bottom w:val="single" w:color="auto" w:sz="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32" w:type="pct"/>
                  <w:noWrap w:val="0"/>
                  <w:vAlign w:val="center"/>
                </w:tcPr>
                <w:p w14:paraId="6E13AED8">
                  <w:pPr>
                    <w:pStyle w:val="70"/>
                    <w:spacing w:line="240" w:lineRule="auto"/>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5</w:t>
                  </w:r>
                </w:p>
              </w:tc>
              <w:tc>
                <w:tcPr>
                  <w:tcW w:w="2242" w:type="pct"/>
                  <w:noWrap w:val="0"/>
                  <w:vAlign w:val="center"/>
                </w:tcPr>
                <w:p w14:paraId="11F82E2A">
                  <w:pPr>
                    <w:pStyle w:val="70"/>
                    <w:spacing w:line="240" w:lineRule="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在建厂房1#</w:t>
                  </w:r>
                </w:p>
              </w:tc>
              <w:tc>
                <w:tcPr>
                  <w:tcW w:w="698" w:type="pct"/>
                  <w:noWrap w:val="0"/>
                  <w:vAlign w:val="center"/>
                </w:tcPr>
                <w:p w14:paraId="24CB6046">
                  <w:pPr>
                    <w:pStyle w:val="70"/>
                    <w:spacing w:line="240" w:lineRule="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西南侧</w:t>
                  </w:r>
                </w:p>
              </w:tc>
              <w:tc>
                <w:tcPr>
                  <w:tcW w:w="647" w:type="pct"/>
                  <w:noWrap w:val="0"/>
                  <w:vAlign w:val="center"/>
                </w:tcPr>
                <w:p w14:paraId="25C7B1F4">
                  <w:pPr>
                    <w:pStyle w:val="70"/>
                    <w:spacing w:line="240" w:lineRule="auto"/>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112</w:t>
                  </w:r>
                </w:p>
              </w:tc>
              <w:tc>
                <w:tcPr>
                  <w:tcW w:w="1078" w:type="pct"/>
                  <w:noWrap w:val="0"/>
                  <w:vAlign w:val="center"/>
                </w:tcPr>
                <w:p w14:paraId="5AA7EC25">
                  <w:pPr>
                    <w:pStyle w:val="70"/>
                    <w:spacing w:line="240" w:lineRule="auto"/>
                    <w:rPr>
                      <w:rFonts w:hint="default" w:cs="Times New Roman"/>
                      <w:color w:val="auto"/>
                      <w:sz w:val="21"/>
                      <w:szCs w:val="21"/>
                      <w:lang w:val="en-US" w:eastAsia="zh-CN"/>
                    </w:rPr>
                  </w:pPr>
                  <w:r>
                    <w:rPr>
                      <w:rFonts w:hint="eastAsia" w:cs="Times New Roman"/>
                      <w:color w:val="auto"/>
                      <w:sz w:val="21"/>
                      <w:szCs w:val="21"/>
                      <w:lang w:val="en-US" w:eastAsia="zh-CN"/>
                    </w:rPr>
                    <w:t>/</w:t>
                  </w:r>
                </w:p>
              </w:tc>
            </w:tr>
            <w:tr w14:paraId="3204470A">
              <w:tblPrEx>
                <w:tblBorders>
                  <w:top w:val="single" w:color="auto" w:sz="2" w:space="0"/>
                  <w:left w:val="none" w:color="auto" w:sz="0" w:space="0"/>
                  <w:bottom w:val="single" w:color="auto" w:sz="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32" w:type="pct"/>
                  <w:noWrap w:val="0"/>
                  <w:vAlign w:val="center"/>
                </w:tcPr>
                <w:p w14:paraId="6C2E9DCB">
                  <w:pPr>
                    <w:pStyle w:val="70"/>
                    <w:spacing w:line="240" w:lineRule="auto"/>
                    <w:rPr>
                      <w:rFonts w:hint="default" w:cs="Times New Roman"/>
                      <w:color w:val="auto"/>
                      <w:sz w:val="21"/>
                      <w:szCs w:val="21"/>
                      <w:lang w:val="en-US" w:eastAsia="zh-CN"/>
                    </w:rPr>
                  </w:pPr>
                  <w:r>
                    <w:rPr>
                      <w:rFonts w:hint="eastAsia" w:cs="Times New Roman"/>
                      <w:color w:val="auto"/>
                      <w:sz w:val="21"/>
                      <w:szCs w:val="21"/>
                      <w:lang w:val="en-US" w:eastAsia="zh-CN"/>
                    </w:rPr>
                    <w:t>6</w:t>
                  </w:r>
                </w:p>
              </w:tc>
              <w:tc>
                <w:tcPr>
                  <w:tcW w:w="2242" w:type="pct"/>
                  <w:noWrap w:val="0"/>
                  <w:vAlign w:val="center"/>
                </w:tcPr>
                <w:p w14:paraId="52DF65AD">
                  <w:pPr>
                    <w:pStyle w:val="70"/>
                    <w:spacing w:line="240" w:lineRule="auto"/>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巴中纵横无人机科技有限公司</w:t>
                  </w:r>
                </w:p>
              </w:tc>
              <w:tc>
                <w:tcPr>
                  <w:tcW w:w="698" w:type="pct"/>
                  <w:noWrap w:val="0"/>
                  <w:vAlign w:val="center"/>
                </w:tcPr>
                <w:p w14:paraId="5B1A6111">
                  <w:pPr>
                    <w:pStyle w:val="70"/>
                    <w:spacing w:line="240" w:lineRule="auto"/>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西南侧</w:t>
                  </w:r>
                </w:p>
              </w:tc>
              <w:tc>
                <w:tcPr>
                  <w:tcW w:w="647" w:type="pct"/>
                  <w:noWrap w:val="0"/>
                  <w:vAlign w:val="center"/>
                </w:tcPr>
                <w:p w14:paraId="36B41CE4">
                  <w:pPr>
                    <w:pStyle w:val="70"/>
                    <w:spacing w:line="240" w:lineRule="auto"/>
                    <w:rPr>
                      <w:rFonts w:hint="default" w:cs="Times New Roman"/>
                      <w:color w:val="auto"/>
                      <w:sz w:val="21"/>
                      <w:szCs w:val="21"/>
                      <w:lang w:val="en-US" w:eastAsia="zh-CN"/>
                    </w:rPr>
                  </w:pPr>
                  <w:r>
                    <w:rPr>
                      <w:rFonts w:hint="eastAsia" w:cs="Times New Roman"/>
                      <w:color w:val="auto"/>
                      <w:sz w:val="21"/>
                      <w:szCs w:val="21"/>
                      <w:lang w:val="en-US" w:eastAsia="zh-CN"/>
                    </w:rPr>
                    <w:t>64</w:t>
                  </w:r>
                </w:p>
              </w:tc>
              <w:tc>
                <w:tcPr>
                  <w:tcW w:w="1078" w:type="pct"/>
                  <w:noWrap w:val="0"/>
                  <w:vAlign w:val="center"/>
                </w:tcPr>
                <w:p w14:paraId="085C78EA">
                  <w:pPr>
                    <w:pStyle w:val="70"/>
                    <w:spacing w:line="240" w:lineRule="auto"/>
                    <w:rPr>
                      <w:rFonts w:hint="eastAsia" w:cs="Times New Roman"/>
                      <w:color w:val="auto"/>
                      <w:sz w:val="21"/>
                      <w:szCs w:val="21"/>
                      <w:lang w:val="en-US" w:eastAsia="zh-CN"/>
                    </w:rPr>
                  </w:pPr>
                  <w:r>
                    <w:rPr>
                      <w:rFonts w:hint="eastAsia" w:cs="Times New Roman"/>
                      <w:color w:val="auto"/>
                      <w:sz w:val="21"/>
                      <w:szCs w:val="21"/>
                      <w:lang w:val="en-US" w:eastAsia="zh-CN"/>
                    </w:rPr>
                    <w:t>民用航空器（发动机、螺旋桨）生产</w:t>
                  </w:r>
                </w:p>
              </w:tc>
            </w:tr>
            <w:tr w14:paraId="22FAB43B">
              <w:tblPrEx>
                <w:tblBorders>
                  <w:top w:val="single" w:color="auto" w:sz="2" w:space="0"/>
                  <w:left w:val="none" w:color="auto" w:sz="0" w:space="0"/>
                  <w:bottom w:val="single" w:color="auto" w:sz="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32" w:type="pct"/>
                  <w:noWrap w:val="0"/>
                  <w:vAlign w:val="center"/>
                </w:tcPr>
                <w:p w14:paraId="1776A8EB">
                  <w:pPr>
                    <w:pStyle w:val="70"/>
                    <w:spacing w:line="240" w:lineRule="auto"/>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7</w:t>
                  </w:r>
                </w:p>
              </w:tc>
              <w:tc>
                <w:tcPr>
                  <w:tcW w:w="2242" w:type="pct"/>
                  <w:noWrap w:val="0"/>
                  <w:vAlign w:val="center"/>
                </w:tcPr>
                <w:p w14:paraId="63D8593E">
                  <w:pPr>
                    <w:pStyle w:val="70"/>
                    <w:spacing w:line="240" w:lineRule="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在建厂房2#</w:t>
                  </w:r>
                </w:p>
              </w:tc>
              <w:tc>
                <w:tcPr>
                  <w:tcW w:w="698" w:type="pct"/>
                  <w:noWrap w:val="0"/>
                  <w:vAlign w:val="center"/>
                </w:tcPr>
                <w:p w14:paraId="0BD01522">
                  <w:pPr>
                    <w:pStyle w:val="70"/>
                    <w:spacing w:line="240" w:lineRule="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东侧</w:t>
                  </w:r>
                </w:p>
              </w:tc>
              <w:tc>
                <w:tcPr>
                  <w:tcW w:w="647" w:type="pct"/>
                  <w:noWrap w:val="0"/>
                  <w:vAlign w:val="center"/>
                </w:tcPr>
                <w:p w14:paraId="49EAE4B1">
                  <w:pPr>
                    <w:pStyle w:val="70"/>
                    <w:spacing w:line="240" w:lineRule="auto"/>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104</w:t>
                  </w:r>
                </w:p>
              </w:tc>
              <w:tc>
                <w:tcPr>
                  <w:tcW w:w="1078" w:type="pct"/>
                  <w:noWrap w:val="0"/>
                  <w:vAlign w:val="center"/>
                </w:tcPr>
                <w:p w14:paraId="4B75B3AC">
                  <w:pPr>
                    <w:pStyle w:val="70"/>
                    <w:spacing w:line="240" w:lineRule="auto"/>
                    <w:rPr>
                      <w:rFonts w:hint="default" w:cs="Times New Roman"/>
                      <w:color w:val="auto"/>
                      <w:sz w:val="21"/>
                      <w:szCs w:val="21"/>
                      <w:lang w:val="en-US" w:eastAsia="zh-CN"/>
                    </w:rPr>
                  </w:pPr>
                  <w:r>
                    <w:rPr>
                      <w:rFonts w:hint="eastAsia" w:cs="Times New Roman"/>
                      <w:color w:val="auto"/>
                      <w:sz w:val="21"/>
                      <w:szCs w:val="21"/>
                      <w:lang w:val="en-US" w:eastAsia="zh-CN"/>
                    </w:rPr>
                    <w:t>/</w:t>
                  </w:r>
                </w:p>
              </w:tc>
            </w:tr>
            <w:tr w14:paraId="4AE42EDC">
              <w:tblPrEx>
                <w:tblBorders>
                  <w:top w:val="single" w:color="auto" w:sz="2" w:space="0"/>
                  <w:left w:val="none" w:color="auto" w:sz="0" w:space="0"/>
                  <w:bottom w:val="single" w:color="auto" w:sz="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32" w:type="pct"/>
                  <w:noWrap w:val="0"/>
                  <w:vAlign w:val="center"/>
                </w:tcPr>
                <w:p w14:paraId="553CDBCD">
                  <w:pPr>
                    <w:pStyle w:val="70"/>
                    <w:spacing w:line="240" w:lineRule="auto"/>
                    <w:rPr>
                      <w:rFonts w:hint="default" w:cs="Times New Roman"/>
                      <w:color w:val="auto"/>
                      <w:sz w:val="21"/>
                      <w:szCs w:val="21"/>
                      <w:lang w:val="en-US" w:eastAsia="zh-CN"/>
                    </w:rPr>
                  </w:pPr>
                  <w:r>
                    <w:rPr>
                      <w:rFonts w:hint="eastAsia" w:cs="Times New Roman"/>
                      <w:color w:val="auto"/>
                      <w:sz w:val="21"/>
                      <w:szCs w:val="21"/>
                      <w:lang w:val="en-US" w:eastAsia="zh-CN"/>
                    </w:rPr>
                    <w:t>8</w:t>
                  </w:r>
                </w:p>
              </w:tc>
              <w:tc>
                <w:tcPr>
                  <w:tcW w:w="2242" w:type="pct"/>
                  <w:noWrap w:val="0"/>
                  <w:vAlign w:val="center"/>
                </w:tcPr>
                <w:p w14:paraId="65292764">
                  <w:pPr>
                    <w:pStyle w:val="70"/>
                    <w:spacing w:line="240" w:lineRule="auto"/>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新型建材生产基地</w:t>
                  </w:r>
                </w:p>
              </w:tc>
              <w:tc>
                <w:tcPr>
                  <w:tcW w:w="698" w:type="pct"/>
                  <w:noWrap w:val="0"/>
                  <w:vAlign w:val="center"/>
                </w:tcPr>
                <w:p w14:paraId="7AE53A78">
                  <w:pPr>
                    <w:pStyle w:val="70"/>
                    <w:spacing w:line="240" w:lineRule="auto"/>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东侧</w:t>
                  </w:r>
                </w:p>
              </w:tc>
              <w:tc>
                <w:tcPr>
                  <w:tcW w:w="647" w:type="pct"/>
                  <w:noWrap w:val="0"/>
                  <w:vAlign w:val="center"/>
                </w:tcPr>
                <w:p w14:paraId="782E73AC">
                  <w:pPr>
                    <w:pStyle w:val="70"/>
                    <w:spacing w:line="240" w:lineRule="auto"/>
                    <w:rPr>
                      <w:rFonts w:hint="default" w:cs="Times New Roman"/>
                      <w:color w:val="auto"/>
                      <w:sz w:val="21"/>
                      <w:szCs w:val="21"/>
                      <w:lang w:val="en-US" w:eastAsia="zh-CN"/>
                    </w:rPr>
                  </w:pPr>
                  <w:r>
                    <w:rPr>
                      <w:rFonts w:hint="eastAsia" w:cs="Times New Roman"/>
                      <w:color w:val="auto"/>
                      <w:sz w:val="21"/>
                      <w:szCs w:val="21"/>
                      <w:lang w:val="en-US" w:eastAsia="zh-CN"/>
                    </w:rPr>
                    <w:t>114</w:t>
                  </w:r>
                </w:p>
              </w:tc>
              <w:tc>
                <w:tcPr>
                  <w:tcW w:w="1078" w:type="pct"/>
                  <w:noWrap w:val="0"/>
                  <w:vAlign w:val="center"/>
                </w:tcPr>
                <w:p w14:paraId="70CA61CE">
                  <w:pPr>
                    <w:pStyle w:val="70"/>
                    <w:spacing w:line="240" w:lineRule="auto"/>
                    <w:rPr>
                      <w:rFonts w:hint="default" w:cs="Times New Roman"/>
                      <w:color w:val="auto"/>
                      <w:sz w:val="21"/>
                      <w:szCs w:val="21"/>
                      <w:lang w:val="en-US" w:eastAsia="zh-CN"/>
                    </w:rPr>
                  </w:pPr>
                  <w:r>
                    <w:rPr>
                      <w:rFonts w:hint="eastAsia" w:cs="Times New Roman"/>
                      <w:color w:val="auto"/>
                      <w:sz w:val="21"/>
                      <w:szCs w:val="21"/>
                      <w:lang w:val="en-US" w:eastAsia="zh-CN"/>
                    </w:rPr>
                    <w:t>轨枕制造</w:t>
                  </w:r>
                </w:p>
              </w:tc>
            </w:tr>
            <w:tr w14:paraId="424E02D7">
              <w:tblPrEx>
                <w:tblBorders>
                  <w:top w:val="single" w:color="auto" w:sz="2" w:space="0"/>
                  <w:left w:val="none" w:color="auto" w:sz="0" w:space="0"/>
                  <w:bottom w:val="single" w:color="auto" w:sz="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32" w:type="pct"/>
                  <w:noWrap w:val="0"/>
                  <w:vAlign w:val="center"/>
                </w:tcPr>
                <w:p w14:paraId="2083383F">
                  <w:pPr>
                    <w:pStyle w:val="70"/>
                    <w:spacing w:line="240" w:lineRule="auto"/>
                    <w:rPr>
                      <w:rFonts w:hint="default" w:cs="Times New Roman"/>
                      <w:color w:val="auto"/>
                      <w:sz w:val="21"/>
                      <w:szCs w:val="21"/>
                      <w:lang w:val="en-US" w:eastAsia="zh-CN"/>
                    </w:rPr>
                  </w:pPr>
                  <w:r>
                    <w:rPr>
                      <w:rFonts w:hint="eastAsia" w:cs="Times New Roman"/>
                      <w:color w:val="auto"/>
                      <w:sz w:val="21"/>
                      <w:szCs w:val="21"/>
                      <w:lang w:val="en-US" w:eastAsia="zh-CN"/>
                    </w:rPr>
                    <w:t>9</w:t>
                  </w:r>
                </w:p>
              </w:tc>
              <w:tc>
                <w:tcPr>
                  <w:tcW w:w="2242" w:type="pct"/>
                  <w:noWrap w:val="0"/>
                  <w:vAlign w:val="center"/>
                </w:tcPr>
                <w:p w14:paraId="259B27DF">
                  <w:pPr>
                    <w:pStyle w:val="70"/>
                    <w:spacing w:line="240" w:lineRule="auto"/>
                    <w:rPr>
                      <w:rFonts w:hint="default" w:cs="Times New Roman"/>
                      <w:color w:val="auto"/>
                      <w:sz w:val="21"/>
                      <w:szCs w:val="21"/>
                      <w:lang w:val="en-US" w:eastAsia="zh-CN"/>
                    </w:rPr>
                  </w:pPr>
                  <w:r>
                    <w:rPr>
                      <w:rFonts w:hint="eastAsia" w:cs="Times New Roman"/>
                      <w:color w:val="auto"/>
                      <w:sz w:val="21"/>
                      <w:szCs w:val="21"/>
                      <w:lang w:val="en-US" w:eastAsia="zh-CN"/>
                    </w:rPr>
                    <w:t>铁路轨枕生产基地</w:t>
                  </w:r>
                </w:p>
              </w:tc>
              <w:tc>
                <w:tcPr>
                  <w:tcW w:w="698" w:type="pct"/>
                  <w:noWrap w:val="0"/>
                  <w:vAlign w:val="center"/>
                </w:tcPr>
                <w:p w14:paraId="42F8FDA2">
                  <w:pPr>
                    <w:pStyle w:val="70"/>
                    <w:spacing w:line="240" w:lineRule="auto"/>
                    <w:rPr>
                      <w:rFonts w:hint="default" w:cs="Times New Roman"/>
                      <w:color w:val="auto"/>
                      <w:sz w:val="21"/>
                      <w:szCs w:val="21"/>
                      <w:lang w:val="en-US" w:eastAsia="zh-CN"/>
                    </w:rPr>
                  </w:pPr>
                  <w:r>
                    <w:rPr>
                      <w:rFonts w:hint="eastAsia" w:cs="Times New Roman"/>
                      <w:color w:val="auto"/>
                      <w:sz w:val="21"/>
                      <w:szCs w:val="21"/>
                      <w:lang w:val="en-US" w:eastAsia="zh-CN"/>
                    </w:rPr>
                    <w:t>东侧</w:t>
                  </w:r>
                </w:p>
              </w:tc>
              <w:tc>
                <w:tcPr>
                  <w:tcW w:w="647" w:type="pct"/>
                  <w:noWrap w:val="0"/>
                  <w:vAlign w:val="center"/>
                </w:tcPr>
                <w:p w14:paraId="16BA9C23">
                  <w:pPr>
                    <w:pStyle w:val="70"/>
                    <w:spacing w:line="240" w:lineRule="auto"/>
                    <w:rPr>
                      <w:rFonts w:hint="default" w:cs="Times New Roman"/>
                      <w:color w:val="auto"/>
                      <w:sz w:val="21"/>
                      <w:szCs w:val="21"/>
                      <w:lang w:val="en-US" w:eastAsia="zh-CN"/>
                    </w:rPr>
                  </w:pPr>
                  <w:r>
                    <w:rPr>
                      <w:rFonts w:hint="eastAsia" w:cs="Times New Roman"/>
                      <w:color w:val="auto"/>
                      <w:sz w:val="21"/>
                      <w:szCs w:val="21"/>
                      <w:lang w:val="en-US" w:eastAsia="zh-CN"/>
                    </w:rPr>
                    <w:t>184</w:t>
                  </w:r>
                </w:p>
              </w:tc>
              <w:tc>
                <w:tcPr>
                  <w:tcW w:w="1078" w:type="pct"/>
                  <w:noWrap w:val="0"/>
                  <w:vAlign w:val="center"/>
                </w:tcPr>
                <w:p w14:paraId="27C0294D">
                  <w:pPr>
                    <w:pStyle w:val="70"/>
                    <w:spacing w:line="240" w:lineRule="auto"/>
                    <w:rPr>
                      <w:rFonts w:hint="default" w:cs="Times New Roman"/>
                      <w:color w:val="auto"/>
                      <w:sz w:val="21"/>
                      <w:szCs w:val="21"/>
                      <w:lang w:val="en-US" w:eastAsia="zh-CN"/>
                    </w:rPr>
                  </w:pPr>
                  <w:r>
                    <w:rPr>
                      <w:rFonts w:hint="eastAsia" w:cs="Times New Roman"/>
                      <w:color w:val="auto"/>
                      <w:sz w:val="21"/>
                      <w:szCs w:val="21"/>
                      <w:lang w:val="en-US" w:eastAsia="zh-CN"/>
                    </w:rPr>
                    <w:t>石材加工</w:t>
                  </w:r>
                </w:p>
              </w:tc>
            </w:tr>
            <w:tr w14:paraId="1EB71D25">
              <w:tblPrEx>
                <w:tblBorders>
                  <w:top w:val="single" w:color="auto" w:sz="2" w:space="0"/>
                  <w:left w:val="none" w:color="auto" w:sz="0" w:space="0"/>
                  <w:bottom w:val="single" w:color="auto" w:sz="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32" w:type="pct"/>
                  <w:noWrap w:val="0"/>
                  <w:vAlign w:val="center"/>
                </w:tcPr>
                <w:p w14:paraId="301D8C63">
                  <w:pPr>
                    <w:pStyle w:val="70"/>
                    <w:spacing w:line="240" w:lineRule="auto"/>
                    <w:rPr>
                      <w:rFonts w:hint="default" w:cs="Times New Roman"/>
                      <w:color w:val="auto"/>
                      <w:sz w:val="21"/>
                      <w:szCs w:val="21"/>
                      <w:lang w:val="en-US" w:eastAsia="zh-CN"/>
                    </w:rPr>
                  </w:pPr>
                  <w:r>
                    <w:rPr>
                      <w:rFonts w:hint="eastAsia" w:cs="Times New Roman"/>
                      <w:color w:val="auto"/>
                      <w:sz w:val="21"/>
                      <w:szCs w:val="21"/>
                      <w:lang w:val="en-US" w:eastAsia="zh-CN"/>
                    </w:rPr>
                    <w:t>10</w:t>
                  </w:r>
                </w:p>
              </w:tc>
              <w:tc>
                <w:tcPr>
                  <w:tcW w:w="2242" w:type="pct"/>
                  <w:noWrap w:val="0"/>
                  <w:vAlign w:val="center"/>
                </w:tcPr>
                <w:p w14:paraId="651F5664">
                  <w:pPr>
                    <w:pStyle w:val="70"/>
                    <w:spacing w:line="240" w:lineRule="auto"/>
                    <w:rPr>
                      <w:rFonts w:hint="default" w:cs="Times New Roman"/>
                      <w:color w:val="auto"/>
                      <w:sz w:val="21"/>
                      <w:szCs w:val="21"/>
                      <w:lang w:val="en-US" w:eastAsia="zh-CN"/>
                    </w:rPr>
                  </w:pPr>
                  <w:r>
                    <w:rPr>
                      <w:rFonts w:hint="eastAsia" w:cs="Times New Roman"/>
                      <w:color w:val="auto"/>
                      <w:sz w:val="21"/>
                      <w:szCs w:val="21"/>
                      <w:lang w:val="en-US" w:eastAsia="zh-CN"/>
                    </w:rPr>
                    <w:t>在建厂房3#</w:t>
                  </w:r>
                </w:p>
              </w:tc>
              <w:tc>
                <w:tcPr>
                  <w:tcW w:w="698" w:type="pct"/>
                  <w:noWrap w:val="0"/>
                  <w:vAlign w:val="center"/>
                </w:tcPr>
                <w:p w14:paraId="1B7657DA">
                  <w:pPr>
                    <w:pStyle w:val="70"/>
                    <w:spacing w:line="240" w:lineRule="auto"/>
                    <w:rPr>
                      <w:rFonts w:hint="eastAsia" w:cs="Times New Roman"/>
                      <w:color w:val="auto"/>
                      <w:sz w:val="21"/>
                      <w:szCs w:val="21"/>
                      <w:lang w:val="en-US" w:eastAsia="zh-CN"/>
                    </w:rPr>
                  </w:pPr>
                  <w:r>
                    <w:rPr>
                      <w:rFonts w:hint="eastAsia" w:cs="Times New Roman"/>
                      <w:color w:val="auto"/>
                      <w:sz w:val="21"/>
                      <w:szCs w:val="21"/>
                      <w:lang w:val="en-US" w:eastAsia="zh-CN"/>
                    </w:rPr>
                    <w:t>东侧</w:t>
                  </w:r>
                </w:p>
              </w:tc>
              <w:tc>
                <w:tcPr>
                  <w:tcW w:w="647" w:type="pct"/>
                  <w:noWrap w:val="0"/>
                  <w:vAlign w:val="center"/>
                </w:tcPr>
                <w:p w14:paraId="003C1B3E">
                  <w:pPr>
                    <w:pStyle w:val="70"/>
                    <w:spacing w:line="240" w:lineRule="auto"/>
                    <w:rPr>
                      <w:rFonts w:hint="default" w:cs="Times New Roman"/>
                      <w:color w:val="auto"/>
                      <w:sz w:val="21"/>
                      <w:szCs w:val="21"/>
                      <w:lang w:val="en-US" w:eastAsia="zh-CN"/>
                    </w:rPr>
                  </w:pPr>
                  <w:r>
                    <w:rPr>
                      <w:rFonts w:hint="eastAsia" w:cs="Times New Roman"/>
                      <w:color w:val="auto"/>
                      <w:sz w:val="21"/>
                      <w:szCs w:val="21"/>
                      <w:lang w:val="en-US" w:eastAsia="zh-CN"/>
                    </w:rPr>
                    <w:t>紧邻</w:t>
                  </w:r>
                </w:p>
              </w:tc>
              <w:tc>
                <w:tcPr>
                  <w:tcW w:w="1078" w:type="pct"/>
                  <w:noWrap w:val="0"/>
                  <w:vAlign w:val="center"/>
                </w:tcPr>
                <w:p w14:paraId="73CD3139">
                  <w:pPr>
                    <w:pStyle w:val="70"/>
                    <w:spacing w:line="240" w:lineRule="auto"/>
                    <w:rPr>
                      <w:rFonts w:hint="default" w:cs="Times New Roman"/>
                      <w:color w:val="auto"/>
                      <w:sz w:val="21"/>
                      <w:szCs w:val="21"/>
                      <w:lang w:val="en-US" w:eastAsia="zh-CN"/>
                    </w:rPr>
                  </w:pPr>
                  <w:r>
                    <w:rPr>
                      <w:rFonts w:hint="eastAsia" w:cs="Times New Roman"/>
                      <w:color w:val="auto"/>
                      <w:sz w:val="21"/>
                      <w:szCs w:val="21"/>
                      <w:lang w:val="en-US" w:eastAsia="zh-CN"/>
                    </w:rPr>
                    <w:t>/</w:t>
                  </w:r>
                </w:p>
              </w:tc>
            </w:tr>
            <w:tr w14:paraId="4DAC19B0">
              <w:tblPrEx>
                <w:tblBorders>
                  <w:top w:val="single" w:color="auto" w:sz="2" w:space="0"/>
                  <w:left w:val="none" w:color="auto" w:sz="0" w:space="0"/>
                  <w:bottom w:val="single" w:color="auto" w:sz="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32" w:type="pct"/>
                  <w:noWrap w:val="0"/>
                  <w:vAlign w:val="center"/>
                </w:tcPr>
                <w:p w14:paraId="2D15D4DE">
                  <w:pPr>
                    <w:pStyle w:val="70"/>
                    <w:spacing w:line="240" w:lineRule="auto"/>
                    <w:rPr>
                      <w:rFonts w:hint="default" w:cs="Times New Roman"/>
                      <w:color w:val="auto"/>
                      <w:sz w:val="21"/>
                      <w:szCs w:val="21"/>
                      <w:lang w:val="en-US" w:eastAsia="zh-CN"/>
                    </w:rPr>
                  </w:pPr>
                  <w:r>
                    <w:rPr>
                      <w:rFonts w:hint="eastAsia" w:cs="Times New Roman"/>
                      <w:color w:val="auto"/>
                      <w:sz w:val="21"/>
                      <w:szCs w:val="21"/>
                      <w:lang w:val="en-US" w:eastAsia="zh-CN"/>
                    </w:rPr>
                    <w:t>11</w:t>
                  </w:r>
                </w:p>
              </w:tc>
              <w:tc>
                <w:tcPr>
                  <w:tcW w:w="2242" w:type="pct"/>
                  <w:noWrap w:val="0"/>
                  <w:vAlign w:val="center"/>
                </w:tcPr>
                <w:p w14:paraId="3AD0AD4D">
                  <w:pPr>
                    <w:pStyle w:val="70"/>
                    <w:spacing w:line="240" w:lineRule="auto"/>
                    <w:rPr>
                      <w:rFonts w:hint="default" w:cs="Times New Roman"/>
                      <w:color w:val="auto"/>
                      <w:sz w:val="21"/>
                      <w:szCs w:val="21"/>
                      <w:lang w:val="en-US" w:eastAsia="zh-CN"/>
                    </w:rPr>
                  </w:pPr>
                  <w:r>
                    <w:rPr>
                      <w:rFonts w:hint="eastAsia" w:cs="Times New Roman"/>
                      <w:color w:val="auto"/>
                      <w:sz w:val="21"/>
                      <w:szCs w:val="21"/>
                      <w:lang w:val="en-US" w:eastAsia="zh-CN"/>
                    </w:rPr>
                    <w:t>在建厂房4#</w:t>
                  </w:r>
                </w:p>
              </w:tc>
              <w:tc>
                <w:tcPr>
                  <w:tcW w:w="698" w:type="pct"/>
                  <w:noWrap w:val="0"/>
                  <w:vAlign w:val="center"/>
                </w:tcPr>
                <w:p w14:paraId="30B1D785">
                  <w:pPr>
                    <w:pStyle w:val="70"/>
                    <w:spacing w:line="240" w:lineRule="auto"/>
                    <w:rPr>
                      <w:rFonts w:hint="eastAsia" w:cs="Times New Roman"/>
                      <w:color w:val="auto"/>
                      <w:sz w:val="21"/>
                      <w:szCs w:val="21"/>
                      <w:lang w:val="en-US" w:eastAsia="zh-CN"/>
                    </w:rPr>
                  </w:pPr>
                  <w:r>
                    <w:rPr>
                      <w:rFonts w:hint="eastAsia" w:cs="Times New Roman"/>
                      <w:color w:val="auto"/>
                      <w:sz w:val="21"/>
                      <w:szCs w:val="21"/>
                      <w:lang w:val="en-US" w:eastAsia="zh-CN"/>
                    </w:rPr>
                    <w:t>东侧</w:t>
                  </w:r>
                </w:p>
              </w:tc>
              <w:tc>
                <w:tcPr>
                  <w:tcW w:w="647" w:type="pct"/>
                  <w:noWrap w:val="0"/>
                  <w:vAlign w:val="center"/>
                </w:tcPr>
                <w:p w14:paraId="3A96B434">
                  <w:pPr>
                    <w:pStyle w:val="70"/>
                    <w:spacing w:line="240" w:lineRule="auto"/>
                    <w:rPr>
                      <w:rFonts w:hint="default" w:cs="Times New Roman"/>
                      <w:color w:val="auto"/>
                      <w:sz w:val="21"/>
                      <w:szCs w:val="21"/>
                      <w:lang w:val="en-US" w:eastAsia="zh-CN"/>
                    </w:rPr>
                  </w:pPr>
                  <w:r>
                    <w:rPr>
                      <w:rFonts w:hint="eastAsia" w:cs="Times New Roman"/>
                      <w:color w:val="auto"/>
                      <w:sz w:val="21"/>
                      <w:szCs w:val="21"/>
                      <w:lang w:val="en-US" w:eastAsia="zh-CN"/>
                    </w:rPr>
                    <w:t>295</w:t>
                  </w:r>
                </w:p>
              </w:tc>
              <w:tc>
                <w:tcPr>
                  <w:tcW w:w="1078" w:type="pct"/>
                  <w:noWrap w:val="0"/>
                  <w:vAlign w:val="center"/>
                </w:tcPr>
                <w:p w14:paraId="5ED714B3">
                  <w:pPr>
                    <w:pStyle w:val="70"/>
                    <w:spacing w:line="240" w:lineRule="auto"/>
                    <w:rPr>
                      <w:rFonts w:hint="default" w:cs="Times New Roman"/>
                      <w:color w:val="auto"/>
                      <w:sz w:val="21"/>
                      <w:szCs w:val="21"/>
                      <w:lang w:val="en-US" w:eastAsia="zh-CN"/>
                    </w:rPr>
                  </w:pPr>
                  <w:r>
                    <w:rPr>
                      <w:rFonts w:hint="eastAsia" w:cs="Times New Roman"/>
                      <w:color w:val="auto"/>
                      <w:sz w:val="21"/>
                      <w:szCs w:val="21"/>
                      <w:lang w:val="en-US" w:eastAsia="zh-CN"/>
                    </w:rPr>
                    <w:t>/</w:t>
                  </w:r>
                </w:p>
              </w:tc>
            </w:tr>
            <w:tr w14:paraId="31FF24A0">
              <w:tblPrEx>
                <w:tblBorders>
                  <w:top w:val="single" w:color="auto" w:sz="2" w:space="0"/>
                  <w:left w:val="none" w:color="auto" w:sz="0" w:space="0"/>
                  <w:bottom w:val="single" w:color="auto" w:sz="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32" w:type="pct"/>
                  <w:noWrap w:val="0"/>
                  <w:vAlign w:val="center"/>
                </w:tcPr>
                <w:p w14:paraId="4337596D">
                  <w:pPr>
                    <w:pStyle w:val="70"/>
                    <w:spacing w:line="240" w:lineRule="auto"/>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12</w:t>
                  </w:r>
                </w:p>
              </w:tc>
              <w:tc>
                <w:tcPr>
                  <w:tcW w:w="2242" w:type="pct"/>
                  <w:noWrap w:val="0"/>
                  <w:vAlign w:val="center"/>
                </w:tcPr>
                <w:p w14:paraId="66BA5CB7">
                  <w:pPr>
                    <w:pStyle w:val="70"/>
                    <w:spacing w:line="240" w:lineRule="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西部云谷（巴中）大数据基地</w:t>
                  </w:r>
                </w:p>
              </w:tc>
              <w:tc>
                <w:tcPr>
                  <w:tcW w:w="698" w:type="pct"/>
                  <w:noWrap w:val="0"/>
                  <w:vAlign w:val="center"/>
                </w:tcPr>
                <w:p w14:paraId="30A139BC">
                  <w:pPr>
                    <w:pStyle w:val="70"/>
                    <w:spacing w:line="240" w:lineRule="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南侧</w:t>
                  </w:r>
                </w:p>
              </w:tc>
              <w:tc>
                <w:tcPr>
                  <w:tcW w:w="647" w:type="pct"/>
                  <w:noWrap w:val="0"/>
                  <w:vAlign w:val="center"/>
                </w:tcPr>
                <w:p w14:paraId="240DCD8A">
                  <w:pPr>
                    <w:pStyle w:val="70"/>
                    <w:spacing w:line="240" w:lineRule="auto"/>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317</w:t>
                  </w:r>
                </w:p>
              </w:tc>
              <w:tc>
                <w:tcPr>
                  <w:tcW w:w="1078" w:type="pct"/>
                  <w:noWrap w:val="0"/>
                  <w:vAlign w:val="center"/>
                </w:tcPr>
                <w:p w14:paraId="13BF3292">
                  <w:pPr>
                    <w:pStyle w:val="70"/>
                    <w:spacing w:line="240" w:lineRule="auto"/>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w:t>
                  </w:r>
                </w:p>
              </w:tc>
            </w:tr>
            <w:tr w14:paraId="1154AF3A">
              <w:tblPrEx>
                <w:tblBorders>
                  <w:top w:val="single" w:color="auto" w:sz="2" w:space="0"/>
                  <w:left w:val="none" w:color="auto" w:sz="0" w:space="0"/>
                  <w:bottom w:val="single" w:color="auto" w:sz="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32" w:type="pct"/>
                  <w:noWrap w:val="0"/>
                  <w:vAlign w:val="center"/>
                </w:tcPr>
                <w:p w14:paraId="646B5C1E">
                  <w:pPr>
                    <w:pStyle w:val="70"/>
                    <w:spacing w:line="240" w:lineRule="auto"/>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13</w:t>
                  </w:r>
                </w:p>
              </w:tc>
              <w:tc>
                <w:tcPr>
                  <w:tcW w:w="2242" w:type="pct"/>
                  <w:noWrap w:val="0"/>
                  <w:vAlign w:val="center"/>
                </w:tcPr>
                <w:p w14:paraId="761300BD">
                  <w:pPr>
                    <w:pStyle w:val="70"/>
                    <w:spacing w:line="240" w:lineRule="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四川国药天江药业有限公司</w:t>
                  </w:r>
                </w:p>
              </w:tc>
              <w:tc>
                <w:tcPr>
                  <w:tcW w:w="698" w:type="pct"/>
                  <w:noWrap w:val="0"/>
                  <w:vAlign w:val="center"/>
                </w:tcPr>
                <w:p w14:paraId="6ED4771D">
                  <w:pPr>
                    <w:pStyle w:val="70"/>
                    <w:spacing w:line="240" w:lineRule="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东南侧</w:t>
                  </w:r>
                </w:p>
              </w:tc>
              <w:tc>
                <w:tcPr>
                  <w:tcW w:w="647" w:type="pct"/>
                  <w:noWrap w:val="0"/>
                  <w:vAlign w:val="center"/>
                </w:tcPr>
                <w:p w14:paraId="63872B3A">
                  <w:pPr>
                    <w:pStyle w:val="70"/>
                    <w:spacing w:line="240" w:lineRule="auto"/>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461</w:t>
                  </w:r>
                </w:p>
              </w:tc>
              <w:tc>
                <w:tcPr>
                  <w:tcW w:w="1078" w:type="pct"/>
                  <w:noWrap w:val="0"/>
                  <w:vAlign w:val="center"/>
                </w:tcPr>
                <w:p w14:paraId="76E4E59F">
                  <w:pPr>
                    <w:pStyle w:val="70"/>
                    <w:spacing w:line="240" w:lineRule="auto"/>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药品生产</w:t>
                  </w:r>
                </w:p>
              </w:tc>
            </w:tr>
            <w:tr w14:paraId="1165396C">
              <w:tblPrEx>
                <w:tblBorders>
                  <w:top w:val="single" w:color="auto" w:sz="2" w:space="0"/>
                  <w:left w:val="none" w:color="auto" w:sz="0" w:space="0"/>
                  <w:bottom w:val="single" w:color="auto" w:sz="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17" w:hRule="atLeast"/>
                <w:jc w:val="center"/>
              </w:trPr>
              <w:tc>
                <w:tcPr>
                  <w:tcW w:w="332" w:type="pct"/>
                  <w:noWrap w:val="0"/>
                  <w:vAlign w:val="center"/>
                </w:tcPr>
                <w:p w14:paraId="6AC685C6">
                  <w:pPr>
                    <w:pStyle w:val="70"/>
                    <w:spacing w:line="240" w:lineRule="auto"/>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14</w:t>
                  </w:r>
                </w:p>
              </w:tc>
              <w:tc>
                <w:tcPr>
                  <w:tcW w:w="2242" w:type="pct"/>
                  <w:noWrap w:val="0"/>
                  <w:vAlign w:val="center"/>
                </w:tcPr>
                <w:p w14:paraId="1DBE02AD">
                  <w:pPr>
                    <w:pStyle w:val="70"/>
                    <w:spacing w:line="240" w:lineRule="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安驰驾校</w:t>
                  </w:r>
                </w:p>
              </w:tc>
              <w:tc>
                <w:tcPr>
                  <w:tcW w:w="698" w:type="pct"/>
                  <w:noWrap w:val="0"/>
                  <w:vAlign w:val="center"/>
                </w:tcPr>
                <w:p w14:paraId="33032339">
                  <w:pPr>
                    <w:pStyle w:val="70"/>
                    <w:spacing w:line="240" w:lineRule="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东南侧</w:t>
                  </w:r>
                </w:p>
              </w:tc>
              <w:tc>
                <w:tcPr>
                  <w:tcW w:w="647" w:type="pct"/>
                  <w:noWrap w:val="0"/>
                  <w:vAlign w:val="center"/>
                </w:tcPr>
                <w:p w14:paraId="6AFA0DE0">
                  <w:pPr>
                    <w:pStyle w:val="70"/>
                    <w:spacing w:line="240" w:lineRule="auto"/>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373</w:t>
                  </w:r>
                </w:p>
              </w:tc>
              <w:tc>
                <w:tcPr>
                  <w:tcW w:w="1078" w:type="pct"/>
                  <w:noWrap w:val="0"/>
                  <w:vAlign w:val="center"/>
                </w:tcPr>
                <w:p w14:paraId="4BF9CB73">
                  <w:pPr>
                    <w:pStyle w:val="70"/>
                    <w:spacing w:line="240" w:lineRule="auto"/>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w:t>
                  </w:r>
                </w:p>
              </w:tc>
            </w:tr>
            <w:tr w14:paraId="7204FC13">
              <w:tblPrEx>
                <w:tblBorders>
                  <w:top w:val="single" w:color="auto" w:sz="2" w:space="0"/>
                  <w:left w:val="none" w:color="auto" w:sz="0" w:space="0"/>
                  <w:bottom w:val="single" w:color="auto" w:sz="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32" w:type="pct"/>
                  <w:noWrap w:val="0"/>
                  <w:vAlign w:val="center"/>
                </w:tcPr>
                <w:p w14:paraId="68BF64FA">
                  <w:pPr>
                    <w:pStyle w:val="70"/>
                    <w:spacing w:line="240" w:lineRule="auto"/>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15</w:t>
                  </w:r>
                </w:p>
              </w:tc>
              <w:tc>
                <w:tcPr>
                  <w:tcW w:w="2242" w:type="pct"/>
                  <w:noWrap w:val="0"/>
                  <w:vAlign w:val="center"/>
                </w:tcPr>
                <w:p w14:paraId="70D84C62">
                  <w:pPr>
                    <w:pStyle w:val="70"/>
                    <w:spacing w:line="240" w:lineRule="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巴中锦磊石业有限公司</w:t>
                  </w:r>
                </w:p>
              </w:tc>
              <w:tc>
                <w:tcPr>
                  <w:tcW w:w="698" w:type="pct"/>
                  <w:noWrap w:val="0"/>
                  <w:vAlign w:val="center"/>
                </w:tcPr>
                <w:p w14:paraId="1E9073A0">
                  <w:pPr>
                    <w:pStyle w:val="70"/>
                    <w:spacing w:line="240" w:lineRule="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东南侧</w:t>
                  </w:r>
                </w:p>
              </w:tc>
              <w:tc>
                <w:tcPr>
                  <w:tcW w:w="647" w:type="pct"/>
                  <w:noWrap w:val="0"/>
                  <w:vAlign w:val="center"/>
                </w:tcPr>
                <w:p w14:paraId="72686529">
                  <w:pPr>
                    <w:pStyle w:val="70"/>
                    <w:spacing w:line="240" w:lineRule="auto"/>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415</w:t>
                  </w:r>
                </w:p>
              </w:tc>
              <w:tc>
                <w:tcPr>
                  <w:tcW w:w="1078" w:type="pct"/>
                  <w:noWrap w:val="0"/>
                  <w:vAlign w:val="center"/>
                </w:tcPr>
                <w:p w14:paraId="67A66BC7">
                  <w:pPr>
                    <w:pStyle w:val="70"/>
                    <w:spacing w:line="240" w:lineRule="auto"/>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石材加工</w:t>
                  </w:r>
                </w:p>
              </w:tc>
            </w:tr>
            <w:tr w14:paraId="6962CDDD">
              <w:tblPrEx>
                <w:tblBorders>
                  <w:top w:val="single" w:color="auto" w:sz="2" w:space="0"/>
                  <w:left w:val="none" w:color="auto" w:sz="0" w:space="0"/>
                  <w:bottom w:val="single" w:color="auto" w:sz="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32" w:type="pct"/>
                  <w:noWrap w:val="0"/>
                  <w:vAlign w:val="center"/>
                </w:tcPr>
                <w:p w14:paraId="7B6AA61D">
                  <w:pPr>
                    <w:pStyle w:val="70"/>
                    <w:spacing w:line="240" w:lineRule="auto"/>
                    <w:rPr>
                      <w:rFonts w:hint="default" w:cs="Times New Roman"/>
                      <w:color w:val="auto"/>
                      <w:sz w:val="21"/>
                      <w:szCs w:val="21"/>
                      <w:lang w:val="en-US" w:eastAsia="zh-CN"/>
                    </w:rPr>
                  </w:pPr>
                  <w:r>
                    <w:rPr>
                      <w:rFonts w:hint="eastAsia" w:cs="Times New Roman"/>
                      <w:color w:val="auto"/>
                      <w:sz w:val="21"/>
                      <w:szCs w:val="21"/>
                      <w:lang w:val="en-US" w:eastAsia="zh-CN"/>
                    </w:rPr>
                    <w:t>16</w:t>
                  </w:r>
                </w:p>
              </w:tc>
              <w:tc>
                <w:tcPr>
                  <w:tcW w:w="2242" w:type="pct"/>
                  <w:noWrap w:val="0"/>
                  <w:vAlign w:val="center"/>
                </w:tcPr>
                <w:p w14:paraId="2E3DC645">
                  <w:pPr>
                    <w:pStyle w:val="70"/>
                    <w:spacing w:line="240" w:lineRule="auto"/>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巴中恒强</w:t>
                  </w:r>
                </w:p>
              </w:tc>
              <w:tc>
                <w:tcPr>
                  <w:tcW w:w="698" w:type="pct"/>
                  <w:noWrap w:val="0"/>
                  <w:vAlign w:val="center"/>
                </w:tcPr>
                <w:p w14:paraId="44E0BC57">
                  <w:pPr>
                    <w:pStyle w:val="70"/>
                    <w:spacing w:line="240" w:lineRule="auto"/>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东南侧</w:t>
                  </w:r>
                </w:p>
              </w:tc>
              <w:tc>
                <w:tcPr>
                  <w:tcW w:w="647" w:type="pct"/>
                  <w:noWrap w:val="0"/>
                  <w:vAlign w:val="center"/>
                </w:tcPr>
                <w:p w14:paraId="19914E70">
                  <w:pPr>
                    <w:pStyle w:val="70"/>
                    <w:spacing w:line="240" w:lineRule="auto"/>
                    <w:rPr>
                      <w:rFonts w:hint="default" w:cs="Times New Roman"/>
                      <w:color w:val="auto"/>
                      <w:sz w:val="21"/>
                      <w:szCs w:val="21"/>
                      <w:lang w:val="en-US" w:eastAsia="zh-CN"/>
                    </w:rPr>
                  </w:pPr>
                  <w:r>
                    <w:rPr>
                      <w:rFonts w:hint="eastAsia" w:cs="Times New Roman"/>
                      <w:color w:val="auto"/>
                      <w:sz w:val="21"/>
                      <w:szCs w:val="21"/>
                      <w:lang w:val="en-US" w:eastAsia="zh-CN"/>
                    </w:rPr>
                    <w:t>352</w:t>
                  </w:r>
                </w:p>
              </w:tc>
              <w:tc>
                <w:tcPr>
                  <w:tcW w:w="1078" w:type="pct"/>
                  <w:noWrap w:val="0"/>
                  <w:vAlign w:val="center"/>
                </w:tcPr>
                <w:p w14:paraId="308B0C1C">
                  <w:pPr>
                    <w:pStyle w:val="70"/>
                    <w:spacing w:line="240" w:lineRule="auto"/>
                    <w:rPr>
                      <w:rFonts w:hint="default" w:cs="Times New Roman"/>
                      <w:color w:val="auto"/>
                      <w:sz w:val="21"/>
                      <w:szCs w:val="21"/>
                      <w:lang w:val="en-US" w:eastAsia="zh-CN"/>
                    </w:rPr>
                  </w:pPr>
                  <w:r>
                    <w:rPr>
                      <w:rFonts w:hint="eastAsia" w:cs="Times New Roman"/>
                      <w:color w:val="auto"/>
                      <w:sz w:val="21"/>
                      <w:szCs w:val="21"/>
                      <w:lang w:val="en-US" w:eastAsia="zh-CN"/>
                    </w:rPr>
                    <w:t>建材制造</w:t>
                  </w:r>
                </w:p>
              </w:tc>
            </w:tr>
            <w:tr w14:paraId="0DD997FE">
              <w:tblPrEx>
                <w:tblBorders>
                  <w:top w:val="single" w:color="auto" w:sz="2" w:space="0"/>
                  <w:left w:val="none" w:color="auto" w:sz="0" w:space="0"/>
                  <w:bottom w:val="single" w:color="auto" w:sz="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32" w:type="pct"/>
                  <w:noWrap w:val="0"/>
                  <w:vAlign w:val="center"/>
                </w:tcPr>
                <w:p w14:paraId="652A29E0">
                  <w:pPr>
                    <w:pStyle w:val="70"/>
                    <w:spacing w:line="240" w:lineRule="auto"/>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17</w:t>
                  </w:r>
                </w:p>
              </w:tc>
              <w:tc>
                <w:tcPr>
                  <w:tcW w:w="2242" w:type="pct"/>
                  <w:noWrap w:val="0"/>
                  <w:vAlign w:val="center"/>
                </w:tcPr>
                <w:p w14:paraId="6879C55A">
                  <w:pPr>
                    <w:pStyle w:val="70"/>
                    <w:spacing w:line="240" w:lineRule="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巴中国兴公路工程有限公司</w:t>
                  </w:r>
                </w:p>
              </w:tc>
              <w:tc>
                <w:tcPr>
                  <w:tcW w:w="698" w:type="pct"/>
                  <w:noWrap w:val="0"/>
                  <w:vAlign w:val="center"/>
                </w:tcPr>
                <w:p w14:paraId="4081B5F3">
                  <w:pPr>
                    <w:pStyle w:val="70"/>
                    <w:spacing w:line="240" w:lineRule="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东侧</w:t>
                  </w:r>
                </w:p>
              </w:tc>
              <w:tc>
                <w:tcPr>
                  <w:tcW w:w="647" w:type="pct"/>
                  <w:noWrap w:val="0"/>
                  <w:vAlign w:val="center"/>
                </w:tcPr>
                <w:p w14:paraId="2A5646B5">
                  <w:pPr>
                    <w:pStyle w:val="70"/>
                    <w:spacing w:line="240" w:lineRule="auto"/>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446</w:t>
                  </w:r>
                </w:p>
              </w:tc>
              <w:tc>
                <w:tcPr>
                  <w:tcW w:w="1078" w:type="pct"/>
                  <w:noWrap w:val="0"/>
                  <w:vAlign w:val="center"/>
                </w:tcPr>
                <w:p w14:paraId="47A46E37">
                  <w:pPr>
                    <w:pStyle w:val="70"/>
                    <w:spacing w:line="240" w:lineRule="auto"/>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建筑施工</w:t>
                  </w:r>
                </w:p>
              </w:tc>
            </w:tr>
            <w:tr w14:paraId="0FCEB291">
              <w:tblPrEx>
                <w:tblBorders>
                  <w:top w:val="single" w:color="auto" w:sz="2" w:space="0"/>
                  <w:left w:val="none" w:color="auto" w:sz="0" w:space="0"/>
                  <w:bottom w:val="single" w:color="auto" w:sz="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32" w:type="pct"/>
                  <w:noWrap w:val="0"/>
                  <w:vAlign w:val="center"/>
                </w:tcPr>
                <w:p w14:paraId="22AD2F79">
                  <w:pPr>
                    <w:pStyle w:val="70"/>
                    <w:spacing w:line="240" w:lineRule="auto"/>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18</w:t>
                  </w:r>
                </w:p>
              </w:tc>
              <w:tc>
                <w:tcPr>
                  <w:tcW w:w="2242" w:type="pct"/>
                  <w:noWrap w:val="0"/>
                  <w:vAlign w:val="center"/>
                </w:tcPr>
                <w:p w14:paraId="5DCAE11F">
                  <w:pPr>
                    <w:pStyle w:val="70"/>
                    <w:spacing w:line="240" w:lineRule="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云城.书香美邸（在建）</w:t>
                  </w:r>
                </w:p>
              </w:tc>
              <w:tc>
                <w:tcPr>
                  <w:tcW w:w="698" w:type="pct"/>
                  <w:noWrap w:val="0"/>
                  <w:vAlign w:val="center"/>
                </w:tcPr>
                <w:p w14:paraId="2AA076BC">
                  <w:pPr>
                    <w:pStyle w:val="70"/>
                    <w:spacing w:line="240" w:lineRule="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西南侧</w:t>
                  </w:r>
                </w:p>
              </w:tc>
              <w:tc>
                <w:tcPr>
                  <w:tcW w:w="647" w:type="pct"/>
                  <w:noWrap w:val="0"/>
                  <w:vAlign w:val="center"/>
                </w:tcPr>
                <w:p w14:paraId="28F1C56F">
                  <w:pPr>
                    <w:pStyle w:val="70"/>
                    <w:spacing w:line="240" w:lineRule="auto"/>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386</w:t>
                  </w:r>
                </w:p>
              </w:tc>
              <w:tc>
                <w:tcPr>
                  <w:tcW w:w="1078" w:type="pct"/>
                  <w:noWrap w:val="0"/>
                  <w:vAlign w:val="center"/>
                </w:tcPr>
                <w:p w14:paraId="492CCBB1">
                  <w:pPr>
                    <w:pStyle w:val="70"/>
                    <w:spacing w:line="240" w:lineRule="auto"/>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w:t>
                  </w:r>
                </w:p>
              </w:tc>
            </w:tr>
            <w:tr w14:paraId="409A5A53">
              <w:tblPrEx>
                <w:tblBorders>
                  <w:top w:val="single" w:color="auto" w:sz="2" w:space="0"/>
                  <w:left w:val="none" w:color="auto" w:sz="0" w:space="0"/>
                  <w:bottom w:val="single" w:color="auto" w:sz="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32" w:type="pct"/>
                  <w:noWrap w:val="0"/>
                  <w:vAlign w:val="center"/>
                </w:tcPr>
                <w:p w14:paraId="6B4C1CC2">
                  <w:pPr>
                    <w:pStyle w:val="70"/>
                    <w:spacing w:line="240" w:lineRule="auto"/>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19</w:t>
                  </w:r>
                </w:p>
              </w:tc>
              <w:tc>
                <w:tcPr>
                  <w:tcW w:w="2242" w:type="pct"/>
                  <w:noWrap w:val="0"/>
                  <w:vAlign w:val="center"/>
                </w:tcPr>
                <w:p w14:paraId="07077BBF">
                  <w:pPr>
                    <w:pStyle w:val="70"/>
                    <w:spacing w:line="240" w:lineRule="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其他工业企业</w:t>
                  </w:r>
                </w:p>
              </w:tc>
              <w:tc>
                <w:tcPr>
                  <w:tcW w:w="698" w:type="pct"/>
                  <w:noWrap w:val="0"/>
                  <w:vAlign w:val="center"/>
                </w:tcPr>
                <w:p w14:paraId="3D5780F0">
                  <w:pPr>
                    <w:pStyle w:val="70"/>
                    <w:spacing w:line="240" w:lineRule="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西南侧</w:t>
                  </w:r>
                </w:p>
              </w:tc>
              <w:tc>
                <w:tcPr>
                  <w:tcW w:w="647" w:type="pct"/>
                  <w:noWrap w:val="0"/>
                  <w:vAlign w:val="center"/>
                </w:tcPr>
                <w:p w14:paraId="52465AAE">
                  <w:pPr>
                    <w:pStyle w:val="70"/>
                    <w:spacing w:line="240" w:lineRule="auto"/>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450</w:t>
                  </w:r>
                </w:p>
              </w:tc>
              <w:tc>
                <w:tcPr>
                  <w:tcW w:w="1078" w:type="pct"/>
                  <w:noWrap w:val="0"/>
                  <w:vAlign w:val="center"/>
                </w:tcPr>
                <w:p w14:paraId="656A5E5A">
                  <w:pPr>
                    <w:pStyle w:val="70"/>
                    <w:spacing w:line="240" w:lineRule="auto"/>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w:t>
                  </w:r>
                </w:p>
              </w:tc>
            </w:tr>
            <w:tr w14:paraId="0205831A">
              <w:tblPrEx>
                <w:tblBorders>
                  <w:top w:val="single" w:color="auto" w:sz="2" w:space="0"/>
                  <w:left w:val="none" w:color="auto" w:sz="0" w:space="0"/>
                  <w:bottom w:val="single" w:color="auto" w:sz="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32" w:type="pct"/>
                  <w:noWrap w:val="0"/>
                  <w:vAlign w:val="center"/>
                </w:tcPr>
                <w:p w14:paraId="0D437276">
                  <w:pPr>
                    <w:pStyle w:val="70"/>
                    <w:spacing w:line="240" w:lineRule="auto"/>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20</w:t>
                  </w:r>
                </w:p>
              </w:tc>
              <w:tc>
                <w:tcPr>
                  <w:tcW w:w="2242" w:type="pct"/>
                  <w:noWrap w:val="0"/>
                  <w:vAlign w:val="center"/>
                </w:tcPr>
                <w:p w14:paraId="77B9A4DE">
                  <w:pPr>
                    <w:pStyle w:val="70"/>
                    <w:spacing w:line="240" w:lineRule="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巴中经开区人才大楼</w:t>
                  </w:r>
                </w:p>
              </w:tc>
              <w:tc>
                <w:tcPr>
                  <w:tcW w:w="698" w:type="pct"/>
                  <w:noWrap w:val="0"/>
                  <w:vAlign w:val="center"/>
                </w:tcPr>
                <w:p w14:paraId="2C1BCEFB">
                  <w:pPr>
                    <w:pStyle w:val="70"/>
                    <w:spacing w:line="240" w:lineRule="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西北侧</w:t>
                  </w:r>
                </w:p>
              </w:tc>
              <w:tc>
                <w:tcPr>
                  <w:tcW w:w="647" w:type="pct"/>
                  <w:noWrap w:val="0"/>
                  <w:vAlign w:val="center"/>
                </w:tcPr>
                <w:p w14:paraId="22C562F0">
                  <w:pPr>
                    <w:pStyle w:val="70"/>
                    <w:spacing w:line="240" w:lineRule="auto"/>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335</w:t>
                  </w:r>
                </w:p>
              </w:tc>
              <w:tc>
                <w:tcPr>
                  <w:tcW w:w="1078" w:type="pct"/>
                  <w:noWrap w:val="0"/>
                  <w:vAlign w:val="center"/>
                </w:tcPr>
                <w:p w14:paraId="19B3F352">
                  <w:pPr>
                    <w:pStyle w:val="70"/>
                    <w:spacing w:line="240" w:lineRule="auto"/>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约150人</w:t>
                  </w:r>
                </w:p>
              </w:tc>
            </w:tr>
            <w:tr w14:paraId="73CFF529">
              <w:tblPrEx>
                <w:tblBorders>
                  <w:top w:val="single" w:color="auto" w:sz="2" w:space="0"/>
                  <w:left w:val="none" w:color="auto" w:sz="0" w:space="0"/>
                  <w:bottom w:val="single" w:color="auto" w:sz="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32" w:type="pct"/>
                  <w:noWrap w:val="0"/>
                  <w:vAlign w:val="center"/>
                </w:tcPr>
                <w:p w14:paraId="28EA14E4">
                  <w:pPr>
                    <w:pStyle w:val="70"/>
                    <w:spacing w:line="240" w:lineRule="auto"/>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21</w:t>
                  </w:r>
                </w:p>
              </w:tc>
              <w:tc>
                <w:tcPr>
                  <w:tcW w:w="2242" w:type="pct"/>
                  <w:noWrap w:val="0"/>
                  <w:vAlign w:val="center"/>
                </w:tcPr>
                <w:p w14:paraId="62E7F01B">
                  <w:pPr>
                    <w:pStyle w:val="70"/>
                    <w:spacing w:line="240" w:lineRule="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阳台河</w:t>
                  </w:r>
                </w:p>
              </w:tc>
              <w:tc>
                <w:tcPr>
                  <w:tcW w:w="698" w:type="pct"/>
                  <w:noWrap w:val="0"/>
                  <w:vAlign w:val="center"/>
                </w:tcPr>
                <w:p w14:paraId="16B82A3D">
                  <w:pPr>
                    <w:pStyle w:val="70"/>
                    <w:spacing w:line="240" w:lineRule="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西侧</w:t>
                  </w:r>
                </w:p>
              </w:tc>
              <w:tc>
                <w:tcPr>
                  <w:tcW w:w="647" w:type="pct"/>
                  <w:noWrap w:val="0"/>
                  <w:vAlign w:val="center"/>
                </w:tcPr>
                <w:p w14:paraId="4D92A54E">
                  <w:pPr>
                    <w:pStyle w:val="70"/>
                    <w:spacing w:line="240" w:lineRule="auto"/>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253</w:t>
                  </w:r>
                </w:p>
              </w:tc>
              <w:tc>
                <w:tcPr>
                  <w:tcW w:w="1078" w:type="pct"/>
                  <w:noWrap w:val="0"/>
                  <w:vAlign w:val="center"/>
                </w:tcPr>
                <w:p w14:paraId="46A21C1F">
                  <w:pPr>
                    <w:pStyle w:val="70"/>
                    <w:spacing w:line="240" w:lineRule="auto"/>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w:t>
                  </w:r>
                </w:p>
              </w:tc>
            </w:tr>
            <w:tr w14:paraId="3BA01A1A">
              <w:tblPrEx>
                <w:tblBorders>
                  <w:top w:val="single" w:color="auto" w:sz="2" w:space="0"/>
                  <w:left w:val="none" w:color="auto" w:sz="0" w:space="0"/>
                  <w:bottom w:val="single" w:color="auto" w:sz="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32" w:type="pct"/>
                  <w:noWrap w:val="0"/>
                  <w:vAlign w:val="center"/>
                </w:tcPr>
                <w:p w14:paraId="599650FA">
                  <w:pPr>
                    <w:pStyle w:val="70"/>
                    <w:spacing w:line="240" w:lineRule="auto"/>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22</w:t>
                  </w:r>
                </w:p>
              </w:tc>
              <w:tc>
                <w:tcPr>
                  <w:tcW w:w="2242" w:type="pct"/>
                  <w:noWrap w:val="0"/>
                  <w:vAlign w:val="center"/>
                </w:tcPr>
                <w:p w14:paraId="3D75771B">
                  <w:pPr>
                    <w:pStyle w:val="70"/>
                    <w:spacing w:line="240" w:lineRule="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忆佳钢结构有限公司</w:t>
                  </w:r>
                </w:p>
              </w:tc>
              <w:tc>
                <w:tcPr>
                  <w:tcW w:w="698" w:type="pct"/>
                  <w:noWrap w:val="0"/>
                  <w:vAlign w:val="center"/>
                </w:tcPr>
                <w:p w14:paraId="3CCA135A">
                  <w:pPr>
                    <w:pStyle w:val="70"/>
                    <w:spacing w:line="240" w:lineRule="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北侧</w:t>
                  </w:r>
                </w:p>
              </w:tc>
              <w:tc>
                <w:tcPr>
                  <w:tcW w:w="647" w:type="pct"/>
                  <w:noWrap w:val="0"/>
                  <w:vAlign w:val="center"/>
                </w:tcPr>
                <w:p w14:paraId="59E65B2E">
                  <w:pPr>
                    <w:pStyle w:val="70"/>
                    <w:spacing w:line="240" w:lineRule="auto"/>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241</w:t>
                  </w:r>
                </w:p>
              </w:tc>
              <w:tc>
                <w:tcPr>
                  <w:tcW w:w="1078" w:type="pct"/>
                  <w:noWrap w:val="0"/>
                  <w:vAlign w:val="center"/>
                </w:tcPr>
                <w:p w14:paraId="545F8FE2">
                  <w:pPr>
                    <w:pStyle w:val="70"/>
                    <w:spacing w:line="240" w:lineRule="auto"/>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金属结构加工</w:t>
                  </w:r>
                </w:p>
              </w:tc>
            </w:tr>
            <w:tr w14:paraId="6F5A0271">
              <w:tblPrEx>
                <w:tblBorders>
                  <w:top w:val="single" w:color="auto" w:sz="2" w:space="0"/>
                  <w:left w:val="none" w:color="auto" w:sz="0" w:space="0"/>
                  <w:bottom w:val="single" w:color="auto" w:sz="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32" w:type="pct"/>
                  <w:noWrap w:val="0"/>
                  <w:vAlign w:val="center"/>
                </w:tcPr>
                <w:p w14:paraId="53169D3A">
                  <w:pPr>
                    <w:pStyle w:val="70"/>
                    <w:spacing w:line="240" w:lineRule="auto"/>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23</w:t>
                  </w:r>
                </w:p>
              </w:tc>
              <w:tc>
                <w:tcPr>
                  <w:tcW w:w="2242" w:type="pct"/>
                  <w:noWrap w:val="0"/>
                  <w:vAlign w:val="center"/>
                </w:tcPr>
                <w:p w14:paraId="13EEC3AB">
                  <w:pPr>
                    <w:pStyle w:val="70"/>
                    <w:spacing w:line="240" w:lineRule="auto"/>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闲置厂房2#</w:t>
                  </w:r>
                </w:p>
              </w:tc>
              <w:tc>
                <w:tcPr>
                  <w:tcW w:w="698" w:type="pct"/>
                  <w:noWrap w:val="0"/>
                  <w:vAlign w:val="center"/>
                </w:tcPr>
                <w:p w14:paraId="7151A600">
                  <w:pPr>
                    <w:pStyle w:val="70"/>
                    <w:spacing w:line="240" w:lineRule="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西北侧</w:t>
                  </w:r>
                </w:p>
              </w:tc>
              <w:tc>
                <w:tcPr>
                  <w:tcW w:w="647" w:type="pct"/>
                  <w:noWrap w:val="0"/>
                  <w:vAlign w:val="center"/>
                </w:tcPr>
                <w:p w14:paraId="346A5783">
                  <w:pPr>
                    <w:pStyle w:val="70"/>
                    <w:spacing w:line="240" w:lineRule="auto"/>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130</w:t>
                  </w:r>
                </w:p>
              </w:tc>
              <w:tc>
                <w:tcPr>
                  <w:tcW w:w="1078" w:type="pct"/>
                  <w:noWrap w:val="0"/>
                  <w:vAlign w:val="center"/>
                </w:tcPr>
                <w:p w14:paraId="60CBF1C6">
                  <w:pPr>
                    <w:pStyle w:val="70"/>
                    <w:spacing w:line="240" w:lineRule="auto"/>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w:t>
                  </w:r>
                </w:p>
              </w:tc>
            </w:tr>
            <w:tr w14:paraId="6F1F38DF">
              <w:tblPrEx>
                <w:tblBorders>
                  <w:top w:val="single" w:color="auto" w:sz="2" w:space="0"/>
                  <w:left w:val="none" w:color="auto" w:sz="0" w:space="0"/>
                  <w:bottom w:val="single" w:color="auto" w:sz="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32" w:type="pct"/>
                  <w:noWrap w:val="0"/>
                  <w:vAlign w:val="center"/>
                </w:tcPr>
                <w:p w14:paraId="78CA43FA">
                  <w:pPr>
                    <w:pStyle w:val="70"/>
                    <w:spacing w:line="240" w:lineRule="auto"/>
                    <w:rPr>
                      <w:rFonts w:hint="default" w:cs="Times New Roman"/>
                      <w:color w:val="auto"/>
                      <w:sz w:val="21"/>
                      <w:szCs w:val="21"/>
                      <w:lang w:val="en-US" w:eastAsia="zh-CN"/>
                    </w:rPr>
                  </w:pPr>
                  <w:r>
                    <w:rPr>
                      <w:rFonts w:hint="eastAsia" w:cs="Times New Roman"/>
                      <w:color w:val="auto"/>
                      <w:sz w:val="21"/>
                      <w:szCs w:val="21"/>
                      <w:lang w:val="en-US" w:eastAsia="zh-CN"/>
                    </w:rPr>
                    <w:t>24</w:t>
                  </w:r>
                </w:p>
              </w:tc>
              <w:tc>
                <w:tcPr>
                  <w:tcW w:w="2242" w:type="pct"/>
                  <w:noWrap w:val="0"/>
                  <w:vAlign w:val="center"/>
                </w:tcPr>
                <w:p w14:paraId="0BDE93FD">
                  <w:pPr>
                    <w:pStyle w:val="70"/>
                    <w:spacing w:line="240" w:lineRule="auto"/>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闲置厂房3#</w:t>
                  </w:r>
                </w:p>
              </w:tc>
              <w:tc>
                <w:tcPr>
                  <w:tcW w:w="698" w:type="pct"/>
                  <w:noWrap w:val="0"/>
                  <w:vAlign w:val="center"/>
                </w:tcPr>
                <w:p w14:paraId="2726010E">
                  <w:pPr>
                    <w:pStyle w:val="70"/>
                    <w:spacing w:line="240" w:lineRule="auto"/>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西北侧</w:t>
                  </w:r>
                </w:p>
              </w:tc>
              <w:tc>
                <w:tcPr>
                  <w:tcW w:w="647" w:type="pct"/>
                  <w:noWrap w:val="0"/>
                  <w:vAlign w:val="center"/>
                </w:tcPr>
                <w:p w14:paraId="01517061">
                  <w:pPr>
                    <w:pStyle w:val="70"/>
                    <w:spacing w:line="240" w:lineRule="auto"/>
                    <w:rPr>
                      <w:rFonts w:hint="default" w:cs="Times New Roman"/>
                      <w:color w:val="auto"/>
                      <w:sz w:val="21"/>
                      <w:szCs w:val="21"/>
                      <w:lang w:val="en-US" w:eastAsia="zh-CN"/>
                    </w:rPr>
                  </w:pPr>
                  <w:r>
                    <w:rPr>
                      <w:rFonts w:hint="eastAsia" w:cs="Times New Roman"/>
                      <w:color w:val="auto"/>
                      <w:sz w:val="21"/>
                      <w:szCs w:val="21"/>
                      <w:lang w:val="en-US" w:eastAsia="zh-CN"/>
                    </w:rPr>
                    <w:t>319</w:t>
                  </w:r>
                </w:p>
              </w:tc>
              <w:tc>
                <w:tcPr>
                  <w:tcW w:w="1078" w:type="pct"/>
                  <w:noWrap w:val="0"/>
                  <w:vAlign w:val="center"/>
                </w:tcPr>
                <w:p w14:paraId="689F6DA7">
                  <w:pPr>
                    <w:pStyle w:val="70"/>
                    <w:spacing w:line="240" w:lineRule="auto"/>
                    <w:rPr>
                      <w:rFonts w:hint="default" w:cs="Times New Roman"/>
                      <w:color w:val="auto"/>
                      <w:sz w:val="21"/>
                      <w:szCs w:val="21"/>
                      <w:lang w:val="en-US" w:eastAsia="zh-CN"/>
                    </w:rPr>
                  </w:pPr>
                  <w:r>
                    <w:rPr>
                      <w:rFonts w:hint="eastAsia" w:cs="Times New Roman"/>
                      <w:color w:val="auto"/>
                      <w:sz w:val="21"/>
                      <w:szCs w:val="21"/>
                      <w:lang w:val="en-US" w:eastAsia="zh-CN"/>
                    </w:rPr>
                    <w:t>/</w:t>
                  </w:r>
                </w:p>
              </w:tc>
            </w:tr>
            <w:tr w14:paraId="46FC2A8A">
              <w:tblPrEx>
                <w:tblBorders>
                  <w:top w:val="single" w:color="auto" w:sz="2" w:space="0"/>
                  <w:left w:val="none" w:color="auto" w:sz="0" w:space="0"/>
                  <w:bottom w:val="single" w:color="auto" w:sz="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32" w:type="pct"/>
                  <w:noWrap w:val="0"/>
                  <w:vAlign w:val="center"/>
                </w:tcPr>
                <w:p w14:paraId="7EA0DBC5">
                  <w:pPr>
                    <w:pStyle w:val="70"/>
                    <w:spacing w:line="240" w:lineRule="auto"/>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25</w:t>
                  </w:r>
                </w:p>
              </w:tc>
              <w:tc>
                <w:tcPr>
                  <w:tcW w:w="2242" w:type="pct"/>
                  <w:noWrap w:val="0"/>
                  <w:vAlign w:val="center"/>
                </w:tcPr>
                <w:p w14:paraId="650CEF37">
                  <w:pPr>
                    <w:pStyle w:val="70"/>
                    <w:spacing w:line="240" w:lineRule="auto"/>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四川蜀塔能源有限责任国内公司</w:t>
                  </w:r>
                </w:p>
              </w:tc>
              <w:tc>
                <w:tcPr>
                  <w:tcW w:w="698" w:type="pct"/>
                  <w:noWrap w:val="0"/>
                  <w:vAlign w:val="center"/>
                </w:tcPr>
                <w:p w14:paraId="34EA14BA">
                  <w:pPr>
                    <w:pStyle w:val="70"/>
                    <w:spacing w:line="240" w:lineRule="auto"/>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西北侧</w:t>
                  </w:r>
                </w:p>
              </w:tc>
              <w:tc>
                <w:tcPr>
                  <w:tcW w:w="647" w:type="pct"/>
                  <w:noWrap w:val="0"/>
                  <w:vAlign w:val="center"/>
                </w:tcPr>
                <w:p w14:paraId="300BB4B7">
                  <w:pPr>
                    <w:pStyle w:val="70"/>
                    <w:spacing w:line="240" w:lineRule="auto"/>
                    <w:rPr>
                      <w:rFonts w:hint="default" w:cs="Times New Roman"/>
                      <w:color w:val="auto"/>
                      <w:sz w:val="21"/>
                      <w:szCs w:val="21"/>
                      <w:lang w:val="en-US" w:eastAsia="zh-CN"/>
                    </w:rPr>
                  </w:pPr>
                  <w:r>
                    <w:rPr>
                      <w:rFonts w:hint="eastAsia" w:cs="Times New Roman"/>
                      <w:color w:val="auto"/>
                      <w:sz w:val="21"/>
                      <w:szCs w:val="21"/>
                      <w:lang w:val="en-US" w:eastAsia="zh-CN"/>
                    </w:rPr>
                    <w:t>214</w:t>
                  </w:r>
                </w:p>
              </w:tc>
              <w:tc>
                <w:tcPr>
                  <w:tcW w:w="1078" w:type="pct"/>
                  <w:noWrap w:val="0"/>
                  <w:vAlign w:val="center"/>
                </w:tcPr>
                <w:p w14:paraId="74B5CCE5">
                  <w:pPr>
                    <w:pStyle w:val="70"/>
                    <w:spacing w:line="240" w:lineRule="auto"/>
                    <w:rPr>
                      <w:rFonts w:hint="default" w:cs="Times New Roman"/>
                      <w:color w:val="auto"/>
                      <w:sz w:val="21"/>
                      <w:szCs w:val="21"/>
                      <w:lang w:val="en-US" w:eastAsia="zh-CN"/>
                    </w:rPr>
                  </w:pPr>
                  <w:r>
                    <w:rPr>
                      <w:rFonts w:hint="eastAsia" w:cs="Times New Roman"/>
                      <w:color w:val="auto"/>
                      <w:sz w:val="21"/>
                      <w:szCs w:val="21"/>
                      <w:lang w:val="en-US" w:eastAsia="zh-CN"/>
                    </w:rPr>
                    <w:t>废弃资源利用</w:t>
                  </w:r>
                </w:p>
              </w:tc>
            </w:tr>
            <w:tr w14:paraId="4B57896B">
              <w:tblPrEx>
                <w:tblBorders>
                  <w:top w:val="single" w:color="auto" w:sz="2" w:space="0"/>
                  <w:left w:val="none" w:color="auto" w:sz="0" w:space="0"/>
                  <w:bottom w:val="single" w:color="auto" w:sz="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32" w:type="pct"/>
                  <w:noWrap w:val="0"/>
                  <w:vAlign w:val="center"/>
                </w:tcPr>
                <w:p w14:paraId="6377F249">
                  <w:pPr>
                    <w:pStyle w:val="70"/>
                    <w:spacing w:line="240" w:lineRule="auto"/>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26</w:t>
                  </w:r>
                </w:p>
              </w:tc>
              <w:tc>
                <w:tcPr>
                  <w:tcW w:w="2242" w:type="pct"/>
                  <w:noWrap w:val="0"/>
                  <w:vAlign w:val="center"/>
                </w:tcPr>
                <w:p w14:paraId="0B5DD22C">
                  <w:pPr>
                    <w:pStyle w:val="70"/>
                    <w:spacing w:line="240" w:lineRule="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闲置厂房</w:t>
                  </w:r>
                  <w:r>
                    <w:rPr>
                      <w:rFonts w:hint="eastAsia" w:cs="Times New Roman"/>
                      <w:color w:val="auto"/>
                      <w:sz w:val="21"/>
                      <w:szCs w:val="21"/>
                      <w:lang w:val="en-US" w:eastAsia="zh-CN"/>
                    </w:rPr>
                    <w:t>1#</w:t>
                  </w:r>
                </w:p>
              </w:tc>
              <w:tc>
                <w:tcPr>
                  <w:tcW w:w="698" w:type="pct"/>
                  <w:noWrap w:val="0"/>
                  <w:vAlign w:val="center"/>
                </w:tcPr>
                <w:p w14:paraId="6F0FECB8">
                  <w:pPr>
                    <w:pStyle w:val="70"/>
                    <w:spacing w:line="240" w:lineRule="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西侧</w:t>
                  </w:r>
                </w:p>
              </w:tc>
              <w:tc>
                <w:tcPr>
                  <w:tcW w:w="647" w:type="pct"/>
                  <w:noWrap w:val="0"/>
                  <w:vAlign w:val="center"/>
                </w:tcPr>
                <w:p w14:paraId="75A2DE9E">
                  <w:pPr>
                    <w:pStyle w:val="70"/>
                    <w:spacing w:line="240" w:lineRule="auto"/>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46</w:t>
                  </w:r>
                </w:p>
              </w:tc>
              <w:tc>
                <w:tcPr>
                  <w:tcW w:w="1078" w:type="pct"/>
                  <w:noWrap w:val="0"/>
                  <w:vAlign w:val="center"/>
                </w:tcPr>
                <w:p w14:paraId="6673FA0B">
                  <w:pPr>
                    <w:pStyle w:val="70"/>
                    <w:spacing w:line="240" w:lineRule="auto"/>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w:t>
                  </w:r>
                </w:p>
              </w:tc>
            </w:tr>
          </w:tbl>
          <w:p w14:paraId="300CCD9C">
            <w:pPr>
              <w:widowControl w:val="0"/>
              <w:adjustRightInd w:val="0"/>
              <w:snapToGrid w:val="0"/>
              <w:spacing w:before="120" w:beforeLines="50" w:line="360" w:lineRule="auto"/>
              <w:ind w:firstLine="480" w:firstLineChars="200"/>
              <w:contextualSpacing/>
              <w:jc w:val="both"/>
              <w:rPr>
                <w:rFonts w:hint="eastAsia" w:eastAsia="宋体" w:cs="Times New Roman"/>
                <w:b/>
                <w:bCs/>
                <w:color w:val="auto"/>
                <w:kern w:val="2"/>
                <w:sz w:val="24"/>
                <w:szCs w:val="24"/>
                <w:highlight w:val="none"/>
                <w:lang w:val="en-US" w:eastAsia="zh-CN" w:bidi="ar-SA"/>
              </w:rPr>
            </w:pPr>
            <w:r>
              <w:rPr>
                <w:color w:val="auto"/>
                <w:sz w:val="24"/>
              </w:rPr>
              <w:t>项目周边500m范围内主要为工业企业和少量居民，无风景名胜区、自然保护区、文物保护单位、特殊生态敏感区、饮用水源保护区及其它需要特别保护的对象，外环境无明显的环境制约因素</w:t>
            </w:r>
            <w:r>
              <w:rPr>
                <w:rFonts w:hint="eastAsia"/>
                <w:color w:val="auto"/>
                <w:sz w:val="24"/>
                <w:lang w:eastAsia="zh-CN"/>
              </w:rPr>
              <w:t>。</w:t>
            </w:r>
          </w:p>
          <w:p w14:paraId="52791D22">
            <w:pPr>
              <w:widowControl w:val="0"/>
              <w:adjustRightInd w:val="0"/>
              <w:snapToGrid w:val="0"/>
              <w:spacing w:before="120" w:beforeLines="50" w:line="360" w:lineRule="auto"/>
              <w:ind w:firstLine="482" w:firstLineChars="200"/>
              <w:contextualSpacing/>
              <w:jc w:val="both"/>
              <w:rPr>
                <w:rFonts w:hint="default" w:ascii="Times New Roman" w:hAnsi="Times New Roman" w:eastAsia="宋体" w:cs="Times New Roman"/>
                <w:b/>
                <w:bCs/>
                <w:color w:val="auto"/>
                <w:kern w:val="2"/>
                <w:sz w:val="24"/>
                <w:szCs w:val="24"/>
                <w:highlight w:val="none"/>
                <w:lang w:val="en-US" w:eastAsia="zh-CN" w:bidi="ar-SA"/>
              </w:rPr>
            </w:pPr>
            <w:r>
              <w:rPr>
                <w:rFonts w:hint="eastAsia" w:cs="Times New Roman"/>
                <w:b/>
                <w:bCs/>
                <w:color w:val="auto"/>
                <w:kern w:val="2"/>
                <w:sz w:val="24"/>
                <w:szCs w:val="24"/>
                <w:highlight w:val="none"/>
                <w:lang w:val="en-US" w:eastAsia="zh-CN" w:bidi="ar-SA"/>
              </w:rPr>
              <w:t>（</w:t>
            </w:r>
            <w:r>
              <w:rPr>
                <w:rFonts w:hint="default" w:ascii="Times New Roman" w:hAnsi="Times New Roman" w:eastAsia="宋体" w:cs="Times New Roman"/>
                <w:b/>
                <w:bCs/>
                <w:color w:val="auto"/>
                <w:kern w:val="2"/>
                <w:sz w:val="24"/>
                <w:szCs w:val="24"/>
                <w:highlight w:val="none"/>
                <w:lang w:val="en-US" w:eastAsia="zh-CN" w:bidi="ar-SA"/>
              </w:rPr>
              <w:t>2）本项目对外环境的影响</w:t>
            </w:r>
          </w:p>
          <w:p w14:paraId="47942AFB">
            <w:pPr>
              <w:widowControl w:val="0"/>
              <w:adjustRightInd w:val="0"/>
              <w:snapToGrid w:val="0"/>
              <w:spacing w:before="120" w:beforeLines="50" w:line="360" w:lineRule="auto"/>
              <w:ind w:firstLine="480" w:firstLineChars="200"/>
              <w:contextualSpacing/>
              <w:jc w:val="both"/>
              <w:rPr>
                <w:rFonts w:hint="default" w:ascii="Times New Roman" w:hAnsi="Times New Roman" w:cs="Times New Roman"/>
                <w:color w:val="auto"/>
                <w:sz w:val="24"/>
                <w:szCs w:val="24"/>
                <w:highlight w:val="none"/>
              </w:rPr>
            </w:pPr>
            <w:r>
              <w:rPr>
                <w:rFonts w:hint="eastAsia" w:ascii="Times New Roman" w:hAnsi="Times New Roman" w:eastAsia="宋体" w:cs="Times New Roman"/>
                <w:color w:val="auto"/>
                <w:kern w:val="0"/>
                <w:sz w:val="24"/>
                <w:szCs w:val="20"/>
                <w:highlight w:val="none"/>
                <w:lang w:val="en-US" w:eastAsia="zh-CN" w:bidi="ar-SA"/>
              </w:rPr>
              <w:t>本</w:t>
            </w:r>
            <w:r>
              <w:rPr>
                <w:rFonts w:hint="eastAsia" w:ascii="Times New Roman" w:hAnsi="Times New Roman" w:cs="Times New Roman"/>
                <w:color w:val="auto"/>
                <w:sz w:val="24"/>
                <w:szCs w:val="24"/>
                <w:highlight w:val="none"/>
                <w:lang w:val="en-US" w:eastAsia="zh-CN"/>
              </w:rPr>
              <w:t>项目为锂离子电池制造项目，</w:t>
            </w:r>
            <w:r>
              <w:rPr>
                <w:rFonts w:hint="default" w:ascii="Times New Roman" w:hAnsi="Times New Roman" w:cs="Times New Roman"/>
                <w:color w:val="auto"/>
                <w:sz w:val="24"/>
                <w:szCs w:val="24"/>
                <w:highlight w:val="none"/>
              </w:rPr>
              <w:t>对外环境的影响主要为废气</w:t>
            </w: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lang w:val="en-US" w:eastAsia="zh-CN"/>
              </w:rPr>
              <w:t>废水、固废</w:t>
            </w:r>
            <w:r>
              <w:rPr>
                <w:rFonts w:hint="default" w:ascii="Times New Roman" w:hAnsi="Times New Roman" w:cs="Times New Roman"/>
                <w:color w:val="auto"/>
                <w:sz w:val="24"/>
                <w:szCs w:val="24"/>
                <w:highlight w:val="none"/>
              </w:rPr>
              <w:t>和噪声</w:t>
            </w:r>
            <w:r>
              <w:rPr>
                <w:rFonts w:hint="default" w:ascii="Times New Roman" w:hAnsi="Times New Roman" w:cs="Times New Roman"/>
                <w:color w:val="auto"/>
                <w:sz w:val="24"/>
                <w:szCs w:val="24"/>
                <w:highlight w:val="none"/>
                <w:lang w:eastAsia="zh-CN"/>
              </w:rPr>
              <w:t>。本项目采取可行性污染防治措施后，废气、废水、</w:t>
            </w:r>
            <w:r>
              <w:rPr>
                <w:rFonts w:hint="default" w:ascii="Times New Roman" w:hAnsi="Times New Roman" w:cs="Times New Roman"/>
                <w:color w:val="auto"/>
                <w:sz w:val="24"/>
                <w:szCs w:val="24"/>
                <w:highlight w:val="none"/>
                <w:lang w:val="en-US" w:eastAsia="zh-CN"/>
              </w:rPr>
              <w:t>噪声</w:t>
            </w:r>
            <w:r>
              <w:rPr>
                <w:rFonts w:hint="default" w:ascii="Times New Roman" w:hAnsi="Times New Roman" w:cs="Times New Roman"/>
                <w:color w:val="auto"/>
                <w:sz w:val="24"/>
                <w:szCs w:val="24"/>
                <w:highlight w:val="none"/>
                <w:lang w:eastAsia="zh-CN"/>
              </w:rPr>
              <w:t>可达标排放，固体废物妥善处置，对周边环境不会造成明显影响。</w:t>
            </w:r>
            <w:r>
              <w:rPr>
                <w:rFonts w:hint="default" w:ascii="Times New Roman" w:hAnsi="Times New Roman" w:cs="Times New Roman"/>
                <w:color w:val="auto"/>
                <w:sz w:val="24"/>
                <w:szCs w:val="24"/>
                <w:highlight w:val="none"/>
              </w:rPr>
              <w:t>另外项目所在地周围</w:t>
            </w:r>
            <w:r>
              <w:rPr>
                <w:rFonts w:hint="eastAsia" w:eastAsia="宋体" w:cs="Times New Roman"/>
                <w:color w:val="auto"/>
                <w:kern w:val="2"/>
                <w:sz w:val="24"/>
                <w:szCs w:val="24"/>
                <w:highlight w:val="none"/>
                <w:lang w:val="en-US" w:eastAsia="zh-CN" w:bidi="ar-SA"/>
              </w:rPr>
              <w:t>5</w:t>
            </w:r>
            <w:r>
              <w:rPr>
                <w:rFonts w:hint="default" w:ascii="Times New Roman" w:hAnsi="Times New Roman" w:eastAsia="宋体" w:cs="Times New Roman"/>
                <w:color w:val="auto"/>
                <w:kern w:val="2"/>
                <w:sz w:val="24"/>
                <w:szCs w:val="24"/>
                <w:highlight w:val="none"/>
                <w:lang w:val="en-US" w:eastAsia="zh-CN" w:bidi="ar-SA"/>
              </w:rPr>
              <w:t>00m范围内无国家公园、自然保护区、风景名胜区、世界文化和自然遗产地、海洋特别保护区、饮用水水源保护区</w:t>
            </w:r>
            <w:r>
              <w:rPr>
                <w:rFonts w:hint="eastAsia" w:ascii="Times New Roman" w:hAnsi="Times New Roman" w:eastAsia="宋体" w:cs="Times New Roman"/>
                <w:color w:val="auto"/>
                <w:kern w:val="2"/>
                <w:sz w:val="24"/>
                <w:szCs w:val="24"/>
                <w:highlight w:val="none"/>
                <w:lang w:val="en-US" w:eastAsia="zh-CN" w:bidi="ar-SA"/>
              </w:rPr>
              <w:t>、生态保护红线</w:t>
            </w:r>
            <w:r>
              <w:rPr>
                <w:rFonts w:hint="default" w:ascii="Times New Roman" w:hAnsi="Times New Roman" w:eastAsia="宋体" w:cs="Times New Roman"/>
                <w:color w:val="auto"/>
                <w:kern w:val="2"/>
                <w:sz w:val="24"/>
                <w:szCs w:val="24"/>
                <w:highlight w:val="none"/>
                <w:lang w:val="en-US" w:eastAsia="zh-CN" w:bidi="ar-SA"/>
              </w:rPr>
              <w:t>等</w:t>
            </w:r>
            <w:r>
              <w:rPr>
                <w:rFonts w:hint="eastAsia" w:ascii="Times New Roman" w:hAnsi="Times New Roman" w:eastAsia="宋体" w:cs="Times New Roman"/>
                <w:color w:val="auto"/>
                <w:kern w:val="2"/>
                <w:sz w:val="24"/>
                <w:szCs w:val="24"/>
                <w:highlight w:val="none"/>
                <w:lang w:val="en-US" w:eastAsia="zh-CN" w:bidi="ar-SA"/>
              </w:rPr>
              <w:t>敏感区</w:t>
            </w:r>
            <w:r>
              <w:rPr>
                <w:rFonts w:hint="default" w:ascii="Times New Roman" w:hAnsi="Times New Roman" w:cs="Times New Roman"/>
                <w:color w:val="auto"/>
                <w:sz w:val="24"/>
                <w:szCs w:val="24"/>
                <w:highlight w:val="none"/>
              </w:rPr>
              <w:t>，</w:t>
            </w:r>
            <w:r>
              <w:rPr>
                <w:rFonts w:hint="default" w:ascii="Times New Roman" w:hAnsi="Times New Roman" w:cs="Times New Roman"/>
                <w:color w:val="auto"/>
                <w:sz w:val="24"/>
                <w:szCs w:val="24"/>
                <w:highlight w:val="none"/>
                <w:lang w:val="en-US" w:eastAsia="zh-CN"/>
              </w:rPr>
              <w:t>故本项目建设对</w:t>
            </w:r>
            <w:r>
              <w:rPr>
                <w:rFonts w:hint="default" w:ascii="Times New Roman" w:hAnsi="Times New Roman" w:cs="Times New Roman"/>
                <w:color w:val="auto"/>
                <w:sz w:val="24"/>
                <w:szCs w:val="24"/>
                <w:highlight w:val="none"/>
              </w:rPr>
              <w:t>外环境无重大</w:t>
            </w:r>
            <w:r>
              <w:rPr>
                <w:rFonts w:hint="default" w:ascii="Times New Roman" w:hAnsi="Times New Roman" w:cs="Times New Roman"/>
                <w:color w:val="auto"/>
                <w:sz w:val="24"/>
                <w:szCs w:val="24"/>
                <w:highlight w:val="none"/>
                <w:lang w:val="en-US" w:eastAsia="zh-CN"/>
              </w:rPr>
              <w:t>影响</w:t>
            </w:r>
            <w:r>
              <w:rPr>
                <w:rFonts w:hint="default" w:ascii="Times New Roman" w:hAnsi="Times New Roman" w:cs="Times New Roman"/>
                <w:color w:val="auto"/>
                <w:sz w:val="24"/>
                <w:szCs w:val="24"/>
                <w:highlight w:val="none"/>
              </w:rPr>
              <w:t>。因此，本项目与周边外环境相容。</w:t>
            </w:r>
          </w:p>
          <w:p w14:paraId="003B0049">
            <w:pPr>
              <w:autoSpaceDE/>
              <w:autoSpaceDN/>
              <w:spacing w:line="360" w:lineRule="auto"/>
              <w:ind w:firstLine="482" w:firstLineChars="200"/>
              <w:rPr>
                <w:rFonts w:hint="eastAsia" w:ascii="Times New Roman" w:hAnsi="Times New Roman" w:eastAsia="宋体" w:cs="Times New Roman"/>
                <w:b/>
                <w:bCs/>
                <w:color w:val="auto"/>
                <w:sz w:val="24"/>
                <w:lang w:val="en-US" w:eastAsia="zh-CN"/>
              </w:rPr>
            </w:pPr>
            <w:r>
              <w:rPr>
                <w:rFonts w:hint="eastAsia" w:ascii="Times New Roman" w:hAnsi="Times New Roman" w:eastAsia="宋体" w:cs="Times New Roman"/>
                <w:b/>
                <w:bCs/>
                <w:color w:val="auto"/>
                <w:sz w:val="24"/>
                <w:lang w:val="en-US" w:eastAsia="zh-CN"/>
              </w:rPr>
              <w:t>（3）对周边居民的影响</w:t>
            </w:r>
          </w:p>
          <w:p w14:paraId="5A4C30AB">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textAlignment w:val="auto"/>
              <w:rPr>
                <w:rFonts w:hint="eastAsia"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根据本项目外环境关系图可知，本项目周边具有少量的居民，其中距离本项目最近的为北侧5</w:t>
            </w:r>
            <w:r>
              <w:rPr>
                <w:rFonts w:hint="eastAsia" w:cs="Times New Roman"/>
                <w:color w:val="auto"/>
                <w:sz w:val="24"/>
                <w:szCs w:val="24"/>
                <w:highlight w:val="none"/>
                <w:lang w:val="en-US" w:eastAsia="zh-CN"/>
              </w:rPr>
              <w:t>2</w:t>
            </w:r>
            <w:r>
              <w:rPr>
                <w:rFonts w:hint="eastAsia" w:ascii="Times New Roman" w:hAnsi="Times New Roman" w:eastAsia="宋体" w:cs="Times New Roman"/>
                <w:color w:val="auto"/>
                <w:sz w:val="24"/>
                <w:szCs w:val="24"/>
                <w:highlight w:val="none"/>
                <w:lang w:val="en-US" w:eastAsia="zh-CN"/>
              </w:rPr>
              <w:t>m的公租房居民，</w:t>
            </w:r>
            <w:r>
              <w:rPr>
                <w:rFonts w:hint="eastAsia" w:ascii="Times New Roman" w:hAnsi="Times New Roman" w:eastAsia="宋体" w:cs="Times New Roman"/>
                <w:b w:val="0"/>
                <w:bCs w:val="0"/>
                <w:color w:val="auto"/>
                <w:kern w:val="0"/>
                <w:sz w:val="24"/>
                <w:szCs w:val="24"/>
                <w:highlight w:val="none"/>
                <w:vertAlign w:val="baseline"/>
                <w:lang w:val="en-US" w:eastAsia="zh-CN" w:bidi="ar-SA"/>
              </w:rPr>
              <w:t>本项目不属于高噪声企业，不属于大气污染重的企业，项目周边存在</w:t>
            </w:r>
            <w:r>
              <w:rPr>
                <w:rFonts w:hint="eastAsia" w:ascii="Times New Roman" w:hAnsi="Times New Roman" w:eastAsia="宋体" w:cs="Times New Roman"/>
                <w:color w:val="auto"/>
                <w:sz w:val="24"/>
                <w:szCs w:val="24"/>
                <w:highlight w:val="none"/>
                <w:lang w:val="en-US" w:eastAsia="zh-CN"/>
              </w:rPr>
              <w:t>一定的绿化隔离带，建设单位在严格落实本项目提出的环境治理措施后，对大气、噪声环境影响较小。</w:t>
            </w:r>
          </w:p>
          <w:p w14:paraId="144E5310">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textAlignment w:val="auto"/>
              <w:rPr>
                <w:rFonts w:hint="default"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综上所述，本项目对公租房居民影响较小。</w:t>
            </w:r>
          </w:p>
          <w:p w14:paraId="15711B26">
            <w:pPr>
              <w:spacing w:line="360" w:lineRule="auto"/>
              <w:ind w:firstLine="482" w:firstLineChars="200"/>
              <w:rPr>
                <w:rFonts w:hint="default" w:ascii="Times New Roman" w:hAnsi="Times New Roman" w:cs="Times New Roman"/>
                <w:b/>
                <w:color w:val="auto"/>
                <w:sz w:val="24"/>
                <w:highlight w:val="none"/>
                <w:lang w:val="zh-CN"/>
              </w:rPr>
            </w:pPr>
            <w:r>
              <w:rPr>
                <w:rFonts w:hint="eastAsia" w:cs="Times New Roman"/>
                <w:b/>
                <w:color w:val="auto"/>
                <w:sz w:val="24"/>
                <w:highlight w:val="none"/>
                <w:lang w:val="en-US" w:eastAsia="zh-CN"/>
              </w:rPr>
              <w:t>（4</w:t>
            </w:r>
            <w:r>
              <w:rPr>
                <w:rFonts w:hint="default" w:ascii="Times New Roman" w:hAnsi="Times New Roman" w:cs="Times New Roman"/>
                <w:b/>
                <w:color w:val="auto"/>
                <w:sz w:val="24"/>
                <w:highlight w:val="none"/>
                <w:lang w:val="zh-CN"/>
              </w:rPr>
              <w:t>）外环境对本项目的影响</w:t>
            </w:r>
          </w:p>
          <w:p w14:paraId="44943068">
            <w:pPr>
              <w:widowControl w:val="0"/>
              <w:adjustRightInd w:val="0"/>
              <w:snapToGrid w:val="0"/>
              <w:spacing w:before="120" w:beforeLines="50" w:line="360" w:lineRule="auto"/>
              <w:ind w:firstLine="480" w:firstLineChars="200"/>
              <w:contextualSpacing/>
              <w:jc w:val="both"/>
              <w:rPr>
                <w:rFonts w:hint="eastAsia"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本项目选址位于四川省巴中市经济开发区，本项目为锂离子电池制造项目，对外环境无特殊要求，周边环境不会对本项目产生影响。</w:t>
            </w:r>
          </w:p>
          <w:p w14:paraId="21DFEE86">
            <w:pPr>
              <w:widowControl w:val="0"/>
              <w:adjustRightInd w:val="0"/>
              <w:snapToGrid w:val="0"/>
              <w:spacing w:before="120" w:beforeLines="50" w:line="360" w:lineRule="auto"/>
              <w:ind w:firstLine="480" w:firstLineChars="200"/>
              <w:contextualSpacing/>
              <w:jc w:val="both"/>
              <w:rPr>
                <w:rFonts w:hint="eastAsia"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综上，本项目选址无环境制约因素，项目污染物经采取相应的治理措施后均可实现稳定达标排放和妥善处置，可有效避免、减轻项目建设和营运过程中对周围外环境的影响；同时，本项目选址与规划相符，选址合理。</w:t>
            </w:r>
          </w:p>
          <w:p w14:paraId="40E76303">
            <w:pPr>
              <w:pStyle w:val="66"/>
              <w:ind w:left="0" w:leftChars="0" w:firstLine="0" w:firstLineChars="0"/>
              <w:rPr>
                <w:color w:val="auto"/>
              </w:rPr>
            </w:pPr>
          </w:p>
          <w:p w14:paraId="2B5BAA8C">
            <w:pPr>
              <w:pStyle w:val="66"/>
              <w:ind w:left="0" w:leftChars="0" w:firstLine="0" w:firstLineChars="0"/>
              <w:rPr>
                <w:color w:val="auto"/>
              </w:rPr>
            </w:pPr>
          </w:p>
          <w:p w14:paraId="115401B1">
            <w:pPr>
              <w:pStyle w:val="66"/>
              <w:ind w:left="0" w:leftChars="0" w:firstLine="0" w:firstLineChars="0"/>
              <w:rPr>
                <w:color w:val="auto"/>
              </w:rPr>
            </w:pPr>
          </w:p>
          <w:p w14:paraId="7B3FBA42">
            <w:pPr>
              <w:pStyle w:val="66"/>
              <w:ind w:left="0" w:leftChars="0" w:firstLine="0" w:firstLineChars="0"/>
              <w:rPr>
                <w:color w:val="auto"/>
              </w:rPr>
            </w:pPr>
          </w:p>
          <w:p w14:paraId="7000B479">
            <w:pPr>
              <w:pStyle w:val="66"/>
              <w:ind w:left="0" w:leftChars="0" w:firstLine="0" w:firstLineChars="0"/>
              <w:rPr>
                <w:color w:val="auto"/>
              </w:rPr>
            </w:pPr>
          </w:p>
          <w:p w14:paraId="213309F5">
            <w:pPr>
              <w:pStyle w:val="66"/>
              <w:ind w:left="0" w:leftChars="0" w:firstLine="0" w:firstLineChars="0"/>
              <w:rPr>
                <w:color w:val="auto"/>
              </w:rPr>
            </w:pPr>
          </w:p>
          <w:p w14:paraId="331467B8">
            <w:pPr>
              <w:pStyle w:val="66"/>
              <w:ind w:left="0" w:leftChars="0" w:firstLine="0" w:firstLineChars="0"/>
              <w:rPr>
                <w:color w:val="auto"/>
              </w:rPr>
            </w:pPr>
          </w:p>
        </w:tc>
      </w:tr>
    </w:tbl>
    <w:p w14:paraId="2E290F28">
      <w:pPr>
        <w:pStyle w:val="37"/>
        <w:jc w:val="both"/>
        <w:outlineLvl w:val="9"/>
        <w:rPr>
          <w:rFonts w:hint="eastAsia" w:ascii="黑体" w:hAnsi="黑体" w:eastAsia="黑体"/>
          <w:snapToGrid w:val="0"/>
          <w:color w:val="auto"/>
          <w:sz w:val="30"/>
          <w:szCs w:val="30"/>
        </w:rPr>
        <w:sectPr>
          <w:pgSz w:w="11906" w:h="16838"/>
          <w:pgMar w:top="1701" w:right="1531" w:bottom="1701" w:left="1531" w:header="851" w:footer="1021" w:gutter="0"/>
          <w:cols w:space="720" w:num="1"/>
          <w:docGrid w:linePitch="312" w:charSpace="0"/>
        </w:sectPr>
      </w:pPr>
    </w:p>
    <w:p w14:paraId="6A503FAE">
      <w:pPr>
        <w:pStyle w:val="37"/>
        <w:jc w:val="center"/>
        <w:outlineLvl w:val="0"/>
        <w:rPr>
          <w:rFonts w:hint="eastAsia" w:ascii="黑体" w:hAnsi="黑体" w:eastAsia="黑体"/>
          <w:snapToGrid w:val="0"/>
          <w:color w:val="auto"/>
          <w:sz w:val="30"/>
          <w:szCs w:val="30"/>
        </w:rPr>
      </w:pPr>
      <w:bookmarkStart w:id="7" w:name="_Toc186098078"/>
      <w:bookmarkStart w:id="8" w:name="_Toc20716"/>
      <w:r>
        <w:rPr>
          <w:rFonts w:hint="eastAsia" w:ascii="黑体" w:hAnsi="黑体" w:eastAsia="黑体"/>
          <w:snapToGrid w:val="0"/>
          <w:color w:val="auto"/>
          <w:sz w:val="30"/>
          <w:szCs w:val="30"/>
        </w:rPr>
        <w:t>二、建设项目工程分析</w:t>
      </w:r>
      <w:bookmarkEnd w:id="7"/>
      <w:bookmarkEnd w:id="8"/>
    </w:p>
    <w:tbl>
      <w:tblPr>
        <w:tblStyle w:val="41"/>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008"/>
        <w:gridCol w:w="7976"/>
      </w:tblGrid>
      <w:tr w14:paraId="66C9474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53" w:hRule="atLeast"/>
          <w:jc w:val="center"/>
        </w:trPr>
        <w:tc>
          <w:tcPr>
            <w:tcW w:w="1008" w:type="dxa"/>
            <w:vAlign w:val="center"/>
          </w:tcPr>
          <w:p w14:paraId="23A7F823">
            <w:pPr>
              <w:pStyle w:val="37"/>
              <w:adjustRightInd w:val="0"/>
              <w:snapToGrid w:val="0"/>
              <w:spacing w:before="0" w:beforeAutospacing="0" w:after="0" w:afterAutospacing="0"/>
              <w:jc w:val="center"/>
              <w:rPr>
                <w:rFonts w:ascii="Times New Roman" w:hAnsi="Times New Roman" w:cs="宋体"/>
                <w:color w:val="auto"/>
                <w:sz w:val="21"/>
                <w:szCs w:val="21"/>
              </w:rPr>
            </w:pPr>
            <w:r>
              <w:rPr>
                <w:rFonts w:hint="eastAsia" w:ascii="Times New Roman" w:hAnsi="Times New Roman" w:cs="宋体"/>
                <w:b/>
                <w:bCs/>
                <w:color w:val="auto"/>
                <w:sz w:val="24"/>
                <w:szCs w:val="24"/>
              </w:rPr>
              <w:t>建设内容</w:t>
            </w:r>
          </w:p>
        </w:tc>
        <w:tc>
          <w:tcPr>
            <w:tcW w:w="7976" w:type="dxa"/>
          </w:tcPr>
          <w:p w14:paraId="290ACB96">
            <w:pPr>
              <w:pStyle w:val="66"/>
              <w:spacing w:line="360" w:lineRule="auto"/>
              <w:ind w:firstLine="482"/>
              <w:rPr>
                <w:b/>
                <w:bCs/>
                <w:color w:val="auto"/>
              </w:rPr>
            </w:pPr>
            <w:r>
              <w:rPr>
                <w:rFonts w:hint="eastAsia"/>
                <w:b/>
                <w:bCs/>
                <w:color w:val="auto"/>
              </w:rPr>
              <w:t>1、项目由来</w:t>
            </w:r>
          </w:p>
          <w:p w14:paraId="1E311056">
            <w:pPr>
              <w:pStyle w:val="66"/>
              <w:spacing w:line="360" w:lineRule="auto"/>
              <w:rPr>
                <w:rFonts w:hint="eastAsia" w:ascii="Times New Roman" w:hAnsi="Times New Roman" w:eastAsia="宋体" w:cs="Times New Roman"/>
                <w:color w:val="auto"/>
              </w:rPr>
            </w:pPr>
            <w:r>
              <w:rPr>
                <w:rFonts w:hint="eastAsia" w:ascii="Times New Roman" w:hAnsi="Times New Roman" w:eastAsia="宋体" w:cs="Times New Roman"/>
                <w:color w:val="auto"/>
              </w:rPr>
              <w:t>洛阳储变电系统有限公司成立于2019年8月，积极践行国家军民融合及“双碳”战略，致力于高安全/超高压、超高倍率/高比能/宽温域储变电系统的技术研发和工程化应用，为特种装备、无人平台、矿用车辆提供高可靠的新型电源整体解决方案，目前已成为新能源特种电源领军企业。2022年7月，制造业基金联合子基金豫资制高基金、洛阳知识产权基金完成对公司的投资，支持其进一步加大研发力度和扩建产能。</w:t>
            </w:r>
          </w:p>
          <w:p w14:paraId="600BB08E">
            <w:pPr>
              <w:pStyle w:val="66"/>
              <w:spacing w:line="360" w:lineRule="auto"/>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rPr>
              <w:t>当前全球锂电池市场规模持续扩大，高倍率半固态电池、固液混合电池作为下一代锂电池技术的重要方向，凭借能量密度与安全性的双重优势，逐步成为高端应用领域的首选，市场渗透率快速提升。高倍率半固态电池具有较高的产品开发及工程化门槛，目前市场参与者以少数具备核心技术的企业为主。储变电公司凭借自身先发技术优势、军品承制资质及与行业先进企业的合作基础，在细分市场竞争中已占据一定有利地位。本项目精准聚焦特种装备、无人机、智能农机、高速电摩等细分领域，提供高倍率半固态电池及定制化电源系统解决方案，将会避开激烈的同质化市场竞争，打造细分市场标杆。</w:t>
            </w:r>
          </w:p>
          <w:p w14:paraId="200CEFFD">
            <w:pPr>
              <w:pStyle w:val="66"/>
              <w:spacing w:line="360" w:lineRule="auto"/>
              <w:rPr>
                <w:rFonts w:hint="eastAsia"/>
                <w:bCs/>
                <w:color w:val="auto"/>
                <w:lang w:val="en-US" w:eastAsia="zh-CN"/>
              </w:rPr>
            </w:pPr>
            <w:r>
              <w:rPr>
                <w:rFonts w:hint="eastAsia" w:ascii="Times New Roman" w:hAnsi="Times New Roman" w:eastAsia="宋体" w:cs="Times New Roman"/>
                <w:color w:val="auto"/>
                <w:lang w:val="en-US" w:eastAsia="zh-CN"/>
              </w:rPr>
              <w:t>为满足市场需</w:t>
            </w:r>
            <w:r>
              <w:rPr>
                <w:rFonts w:hint="eastAsia"/>
                <w:bCs/>
                <w:color w:val="auto"/>
                <w:lang w:val="en-US" w:eastAsia="zh-CN"/>
              </w:rPr>
              <w:t>求，促进巴中经济发展，洛阳</w:t>
            </w:r>
            <w:r>
              <w:rPr>
                <w:rFonts w:hint="eastAsia" w:ascii="Times New Roman" w:hAnsi="Times New Roman" w:eastAsia="宋体" w:cs="Times New Roman"/>
                <w:color w:val="auto"/>
              </w:rPr>
              <w:t>储变电系统有限公司</w:t>
            </w:r>
            <w:r>
              <w:rPr>
                <w:rFonts w:hint="eastAsia" w:ascii="Times New Roman" w:hAnsi="Times New Roman" w:eastAsia="宋体" w:cs="Times New Roman"/>
                <w:color w:val="auto"/>
                <w:lang w:val="en-US" w:eastAsia="zh-CN"/>
              </w:rPr>
              <w:t>于2026年1月16日成立名下子公司-</w:t>
            </w:r>
            <w:r>
              <w:rPr>
                <w:rFonts w:hint="eastAsia"/>
                <w:bCs/>
                <w:color w:val="auto"/>
                <w:lang w:val="en-US" w:eastAsia="zh-CN"/>
              </w:rPr>
              <w:t>洛储电源科技（巴中）有限公司，租赁低空数字经济产业园标准化厂房及相关配套用房建设“年产1GWh高倍率半固态电池及20万套电源系统项目”。</w:t>
            </w:r>
          </w:p>
          <w:p w14:paraId="6CC1E291">
            <w:pPr>
              <w:pStyle w:val="66"/>
              <w:spacing w:line="360" w:lineRule="auto"/>
              <w:rPr>
                <w:rFonts w:hint="default" w:eastAsia="宋体"/>
                <w:bCs/>
                <w:color w:val="auto"/>
                <w:lang w:val="en-US" w:eastAsia="zh-CN"/>
              </w:rPr>
            </w:pPr>
            <w:r>
              <w:rPr>
                <w:rFonts w:hint="eastAsia"/>
                <w:bCs/>
                <w:color w:val="auto"/>
                <w:lang w:val="en-US" w:eastAsia="zh-CN"/>
              </w:rPr>
              <w:t>根据建设单位提供资</w:t>
            </w:r>
            <w:r>
              <w:rPr>
                <w:rFonts w:hint="default" w:ascii="Times New Roman" w:hAnsi="Times New Roman" w:cs="Times New Roman"/>
                <w:bCs/>
                <w:color w:val="auto"/>
                <w:lang w:val="en-US" w:eastAsia="zh-CN"/>
              </w:rPr>
              <w:t>料，本项目</w:t>
            </w:r>
            <w:r>
              <w:rPr>
                <w:rFonts w:hint="eastAsia" w:cs="Times New Roman"/>
                <w:bCs/>
                <w:color w:val="auto"/>
                <w:lang w:val="en-US" w:eastAsia="zh-CN"/>
              </w:rPr>
              <w:t>涂布设备</w:t>
            </w:r>
            <w:r>
              <w:rPr>
                <w:rFonts w:hint="default" w:ascii="Times New Roman" w:hAnsi="Times New Roman" w:cs="Times New Roman"/>
                <w:bCs/>
                <w:color w:val="auto"/>
                <w:lang w:val="en-US" w:eastAsia="zh-CN"/>
              </w:rPr>
              <w:t>配置X射线、β射线辐射装</w:t>
            </w:r>
            <w:r>
              <w:rPr>
                <w:rFonts w:ascii="宋体" w:hAnsi="宋体" w:eastAsia="宋体" w:cs="宋体"/>
                <w:color w:val="auto"/>
                <w:sz w:val="24"/>
                <w:szCs w:val="24"/>
              </w:rPr>
              <w:t>置</w:t>
            </w:r>
            <w:r>
              <w:rPr>
                <w:rFonts w:hint="eastAsia" w:ascii="宋体" w:hAnsi="宋体" w:eastAsia="宋体" w:cs="宋体"/>
                <w:color w:val="auto"/>
                <w:sz w:val="24"/>
                <w:szCs w:val="24"/>
                <w:lang w:val="en-US" w:eastAsia="zh-CN"/>
              </w:rPr>
              <w:t>，</w:t>
            </w:r>
            <w:r>
              <w:rPr>
                <w:rFonts w:hint="eastAsia" w:ascii="宋体" w:hAnsi="宋体" w:cs="宋体"/>
                <w:color w:val="auto"/>
                <w:sz w:val="24"/>
                <w:szCs w:val="24"/>
                <w:lang w:val="en-US" w:eastAsia="zh-CN"/>
              </w:rPr>
              <w:t>不包含在本次平均范围内</w:t>
            </w:r>
            <w:r>
              <w:rPr>
                <w:rFonts w:hint="eastAsia" w:ascii="宋体" w:hAnsi="宋体" w:eastAsia="宋体" w:cs="宋体"/>
                <w:color w:val="auto"/>
                <w:sz w:val="24"/>
                <w:szCs w:val="24"/>
                <w:lang w:val="en-US" w:eastAsia="zh-CN"/>
              </w:rPr>
              <w:t>，</w:t>
            </w:r>
            <w:r>
              <w:rPr>
                <w:rFonts w:hint="eastAsia" w:ascii="宋体" w:hAnsi="宋体" w:cs="宋体"/>
                <w:color w:val="auto"/>
                <w:sz w:val="24"/>
                <w:szCs w:val="24"/>
                <w:lang w:val="en-US" w:eastAsia="zh-CN"/>
              </w:rPr>
              <w:t>并且</w:t>
            </w:r>
            <w:r>
              <w:rPr>
                <w:rFonts w:hint="eastAsia" w:ascii="宋体" w:hAnsi="宋体" w:eastAsia="宋体" w:cs="宋体"/>
                <w:color w:val="auto"/>
                <w:sz w:val="24"/>
                <w:szCs w:val="24"/>
                <w:lang w:val="en-US" w:eastAsia="zh-CN"/>
              </w:rPr>
              <w:t>辐射设备已单独办理环评手续。</w:t>
            </w:r>
          </w:p>
          <w:p w14:paraId="22F6C83B">
            <w:pPr>
              <w:pStyle w:val="66"/>
              <w:spacing w:line="360" w:lineRule="auto"/>
              <w:rPr>
                <w:rFonts w:hint="default"/>
                <w:bCs/>
                <w:color w:val="auto"/>
                <w:lang w:val="en-US" w:eastAsia="zh-CN"/>
              </w:rPr>
            </w:pPr>
            <w:r>
              <w:rPr>
                <w:rFonts w:hint="eastAsia" w:ascii="Times New Roman" w:hAnsi="Times New Roman"/>
                <w:color w:val="auto"/>
                <w:sz w:val="24"/>
                <w:szCs w:val="24"/>
                <w:lang w:eastAsia="zh-CN"/>
              </w:rPr>
              <w:t>根据《中华人民共和国环境保护法》《中华人民共和国环境影响评价法》及《建设项目环境保护管理条例》相关内容，为了加强建设项目的环境保护管理，严格控制新的污染，保护和改善环境，项目建设前应该开展环境影响评价工作。</w:t>
            </w:r>
            <w:r>
              <w:rPr>
                <w:rFonts w:hint="eastAsia" w:ascii="Times New Roman" w:hAnsi="Times New Roman"/>
                <w:color w:val="auto"/>
                <w:sz w:val="24"/>
                <w:szCs w:val="24"/>
                <w:lang w:val="en-US" w:eastAsia="zh-CN"/>
              </w:rPr>
              <w:t>本项目为电池制造项目，不涉及溶剂型涂料，主要工艺为</w:t>
            </w:r>
            <w:r>
              <w:rPr>
                <w:rFonts w:hint="eastAsia"/>
                <w:color w:val="auto"/>
                <w:sz w:val="24"/>
                <w:szCs w:val="24"/>
                <w:lang w:val="en-US" w:eastAsia="zh-CN"/>
              </w:rPr>
              <w:t>投料</w:t>
            </w:r>
            <w:r>
              <w:rPr>
                <w:rFonts w:hint="eastAsia" w:ascii="Times New Roman" w:hAnsi="Times New Roman"/>
                <w:color w:val="auto"/>
                <w:sz w:val="24"/>
                <w:szCs w:val="24"/>
                <w:lang w:val="en-US" w:eastAsia="zh-CN"/>
              </w:rPr>
              <w:t>、</w:t>
            </w:r>
            <w:r>
              <w:rPr>
                <w:rFonts w:hint="eastAsia"/>
                <w:color w:val="auto"/>
                <w:sz w:val="24"/>
                <w:szCs w:val="24"/>
                <w:lang w:val="en-US" w:eastAsia="zh-CN"/>
              </w:rPr>
              <w:t>匀浆</w:t>
            </w:r>
            <w:r>
              <w:rPr>
                <w:rFonts w:hint="eastAsia" w:ascii="Times New Roman" w:hAnsi="Times New Roman"/>
                <w:color w:val="auto"/>
                <w:sz w:val="24"/>
                <w:szCs w:val="24"/>
                <w:lang w:val="en-US" w:eastAsia="zh-CN"/>
              </w:rPr>
              <w:t>、涂布、辊压、模切、叠片、注液等，</w:t>
            </w:r>
            <w:r>
              <w:rPr>
                <w:rFonts w:hint="eastAsia" w:ascii="Times New Roman" w:hAnsi="Times New Roman"/>
                <w:color w:val="auto"/>
                <w:sz w:val="24"/>
                <w:highlight w:val="none"/>
                <w:lang w:val="en-US" w:eastAsia="zh-CN"/>
              </w:rPr>
              <w:t>根据《建设项目环境影响评价分类管理名录》（2021年版），本项目属于“三十五、电气机械和器材制造业 38-77 电池制造 384”中的“其他”，应编制环境影响评价报告表</w:t>
            </w:r>
            <w:r>
              <w:rPr>
                <w:rFonts w:hint="eastAsia" w:ascii="Times New Roman" w:hAnsi="Times New Roman"/>
                <w:color w:val="auto"/>
                <w:sz w:val="24"/>
                <w:szCs w:val="24"/>
                <w:lang w:eastAsia="zh-CN"/>
              </w:rPr>
              <w:t>。据此，建设单位委托</w:t>
            </w:r>
            <w:r>
              <w:rPr>
                <w:rFonts w:hint="eastAsia" w:ascii="Times New Roman" w:hAnsi="Times New Roman"/>
                <w:color w:val="auto"/>
                <w:sz w:val="24"/>
                <w:szCs w:val="24"/>
                <w:lang w:val="en-US" w:eastAsia="zh-CN"/>
              </w:rPr>
              <w:t>我公司</w:t>
            </w:r>
            <w:r>
              <w:rPr>
                <w:rFonts w:hint="eastAsia" w:ascii="Times New Roman" w:hAnsi="Times New Roman"/>
                <w:color w:val="auto"/>
                <w:sz w:val="24"/>
                <w:szCs w:val="24"/>
                <w:lang w:eastAsia="zh-CN"/>
              </w:rPr>
              <w:t>承担本项目环境影</w:t>
            </w:r>
            <w:r>
              <w:rPr>
                <w:rFonts w:hint="eastAsia" w:ascii="Times New Roman" w:hAnsi="Times New Roman" w:eastAsia="宋体" w:cs="Times New Roman"/>
                <w:color w:val="auto"/>
                <w:sz w:val="24"/>
                <w:szCs w:val="24"/>
                <w:lang w:eastAsia="zh-CN"/>
              </w:rPr>
              <w:t>响评价工作。我公司接受托后，派工程技术人员到现场进行调查和资料收集，按照国家环境法律法规要求，并根据《环境影响评价技术导则》等有关技术规范编制完成，现上报审查。</w:t>
            </w:r>
          </w:p>
          <w:p w14:paraId="18D79456">
            <w:pPr>
              <w:pStyle w:val="66"/>
              <w:spacing w:line="360" w:lineRule="auto"/>
              <w:ind w:firstLine="482"/>
              <w:rPr>
                <w:rFonts w:hint="eastAsia" w:ascii="Times New Roman" w:hAnsi="Times New Roman" w:eastAsia="宋体" w:cs="Times New Roman"/>
                <w:b/>
                <w:bCs/>
                <w:color w:val="auto"/>
              </w:rPr>
            </w:pPr>
            <w:r>
              <w:rPr>
                <w:rFonts w:hint="eastAsia" w:ascii="Times New Roman" w:hAnsi="Times New Roman" w:eastAsia="宋体" w:cs="Times New Roman"/>
                <w:b/>
                <w:bCs/>
                <w:color w:val="auto"/>
                <w:lang w:val="en-US" w:eastAsia="zh-CN"/>
              </w:rPr>
              <w:t>2</w:t>
            </w:r>
            <w:r>
              <w:rPr>
                <w:rFonts w:hint="eastAsia" w:ascii="Times New Roman" w:hAnsi="Times New Roman" w:eastAsia="宋体" w:cs="Times New Roman"/>
                <w:b/>
                <w:bCs/>
                <w:color w:val="auto"/>
              </w:rPr>
              <w:t>、项目概况</w:t>
            </w:r>
          </w:p>
          <w:p w14:paraId="21627312">
            <w:pPr>
              <w:pStyle w:val="66"/>
              <w:spacing w:line="360" w:lineRule="auto"/>
              <w:rPr>
                <w:rFonts w:hint="eastAsia" w:ascii="Times New Roman" w:hAnsi="Times New Roman" w:eastAsia="宋体" w:cs="Times New Roman"/>
                <w:color w:val="auto"/>
                <w:lang w:eastAsia="zh-CN"/>
              </w:rPr>
            </w:pPr>
            <w:r>
              <w:rPr>
                <w:rFonts w:hint="eastAsia" w:ascii="Times New Roman" w:hAnsi="Times New Roman" w:eastAsia="宋体" w:cs="Times New Roman"/>
                <w:color w:val="auto"/>
              </w:rPr>
              <w:t>项目名称：</w:t>
            </w:r>
            <w:r>
              <w:rPr>
                <w:rFonts w:hint="eastAsia" w:ascii="Times New Roman" w:hAnsi="Times New Roman" w:eastAsia="宋体" w:cs="Times New Roman"/>
                <w:color w:val="auto"/>
                <w:lang w:eastAsia="zh-CN"/>
              </w:rPr>
              <w:t>年产1GWh高倍率半固态电池及20万套电源系统项目；</w:t>
            </w:r>
          </w:p>
          <w:p w14:paraId="58E54C7C">
            <w:pPr>
              <w:pStyle w:val="66"/>
              <w:spacing w:line="360" w:lineRule="auto"/>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rPr>
              <w:t>建设单位：</w:t>
            </w:r>
            <w:r>
              <w:rPr>
                <w:rFonts w:hint="eastAsia" w:ascii="Times New Roman" w:hAnsi="Times New Roman" w:eastAsia="宋体" w:cs="Times New Roman"/>
                <w:color w:val="auto"/>
                <w:lang w:val="en-US" w:eastAsia="zh-CN"/>
              </w:rPr>
              <w:t>洛储电源科技（巴中）有限公司；</w:t>
            </w:r>
          </w:p>
          <w:p w14:paraId="6FB40DCE">
            <w:pPr>
              <w:pStyle w:val="66"/>
              <w:spacing w:line="360" w:lineRule="auto"/>
              <w:rPr>
                <w:rFonts w:hint="eastAsia" w:ascii="Times New Roman" w:hAnsi="Times New Roman" w:eastAsia="宋体" w:cs="Times New Roman"/>
                <w:color w:val="auto"/>
                <w:lang w:eastAsia="zh-CN"/>
              </w:rPr>
            </w:pPr>
            <w:r>
              <w:rPr>
                <w:rFonts w:hint="eastAsia" w:ascii="Times New Roman" w:hAnsi="Times New Roman" w:eastAsia="宋体" w:cs="Times New Roman"/>
                <w:color w:val="auto"/>
              </w:rPr>
              <w:t>性        质：新建</w:t>
            </w:r>
            <w:r>
              <w:rPr>
                <w:rFonts w:hint="eastAsia" w:ascii="Times New Roman" w:hAnsi="Times New Roman" w:eastAsia="宋体" w:cs="Times New Roman"/>
                <w:color w:val="auto"/>
                <w:lang w:eastAsia="zh-CN"/>
              </w:rPr>
              <w:t>；</w:t>
            </w:r>
          </w:p>
          <w:p w14:paraId="69829317">
            <w:pPr>
              <w:pStyle w:val="66"/>
              <w:spacing w:line="360" w:lineRule="auto"/>
              <w:rPr>
                <w:rFonts w:hint="eastAsia" w:ascii="Times New Roman" w:hAnsi="Times New Roman" w:eastAsia="宋体" w:cs="Times New Roman"/>
                <w:color w:val="auto"/>
                <w:lang w:eastAsia="zh-CN"/>
              </w:rPr>
            </w:pPr>
            <w:r>
              <w:rPr>
                <w:rFonts w:hint="eastAsia" w:ascii="Times New Roman" w:hAnsi="Times New Roman" w:eastAsia="宋体" w:cs="Times New Roman"/>
                <w:color w:val="auto"/>
              </w:rPr>
              <w:t>建设地点：</w:t>
            </w:r>
            <w:r>
              <w:rPr>
                <w:rFonts w:hint="eastAsia" w:ascii="Times New Roman" w:hAnsi="Times New Roman" w:eastAsia="宋体" w:cs="Times New Roman"/>
                <w:color w:val="auto"/>
                <w:lang w:val="en-US" w:eastAsia="zh-CN"/>
              </w:rPr>
              <w:t>四川省巴中市经济开发区</w:t>
            </w:r>
            <w:r>
              <w:rPr>
                <w:rFonts w:hint="eastAsia" w:ascii="Times New Roman" w:hAnsi="Times New Roman" w:eastAsia="宋体" w:cs="Times New Roman"/>
                <w:color w:val="auto"/>
                <w:lang w:eastAsia="zh-CN"/>
              </w:rPr>
              <w:t>；</w:t>
            </w:r>
          </w:p>
          <w:p w14:paraId="5151D1EA">
            <w:pPr>
              <w:pStyle w:val="66"/>
              <w:spacing w:line="360" w:lineRule="auto"/>
              <w:rPr>
                <w:rFonts w:hint="eastAsia" w:ascii="Times New Roman" w:hAnsi="Times New Roman" w:eastAsia="宋体" w:cs="Times New Roman"/>
                <w:color w:val="auto"/>
              </w:rPr>
            </w:pPr>
            <w:r>
              <w:rPr>
                <w:rFonts w:hint="eastAsia" w:ascii="Times New Roman" w:hAnsi="Times New Roman" w:eastAsia="宋体" w:cs="Times New Roman"/>
                <w:color w:val="auto"/>
              </w:rPr>
              <w:t>建设内容及规模：</w:t>
            </w:r>
            <w:r>
              <w:rPr>
                <w:rFonts w:hint="eastAsia" w:ascii="Times New Roman" w:hAnsi="Times New Roman" w:eastAsia="宋体" w:cs="Times New Roman"/>
                <w:color w:val="auto"/>
                <w:lang w:val="en-US" w:eastAsia="zh-CN"/>
              </w:rPr>
              <w:t>项目一期建设年产</w:t>
            </w:r>
            <w:r>
              <w:rPr>
                <w:rFonts w:hint="default" w:ascii="Times New Roman" w:hAnsi="Times New Roman" w:eastAsia="宋体" w:cs="Times New Roman"/>
                <w:color w:val="auto"/>
                <w:lang w:val="en-US" w:eastAsia="zh-CN"/>
              </w:rPr>
              <w:t>1GWh</w:t>
            </w:r>
            <w:r>
              <w:rPr>
                <w:rFonts w:hint="eastAsia" w:ascii="Times New Roman" w:hAnsi="Times New Roman" w:eastAsia="宋体" w:cs="Times New Roman"/>
                <w:color w:val="auto"/>
                <w:lang w:val="en-US" w:eastAsia="zh-CN"/>
              </w:rPr>
              <w:t>高倍率半固态锂电池单体电池生产线及</w:t>
            </w:r>
            <w:r>
              <w:rPr>
                <w:rFonts w:hint="default" w:ascii="Times New Roman" w:hAnsi="Times New Roman" w:eastAsia="宋体" w:cs="Times New Roman"/>
                <w:color w:val="auto"/>
                <w:lang w:val="en-US" w:eastAsia="zh-CN"/>
              </w:rPr>
              <w:t>20</w:t>
            </w:r>
            <w:r>
              <w:rPr>
                <w:rFonts w:hint="eastAsia" w:ascii="Times New Roman" w:hAnsi="Times New Roman" w:eastAsia="宋体" w:cs="Times New Roman"/>
                <w:color w:val="auto"/>
                <w:lang w:val="en-US" w:eastAsia="zh-CN"/>
              </w:rPr>
              <w:t>万套电源系统集成生产线，生产厂房及配套用房约</w:t>
            </w:r>
            <w:r>
              <w:rPr>
                <w:rFonts w:hint="default" w:ascii="Times New Roman" w:hAnsi="Times New Roman" w:eastAsia="宋体" w:cs="Times New Roman"/>
                <w:color w:val="auto"/>
                <w:lang w:val="en-US" w:eastAsia="zh-CN"/>
              </w:rPr>
              <w:t>5</w:t>
            </w:r>
            <w:r>
              <w:rPr>
                <w:rFonts w:hint="eastAsia" w:ascii="Times New Roman" w:hAnsi="Times New Roman" w:eastAsia="宋体" w:cs="Times New Roman"/>
                <w:color w:val="auto"/>
                <w:lang w:val="en-US" w:eastAsia="zh-CN"/>
              </w:rPr>
              <w:t>万平方米（最终面积以入园协议为准）。</w:t>
            </w:r>
          </w:p>
          <w:p w14:paraId="4AEEE1D0">
            <w:pPr>
              <w:pStyle w:val="66"/>
              <w:spacing w:line="360" w:lineRule="auto"/>
              <w:ind w:firstLine="482"/>
              <w:rPr>
                <w:rFonts w:hint="eastAsia" w:ascii="Times New Roman" w:hAnsi="Times New Roman" w:eastAsia="宋体" w:cs="Times New Roman"/>
                <w:b/>
                <w:bCs/>
                <w:color w:val="auto"/>
                <w:lang w:val="en-US" w:eastAsia="zh-CN"/>
              </w:rPr>
            </w:pPr>
            <w:r>
              <w:rPr>
                <w:rFonts w:hint="eastAsia" w:ascii="Times New Roman" w:hAnsi="Times New Roman" w:eastAsia="宋体" w:cs="Times New Roman"/>
                <w:b/>
                <w:bCs/>
                <w:color w:val="auto"/>
                <w:lang w:val="en-US" w:eastAsia="zh-CN"/>
              </w:rPr>
              <w:t>3、产品方案</w:t>
            </w:r>
          </w:p>
          <w:p w14:paraId="4959C04E">
            <w:pPr>
              <w:pStyle w:val="66"/>
              <w:spacing w:line="360" w:lineRule="auto"/>
              <w:rPr>
                <w:rFonts w:hint="eastAsia" w:ascii="Times New Roman" w:hAnsi="Times New Roman" w:eastAsia="宋体" w:cs="Times New Roman"/>
                <w:color w:val="auto"/>
              </w:rPr>
            </w:pPr>
            <w:r>
              <w:rPr>
                <w:rFonts w:hint="eastAsia" w:ascii="Times New Roman" w:hAnsi="Times New Roman" w:eastAsia="宋体" w:cs="Times New Roman"/>
                <w:color w:val="auto"/>
              </w:rPr>
              <w:t>项目产品方案见下表。</w:t>
            </w:r>
          </w:p>
          <w:p w14:paraId="13333EB7">
            <w:pPr>
              <w:pStyle w:val="68"/>
              <w:rPr>
                <w:rFonts w:hint="default" w:ascii="Times New Roman" w:hAnsi="Times New Roman" w:eastAsia="宋体" w:cs="Times New Roman"/>
                <w:b/>
                <w:bCs/>
                <w:color w:val="auto"/>
              </w:rPr>
            </w:pPr>
            <w:r>
              <w:rPr>
                <w:rFonts w:hint="default" w:ascii="Times New Roman" w:hAnsi="Times New Roman" w:eastAsia="宋体" w:cs="Times New Roman"/>
                <w:b/>
                <w:bCs/>
                <w:color w:val="auto"/>
              </w:rPr>
              <w:t>表2-1   项目产品方案</w:t>
            </w:r>
          </w:p>
          <w:tbl>
            <w:tblPr>
              <w:tblStyle w:val="42"/>
              <w:tblW w:w="7844" w:type="dxa"/>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405"/>
              <w:gridCol w:w="1268"/>
              <w:gridCol w:w="1336"/>
              <w:gridCol w:w="1337"/>
              <w:gridCol w:w="1930"/>
              <w:gridCol w:w="1568"/>
            </w:tblGrid>
            <w:tr w14:paraId="28BA8B0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53" w:hRule="atLeast"/>
                <w:jc w:val="center"/>
              </w:trPr>
              <w:tc>
                <w:tcPr>
                  <w:tcW w:w="405" w:type="dxa"/>
                  <w:vAlign w:val="center"/>
                </w:tcPr>
                <w:p w14:paraId="6A4B8451">
                  <w:pPr>
                    <w:pStyle w:val="70"/>
                    <w:spacing w:line="240" w:lineRule="auto"/>
                    <w:rPr>
                      <w:rFonts w:hint="default" w:ascii="Times New Roman" w:hAnsi="Times New Roman" w:eastAsia="宋体" w:cs="Times New Roman"/>
                      <w:b/>
                      <w:color w:val="auto"/>
                      <w:sz w:val="21"/>
                      <w:szCs w:val="21"/>
                      <w:lang w:val="en-US" w:eastAsia="zh-CN"/>
                    </w:rPr>
                  </w:pPr>
                  <w:bookmarkStart w:id="9" w:name="_Hlk183789683"/>
                  <w:r>
                    <w:rPr>
                      <w:rFonts w:hint="eastAsia" w:ascii="Times New Roman" w:hAnsi="Times New Roman" w:eastAsia="宋体" w:cs="Times New Roman"/>
                      <w:b/>
                      <w:color w:val="auto"/>
                      <w:sz w:val="21"/>
                      <w:szCs w:val="21"/>
                      <w:lang w:val="en-US" w:eastAsia="zh-CN"/>
                    </w:rPr>
                    <w:t>序号</w:t>
                  </w:r>
                </w:p>
              </w:tc>
              <w:tc>
                <w:tcPr>
                  <w:tcW w:w="1268" w:type="dxa"/>
                  <w:vAlign w:val="center"/>
                </w:tcPr>
                <w:p w14:paraId="0DE424F3">
                  <w:pPr>
                    <w:pStyle w:val="70"/>
                    <w:spacing w:line="240" w:lineRule="auto"/>
                    <w:rPr>
                      <w:rFonts w:hint="default" w:ascii="Times New Roman" w:hAnsi="Times New Roman" w:eastAsia="宋体" w:cs="Times New Roman"/>
                      <w:b/>
                      <w:color w:val="auto"/>
                      <w:sz w:val="21"/>
                      <w:szCs w:val="21"/>
                      <w:lang w:val="en-US" w:eastAsia="zh-CN"/>
                    </w:rPr>
                  </w:pPr>
                  <w:r>
                    <w:rPr>
                      <w:rFonts w:hint="eastAsia" w:ascii="Times New Roman" w:hAnsi="Times New Roman" w:eastAsia="宋体" w:cs="Times New Roman"/>
                      <w:b/>
                      <w:color w:val="auto"/>
                      <w:sz w:val="21"/>
                      <w:szCs w:val="21"/>
                      <w:lang w:val="en-US" w:eastAsia="zh-CN"/>
                    </w:rPr>
                    <w:t>名称</w:t>
                  </w:r>
                </w:p>
              </w:tc>
              <w:tc>
                <w:tcPr>
                  <w:tcW w:w="1336" w:type="dxa"/>
                  <w:vAlign w:val="center"/>
                </w:tcPr>
                <w:p w14:paraId="284D92F3">
                  <w:pPr>
                    <w:pStyle w:val="70"/>
                    <w:spacing w:line="240" w:lineRule="auto"/>
                    <w:rPr>
                      <w:rFonts w:hint="eastAsia" w:ascii="Times New Roman" w:hAnsi="Times New Roman" w:eastAsia="宋体" w:cs="Times New Roman"/>
                      <w:b/>
                      <w:color w:val="auto"/>
                      <w:sz w:val="21"/>
                      <w:szCs w:val="21"/>
                      <w:lang w:val="en-US" w:eastAsia="zh-CN"/>
                    </w:rPr>
                  </w:pPr>
                  <w:r>
                    <w:rPr>
                      <w:rFonts w:hint="eastAsia" w:ascii="Times New Roman" w:hAnsi="Times New Roman" w:eastAsia="宋体" w:cs="Times New Roman"/>
                      <w:b/>
                      <w:color w:val="auto"/>
                      <w:sz w:val="21"/>
                      <w:szCs w:val="21"/>
                      <w:lang w:val="en-US" w:eastAsia="zh-CN"/>
                    </w:rPr>
                    <w:t>产品型号</w:t>
                  </w:r>
                </w:p>
              </w:tc>
              <w:tc>
                <w:tcPr>
                  <w:tcW w:w="1337" w:type="dxa"/>
                  <w:vAlign w:val="center"/>
                </w:tcPr>
                <w:p w14:paraId="45C6CC1D">
                  <w:pPr>
                    <w:pStyle w:val="70"/>
                    <w:spacing w:line="240" w:lineRule="auto"/>
                    <w:rPr>
                      <w:rFonts w:hint="default" w:ascii="Times New Roman" w:hAnsi="Times New Roman" w:eastAsia="宋体" w:cs="Times New Roman"/>
                      <w:b/>
                      <w:color w:val="auto"/>
                      <w:sz w:val="21"/>
                      <w:szCs w:val="21"/>
                      <w:lang w:val="en-US" w:eastAsia="zh-CN"/>
                    </w:rPr>
                  </w:pPr>
                  <w:r>
                    <w:rPr>
                      <w:rFonts w:hint="eastAsia" w:ascii="Times New Roman" w:hAnsi="Times New Roman" w:eastAsia="宋体" w:cs="Times New Roman"/>
                      <w:b/>
                      <w:color w:val="auto"/>
                      <w:sz w:val="21"/>
                      <w:szCs w:val="21"/>
                      <w:lang w:val="en-US" w:eastAsia="zh-CN"/>
                    </w:rPr>
                    <w:t>生产规模</w:t>
                  </w:r>
                </w:p>
              </w:tc>
              <w:tc>
                <w:tcPr>
                  <w:tcW w:w="1930" w:type="dxa"/>
                  <w:vAlign w:val="center"/>
                </w:tcPr>
                <w:p w14:paraId="2B6D5A53">
                  <w:pPr>
                    <w:pStyle w:val="70"/>
                    <w:spacing w:line="240" w:lineRule="auto"/>
                    <w:rPr>
                      <w:rFonts w:hint="eastAsia" w:ascii="Times New Roman" w:hAnsi="Times New Roman" w:eastAsia="宋体" w:cs="Times New Roman"/>
                      <w:b/>
                      <w:color w:val="auto"/>
                      <w:sz w:val="21"/>
                      <w:szCs w:val="21"/>
                    </w:rPr>
                  </w:pPr>
                  <w:r>
                    <w:rPr>
                      <w:rFonts w:hint="eastAsia" w:ascii="Times New Roman" w:hAnsi="Times New Roman" w:eastAsia="宋体" w:cs="Times New Roman"/>
                      <w:b/>
                      <w:color w:val="auto"/>
                      <w:sz w:val="21"/>
                      <w:szCs w:val="21"/>
                      <w:lang w:val="en-US" w:eastAsia="zh-CN"/>
                    </w:rPr>
                    <w:t>产品照片</w:t>
                  </w:r>
                </w:p>
              </w:tc>
              <w:tc>
                <w:tcPr>
                  <w:tcW w:w="1568" w:type="dxa"/>
                  <w:vAlign w:val="center"/>
                </w:tcPr>
                <w:p w14:paraId="76AF32A9">
                  <w:pPr>
                    <w:pStyle w:val="70"/>
                    <w:spacing w:line="240" w:lineRule="auto"/>
                    <w:rPr>
                      <w:rFonts w:hint="default" w:ascii="Times New Roman" w:hAnsi="Times New Roman" w:eastAsia="宋体" w:cs="Times New Roman"/>
                      <w:b/>
                      <w:color w:val="auto"/>
                      <w:sz w:val="21"/>
                      <w:szCs w:val="21"/>
                      <w:lang w:val="en-US" w:eastAsia="zh-CN"/>
                    </w:rPr>
                  </w:pPr>
                  <w:r>
                    <w:rPr>
                      <w:rFonts w:hint="eastAsia" w:cs="Times New Roman"/>
                      <w:b/>
                      <w:color w:val="auto"/>
                      <w:sz w:val="21"/>
                      <w:szCs w:val="21"/>
                      <w:lang w:val="en-US" w:eastAsia="zh-CN"/>
                    </w:rPr>
                    <w:t>产品执行标准</w:t>
                  </w:r>
                </w:p>
              </w:tc>
            </w:tr>
            <w:tr w14:paraId="1A71EE9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013" w:hRule="atLeast"/>
                <w:jc w:val="center"/>
              </w:trPr>
              <w:tc>
                <w:tcPr>
                  <w:tcW w:w="405" w:type="dxa"/>
                  <w:vAlign w:val="center"/>
                </w:tcPr>
                <w:p w14:paraId="0B43D918">
                  <w:pPr>
                    <w:pStyle w:val="70"/>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1</w:t>
                  </w:r>
                </w:p>
              </w:tc>
              <w:tc>
                <w:tcPr>
                  <w:tcW w:w="1268" w:type="dxa"/>
                  <w:vAlign w:val="center"/>
                </w:tcPr>
                <w:p w14:paraId="0DEFAFCB">
                  <w:pPr>
                    <w:pStyle w:val="70"/>
                    <w:rPr>
                      <w:rFonts w:hint="eastAsia" w:ascii="Times New Roman" w:hAnsi="Times New Roman" w:eastAsia="宋体" w:cs="Times New Roman"/>
                      <w:color w:val="auto"/>
                      <w:sz w:val="21"/>
                      <w:szCs w:val="21"/>
                    </w:rPr>
                  </w:pPr>
                  <w:r>
                    <w:rPr>
                      <w:rFonts w:hint="eastAsia" w:ascii="Times New Roman" w:hAnsi="Times New Roman" w:eastAsia="宋体" w:cs="Times New Roman"/>
                      <w:b w:val="0"/>
                      <w:bCs w:val="0"/>
                      <w:color w:val="auto"/>
                      <w:sz w:val="21"/>
                      <w:szCs w:val="21"/>
                      <w:lang w:val="en-US" w:eastAsia="zh-CN"/>
                    </w:rPr>
                    <w:t>宽温域长寿命磷酸铁锂蓄电池</w:t>
                  </w:r>
                </w:p>
              </w:tc>
              <w:tc>
                <w:tcPr>
                  <w:tcW w:w="1336" w:type="dxa"/>
                  <w:vAlign w:val="center"/>
                </w:tcPr>
                <w:p w14:paraId="50750E7B">
                  <w:pPr>
                    <w:pStyle w:val="70"/>
                    <w:rPr>
                      <w:rFonts w:hint="eastAsia" w:ascii="Times New Roman" w:hAnsi="Times New Roman" w:eastAsia="宋体" w:cs="Times New Roman"/>
                      <w:color w:val="auto"/>
                      <w:sz w:val="21"/>
                      <w:szCs w:val="21"/>
                    </w:rPr>
                  </w:pPr>
                  <w:r>
                    <w:rPr>
                      <w:rFonts w:hint="eastAsia" w:ascii="Times New Roman" w:hAnsi="Times New Roman" w:eastAsia="宋体" w:cs="Times New Roman"/>
                      <w:b w:val="0"/>
                      <w:bCs w:val="0"/>
                      <w:color w:val="auto"/>
                      <w:sz w:val="21"/>
                      <w:szCs w:val="21"/>
                      <w:lang w:val="en-US" w:eastAsia="zh-CN"/>
                    </w:rPr>
                    <w:t>P10E0E5-17500FP</w:t>
                  </w:r>
                </w:p>
              </w:tc>
              <w:tc>
                <w:tcPr>
                  <w:tcW w:w="1337" w:type="dxa"/>
                  <w:vAlign w:val="center"/>
                </w:tcPr>
                <w:p w14:paraId="36C965B3">
                  <w:pPr>
                    <w:pStyle w:val="70"/>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450万支/年</w:t>
                  </w:r>
                </w:p>
              </w:tc>
              <w:tc>
                <w:tcPr>
                  <w:tcW w:w="1930" w:type="dxa"/>
                  <w:vAlign w:val="center"/>
                </w:tcPr>
                <w:p w14:paraId="0F27E24C">
                  <w:pPr>
                    <w:pStyle w:val="70"/>
                    <w:rPr>
                      <w:rFonts w:hint="eastAsia" w:ascii="Times New Roman" w:hAnsi="Times New Roman" w:eastAsia="宋体" w:cs="Times New Roman"/>
                      <w:color w:val="auto"/>
                      <w:sz w:val="21"/>
                      <w:szCs w:val="21"/>
                    </w:rPr>
                  </w:pPr>
                  <w:r>
                    <w:rPr>
                      <w:color w:val="auto"/>
                      <w:highlight w:val="green"/>
                    </w:rPr>
                    <w:drawing>
                      <wp:anchor distT="0" distB="0" distL="0" distR="0" simplePos="0" relativeHeight="251663360" behindDoc="1" locked="0" layoutInCell="1" allowOverlap="1">
                        <wp:simplePos x="0" y="0"/>
                        <wp:positionH relativeFrom="column">
                          <wp:posOffset>0</wp:posOffset>
                        </wp:positionH>
                        <wp:positionV relativeFrom="paragraph">
                          <wp:posOffset>-1553845</wp:posOffset>
                        </wp:positionV>
                        <wp:extent cx="1136015" cy="1195705"/>
                        <wp:effectExtent l="15875" t="15875" r="86360" b="83820"/>
                        <wp:wrapTight wrapText="bothSides">
                          <wp:wrapPolygon>
                            <wp:start x="2958" y="-287"/>
                            <wp:lineTo x="60" y="2122"/>
                            <wp:lineTo x="-302" y="5219"/>
                            <wp:lineTo x="60" y="19673"/>
                            <wp:lineTo x="5131" y="21738"/>
                            <wp:lineTo x="18171" y="22426"/>
                            <wp:lineTo x="21069" y="22426"/>
                            <wp:lineTo x="21793" y="21738"/>
                            <wp:lineTo x="22518" y="2122"/>
                            <wp:lineTo x="17084" y="401"/>
                            <wp:lineTo x="6218" y="-287"/>
                            <wp:lineTo x="2958" y="-287"/>
                          </wp:wrapPolygon>
                        </wp:wrapTight>
                        <wp:docPr id="37" name="图片 36" descr="电池.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6" descr="电池.21"/>
                                <pic:cNvPicPr>
                                  <a:picLocks noChangeAspect="1"/>
                                </pic:cNvPicPr>
                              </pic:nvPicPr>
                              <pic:blipFill>
                                <a:blip r:embed="rId11"/>
                                <a:srcRect l="25038" r="26221"/>
                                <a:stretch>
                                  <a:fillRect/>
                                </a:stretch>
                              </pic:blipFill>
                              <pic:spPr>
                                <a:xfrm>
                                  <a:off x="0" y="0"/>
                                  <a:ext cx="1136015" cy="1195705"/>
                                </a:xfrm>
                                <a:prstGeom prst="rect">
                                  <a:avLst/>
                                </a:prstGeom>
                                <a:effectLst>
                                  <a:outerShdw blurRad="50800" dist="38100" dir="2700000" algn="tl" rotWithShape="0">
                                    <a:prstClr val="black">
                                      <a:alpha val="40000"/>
                                    </a:prstClr>
                                  </a:outerShdw>
                                </a:effectLst>
                              </pic:spPr>
                            </pic:pic>
                          </a:graphicData>
                        </a:graphic>
                      </wp:anchor>
                    </w:drawing>
                  </w:r>
                </w:p>
              </w:tc>
              <w:tc>
                <w:tcPr>
                  <w:tcW w:w="1568" w:type="dxa"/>
                  <w:vAlign w:val="center"/>
                </w:tcPr>
                <w:p w14:paraId="3165239F">
                  <w:pPr>
                    <w:pStyle w:val="70"/>
                    <w:rPr>
                      <w:rFonts w:hint="default" w:eastAsia="宋体"/>
                      <w:color w:val="auto"/>
                      <w:highlight w:val="green"/>
                      <w:lang w:val="en-US" w:eastAsia="zh-CN"/>
                    </w:rPr>
                  </w:pPr>
                  <w:r>
                    <w:rPr>
                      <w:rFonts w:hint="default" w:eastAsia="宋体"/>
                      <w:color w:val="auto"/>
                      <w:highlight w:val="none"/>
                      <w:lang w:val="en-US" w:eastAsia="zh-CN"/>
                    </w:rPr>
                    <w:t>《磷酸铁锂蓄电池》</w:t>
                  </w:r>
                  <w:r>
                    <w:rPr>
                      <w:rFonts w:hint="eastAsia"/>
                      <w:color w:val="auto"/>
                      <w:highlight w:val="none"/>
                      <w:lang w:val="en-US" w:eastAsia="zh-CN"/>
                    </w:rPr>
                    <w:t>（Q/CBD DC0003-2020）</w:t>
                  </w:r>
                </w:p>
              </w:tc>
            </w:tr>
            <w:tr w14:paraId="3945361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05" w:type="dxa"/>
                  <w:vAlign w:val="center"/>
                </w:tcPr>
                <w:p w14:paraId="242FE8E4">
                  <w:pPr>
                    <w:pStyle w:val="70"/>
                    <w:rPr>
                      <w:rFonts w:hint="default" w:ascii="Times New Roman" w:hAnsi="Times New Roman" w:eastAsia="宋体" w:cs="Times New Roman"/>
                      <w:b w:val="0"/>
                      <w:bCs w:val="0"/>
                      <w:color w:val="auto"/>
                      <w:sz w:val="21"/>
                      <w:szCs w:val="21"/>
                      <w:lang w:val="en-US" w:eastAsia="zh-CN"/>
                    </w:rPr>
                  </w:pPr>
                  <w:r>
                    <w:rPr>
                      <w:rFonts w:hint="eastAsia" w:ascii="Times New Roman" w:hAnsi="Times New Roman" w:eastAsia="宋体" w:cs="Times New Roman"/>
                      <w:b w:val="0"/>
                      <w:bCs w:val="0"/>
                      <w:color w:val="auto"/>
                      <w:sz w:val="21"/>
                      <w:szCs w:val="21"/>
                      <w:lang w:val="en-US" w:eastAsia="zh-CN"/>
                    </w:rPr>
                    <w:t>2</w:t>
                  </w:r>
                </w:p>
              </w:tc>
              <w:tc>
                <w:tcPr>
                  <w:tcW w:w="1268" w:type="dxa"/>
                  <w:vAlign w:val="center"/>
                </w:tcPr>
                <w:p w14:paraId="18D8A9C3">
                  <w:pPr>
                    <w:pStyle w:val="70"/>
                    <w:rPr>
                      <w:rFonts w:hint="eastAsia" w:ascii="Times New Roman" w:hAnsi="Times New Roman" w:eastAsia="宋体" w:cs="Times New Roman"/>
                      <w:b w:val="0"/>
                      <w:bCs w:val="0"/>
                      <w:color w:val="auto"/>
                      <w:sz w:val="21"/>
                      <w:szCs w:val="21"/>
                      <w:lang w:val="en-US" w:eastAsia="zh-CN"/>
                    </w:rPr>
                  </w:pPr>
                  <w:r>
                    <w:rPr>
                      <w:rFonts w:hint="eastAsia" w:ascii="Times New Roman" w:hAnsi="Times New Roman" w:eastAsia="宋体" w:cs="Times New Roman"/>
                      <w:b w:val="0"/>
                      <w:bCs w:val="0"/>
                      <w:color w:val="auto"/>
                      <w:sz w:val="21"/>
                      <w:szCs w:val="21"/>
                      <w:lang w:val="en-US" w:eastAsia="zh-CN"/>
                    </w:rPr>
                    <w:t>超充高倍率锂离子蓄电池</w:t>
                  </w:r>
                </w:p>
              </w:tc>
              <w:tc>
                <w:tcPr>
                  <w:tcW w:w="1336" w:type="dxa"/>
                  <w:vAlign w:val="center"/>
                </w:tcPr>
                <w:p w14:paraId="596908AB">
                  <w:pPr>
                    <w:pStyle w:val="70"/>
                    <w:rPr>
                      <w:rFonts w:hint="eastAsia" w:ascii="Times New Roman" w:hAnsi="Times New Roman" w:eastAsia="宋体" w:cs="Times New Roman"/>
                      <w:b w:val="0"/>
                      <w:bCs w:val="0"/>
                      <w:color w:val="auto"/>
                      <w:sz w:val="21"/>
                      <w:szCs w:val="21"/>
                      <w:lang w:val="en-US" w:eastAsia="zh-CN"/>
                    </w:rPr>
                  </w:pPr>
                  <w:r>
                    <w:rPr>
                      <w:rFonts w:hint="eastAsia" w:ascii="Times New Roman" w:hAnsi="Times New Roman" w:eastAsia="宋体" w:cs="Times New Roman"/>
                      <w:b w:val="0"/>
                      <w:bCs w:val="0"/>
                      <w:color w:val="auto"/>
                      <w:sz w:val="21"/>
                      <w:szCs w:val="21"/>
                      <w:lang w:val="en-US" w:eastAsia="zh-CN"/>
                    </w:rPr>
                    <w:t>PR30N-P</w:t>
                  </w:r>
                </w:p>
              </w:tc>
              <w:tc>
                <w:tcPr>
                  <w:tcW w:w="1337" w:type="dxa"/>
                  <w:vAlign w:val="center"/>
                </w:tcPr>
                <w:p w14:paraId="03EEFB29">
                  <w:pPr>
                    <w:pStyle w:val="70"/>
                    <w:rPr>
                      <w:rFonts w:hint="eastAsia" w:ascii="Times New Roman" w:hAnsi="Times New Roman" w:eastAsia="宋体" w:cs="Times New Roman"/>
                      <w:b w:val="0"/>
                      <w:bCs w:val="0"/>
                      <w:color w:val="auto"/>
                      <w:sz w:val="21"/>
                      <w:szCs w:val="21"/>
                      <w:lang w:val="en-US" w:eastAsia="zh-CN"/>
                    </w:rPr>
                  </w:pPr>
                  <w:r>
                    <w:rPr>
                      <w:rFonts w:hint="eastAsia" w:ascii="Times New Roman" w:hAnsi="Times New Roman" w:eastAsia="宋体" w:cs="Times New Roman"/>
                      <w:b w:val="0"/>
                      <w:bCs w:val="0"/>
                      <w:color w:val="auto"/>
                      <w:sz w:val="21"/>
                      <w:szCs w:val="21"/>
                      <w:lang w:val="en-US" w:eastAsia="zh-CN"/>
                    </w:rPr>
                    <w:t>450万支/年</w:t>
                  </w:r>
                </w:p>
              </w:tc>
              <w:tc>
                <w:tcPr>
                  <w:tcW w:w="1930" w:type="dxa"/>
                  <w:vAlign w:val="center"/>
                </w:tcPr>
                <w:p w14:paraId="44DC4978">
                  <w:pPr>
                    <w:pStyle w:val="70"/>
                    <w:rPr>
                      <w:rFonts w:hint="eastAsia" w:ascii="Times New Roman" w:hAnsi="Times New Roman" w:eastAsia="宋体" w:cs="Times New Roman"/>
                      <w:color w:val="auto"/>
                      <w:sz w:val="21"/>
                      <w:szCs w:val="21"/>
                    </w:rPr>
                  </w:pPr>
                  <w:r>
                    <w:rPr>
                      <w:color w:val="auto"/>
                      <w:highlight w:val="green"/>
                    </w:rPr>
                    <w:drawing>
                      <wp:anchor distT="0" distB="0" distL="0" distR="0" simplePos="0" relativeHeight="251664384" behindDoc="1" locked="0" layoutInCell="1" allowOverlap="1">
                        <wp:simplePos x="0" y="0"/>
                        <wp:positionH relativeFrom="column">
                          <wp:posOffset>207645</wp:posOffset>
                        </wp:positionH>
                        <wp:positionV relativeFrom="paragraph">
                          <wp:posOffset>-1896745</wp:posOffset>
                        </wp:positionV>
                        <wp:extent cx="529590" cy="977265"/>
                        <wp:effectExtent l="15875" t="15875" r="83185" b="73660"/>
                        <wp:wrapTight wrapText="bothSides">
                          <wp:wrapPolygon>
                            <wp:start x="2460" y="-351"/>
                            <wp:lineTo x="129" y="2175"/>
                            <wp:lineTo x="-647" y="21123"/>
                            <wp:lineTo x="15669" y="22807"/>
                            <wp:lineTo x="22662" y="22807"/>
                            <wp:lineTo x="23439" y="19860"/>
                            <wp:lineTo x="23439" y="-351"/>
                            <wp:lineTo x="10230" y="-351"/>
                            <wp:lineTo x="2460" y="-351"/>
                          </wp:wrapPolygon>
                        </wp:wrapTight>
                        <wp:docPr id="46" name="图片 45" descr="电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45" descr="电池"/>
                                <pic:cNvPicPr>
                                  <a:picLocks noChangeAspect="1"/>
                                </pic:cNvPicPr>
                              </pic:nvPicPr>
                              <pic:blipFill>
                                <a:blip r:embed="rId12" cstate="print"/>
                                <a:srcRect/>
                                <a:stretch>
                                  <a:fillRect/>
                                </a:stretch>
                              </pic:blipFill>
                              <pic:spPr>
                                <a:xfrm>
                                  <a:off x="0" y="0"/>
                                  <a:ext cx="529590" cy="977265"/>
                                </a:xfrm>
                                <a:prstGeom prst="rect">
                                  <a:avLst/>
                                </a:prstGeom>
                                <a:effectLst>
                                  <a:outerShdw blurRad="50800" dist="38100" dir="2700000" algn="tl" rotWithShape="0">
                                    <a:prstClr val="black">
                                      <a:alpha val="40000"/>
                                    </a:prstClr>
                                  </a:outerShdw>
                                </a:effectLst>
                              </pic:spPr>
                            </pic:pic>
                          </a:graphicData>
                        </a:graphic>
                      </wp:anchor>
                    </w:drawing>
                  </w:r>
                </w:p>
              </w:tc>
              <w:tc>
                <w:tcPr>
                  <w:tcW w:w="1568" w:type="dxa"/>
                  <w:vMerge w:val="restart"/>
                  <w:vAlign w:val="center"/>
                </w:tcPr>
                <w:p w14:paraId="19C5E026">
                  <w:pPr>
                    <w:pStyle w:val="70"/>
                    <w:rPr>
                      <w:rFonts w:hint="eastAsia" w:eastAsia="宋体"/>
                      <w:color w:val="auto"/>
                      <w:highlight w:val="green"/>
                      <w:lang w:eastAsia="zh-CN"/>
                    </w:rPr>
                  </w:pPr>
                  <w:r>
                    <w:rPr>
                      <w:rFonts w:hint="eastAsia"/>
                      <w:color w:val="auto"/>
                      <w:highlight w:val="none"/>
                    </w:rPr>
                    <w:t>《锂电池安全要求》</w:t>
                  </w:r>
                  <w:r>
                    <w:rPr>
                      <w:rFonts w:hint="eastAsia"/>
                      <w:color w:val="auto"/>
                      <w:highlight w:val="none"/>
                      <w:lang w:eastAsia="zh-CN"/>
                    </w:rPr>
                    <w:t>（GJB 2374A-2013）、《矿用锂离子蓄电池》（Q/CBD DC002</w:t>
                  </w:r>
                  <w:r>
                    <w:rPr>
                      <w:rFonts w:hint="eastAsia"/>
                      <w:color w:val="auto"/>
                      <w:highlight w:val="none"/>
                      <w:lang w:val="en-US" w:eastAsia="zh-CN"/>
                    </w:rPr>
                    <w:t>-</w:t>
                  </w:r>
                  <w:r>
                    <w:rPr>
                      <w:rFonts w:hint="eastAsia"/>
                      <w:color w:val="auto"/>
                      <w:highlight w:val="none"/>
                      <w:lang w:eastAsia="zh-CN"/>
                    </w:rPr>
                    <w:t>2019）</w:t>
                  </w:r>
                </w:p>
              </w:tc>
            </w:tr>
            <w:tr w14:paraId="554F0E0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05" w:type="dxa"/>
                  <w:vAlign w:val="center"/>
                </w:tcPr>
                <w:p w14:paraId="3A46CC39">
                  <w:pPr>
                    <w:pStyle w:val="70"/>
                    <w:rPr>
                      <w:rFonts w:hint="eastAsia" w:ascii="Times New Roman" w:hAnsi="Times New Roman" w:eastAsia="宋体" w:cs="Times New Roman"/>
                      <w:b w:val="0"/>
                      <w:bCs w:val="0"/>
                      <w:color w:val="auto"/>
                      <w:sz w:val="21"/>
                      <w:szCs w:val="21"/>
                      <w:lang w:val="en-US" w:eastAsia="zh-CN"/>
                    </w:rPr>
                  </w:pPr>
                  <w:r>
                    <w:rPr>
                      <w:rFonts w:hint="eastAsia" w:ascii="Times New Roman" w:hAnsi="Times New Roman" w:eastAsia="宋体" w:cs="Times New Roman"/>
                      <w:b w:val="0"/>
                      <w:bCs w:val="0"/>
                      <w:color w:val="auto"/>
                      <w:sz w:val="21"/>
                      <w:szCs w:val="21"/>
                      <w:lang w:val="en-US" w:eastAsia="zh-CN"/>
                    </w:rPr>
                    <w:t>3</w:t>
                  </w:r>
                </w:p>
              </w:tc>
              <w:tc>
                <w:tcPr>
                  <w:tcW w:w="1268" w:type="dxa"/>
                  <w:vAlign w:val="center"/>
                </w:tcPr>
                <w:p w14:paraId="004BE668">
                  <w:pPr>
                    <w:pStyle w:val="70"/>
                    <w:rPr>
                      <w:rFonts w:hint="eastAsia" w:ascii="Times New Roman" w:hAnsi="Times New Roman" w:eastAsia="宋体" w:cs="Times New Roman"/>
                      <w:b w:val="0"/>
                      <w:bCs w:val="0"/>
                      <w:color w:val="auto"/>
                      <w:sz w:val="21"/>
                      <w:szCs w:val="21"/>
                      <w:lang w:val="en-US" w:eastAsia="zh-CN"/>
                    </w:rPr>
                  </w:pPr>
                  <w:r>
                    <w:rPr>
                      <w:rFonts w:hint="eastAsia" w:ascii="Times New Roman" w:hAnsi="Times New Roman" w:eastAsia="宋体" w:cs="Times New Roman"/>
                      <w:b w:val="0"/>
                      <w:bCs w:val="0"/>
                      <w:color w:val="auto"/>
                      <w:sz w:val="21"/>
                      <w:szCs w:val="21"/>
                      <w:lang w:val="en-US" w:eastAsia="zh-CN"/>
                    </w:rPr>
                    <w:t>高比能高倍率固态电池</w:t>
                  </w:r>
                </w:p>
              </w:tc>
              <w:tc>
                <w:tcPr>
                  <w:tcW w:w="1336" w:type="dxa"/>
                  <w:vAlign w:val="center"/>
                </w:tcPr>
                <w:p w14:paraId="0AA4942C">
                  <w:pPr>
                    <w:pStyle w:val="70"/>
                    <w:rPr>
                      <w:rFonts w:hint="eastAsia" w:ascii="Times New Roman" w:hAnsi="Times New Roman" w:eastAsia="宋体" w:cs="Times New Roman"/>
                      <w:b w:val="0"/>
                      <w:bCs w:val="0"/>
                      <w:color w:val="auto"/>
                      <w:sz w:val="21"/>
                      <w:szCs w:val="21"/>
                      <w:lang w:val="en-US" w:eastAsia="zh-CN"/>
                    </w:rPr>
                  </w:pPr>
                  <w:r>
                    <w:rPr>
                      <w:rFonts w:hint="eastAsia" w:ascii="Times New Roman" w:hAnsi="Times New Roman" w:eastAsia="宋体" w:cs="Times New Roman"/>
                      <w:b w:val="0"/>
                      <w:bCs w:val="0"/>
                      <w:color w:val="auto"/>
                      <w:sz w:val="21"/>
                      <w:szCs w:val="21"/>
                      <w:lang w:val="en-US" w:eastAsia="zh-CN"/>
                    </w:rPr>
                    <w:t>PP65N-E</w:t>
                  </w:r>
                </w:p>
              </w:tc>
              <w:tc>
                <w:tcPr>
                  <w:tcW w:w="1337" w:type="dxa"/>
                  <w:vAlign w:val="center"/>
                </w:tcPr>
                <w:p w14:paraId="323D6A00">
                  <w:pPr>
                    <w:pStyle w:val="70"/>
                    <w:rPr>
                      <w:rFonts w:hint="eastAsia" w:ascii="Times New Roman" w:hAnsi="Times New Roman" w:eastAsia="宋体" w:cs="Times New Roman"/>
                      <w:b w:val="0"/>
                      <w:bCs w:val="0"/>
                      <w:color w:val="auto"/>
                      <w:sz w:val="21"/>
                      <w:szCs w:val="21"/>
                      <w:lang w:val="en-US" w:eastAsia="zh-CN"/>
                    </w:rPr>
                  </w:pPr>
                  <w:r>
                    <w:rPr>
                      <w:rFonts w:hint="eastAsia" w:ascii="Times New Roman" w:hAnsi="Times New Roman" w:eastAsia="宋体" w:cs="Times New Roman"/>
                      <w:b w:val="0"/>
                      <w:bCs w:val="0"/>
                      <w:color w:val="auto"/>
                      <w:sz w:val="21"/>
                      <w:szCs w:val="21"/>
                      <w:lang w:val="en-US" w:eastAsia="zh-CN"/>
                    </w:rPr>
                    <w:t>450万支/年</w:t>
                  </w:r>
                </w:p>
              </w:tc>
              <w:tc>
                <w:tcPr>
                  <w:tcW w:w="1930" w:type="dxa"/>
                  <w:vAlign w:val="center"/>
                </w:tcPr>
                <w:p w14:paraId="5AD72BBF">
                  <w:pPr>
                    <w:pStyle w:val="70"/>
                    <w:rPr>
                      <w:rFonts w:hint="eastAsia" w:ascii="Times New Roman" w:hAnsi="Times New Roman" w:eastAsia="宋体" w:cs="Times New Roman"/>
                      <w:color w:val="auto"/>
                      <w:sz w:val="21"/>
                      <w:szCs w:val="21"/>
                    </w:rPr>
                  </w:pPr>
                  <w:r>
                    <w:rPr>
                      <w:color w:val="auto"/>
                      <w:highlight w:val="green"/>
                    </w:rPr>
                    <w:drawing>
                      <wp:anchor distT="0" distB="0" distL="0" distR="0" simplePos="0" relativeHeight="251665408" behindDoc="1" locked="0" layoutInCell="1" allowOverlap="1">
                        <wp:simplePos x="0" y="0"/>
                        <wp:positionH relativeFrom="column">
                          <wp:posOffset>130175</wp:posOffset>
                        </wp:positionH>
                        <wp:positionV relativeFrom="paragraph">
                          <wp:posOffset>-1572895</wp:posOffset>
                        </wp:positionV>
                        <wp:extent cx="869315" cy="1106805"/>
                        <wp:effectExtent l="15875" t="15875" r="86360" b="77470"/>
                        <wp:wrapTight wrapText="bothSides">
                          <wp:wrapPolygon>
                            <wp:start x="2919" y="-310"/>
                            <wp:lineTo x="79" y="1921"/>
                            <wp:lineTo x="-394" y="2664"/>
                            <wp:lineTo x="79" y="19766"/>
                            <wp:lineTo x="10019" y="22368"/>
                            <wp:lineTo x="18066" y="22740"/>
                            <wp:lineTo x="21379" y="22740"/>
                            <wp:lineTo x="21852" y="22368"/>
                            <wp:lineTo x="22799" y="11587"/>
                            <wp:lineTo x="22799" y="2293"/>
                            <wp:lineTo x="17592" y="434"/>
                            <wp:lineTo x="6706" y="-310"/>
                            <wp:lineTo x="2919" y="-310"/>
                          </wp:wrapPolygon>
                        </wp:wrapTight>
                        <wp:docPr id="1668465882" name="图片 35" descr="电池.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8465882" name="图片 35" descr="电池.21"/>
                                <pic:cNvPicPr>
                                  <a:picLocks noChangeAspect="1"/>
                                </pic:cNvPicPr>
                              </pic:nvPicPr>
                              <pic:blipFill>
                                <a:blip r:embed="rId11"/>
                                <a:srcRect l="25038" r="26221"/>
                                <a:stretch>
                                  <a:fillRect/>
                                </a:stretch>
                              </pic:blipFill>
                              <pic:spPr>
                                <a:xfrm>
                                  <a:off x="0" y="0"/>
                                  <a:ext cx="869315" cy="1106805"/>
                                </a:xfrm>
                                <a:prstGeom prst="rect">
                                  <a:avLst/>
                                </a:prstGeom>
                                <a:effectLst>
                                  <a:outerShdw blurRad="50800" dist="38100" dir="2700000" algn="tl" rotWithShape="0">
                                    <a:prstClr val="black">
                                      <a:alpha val="40000"/>
                                    </a:prstClr>
                                  </a:outerShdw>
                                </a:effectLst>
                              </pic:spPr>
                            </pic:pic>
                          </a:graphicData>
                        </a:graphic>
                      </wp:anchor>
                    </w:drawing>
                  </w:r>
                </w:p>
              </w:tc>
              <w:tc>
                <w:tcPr>
                  <w:tcW w:w="1568" w:type="dxa"/>
                  <w:vMerge w:val="continue"/>
                  <w:vAlign w:val="center"/>
                </w:tcPr>
                <w:p w14:paraId="360D1656">
                  <w:pPr>
                    <w:pStyle w:val="70"/>
                    <w:rPr>
                      <w:color w:val="auto"/>
                      <w:highlight w:val="green"/>
                    </w:rPr>
                  </w:pPr>
                </w:p>
              </w:tc>
            </w:tr>
            <w:tr w14:paraId="19DE69C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05" w:type="dxa"/>
                  <w:vAlign w:val="center"/>
                </w:tcPr>
                <w:p w14:paraId="6B7AEB66">
                  <w:pPr>
                    <w:pStyle w:val="70"/>
                    <w:rPr>
                      <w:rFonts w:hint="default" w:ascii="Times New Roman" w:hAnsi="Times New Roman" w:eastAsia="宋体" w:cs="Times New Roman"/>
                      <w:b w:val="0"/>
                      <w:bCs w:val="0"/>
                      <w:color w:val="auto"/>
                      <w:sz w:val="21"/>
                      <w:szCs w:val="21"/>
                      <w:lang w:val="en-US" w:eastAsia="zh-CN"/>
                    </w:rPr>
                  </w:pPr>
                  <w:r>
                    <w:rPr>
                      <w:rFonts w:hint="eastAsia" w:cs="Times New Roman"/>
                      <w:b w:val="0"/>
                      <w:bCs w:val="0"/>
                      <w:color w:val="auto"/>
                      <w:sz w:val="21"/>
                      <w:szCs w:val="21"/>
                      <w:lang w:val="en-US" w:eastAsia="zh-CN"/>
                    </w:rPr>
                    <w:t>4</w:t>
                  </w:r>
                </w:p>
              </w:tc>
              <w:tc>
                <w:tcPr>
                  <w:tcW w:w="1268" w:type="dxa"/>
                  <w:shd w:val="clear" w:color="auto" w:fill="auto"/>
                  <w:vAlign w:val="center"/>
                </w:tcPr>
                <w:p w14:paraId="6CE45961">
                  <w:pPr>
                    <w:pStyle w:val="70"/>
                    <w:rPr>
                      <w:rFonts w:hint="eastAsia" w:ascii="Times New Roman" w:hAnsi="Times New Roman" w:eastAsia="宋体" w:cs="Times New Roman"/>
                      <w:b w:val="0"/>
                      <w:bCs w:val="0"/>
                      <w:color w:val="auto"/>
                      <w:kern w:val="0"/>
                      <w:sz w:val="21"/>
                      <w:szCs w:val="21"/>
                      <w:lang w:val="en-US" w:eastAsia="zh-CN" w:bidi="ar-SA"/>
                    </w:rPr>
                  </w:pPr>
                  <w:r>
                    <w:rPr>
                      <w:rFonts w:hint="eastAsia" w:ascii="Times New Roman" w:hAnsi="Times New Roman" w:eastAsia="宋体" w:cs="Times New Roman"/>
                      <w:b w:val="0"/>
                      <w:bCs w:val="0"/>
                      <w:color w:val="auto"/>
                      <w:sz w:val="21"/>
                      <w:szCs w:val="21"/>
                      <w:lang w:val="en-US" w:eastAsia="zh-CN"/>
                    </w:rPr>
                    <w:t>电源系统</w:t>
                  </w:r>
                </w:p>
              </w:tc>
              <w:tc>
                <w:tcPr>
                  <w:tcW w:w="1336" w:type="dxa"/>
                  <w:shd w:val="clear" w:color="auto" w:fill="auto"/>
                  <w:vAlign w:val="center"/>
                </w:tcPr>
                <w:p w14:paraId="77E1391A">
                  <w:pPr>
                    <w:pStyle w:val="70"/>
                    <w:rPr>
                      <w:rFonts w:hint="eastAsia" w:ascii="Times New Roman" w:hAnsi="Times New Roman" w:eastAsia="宋体" w:cs="Times New Roman"/>
                      <w:b w:val="0"/>
                      <w:bCs w:val="0"/>
                      <w:color w:val="auto"/>
                      <w:kern w:val="0"/>
                      <w:sz w:val="21"/>
                      <w:szCs w:val="21"/>
                      <w:lang w:val="en-US" w:eastAsia="zh-CN" w:bidi="ar-SA"/>
                    </w:rPr>
                  </w:pPr>
                  <w:r>
                    <w:rPr>
                      <w:rFonts w:hint="eastAsia" w:ascii="Times New Roman" w:hAnsi="Times New Roman" w:eastAsia="宋体" w:cs="Times New Roman"/>
                      <w:b w:val="0"/>
                      <w:bCs w:val="0"/>
                      <w:color w:val="auto"/>
                      <w:sz w:val="21"/>
                      <w:szCs w:val="21"/>
                      <w:lang w:val="en-US" w:eastAsia="zh-CN"/>
                    </w:rPr>
                    <w:t>/</w:t>
                  </w:r>
                </w:p>
              </w:tc>
              <w:tc>
                <w:tcPr>
                  <w:tcW w:w="1337" w:type="dxa"/>
                  <w:shd w:val="clear" w:color="auto" w:fill="auto"/>
                  <w:vAlign w:val="center"/>
                </w:tcPr>
                <w:p w14:paraId="646B1F86">
                  <w:pPr>
                    <w:pStyle w:val="70"/>
                    <w:rPr>
                      <w:rFonts w:hint="eastAsia" w:ascii="Times New Roman" w:hAnsi="Times New Roman" w:eastAsia="宋体" w:cs="Times New Roman"/>
                      <w:b w:val="0"/>
                      <w:bCs w:val="0"/>
                      <w:color w:val="auto"/>
                      <w:kern w:val="0"/>
                      <w:sz w:val="21"/>
                      <w:szCs w:val="21"/>
                      <w:lang w:val="en-US" w:eastAsia="zh-CN" w:bidi="ar-SA"/>
                    </w:rPr>
                  </w:pPr>
                  <w:r>
                    <w:rPr>
                      <w:rFonts w:hint="eastAsia" w:ascii="Times New Roman" w:hAnsi="Times New Roman" w:eastAsia="宋体" w:cs="Times New Roman"/>
                      <w:b w:val="0"/>
                      <w:bCs w:val="0"/>
                      <w:color w:val="auto"/>
                      <w:sz w:val="21"/>
                      <w:szCs w:val="21"/>
                      <w:lang w:val="en-US" w:eastAsia="zh-CN"/>
                    </w:rPr>
                    <w:t>20万套</w:t>
                  </w:r>
                </w:p>
              </w:tc>
              <w:tc>
                <w:tcPr>
                  <w:tcW w:w="1930" w:type="dxa"/>
                  <w:shd w:val="clear" w:color="auto" w:fill="auto"/>
                  <w:vAlign w:val="center"/>
                </w:tcPr>
                <w:p w14:paraId="16CACB05">
                  <w:pPr>
                    <w:pStyle w:val="70"/>
                    <w:rPr>
                      <w:rFonts w:hint="eastAsia" w:ascii="Times New Roman" w:hAnsi="Times New Roman" w:eastAsia="宋体" w:cs="Times New Roman"/>
                      <w:b w:val="0"/>
                      <w:bCs w:val="0"/>
                      <w:color w:val="auto"/>
                      <w:kern w:val="0"/>
                      <w:sz w:val="21"/>
                      <w:szCs w:val="21"/>
                      <w:lang w:val="en-US" w:eastAsia="zh-CN" w:bidi="ar-SA"/>
                    </w:rPr>
                  </w:pPr>
                  <w:r>
                    <w:rPr>
                      <w:rFonts w:hint="eastAsia" w:ascii="Times New Roman" w:hAnsi="Times New Roman" w:eastAsia="宋体" w:cs="Times New Roman"/>
                      <w:b w:val="0"/>
                      <w:bCs w:val="0"/>
                      <w:color w:val="auto"/>
                      <w:sz w:val="21"/>
                      <w:szCs w:val="21"/>
                      <w:lang w:val="en-US" w:eastAsia="zh-CN"/>
                    </w:rPr>
                    <w:t>/</w:t>
                  </w:r>
                </w:p>
              </w:tc>
              <w:tc>
                <w:tcPr>
                  <w:tcW w:w="1568" w:type="dxa"/>
                  <w:vAlign w:val="center"/>
                </w:tcPr>
                <w:p w14:paraId="421EC9EF">
                  <w:pPr>
                    <w:jc w:val="center"/>
                    <w:rPr>
                      <w:rFonts w:hint="eastAsia" w:eastAsia="宋体"/>
                      <w:color w:val="auto"/>
                      <w:highlight w:val="green"/>
                      <w:lang w:val="en-US" w:eastAsia="zh-CN"/>
                    </w:rPr>
                  </w:pPr>
                  <w:r>
                    <w:rPr>
                      <w:rFonts w:hint="eastAsia"/>
                      <w:color w:val="auto"/>
                      <w:highlight w:val="none"/>
                      <w:shd w:val="clear"/>
                      <w:lang w:val="en-US" w:eastAsia="zh-CN"/>
                    </w:rPr>
                    <w:t>《电动汽车用锂离子动力电池包和系统电性能试验方法》（GB/T 31467-2023）、《锂离子蓄电池组通用规范》（GJB 4477-2002）</w:t>
                  </w:r>
                </w:p>
              </w:tc>
            </w:tr>
            <w:bookmarkEnd w:id="9"/>
          </w:tbl>
          <w:p w14:paraId="2FF9A5CF">
            <w:pPr>
              <w:pStyle w:val="66"/>
              <w:spacing w:line="360" w:lineRule="auto"/>
              <w:ind w:firstLine="482"/>
              <w:rPr>
                <w:rFonts w:hint="eastAsia" w:ascii="Times New Roman" w:hAnsi="Times New Roman" w:eastAsia="宋体" w:cs="Times New Roman"/>
                <w:b/>
                <w:bCs/>
                <w:color w:val="auto"/>
                <w:lang w:val="en-US" w:eastAsia="zh-CN"/>
              </w:rPr>
            </w:pPr>
            <w:r>
              <w:rPr>
                <w:rFonts w:hint="eastAsia" w:ascii="Times New Roman" w:hAnsi="Times New Roman" w:eastAsia="宋体" w:cs="Times New Roman"/>
                <w:b/>
                <w:bCs/>
                <w:color w:val="auto"/>
                <w:lang w:val="en-US" w:eastAsia="zh-CN"/>
              </w:rPr>
              <w:t>4、项目组成及主要环境问题</w:t>
            </w:r>
          </w:p>
          <w:p w14:paraId="175AB9F0">
            <w:pPr>
              <w:pStyle w:val="66"/>
              <w:spacing w:line="360" w:lineRule="auto"/>
              <w:rPr>
                <w:rFonts w:hint="eastAsia" w:ascii="Times New Roman" w:hAnsi="Times New Roman" w:eastAsia="宋体" w:cs="Times New Roman"/>
                <w:color w:val="auto"/>
              </w:rPr>
            </w:pPr>
            <w:r>
              <w:rPr>
                <w:rFonts w:hint="eastAsia" w:ascii="Times New Roman" w:hAnsi="Times New Roman" w:eastAsia="宋体" w:cs="Times New Roman"/>
                <w:color w:val="auto"/>
                <w:lang w:val="en-US" w:eastAsia="zh-CN"/>
              </w:rPr>
              <w:t>本</w:t>
            </w:r>
            <w:r>
              <w:rPr>
                <w:rFonts w:hint="eastAsia" w:ascii="Times New Roman" w:hAnsi="Times New Roman" w:eastAsia="宋体" w:cs="Times New Roman"/>
                <w:color w:val="auto"/>
              </w:rPr>
              <w:t>项目组成及主要环境问题见下表。</w:t>
            </w:r>
          </w:p>
          <w:p w14:paraId="0E9BE776">
            <w:pPr>
              <w:pStyle w:val="68"/>
              <w:rPr>
                <w:rFonts w:hint="default" w:ascii="Times New Roman" w:hAnsi="Times New Roman" w:eastAsia="宋体" w:cs="Times New Roman"/>
                <w:b/>
                <w:bCs/>
                <w:color w:val="auto"/>
              </w:rPr>
            </w:pPr>
            <w:r>
              <w:rPr>
                <w:rFonts w:hint="eastAsia" w:ascii="Times New Roman" w:hAnsi="Times New Roman" w:eastAsia="宋体" w:cs="Times New Roman"/>
                <w:b/>
                <w:bCs/>
                <w:color w:val="auto"/>
              </w:rPr>
              <w:t>表2-</w:t>
            </w:r>
            <w:r>
              <w:rPr>
                <w:rFonts w:hint="eastAsia" w:ascii="Times New Roman" w:hAnsi="Times New Roman" w:eastAsia="宋体" w:cs="Times New Roman"/>
                <w:b/>
                <w:bCs/>
                <w:color w:val="auto"/>
                <w:lang w:val="en-US" w:eastAsia="zh-CN"/>
              </w:rPr>
              <w:t>2</w:t>
            </w:r>
            <w:r>
              <w:rPr>
                <w:rFonts w:hint="eastAsia" w:ascii="Times New Roman" w:hAnsi="Times New Roman" w:eastAsia="宋体" w:cs="Times New Roman"/>
                <w:b/>
                <w:bCs/>
                <w:color w:val="auto"/>
              </w:rPr>
              <w:t xml:space="preserve">  项目组成及主要环境问题一览表</w:t>
            </w:r>
          </w:p>
          <w:tbl>
            <w:tblPr>
              <w:tblStyle w:val="42"/>
              <w:tblW w:w="7754" w:type="dxa"/>
              <w:tblInd w:w="5"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790"/>
              <w:gridCol w:w="750"/>
              <w:gridCol w:w="1064"/>
              <w:gridCol w:w="2509"/>
              <w:gridCol w:w="927"/>
              <w:gridCol w:w="981"/>
              <w:gridCol w:w="733"/>
            </w:tblGrid>
            <w:tr w14:paraId="6DCA6BC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2" w:hRule="atLeast"/>
              </w:trPr>
              <w:tc>
                <w:tcPr>
                  <w:tcW w:w="790" w:type="dxa"/>
                  <w:vMerge w:val="restart"/>
                  <w:vAlign w:val="center"/>
                </w:tcPr>
                <w:p w14:paraId="57032331">
                  <w:pPr>
                    <w:pStyle w:val="70"/>
                    <w:spacing w:line="240" w:lineRule="auto"/>
                    <w:rPr>
                      <w:rFonts w:hint="default" w:ascii="Times New Roman" w:hAnsi="Times New Roman" w:eastAsia="宋体" w:cs="Times New Roman"/>
                      <w:b/>
                      <w:color w:val="auto"/>
                      <w:sz w:val="21"/>
                      <w:szCs w:val="21"/>
                      <w:lang w:val="en-US" w:eastAsia="zh-CN"/>
                    </w:rPr>
                  </w:pPr>
                  <w:r>
                    <w:rPr>
                      <w:rFonts w:hint="eastAsia" w:ascii="Times New Roman" w:hAnsi="Times New Roman" w:eastAsia="宋体" w:cs="Times New Roman"/>
                      <w:b/>
                      <w:color w:val="auto"/>
                      <w:sz w:val="21"/>
                      <w:szCs w:val="21"/>
                      <w:lang w:val="en-US" w:eastAsia="zh-CN"/>
                    </w:rPr>
                    <w:t>项目组成</w:t>
                  </w:r>
                </w:p>
              </w:tc>
              <w:tc>
                <w:tcPr>
                  <w:tcW w:w="4323" w:type="dxa"/>
                  <w:gridSpan w:val="3"/>
                  <w:vMerge w:val="restart"/>
                  <w:vAlign w:val="center"/>
                </w:tcPr>
                <w:p w14:paraId="7733879C">
                  <w:pPr>
                    <w:pStyle w:val="70"/>
                    <w:spacing w:line="240" w:lineRule="auto"/>
                    <w:rPr>
                      <w:rFonts w:hint="eastAsia" w:ascii="Times New Roman" w:hAnsi="Times New Roman" w:eastAsia="宋体" w:cs="Times New Roman"/>
                      <w:b/>
                      <w:color w:val="auto"/>
                      <w:sz w:val="21"/>
                      <w:szCs w:val="21"/>
                      <w:lang w:val="en-US" w:eastAsia="zh-CN"/>
                    </w:rPr>
                  </w:pPr>
                  <w:r>
                    <w:rPr>
                      <w:rFonts w:hint="eastAsia" w:ascii="Times New Roman" w:hAnsi="Times New Roman" w:eastAsia="宋体" w:cs="Times New Roman"/>
                      <w:b/>
                      <w:color w:val="auto"/>
                      <w:sz w:val="21"/>
                      <w:szCs w:val="21"/>
                      <w:lang w:val="en-US" w:eastAsia="zh-CN"/>
                    </w:rPr>
                    <w:t>建设内容及规模</w:t>
                  </w:r>
                </w:p>
              </w:tc>
              <w:tc>
                <w:tcPr>
                  <w:tcW w:w="1908" w:type="dxa"/>
                  <w:gridSpan w:val="2"/>
                  <w:vAlign w:val="center"/>
                </w:tcPr>
                <w:p w14:paraId="44EEEC88">
                  <w:pPr>
                    <w:pStyle w:val="70"/>
                    <w:spacing w:line="240" w:lineRule="auto"/>
                    <w:rPr>
                      <w:rFonts w:hint="eastAsia" w:ascii="Times New Roman" w:hAnsi="Times New Roman" w:eastAsia="宋体" w:cs="Times New Roman"/>
                      <w:b/>
                      <w:color w:val="auto"/>
                      <w:sz w:val="21"/>
                      <w:szCs w:val="21"/>
                      <w:lang w:val="en-US" w:eastAsia="zh-CN"/>
                    </w:rPr>
                  </w:pPr>
                  <w:r>
                    <w:rPr>
                      <w:rFonts w:hint="eastAsia" w:ascii="Times New Roman" w:hAnsi="Times New Roman" w:eastAsia="宋体" w:cs="Times New Roman"/>
                      <w:b/>
                      <w:color w:val="auto"/>
                      <w:sz w:val="21"/>
                      <w:szCs w:val="21"/>
                      <w:lang w:val="en-US" w:eastAsia="zh-CN"/>
                    </w:rPr>
                    <w:t>主要环境问题</w:t>
                  </w:r>
                </w:p>
              </w:tc>
              <w:tc>
                <w:tcPr>
                  <w:tcW w:w="733" w:type="dxa"/>
                  <w:vMerge w:val="restart"/>
                  <w:vAlign w:val="center"/>
                </w:tcPr>
                <w:p w14:paraId="6EB54500">
                  <w:pPr>
                    <w:pStyle w:val="70"/>
                    <w:spacing w:line="240" w:lineRule="auto"/>
                    <w:rPr>
                      <w:rFonts w:hint="default" w:ascii="Times New Roman" w:hAnsi="Times New Roman" w:eastAsia="宋体" w:cs="Times New Roman"/>
                      <w:b/>
                      <w:color w:val="auto"/>
                      <w:sz w:val="21"/>
                      <w:szCs w:val="21"/>
                      <w:lang w:val="en-US" w:eastAsia="zh-CN"/>
                    </w:rPr>
                  </w:pPr>
                  <w:r>
                    <w:rPr>
                      <w:rFonts w:hint="eastAsia" w:ascii="Times New Roman" w:hAnsi="Times New Roman" w:eastAsia="宋体" w:cs="Times New Roman"/>
                      <w:b/>
                      <w:color w:val="auto"/>
                      <w:sz w:val="21"/>
                      <w:szCs w:val="21"/>
                      <w:lang w:val="en-US" w:eastAsia="zh-CN"/>
                    </w:rPr>
                    <w:t>备注</w:t>
                  </w:r>
                </w:p>
              </w:tc>
            </w:tr>
            <w:tr w14:paraId="5499C24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45" w:hRule="atLeast"/>
              </w:trPr>
              <w:tc>
                <w:tcPr>
                  <w:tcW w:w="790" w:type="dxa"/>
                  <w:vMerge w:val="continue"/>
                  <w:vAlign w:val="center"/>
                </w:tcPr>
                <w:p w14:paraId="26E68FF0">
                  <w:pPr>
                    <w:pStyle w:val="70"/>
                    <w:spacing w:line="240" w:lineRule="auto"/>
                    <w:rPr>
                      <w:rFonts w:hint="eastAsia" w:ascii="Times New Roman" w:hAnsi="Times New Roman" w:eastAsia="宋体" w:cs="Times New Roman"/>
                      <w:b/>
                      <w:color w:val="auto"/>
                      <w:sz w:val="21"/>
                      <w:szCs w:val="21"/>
                      <w:lang w:val="en-US" w:eastAsia="zh-CN"/>
                    </w:rPr>
                  </w:pPr>
                </w:p>
              </w:tc>
              <w:tc>
                <w:tcPr>
                  <w:tcW w:w="4323" w:type="dxa"/>
                  <w:gridSpan w:val="3"/>
                  <w:vMerge w:val="continue"/>
                  <w:vAlign w:val="center"/>
                </w:tcPr>
                <w:p w14:paraId="56FAA763">
                  <w:pPr>
                    <w:pStyle w:val="70"/>
                    <w:spacing w:line="240" w:lineRule="auto"/>
                    <w:rPr>
                      <w:rFonts w:hint="eastAsia" w:ascii="Times New Roman" w:hAnsi="Times New Roman" w:eastAsia="宋体" w:cs="Times New Roman"/>
                      <w:b/>
                      <w:color w:val="auto"/>
                      <w:sz w:val="21"/>
                      <w:szCs w:val="21"/>
                      <w:lang w:val="en-US" w:eastAsia="zh-CN"/>
                    </w:rPr>
                  </w:pPr>
                </w:p>
              </w:tc>
              <w:tc>
                <w:tcPr>
                  <w:tcW w:w="927" w:type="dxa"/>
                  <w:vAlign w:val="center"/>
                </w:tcPr>
                <w:p w14:paraId="5E3718B7">
                  <w:pPr>
                    <w:pStyle w:val="70"/>
                    <w:spacing w:line="240" w:lineRule="auto"/>
                    <w:rPr>
                      <w:rFonts w:hint="eastAsia" w:ascii="Times New Roman" w:hAnsi="Times New Roman" w:eastAsia="宋体" w:cs="Times New Roman"/>
                      <w:b/>
                      <w:color w:val="auto"/>
                      <w:sz w:val="21"/>
                      <w:szCs w:val="21"/>
                      <w:lang w:val="en-US" w:eastAsia="zh-CN"/>
                    </w:rPr>
                  </w:pPr>
                  <w:r>
                    <w:rPr>
                      <w:rFonts w:hint="eastAsia" w:ascii="Times New Roman" w:hAnsi="Times New Roman" w:eastAsia="宋体" w:cs="Times New Roman"/>
                      <w:b/>
                      <w:color w:val="auto"/>
                      <w:sz w:val="21"/>
                      <w:szCs w:val="21"/>
                      <w:lang w:val="en-US" w:eastAsia="zh-CN"/>
                    </w:rPr>
                    <w:t>施工期</w:t>
                  </w:r>
                </w:p>
              </w:tc>
              <w:tc>
                <w:tcPr>
                  <w:tcW w:w="981" w:type="dxa"/>
                  <w:vAlign w:val="center"/>
                </w:tcPr>
                <w:p w14:paraId="5B5EDBAC">
                  <w:pPr>
                    <w:pStyle w:val="70"/>
                    <w:spacing w:line="240" w:lineRule="auto"/>
                    <w:rPr>
                      <w:rFonts w:hint="eastAsia" w:ascii="Times New Roman" w:hAnsi="Times New Roman" w:eastAsia="宋体" w:cs="Times New Roman"/>
                      <w:b/>
                      <w:color w:val="auto"/>
                      <w:sz w:val="21"/>
                      <w:szCs w:val="21"/>
                      <w:lang w:val="en-US" w:eastAsia="zh-CN"/>
                    </w:rPr>
                  </w:pPr>
                  <w:r>
                    <w:rPr>
                      <w:rFonts w:hint="eastAsia" w:ascii="Times New Roman" w:hAnsi="Times New Roman" w:eastAsia="宋体" w:cs="Times New Roman"/>
                      <w:b/>
                      <w:color w:val="auto"/>
                      <w:sz w:val="21"/>
                      <w:szCs w:val="21"/>
                      <w:lang w:val="en-US" w:eastAsia="zh-CN"/>
                    </w:rPr>
                    <w:t>运营期</w:t>
                  </w:r>
                </w:p>
              </w:tc>
              <w:tc>
                <w:tcPr>
                  <w:tcW w:w="733" w:type="dxa"/>
                  <w:vMerge w:val="continue"/>
                  <w:vAlign w:val="center"/>
                </w:tcPr>
                <w:p w14:paraId="77A99AF6">
                  <w:pPr>
                    <w:pStyle w:val="70"/>
                    <w:spacing w:line="240" w:lineRule="auto"/>
                    <w:rPr>
                      <w:rFonts w:hint="eastAsia" w:ascii="Times New Roman" w:hAnsi="Times New Roman" w:eastAsia="宋体" w:cs="Times New Roman"/>
                      <w:b/>
                      <w:color w:val="auto"/>
                      <w:sz w:val="21"/>
                      <w:szCs w:val="21"/>
                      <w:lang w:val="en-US" w:eastAsia="zh-CN"/>
                    </w:rPr>
                  </w:pPr>
                </w:p>
              </w:tc>
            </w:tr>
            <w:tr w14:paraId="0594822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90" w:type="dxa"/>
                  <w:vMerge w:val="restart"/>
                  <w:vAlign w:val="center"/>
                </w:tcPr>
                <w:p w14:paraId="2ECA7841">
                  <w:pPr>
                    <w:pStyle w:val="70"/>
                    <w:spacing w:line="240" w:lineRule="auto"/>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主体工程</w:t>
                  </w:r>
                </w:p>
              </w:tc>
              <w:tc>
                <w:tcPr>
                  <w:tcW w:w="750" w:type="dxa"/>
                  <w:vAlign w:val="center"/>
                </w:tcPr>
                <w:p w14:paraId="2FA3D509">
                  <w:pPr>
                    <w:pStyle w:val="70"/>
                    <w:spacing w:line="240" w:lineRule="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集成车间</w:t>
                  </w:r>
                </w:p>
              </w:tc>
              <w:tc>
                <w:tcPr>
                  <w:tcW w:w="3573" w:type="dxa"/>
                  <w:gridSpan w:val="2"/>
                  <w:vAlign w:val="center"/>
                </w:tcPr>
                <w:p w14:paraId="61C64BF3">
                  <w:pPr>
                    <w:pStyle w:val="70"/>
                    <w:spacing w:line="240" w:lineRule="auto"/>
                    <w:jc w:val="both"/>
                    <w:rPr>
                      <w:rFonts w:hint="eastAsia" w:ascii="Times New Roman" w:hAnsi="Times New Roman" w:eastAsia="宋体" w:cs="Times New Roman"/>
                      <w:color w:val="auto"/>
                      <w:sz w:val="21"/>
                      <w:szCs w:val="21"/>
                    </w:rPr>
                  </w:pPr>
                  <w:r>
                    <w:rPr>
                      <w:rFonts w:hint="eastAsia" w:cs="Times New Roman"/>
                      <w:color w:val="auto"/>
                      <w:sz w:val="21"/>
                      <w:szCs w:val="21"/>
                      <w:lang w:val="en-US" w:eastAsia="zh-CN"/>
                    </w:rPr>
                    <w:t>5</w:t>
                  </w:r>
                  <w:r>
                    <w:rPr>
                      <w:rFonts w:hint="eastAsia" w:ascii="Times New Roman" w:hAnsi="Times New Roman" w:eastAsia="宋体" w:cs="Times New Roman"/>
                      <w:color w:val="auto"/>
                      <w:sz w:val="21"/>
                      <w:szCs w:val="21"/>
                      <w:lang w:val="en-US" w:eastAsia="zh-CN"/>
                    </w:rPr>
                    <w:t>F，建筑面积约7732.78m</w:t>
                  </w:r>
                  <w:r>
                    <w:rPr>
                      <w:rFonts w:hint="eastAsia" w:ascii="Times New Roman" w:hAnsi="Times New Roman" w:eastAsia="宋体" w:cs="Times New Roman"/>
                      <w:color w:val="auto"/>
                      <w:sz w:val="21"/>
                      <w:szCs w:val="21"/>
                      <w:vertAlign w:val="superscript"/>
                      <w:lang w:val="en-US" w:eastAsia="zh-CN"/>
                    </w:rPr>
                    <w:t>2</w:t>
                  </w:r>
                  <w:r>
                    <w:rPr>
                      <w:rFonts w:hint="eastAsia" w:ascii="Times New Roman" w:hAnsi="Times New Roman" w:eastAsia="宋体" w:cs="Times New Roman"/>
                      <w:color w:val="auto"/>
                      <w:sz w:val="21"/>
                      <w:szCs w:val="21"/>
                      <w:lang w:val="en-US" w:eastAsia="zh-CN"/>
                    </w:rPr>
                    <w:t>，钢混结构，H=</w:t>
                  </w:r>
                  <w:r>
                    <w:rPr>
                      <w:rFonts w:hint="eastAsia" w:cs="Times New Roman"/>
                      <w:color w:val="auto"/>
                      <w:sz w:val="21"/>
                      <w:szCs w:val="21"/>
                      <w:lang w:val="en-US" w:eastAsia="zh-CN"/>
                    </w:rPr>
                    <w:t>22.3</w:t>
                  </w:r>
                  <w:r>
                    <w:rPr>
                      <w:rFonts w:hint="eastAsia" w:ascii="Times New Roman" w:hAnsi="Times New Roman" w:eastAsia="宋体" w:cs="Times New Roman"/>
                      <w:color w:val="auto"/>
                      <w:sz w:val="21"/>
                      <w:szCs w:val="21"/>
                      <w:lang w:val="en-US" w:eastAsia="zh-CN"/>
                    </w:rPr>
                    <w:t>m，内设</w:t>
                  </w:r>
                  <w:r>
                    <w:rPr>
                      <w:rFonts w:hint="eastAsia" w:cs="Times New Roman"/>
                      <w:color w:val="auto"/>
                      <w:sz w:val="21"/>
                      <w:szCs w:val="21"/>
                      <w:lang w:val="en-US" w:eastAsia="zh-CN"/>
                    </w:rPr>
                    <w:t>办公室、空调机房、茶餐间、研发中试、性能分析室</w:t>
                  </w:r>
                  <w:r>
                    <w:rPr>
                      <w:rFonts w:hint="eastAsia" w:ascii="Times New Roman" w:hAnsi="Times New Roman" w:eastAsia="宋体" w:cs="Times New Roman"/>
                      <w:color w:val="auto"/>
                      <w:sz w:val="21"/>
                      <w:szCs w:val="21"/>
                      <w:lang w:val="en-US" w:eastAsia="zh-CN"/>
                    </w:rPr>
                    <w:t>等</w:t>
                  </w:r>
                </w:p>
              </w:tc>
              <w:tc>
                <w:tcPr>
                  <w:tcW w:w="927" w:type="dxa"/>
                  <w:vMerge w:val="restart"/>
                  <w:vAlign w:val="center"/>
                </w:tcPr>
                <w:p w14:paraId="0A1C8B44">
                  <w:pPr>
                    <w:pStyle w:val="70"/>
                    <w:spacing w:line="240" w:lineRule="auto"/>
                    <w:rPr>
                      <w:rFonts w:hint="eastAsia"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施工扬尘、废气、噪声、废水、废渣、生活垃圾等</w:t>
                  </w:r>
                </w:p>
              </w:tc>
              <w:tc>
                <w:tcPr>
                  <w:tcW w:w="981" w:type="dxa"/>
                  <w:vMerge w:val="restart"/>
                  <w:vAlign w:val="center"/>
                </w:tcPr>
                <w:p w14:paraId="3B6B2A40">
                  <w:pPr>
                    <w:pStyle w:val="70"/>
                    <w:spacing w:line="240" w:lineRule="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废气、废水、噪声、固废</w:t>
                  </w:r>
                </w:p>
              </w:tc>
              <w:tc>
                <w:tcPr>
                  <w:tcW w:w="733" w:type="dxa"/>
                  <w:vAlign w:val="center"/>
                </w:tcPr>
                <w:p w14:paraId="354C14F4">
                  <w:pPr>
                    <w:pStyle w:val="70"/>
                    <w:spacing w:line="240" w:lineRule="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适应性改造</w:t>
                  </w:r>
                </w:p>
              </w:tc>
            </w:tr>
            <w:tr w14:paraId="3912FCF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56" w:hRule="atLeast"/>
              </w:trPr>
              <w:tc>
                <w:tcPr>
                  <w:tcW w:w="790" w:type="dxa"/>
                  <w:vMerge w:val="continue"/>
                  <w:vAlign w:val="center"/>
                </w:tcPr>
                <w:p w14:paraId="277B1008">
                  <w:pPr>
                    <w:pStyle w:val="70"/>
                    <w:spacing w:line="240" w:lineRule="auto"/>
                    <w:rPr>
                      <w:rFonts w:hint="eastAsia" w:ascii="Times New Roman" w:hAnsi="Times New Roman" w:eastAsia="宋体" w:cs="Times New Roman"/>
                      <w:color w:val="auto"/>
                      <w:sz w:val="21"/>
                      <w:szCs w:val="21"/>
                    </w:rPr>
                  </w:pPr>
                </w:p>
              </w:tc>
              <w:tc>
                <w:tcPr>
                  <w:tcW w:w="750" w:type="dxa"/>
                  <w:vAlign w:val="center"/>
                </w:tcPr>
                <w:p w14:paraId="5A2E26FC">
                  <w:pPr>
                    <w:pStyle w:val="70"/>
                    <w:spacing w:line="240" w:lineRule="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电芯车间</w:t>
                  </w:r>
                </w:p>
              </w:tc>
              <w:tc>
                <w:tcPr>
                  <w:tcW w:w="3573" w:type="dxa"/>
                  <w:gridSpan w:val="2"/>
                  <w:vAlign w:val="center"/>
                </w:tcPr>
                <w:p w14:paraId="45CD9D18">
                  <w:pPr>
                    <w:pStyle w:val="70"/>
                    <w:spacing w:line="240" w:lineRule="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1F，钢结构，H=</w:t>
                  </w:r>
                  <w:r>
                    <w:rPr>
                      <w:rFonts w:hint="eastAsia" w:cs="Times New Roman"/>
                      <w:color w:val="auto"/>
                      <w:sz w:val="21"/>
                      <w:szCs w:val="21"/>
                      <w:lang w:val="en-US" w:eastAsia="zh-CN"/>
                    </w:rPr>
                    <w:t>19.13</w:t>
                  </w:r>
                  <w:r>
                    <w:rPr>
                      <w:rFonts w:hint="eastAsia" w:ascii="Times New Roman" w:hAnsi="Times New Roman" w:eastAsia="宋体" w:cs="Times New Roman"/>
                      <w:color w:val="auto"/>
                      <w:sz w:val="21"/>
                      <w:szCs w:val="21"/>
                      <w:lang w:val="en-US" w:eastAsia="zh-CN"/>
                    </w:rPr>
                    <w:t>m（电芯区H＝12.6m），建筑面积约19240.48m</w:t>
                  </w:r>
                  <w:r>
                    <w:rPr>
                      <w:rFonts w:hint="eastAsia" w:ascii="Times New Roman" w:hAnsi="Times New Roman" w:eastAsia="宋体" w:cs="Times New Roman"/>
                      <w:color w:val="auto"/>
                      <w:sz w:val="21"/>
                      <w:szCs w:val="21"/>
                      <w:vertAlign w:val="superscript"/>
                      <w:lang w:val="en-US" w:eastAsia="zh-CN"/>
                    </w:rPr>
                    <w:t>2</w:t>
                  </w:r>
                  <w:r>
                    <w:rPr>
                      <w:rFonts w:hint="eastAsia" w:ascii="Times New Roman" w:hAnsi="Times New Roman" w:eastAsia="宋体" w:cs="Times New Roman"/>
                      <w:color w:val="auto"/>
                      <w:sz w:val="21"/>
                      <w:szCs w:val="21"/>
                      <w:lang w:val="en-US" w:eastAsia="zh-CN"/>
                    </w:rPr>
                    <w:t>，内设原材料</w:t>
                  </w:r>
                  <w:r>
                    <w:rPr>
                      <w:rFonts w:hint="eastAsia" w:cs="Times New Roman"/>
                      <w:color w:val="auto"/>
                      <w:sz w:val="21"/>
                      <w:szCs w:val="21"/>
                      <w:lang w:val="en-US" w:eastAsia="zh-CN"/>
                    </w:rPr>
                    <w:t>仓库</w:t>
                  </w:r>
                  <w:r>
                    <w:rPr>
                      <w:rFonts w:hint="eastAsia" w:ascii="Times New Roman" w:hAnsi="Times New Roman" w:eastAsia="宋体" w:cs="Times New Roman"/>
                      <w:color w:val="auto"/>
                      <w:sz w:val="21"/>
                      <w:szCs w:val="21"/>
                      <w:lang w:val="en-US" w:eastAsia="zh-CN"/>
                    </w:rPr>
                    <w:t>、</w:t>
                  </w:r>
                  <w:r>
                    <w:rPr>
                      <w:rFonts w:hint="eastAsia" w:cs="Times New Roman"/>
                      <w:color w:val="auto"/>
                      <w:sz w:val="21"/>
                      <w:szCs w:val="21"/>
                      <w:lang w:val="en-US" w:eastAsia="zh-CN"/>
                    </w:rPr>
                    <w:t>空压、制氮站、办公室</w:t>
                  </w:r>
                  <w:r>
                    <w:rPr>
                      <w:rFonts w:hint="eastAsia" w:ascii="Times New Roman" w:hAnsi="Times New Roman" w:eastAsia="宋体" w:cs="Times New Roman"/>
                      <w:color w:val="auto"/>
                      <w:sz w:val="21"/>
                      <w:szCs w:val="21"/>
                      <w:lang w:val="en-US" w:eastAsia="zh-CN"/>
                    </w:rPr>
                    <w:t>、成品库</w:t>
                  </w:r>
                  <w:r>
                    <w:rPr>
                      <w:rFonts w:hint="eastAsia" w:cs="Times New Roman"/>
                      <w:color w:val="auto"/>
                      <w:sz w:val="21"/>
                      <w:szCs w:val="21"/>
                      <w:lang w:val="en-US" w:eastAsia="zh-CN"/>
                    </w:rPr>
                    <w:t>、污水处理站、纯水间、备锟间、风柜机间、清洗间、一般固废暂存间、制冷机房、电解液间、电池拆解间</w:t>
                  </w:r>
                  <w:r>
                    <w:rPr>
                      <w:rFonts w:hint="eastAsia" w:ascii="Times New Roman" w:hAnsi="Times New Roman" w:eastAsia="宋体" w:cs="Times New Roman"/>
                      <w:color w:val="auto"/>
                      <w:sz w:val="21"/>
                      <w:szCs w:val="21"/>
                      <w:lang w:val="en-US" w:eastAsia="zh-CN"/>
                    </w:rPr>
                    <w:t>等</w:t>
                  </w:r>
                  <w:r>
                    <w:rPr>
                      <w:rFonts w:hint="eastAsia" w:cs="Times New Roman"/>
                      <w:color w:val="auto"/>
                      <w:sz w:val="21"/>
                      <w:szCs w:val="21"/>
                      <w:lang w:val="en-US" w:eastAsia="zh-CN"/>
                    </w:rPr>
                    <w:t>。其中电芯车间生产区域为洁净车间，车间洁净要求为10万级/30万级</w:t>
                  </w:r>
                </w:p>
              </w:tc>
              <w:tc>
                <w:tcPr>
                  <w:tcW w:w="927" w:type="dxa"/>
                  <w:vMerge w:val="continue"/>
                  <w:vAlign w:val="center"/>
                </w:tcPr>
                <w:p w14:paraId="5F962A7C">
                  <w:pPr>
                    <w:pStyle w:val="70"/>
                    <w:spacing w:line="240" w:lineRule="auto"/>
                    <w:rPr>
                      <w:rFonts w:hint="eastAsia" w:ascii="Times New Roman" w:hAnsi="Times New Roman" w:eastAsia="宋体" w:cs="Times New Roman"/>
                      <w:color w:val="auto"/>
                      <w:sz w:val="21"/>
                      <w:szCs w:val="21"/>
                    </w:rPr>
                  </w:pPr>
                </w:p>
              </w:tc>
              <w:tc>
                <w:tcPr>
                  <w:tcW w:w="981" w:type="dxa"/>
                  <w:vMerge w:val="continue"/>
                  <w:vAlign w:val="center"/>
                </w:tcPr>
                <w:p w14:paraId="7AD625B1">
                  <w:pPr>
                    <w:pStyle w:val="70"/>
                    <w:spacing w:line="240" w:lineRule="auto"/>
                    <w:rPr>
                      <w:rFonts w:hint="eastAsia" w:ascii="Times New Roman" w:hAnsi="Times New Roman" w:eastAsia="宋体" w:cs="Times New Roman"/>
                      <w:color w:val="auto"/>
                      <w:sz w:val="21"/>
                      <w:szCs w:val="21"/>
                    </w:rPr>
                  </w:pPr>
                </w:p>
              </w:tc>
              <w:tc>
                <w:tcPr>
                  <w:tcW w:w="733" w:type="dxa"/>
                  <w:vAlign w:val="center"/>
                </w:tcPr>
                <w:p w14:paraId="3AB82E30">
                  <w:pPr>
                    <w:pStyle w:val="70"/>
                    <w:spacing w:line="240" w:lineRule="auto"/>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lang w:val="en-US" w:eastAsia="zh-CN"/>
                    </w:rPr>
                    <w:t>适应性改造</w:t>
                  </w:r>
                </w:p>
              </w:tc>
            </w:tr>
            <w:tr w14:paraId="535445F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86" w:hRule="atLeast"/>
              </w:trPr>
              <w:tc>
                <w:tcPr>
                  <w:tcW w:w="790" w:type="dxa"/>
                  <w:vMerge w:val="restart"/>
                  <w:vAlign w:val="center"/>
                </w:tcPr>
                <w:p w14:paraId="3813F049">
                  <w:pPr>
                    <w:pStyle w:val="70"/>
                    <w:spacing w:line="240" w:lineRule="auto"/>
                    <w:rPr>
                      <w:rFonts w:hint="eastAsia"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辅助工程</w:t>
                  </w:r>
                </w:p>
              </w:tc>
              <w:tc>
                <w:tcPr>
                  <w:tcW w:w="750" w:type="dxa"/>
                  <w:vAlign w:val="center"/>
                </w:tcPr>
                <w:p w14:paraId="53A7EB0E">
                  <w:pPr>
                    <w:pStyle w:val="70"/>
                    <w:spacing w:line="240" w:lineRule="auto"/>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纯水系统</w:t>
                  </w:r>
                </w:p>
              </w:tc>
              <w:tc>
                <w:tcPr>
                  <w:tcW w:w="3573" w:type="dxa"/>
                  <w:gridSpan w:val="2"/>
                  <w:vAlign w:val="center"/>
                </w:tcPr>
                <w:p w14:paraId="0398B32A">
                  <w:pPr>
                    <w:pStyle w:val="70"/>
                    <w:spacing w:line="240" w:lineRule="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电芯车间南侧设置纯水间1间，建筑面积约55m</w:t>
                  </w:r>
                  <w:r>
                    <w:rPr>
                      <w:rFonts w:hint="eastAsia" w:cs="Times New Roman"/>
                      <w:color w:val="auto"/>
                      <w:sz w:val="21"/>
                      <w:szCs w:val="21"/>
                      <w:vertAlign w:val="superscript"/>
                      <w:lang w:val="en-US" w:eastAsia="zh-CN"/>
                    </w:rPr>
                    <w:t>2</w:t>
                  </w:r>
                  <w:r>
                    <w:rPr>
                      <w:rFonts w:hint="eastAsia" w:ascii="Times New Roman" w:hAnsi="Times New Roman" w:eastAsia="宋体" w:cs="Times New Roman"/>
                      <w:color w:val="auto"/>
                      <w:sz w:val="21"/>
                      <w:szCs w:val="21"/>
                      <w:lang w:val="en-US" w:eastAsia="zh-CN"/>
                    </w:rPr>
                    <w:t>，内部配置1台产水量1t/h的纯水制备设备</w:t>
                  </w:r>
                </w:p>
              </w:tc>
              <w:tc>
                <w:tcPr>
                  <w:tcW w:w="927" w:type="dxa"/>
                  <w:vMerge w:val="continue"/>
                  <w:vAlign w:val="center"/>
                </w:tcPr>
                <w:p w14:paraId="29305F5B">
                  <w:pPr>
                    <w:pStyle w:val="70"/>
                    <w:spacing w:line="240" w:lineRule="auto"/>
                    <w:rPr>
                      <w:rFonts w:hint="eastAsia" w:ascii="Times New Roman" w:hAnsi="Times New Roman" w:eastAsia="宋体" w:cs="Times New Roman"/>
                      <w:color w:val="auto"/>
                      <w:sz w:val="21"/>
                      <w:szCs w:val="21"/>
                    </w:rPr>
                  </w:pPr>
                </w:p>
              </w:tc>
              <w:tc>
                <w:tcPr>
                  <w:tcW w:w="981" w:type="dxa"/>
                  <w:vAlign w:val="center"/>
                </w:tcPr>
                <w:p w14:paraId="7E47CE76">
                  <w:pPr>
                    <w:pStyle w:val="70"/>
                    <w:spacing w:line="240" w:lineRule="auto"/>
                    <w:rPr>
                      <w:rFonts w:hint="eastAsia"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废水、噪声、固废</w:t>
                  </w:r>
                </w:p>
              </w:tc>
              <w:tc>
                <w:tcPr>
                  <w:tcW w:w="733" w:type="dxa"/>
                  <w:vAlign w:val="center"/>
                </w:tcPr>
                <w:p w14:paraId="050290A6">
                  <w:pPr>
                    <w:pStyle w:val="70"/>
                    <w:spacing w:line="240" w:lineRule="auto"/>
                    <w:rPr>
                      <w:rFonts w:hint="eastAsia"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新建</w:t>
                  </w:r>
                </w:p>
              </w:tc>
            </w:tr>
            <w:tr w14:paraId="5765525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86" w:hRule="atLeast"/>
              </w:trPr>
              <w:tc>
                <w:tcPr>
                  <w:tcW w:w="790" w:type="dxa"/>
                  <w:vMerge w:val="continue"/>
                  <w:vAlign w:val="center"/>
                </w:tcPr>
                <w:p w14:paraId="2A30AFF7">
                  <w:pPr>
                    <w:pStyle w:val="70"/>
                    <w:spacing w:line="240" w:lineRule="auto"/>
                    <w:rPr>
                      <w:rFonts w:hint="default" w:ascii="Times New Roman" w:hAnsi="Times New Roman" w:eastAsia="宋体" w:cs="Times New Roman"/>
                      <w:color w:val="auto"/>
                      <w:sz w:val="21"/>
                      <w:szCs w:val="21"/>
                      <w:lang w:val="en-US" w:eastAsia="zh-CN"/>
                    </w:rPr>
                  </w:pPr>
                </w:p>
              </w:tc>
              <w:tc>
                <w:tcPr>
                  <w:tcW w:w="750" w:type="dxa"/>
                  <w:vAlign w:val="center"/>
                </w:tcPr>
                <w:p w14:paraId="1BD6809C">
                  <w:pPr>
                    <w:pStyle w:val="70"/>
                    <w:spacing w:line="240" w:lineRule="auto"/>
                    <w:rPr>
                      <w:rFonts w:hint="default" w:cs="Times New Roman"/>
                      <w:color w:val="auto"/>
                      <w:sz w:val="21"/>
                      <w:szCs w:val="21"/>
                      <w:lang w:val="en-US" w:eastAsia="zh-CN"/>
                    </w:rPr>
                  </w:pPr>
                  <w:r>
                    <w:rPr>
                      <w:rFonts w:hint="eastAsia" w:cs="Times New Roman"/>
                      <w:color w:val="auto"/>
                      <w:sz w:val="21"/>
                      <w:szCs w:val="21"/>
                      <w:lang w:val="en-US" w:eastAsia="zh-CN"/>
                    </w:rPr>
                    <w:t>电池拆解间</w:t>
                  </w:r>
                </w:p>
              </w:tc>
              <w:tc>
                <w:tcPr>
                  <w:tcW w:w="3573" w:type="dxa"/>
                  <w:gridSpan w:val="2"/>
                  <w:vAlign w:val="center"/>
                </w:tcPr>
                <w:p w14:paraId="5AC03A11">
                  <w:pPr>
                    <w:pStyle w:val="70"/>
                    <w:spacing w:line="240" w:lineRule="auto"/>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位于电芯车间内北侧设置一间电池拆解间，用于相应工序产品抽检，建筑面积约33m</w:t>
                  </w:r>
                  <w:r>
                    <w:rPr>
                      <w:rFonts w:hint="eastAsia" w:cs="Times New Roman"/>
                      <w:color w:val="auto"/>
                      <w:sz w:val="21"/>
                      <w:szCs w:val="21"/>
                      <w:vertAlign w:val="superscript"/>
                      <w:lang w:val="en-US" w:eastAsia="zh-CN"/>
                    </w:rPr>
                    <w:t>2</w:t>
                  </w:r>
                </w:p>
              </w:tc>
              <w:tc>
                <w:tcPr>
                  <w:tcW w:w="927" w:type="dxa"/>
                  <w:vMerge w:val="continue"/>
                  <w:vAlign w:val="center"/>
                </w:tcPr>
                <w:p w14:paraId="61FB2BDE">
                  <w:pPr>
                    <w:pStyle w:val="70"/>
                    <w:spacing w:line="240" w:lineRule="auto"/>
                    <w:rPr>
                      <w:rFonts w:hint="eastAsia" w:ascii="Times New Roman" w:hAnsi="Times New Roman" w:eastAsia="宋体" w:cs="Times New Roman"/>
                      <w:color w:val="auto"/>
                      <w:sz w:val="21"/>
                      <w:szCs w:val="21"/>
                    </w:rPr>
                  </w:pPr>
                </w:p>
              </w:tc>
              <w:tc>
                <w:tcPr>
                  <w:tcW w:w="981" w:type="dxa"/>
                  <w:vAlign w:val="center"/>
                </w:tcPr>
                <w:p w14:paraId="04D94FD7">
                  <w:pPr>
                    <w:pStyle w:val="70"/>
                    <w:spacing w:line="240" w:lineRule="auto"/>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固废、废气</w:t>
                  </w:r>
                </w:p>
              </w:tc>
              <w:tc>
                <w:tcPr>
                  <w:tcW w:w="733" w:type="dxa"/>
                  <w:vAlign w:val="center"/>
                </w:tcPr>
                <w:p w14:paraId="45CC7061">
                  <w:pPr>
                    <w:pStyle w:val="70"/>
                    <w:spacing w:line="240" w:lineRule="auto"/>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新建</w:t>
                  </w:r>
                </w:p>
              </w:tc>
            </w:tr>
            <w:tr w14:paraId="3857A0B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56" w:hRule="atLeast"/>
              </w:trPr>
              <w:tc>
                <w:tcPr>
                  <w:tcW w:w="790" w:type="dxa"/>
                  <w:vMerge w:val="continue"/>
                  <w:vAlign w:val="center"/>
                </w:tcPr>
                <w:p w14:paraId="285F0616">
                  <w:pPr>
                    <w:pStyle w:val="70"/>
                    <w:spacing w:line="240" w:lineRule="auto"/>
                    <w:rPr>
                      <w:rFonts w:hint="eastAsia" w:ascii="Times New Roman" w:hAnsi="Times New Roman" w:eastAsia="宋体" w:cs="Times New Roman"/>
                      <w:color w:val="auto"/>
                      <w:sz w:val="21"/>
                      <w:szCs w:val="21"/>
                      <w:lang w:val="en-US" w:eastAsia="zh-CN"/>
                    </w:rPr>
                  </w:pPr>
                </w:p>
              </w:tc>
              <w:tc>
                <w:tcPr>
                  <w:tcW w:w="750" w:type="dxa"/>
                  <w:vAlign w:val="center"/>
                </w:tcPr>
                <w:p w14:paraId="2C4C6526">
                  <w:pPr>
                    <w:pStyle w:val="70"/>
                    <w:spacing w:line="240" w:lineRule="auto"/>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氮气系统</w:t>
                  </w:r>
                </w:p>
              </w:tc>
              <w:tc>
                <w:tcPr>
                  <w:tcW w:w="3573" w:type="dxa"/>
                  <w:gridSpan w:val="2"/>
                  <w:vAlign w:val="center"/>
                </w:tcPr>
                <w:p w14:paraId="458DA2F1">
                  <w:pPr>
                    <w:pStyle w:val="70"/>
                    <w:spacing w:line="240" w:lineRule="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位于</w:t>
                  </w:r>
                  <w:r>
                    <w:rPr>
                      <w:rFonts w:hint="eastAsia" w:cs="Times New Roman"/>
                      <w:color w:val="auto"/>
                      <w:sz w:val="21"/>
                      <w:szCs w:val="21"/>
                      <w:lang w:val="en-US" w:eastAsia="zh-CN"/>
                    </w:rPr>
                    <w:t>电芯车间内北侧，设置空压站、制氮站，建筑面积约206m</w:t>
                  </w:r>
                  <w:r>
                    <w:rPr>
                      <w:rFonts w:hint="eastAsia" w:cs="Times New Roman"/>
                      <w:color w:val="auto"/>
                      <w:sz w:val="21"/>
                      <w:szCs w:val="21"/>
                      <w:vertAlign w:val="superscript"/>
                      <w:lang w:val="en-US" w:eastAsia="zh-CN"/>
                    </w:rPr>
                    <w:t>2</w:t>
                  </w:r>
                </w:p>
              </w:tc>
              <w:tc>
                <w:tcPr>
                  <w:tcW w:w="927" w:type="dxa"/>
                  <w:vMerge w:val="continue"/>
                  <w:vAlign w:val="center"/>
                </w:tcPr>
                <w:p w14:paraId="3735A487">
                  <w:pPr>
                    <w:pStyle w:val="70"/>
                    <w:spacing w:line="240" w:lineRule="auto"/>
                    <w:rPr>
                      <w:rFonts w:hint="eastAsia" w:ascii="Times New Roman" w:hAnsi="Times New Roman" w:eastAsia="宋体" w:cs="Times New Roman"/>
                      <w:color w:val="auto"/>
                      <w:sz w:val="21"/>
                      <w:szCs w:val="21"/>
                    </w:rPr>
                  </w:pPr>
                </w:p>
              </w:tc>
              <w:tc>
                <w:tcPr>
                  <w:tcW w:w="981" w:type="dxa"/>
                  <w:vAlign w:val="center"/>
                </w:tcPr>
                <w:p w14:paraId="0224F1A7">
                  <w:pPr>
                    <w:pStyle w:val="70"/>
                    <w:spacing w:line="240" w:lineRule="auto"/>
                    <w:rPr>
                      <w:rFonts w:hint="eastAsia"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噪声、固废</w:t>
                  </w:r>
                </w:p>
              </w:tc>
              <w:tc>
                <w:tcPr>
                  <w:tcW w:w="733" w:type="dxa"/>
                  <w:vAlign w:val="center"/>
                </w:tcPr>
                <w:p w14:paraId="2A07F880">
                  <w:pPr>
                    <w:pStyle w:val="70"/>
                    <w:spacing w:line="240" w:lineRule="auto"/>
                    <w:rPr>
                      <w:rFonts w:hint="eastAsia"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新建</w:t>
                  </w:r>
                </w:p>
              </w:tc>
            </w:tr>
            <w:tr w14:paraId="5903A52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5" w:hRule="atLeast"/>
              </w:trPr>
              <w:tc>
                <w:tcPr>
                  <w:tcW w:w="790" w:type="dxa"/>
                  <w:vMerge w:val="continue"/>
                  <w:vAlign w:val="center"/>
                </w:tcPr>
                <w:p w14:paraId="52A12763">
                  <w:pPr>
                    <w:pStyle w:val="70"/>
                    <w:spacing w:line="240" w:lineRule="auto"/>
                    <w:rPr>
                      <w:rFonts w:hint="eastAsia" w:ascii="Times New Roman" w:hAnsi="Times New Roman" w:eastAsia="宋体" w:cs="Times New Roman"/>
                      <w:color w:val="auto"/>
                      <w:sz w:val="21"/>
                      <w:szCs w:val="21"/>
                      <w:lang w:val="en-US" w:eastAsia="zh-CN"/>
                    </w:rPr>
                  </w:pPr>
                </w:p>
              </w:tc>
              <w:tc>
                <w:tcPr>
                  <w:tcW w:w="750" w:type="dxa"/>
                  <w:vAlign w:val="center"/>
                </w:tcPr>
                <w:p w14:paraId="06755098">
                  <w:pPr>
                    <w:pStyle w:val="70"/>
                    <w:spacing w:line="240" w:lineRule="auto"/>
                    <w:rPr>
                      <w:rFonts w:hint="eastAsia"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制冷</w:t>
                  </w:r>
                  <w:r>
                    <w:rPr>
                      <w:rFonts w:hint="eastAsia" w:cs="Times New Roman"/>
                      <w:color w:val="auto"/>
                      <w:sz w:val="21"/>
                      <w:szCs w:val="21"/>
                      <w:lang w:val="en-US" w:eastAsia="zh-CN"/>
                    </w:rPr>
                    <w:t>机房</w:t>
                  </w:r>
                </w:p>
              </w:tc>
              <w:tc>
                <w:tcPr>
                  <w:tcW w:w="3573" w:type="dxa"/>
                  <w:gridSpan w:val="2"/>
                  <w:vAlign w:val="center"/>
                </w:tcPr>
                <w:p w14:paraId="0090AB35">
                  <w:pPr>
                    <w:pStyle w:val="70"/>
                    <w:spacing w:line="240" w:lineRule="auto"/>
                    <w:rPr>
                      <w:rFonts w:hint="eastAsia"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位于</w:t>
                  </w:r>
                  <w:r>
                    <w:rPr>
                      <w:rFonts w:hint="eastAsia" w:cs="Times New Roman"/>
                      <w:color w:val="auto"/>
                      <w:sz w:val="21"/>
                      <w:szCs w:val="21"/>
                      <w:lang w:val="en-US" w:eastAsia="zh-CN"/>
                    </w:rPr>
                    <w:t>电芯车间东侧</w:t>
                  </w:r>
                  <w:r>
                    <w:rPr>
                      <w:rFonts w:hint="default" w:ascii="Times New Roman" w:hAnsi="Times New Roman" w:eastAsia="宋体" w:cs="Times New Roman"/>
                      <w:color w:val="auto"/>
                      <w:sz w:val="21"/>
                      <w:szCs w:val="21"/>
                      <w:lang w:val="en-US" w:eastAsia="zh-CN"/>
                    </w:rPr>
                    <w:t>，建筑面积</w:t>
                  </w:r>
                  <w:r>
                    <w:rPr>
                      <w:rFonts w:hint="eastAsia" w:cs="Times New Roman"/>
                      <w:color w:val="auto"/>
                      <w:sz w:val="21"/>
                      <w:szCs w:val="21"/>
                      <w:lang w:val="en-US" w:eastAsia="zh-CN"/>
                    </w:rPr>
                    <w:t>约300</w:t>
                  </w:r>
                  <w:r>
                    <w:rPr>
                      <w:rFonts w:hint="eastAsia" w:ascii="Times New Roman" w:hAnsi="Times New Roman" w:eastAsia="宋体" w:cs="Times New Roman"/>
                      <w:color w:val="auto"/>
                      <w:sz w:val="21"/>
                      <w:szCs w:val="21"/>
                      <w:lang w:val="en-US" w:eastAsia="zh-CN"/>
                    </w:rPr>
                    <w:t>m</w:t>
                  </w:r>
                  <w:r>
                    <w:rPr>
                      <w:rFonts w:hint="eastAsia" w:ascii="Times New Roman" w:hAnsi="Times New Roman" w:eastAsia="宋体" w:cs="Times New Roman"/>
                      <w:color w:val="auto"/>
                      <w:sz w:val="21"/>
                      <w:szCs w:val="21"/>
                      <w:vertAlign w:val="superscript"/>
                      <w:lang w:val="en-US" w:eastAsia="zh-CN"/>
                    </w:rPr>
                    <w:t>2</w:t>
                  </w:r>
                  <w:r>
                    <w:rPr>
                      <w:rFonts w:hint="default" w:ascii="Times New Roman" w:hAnsi="Times New Roman" w:eastAsia="宋体" w:cs="Times New Roman"/>
                      <w:color w:val="auto"/>
                      <w:sz w:val="21"/>
                      <w:szCs w:val="21"/>
                      <w:lang w:val="en-US" w:eastAsia="zh-CN"/>
                    </w:rPr>
                    <w:t>，设置</w:t>
                  </w:r>
                  <w:r>
                    <w:rPr>
                      <w:rFonts w:hint="eastAsia" w:cs="Times New Roman"/>
                      <w:color w:val="auto"/>
                      <w:sz w:val="21"/>
                      <w:szCs w:val="21"/>
                      <w:lang w:val="en-US" w:eastAsia="zh-CN"/>
                    </w:rPr>
                    <w:t>5套</w:t>
                  </w:r>
                  <w:r>
                    <w:rPr>
                      <w:rFonts w:hint="default" w:ascii="Times New Roman" w:hAnsi="Times New Roman" w:cs="Times New Roman"/>
                      <w:color w:val="auto"/>
                      <w:sz w:val="21"/>
                      <w:szCs w:val="21"/>
                    </w:rPr>
                    <w:t>冷水机组</w:t>
                  </w:r>
                  <w:r>
                    <w:rPr>
                      <w:rFonts w:hint="default" w:ascii="Times New Roman" w:hAnsi="Times New Roman" w:eastAsia="宋体" w:cs="Times New Roman"/>
                      <w:color w:val="auto"/>
                      <w:sz w:val="21"/>
                      <w:szCs w:val="21"/>
                      <w:lang w:val="en-US" w:eastAsia="zh-CN"/>
                    </w:rPr>
                    <w:t>，为项目提供循环冷冻水</w:t>
                  </w:r>
                </w:p>
              </w:tc>
              <w:tc>
                <w:tcPr>
                  <w:tcW w:w="927" w:type="dxa"/>
                  <w:vMerge w:val="continue"/>
                  <w:vAlign w:val="center"/>
                </w:tcPr>
                <w:p w14:paraId="4DF05AE4">
                  <w:pPr>
                    <w:pStyle w:val="70"/>
                    <w:spacing w:line="240" w:lineRule="auto"/>
                    <w:rPr>
                      <w:rFonts w:hint="eastAsia" w:ascii="Times New Roman" w:hAnsi="Times New Roman" w:eastAsia="宋体" w:cs="Times New Roman"/>
                      <w:color w:val="auto"/>
                      <w:sz w:val="21"/>
                      <w:szCs w:val="21"/>
                    </w:rPr>
                  </w:pPr>
                </w:p>
              </w:tc>
              <w:tc>
                <w:tcPr>
                  <w:tcW w:w="981" w:type="dxa"/>
                  <w:vAlign w:val="center"/>
                </w:tcPr>
                <w:p w14:paraId="7DE72E01">
                  <w:pPr>
                    <w:pStyle w:val="70"/>
                    <w:spacing w:line="240" w:lineRule="auto"/>
                    <w:rPr>
                      <w:rFonts w:hint="eastAsia"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噪声</w:t>
                  </w:r>
                </w:p>
              </w:tc>
              <w:tc>
                <w:tcPr>
                  <w:tcW w:w="733" w:type="dxa"/>
                  <w:vAlign w:val="center"/>
                </w:tcPr>
                <w:p w14:paraId="7D6C1D4D">
                  <w:pPr>
                    <w:pStyle w:val="70"/>
                    <w:spacing w:line="240" w:lineRule="auto"/>
                    <w:rPr>
                      <w:rFonts w:hint="eastAsia"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新建</w:t>
                  </w:r>
                </w:p>
              </w:tc>
            </w:tr>
            <w:tr w14:paraId="2522013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90" w:type="dxa"/>
                  <w:vMerge w:val="restart"/>
                  <w:vAlign w:val="center"/>
                </w:tcPr>
                <w:p w14:paraId="5D685C94">
                  <w:pPr>
                    <w:pStyle w:val="70"/>
                    <w:spacing w:line="240" w:lineRule="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公用工程</w:t>
                  </w:r>
                </w:p>
              </w:tc>
              <w:tc>
                <w:tcPr>
                  <w:tcW w:w="750" w:type="dxa"/>
                  <w:shd w:val="clear" w:color="auto" w:fill="auto"/>
                  <w:vAlign w:val="center"/>
                </w:tcPr>
                <w:p w14:paraId="03D8160B">
                  <w:pPr>
                    <w:pStyle w:val="70"/>
                    <w:spacing w:line="240" w:lineRule="auto"/>
                    <w:rPr>
                      <w:rFonts w:hint="eastAsia"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供水</w:t>
                  </w:r>
                </w:p>
              </w:tc>
              <w:tc>
                <w:tcPr>
                  <w:tcW w:w="3573" w:type="dxa"/>
                  <w:gridSpan w:val="2"/>
                  <w:shd w:val="clear" w:color="auto" w:fill="auto"/>
                  <w:vAlign w:val="center"/>
                </w:tcPr>
                <w:p w14:paraId="21CB051E">
                  <w:pPr>
                    <w:pStyle w:val="70"/>
                    <w:spacing w:line="240" w:lineRule="auto"/>
                    <w:rPr>
                      <w:rFonts w:hint="eastAsia"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市政给水管网供水</w:t>
                  </w:r>
                </w:p>
              </w:tc>
              <w:tc>
                <w:tcPr>
                  <w:tcW w:w="927" w:type="dxa"/>
                  <w:vMerge w:val="continue"/>
                  <w:vAlign w:val="center"/>
                </w:tcPr>
                <w:p w14:paraId="1C2024C9">
                  <w:pPr>
                    <w:pStyle w:val="70"/>
                    <w:spacing w:line="240" w:lineRule="auto"/>
                    <w:rPr>
                      <w:rFonts w:hint="eastAsia" w:ascii="Times New Roman" w:hAnsi="Times New Roman" w:eastAsia="宋体" w:cs="Times New Roman"/>
                      <w:color w:val="auto"/>
                      <w:sz w:val="21"/>
                      <w:szCs w:val="21"/>
                      <w:lang w:val="en-US" w:eastAsia="zh-CN"/>
                    </w:rPr>
                  </w:pPr>
                </w:p>
              </w:tc>
              <w:tc>
                <w:tcPr>
                  <w:tcW w:w="981" w:type="dxa"/>
                  <w:vAlign w:val="center"/>
                </w:tcPr>
                <w:p w14:paraId="6968F85C">
                  <w:pPr>
                    <w:pStyle w:val="70"/>
                    <w:spacing w:line="240" w:lineRule="auto"/>
                    <w:rPr>
                      <w:rFonts w:hint="eastAsia"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w:t>
                  </w:r>
                </w:p>
              </w:tc>
              <w:tc>
                <w:tcPr>
                  <w:tcW w:w="733" w:type="dxa"/>
                  <w:vAlign w:val="center"/>
                </w:tcPr>
                <w:p w14:paraId="0CED9A82">
                  <w:pPr>
                    <w:pStyle w:val="70"/>
                    <w:spacing w:line="240" w:lineRule="auto"/>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新建</w:t>
                  </w:r>
                </w:p>
              </w:tc>
            </w:tr>
            <w:tr w14:paraId="3B665ED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5" w:hRule="atLeast"/>
              </w:trPr>
              <w:tc>
                <w:tcPr>
                  <w:tcW w:w="790" w:type="dxa"/>
                  <w:vMerge w:val="continue"/>
                  <w:vAlign w:val="center"/>
                </w:tcPr>
                <w:p w14:paraId="7DAE74B8">
                  <w:pPr>
                    <w:pStyle w:val="70"/>
                    <w:spacing w:line="240" w:lineRule="auto"/>
                    <w:rPr>
                      <w:rFonts w:hint="eastAsia" w:ascii="Times New Roman" w:hAnsi="Times New Roman" w:eastAsia="宋体" w:cs="Times New Roman"/>
                      <w:color w:val="auto"/>
                      <w:sz w:val="21"/>
                      <w:szCs w:val="21"/>
                    </w:rPr>
                  </w:pPr>
                </w:p>
              </w:tc>
              <w:tc>
                <w:tcPr>
                  <w:tcW w:w="750" w:type="dxa"/>
                  <w:shd w:val="clear" w:color="auto" w:fill="auto"/>
                  <w:vAlign w:val="center"/>
                </w:tcPr>
                <w:p w14:paraId="5CFBD730">
                  <w:pPr>
                    <w:pStyle w:val="70"/>
                    <w:spacing w:line="240" w:lineRule="auto"/>
                    <w:rPr>
                      <w:rFonts w:hint="eastAsia"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供电</w:t>
                  </w:r>
                </w:p>
              </w:tc>
              <w:tc>
                <w:tcPr>
                  <w:tcW w:w="3573" w:type="dxa"/>
                  <w:gridSpan w:val="2"/>
                  <w:shd w:val="clear" w:color="auto" w:fill="auto"/>
                  <w:vAlign w:val="center"/>
                </w:tcPr>
                <w:p w14:paraId="474C35BE">
                  <w:pPr>
                    <w:pStyle w:val="70"/>
                    <w:spacing w:line="240" w:lineRule="auto"/>
                    <w:rPr>
                      <w:rFonts w:hint="eastAsia"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市政电网供电，2处变电所</w:t>
                  </w:r>
                  <w:r>
                    <w:rPr>
                      <w:rFonts w:hint="eastAsia" w:cs="Times New Roman"/>
                      <w:color w:val="auto"/>
                      <w:sz w:val="21"/>
                      <w:szCs w:val="21"/>
                      <w:lang w:val="en-US" w:eastAsia="zh-CN"/>
                    </w:rPr>
                    <w:t>，分别位于集成车间及电芯车间</w:t>
                  </w:r>
                </w:p>
              </w:tc>
              <w:tc>
                <w:tcPr>
                  <w:tcW w:w="927" w:type="dxa"/>
                  <w:vMerge w:val="continue"/>
                  <w:vAlign w:val="center"/>
                </w:tcPr>
                <w:p w14:paraId="75E5DF80">
                  <w:pPr>
                    <w:pStyle w:val="70"/>
                    <w:spacing w:line="240" w:lineRule="auto"/>
                    <w:rPr>
                      <w:rFonts w:hint="eastAsia" w:ascii="Times New Roman" w:hAnsi="Times New Roman" w:eastAsia="宋体" w:cs="Times New Roman"/>
                      <w:color w:val="auto"/>
                      <w:sz w:val="21"/>
                      <w:szCs w:val="21"/>
                      <w:lang w:val="en-US" w:eastAsia="zh-CN"/>
                    </w:rPr>
                  </w:pPr>
                </w:p>
              </w:tc>
              <w:tc>
                <w:tcPr>
                  <w:tcW w:w="981" w:type="dxa"/>
                  <w:vAlign w:val="center"/>
                </w:tcPr>
                <w:p w14:paraId="56D5000C">
                  <w:pPr>
                    <w:pStyle w:val="70"/>
                    <w:spacing w:line="240" w:lineRule="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噪声</w:t>
                  </w:r>
                </w:p>
              </w:tc>
              <w:tc>
                <w:tcPr>
                  <w:tcW w:w="733" w:type="dxa"/>
                  <w:vAlign w:val="center"/>
                </w:tcPr>
                <w:p w14:paraId="4F97225A">
                  <w:pPr>
                    <w:pStyle w:val="70"/>
                    <w:spacing w:line="240" w:lineRule="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新建</w:t>
                  </w:r>
                </w:p>
              </w:tc>
            </w:tr>
            <w:tr w14:paraId="5605954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5" w:hRule="atLeast"/>
              </w:trPr>
              <w:tc>
                <w:tcPr>
                  <w:tcW w:w="790" w:type="dxa"/>
                  <w:vMerge w:val="continue"/>
                  <w:vAlign w:val="center"/>
                </w:tcPr>
                <w:p w14:paraId="1FCA4A0B">
                  <w:pPr>
                    <w:pStyle w:val="70"/>
                    <w:spacing w:line="240" w:lineRule="auto"/>
                    <w:rPr>
                      <w:rFonts w:hint="eastAsia" w:ascii="Times New Roman" w:hAnsi="Times New Roman" w:eastAsia="宋体" w:cs="Times New Roman"/>
                      <w:color w:val="auto"/>
                      <w:sz w:val="21"/>
                      <w:szCs w:val="21"/>
                    </w:rPr>
                  </w:pPr>
                </w:p>
              </w:tc>
              <w:tc>
                <w:tcPr>
                  <w:tcW w:w="750" w:type="dxa"/>
                  <w:shd w:val="clear" w:color="auto" w:fill="auto"/>
                  <w:vAlign w:val="center"/>
                </w:tcPr>
                <w:p w14:paraId="523A712A">
                  <w:pPr>
                    <w:pStyle w:val="70"/>
                    <w:spacing w:line="240" w:lineRule="auto"/>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消防系统</w:t>
                  </w:r>
                </w:p>
              </w:tc>
              <w:tc>
                <w:tcPr>
                  <w:tcW w:w="3573" w:type="dxa"/>
                  <w:gridSpan w:val="2"/>
                  <w:shd w:val="clear" w:color="auto" w:fill="auto"/>
                  <w:vAlign w:val="center"/>
                </w:tcPr>
                <w:p w14:paraId="2919191B">
                  <w:pPr>
                    <w:pStyle w:val="70"/>
                    <w:spacing w:line="240" w:lineRule="auto"/>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拟</w:t>
                  </w:r>
                  <w:r>
                    <w:rPr>
                      <w:rFonts w:hint="default" w:ascii="Times New Roman" w:hAnsi="Times New Roman" w:eastAsia="宋体" w:cs="Times New Roman"/>
                      <w:color w:val="auto"/>
                      <w:sz w:val="21"/>
                      <w:szCs w:val="21"/>
                      <w:lang w:val="en-US" w:eastAsia="zh-CN"/>
                    </w:rPr>
                    <w:t>在</w:t>
                  </w:r>
                  <w:r>
                    <w:rPr>
                      <w:rFonts w:hint="eastAsia" w:cs="Times New Roman"/>
                      <w:color w:val="auto"/>
                      <w:sz w:val="21"/>
                      <w:szCs w:val="21"/>
                      <w:lang w:val="en-US" w:eastAsia="zh-CN"/>
                    </w:rPr>
                    <w:t>电芯车间东</w:t>
                  </w:r>
                  <w:r>
                    <w:rPr>
                      <w:rFonts w:hint="default" w:ascii="Times New Roman" w:hAnsi="Times New Roman" w:eastAsia="宋体" w:cs="Times New Roman"/>
                      <w:color w:val="auto"/>
                      <w:sz w:val="21"/>
                      <w:szCs w:val="21"/>
                      <w:lang w:val="en-US" w:eastAsia="zh-CN"/>
                    </w:rPr>
                    <w:t>侧新建1座消防水泵房，建筑面积</w:t>
                  </w:r>
                  <w:r>
                    <w:rPr>
                      <w:rFonts w:hint="eastAsia" w:cs="Times New Roman"/>
                      <w:color w:val="auto"/>
                      <w:sz w:val="21"/>
                      <w:szCs w:val="21"/>
                      <w:lang w:val="en-US" w:eastAsia="zh-CN"/>
                    </w:rPr>
                    <w:t>223.98</w:t>
                  </w:r>
                  <w:r>
                    <w:rPr>
                      <w:rFonts w:hint="eastAsia" w:ascii="Times New Roman" w:hAnsi="Times New Roman" w:eastAsia="宋体" w:cs="Times New Roman"/>
                      <w:color w:val="auto"/>
                      <w:sz w:val="21"/>
                      <w:szCs w:val="21"/>
                      <w:lang w:val="en-US" w:eastAsia="zh-CN"/>
                    </w:rPr>
                    <w:t>m</w:t>
                  </w:r>
                  <w:r>
                    <w:rPr>
                      <w:rFonts w:hint="eastAsia" w:ascii="Times New Roman" w:hAnsi="Times New Roman" w:eastAsia="宋体" w:cs="Times New Roman"/>
                      <w:color w:val="auto"/>
                      <w:sz w:val="21"/>
                      <w:szCs w:val="21"/>
                      <w:vertAlign w:val="superscript"/>
                      <w:lang w:val="en-US" w:eastAsia="zh-CN"/>
                    </w:rPr>
                    <w:t>2</w:t>
                  </w:r>
                  <w:r>
                    <w:rPr>
                      <w:rFonts w:hint="default" w:ascii="Times New Roman" w:hAnsi="Times New Roman" w:eastAsia="宋体" w:cs="Times New Roman"/>
                      <w:color w:val="auto"/>
                      <w:sz w:val="21"/>
                      <w:szCs w:val="21"/>
                      <w:lang w:val="en-US" w:eastAsia="zh-CN"/>
                    </w:rPr>
                    <w:t>，水泵房</w:t>
                  </w:r>
                  <w:r>
                    <w:rPr>
                      <w:rFonts w:hint="eastAsia" w:cs="Times New Roman"/>
                      <w:color w:val="auto"/>
                      <w:sz w:val="21"/>
                      <w:szCs w:val="21"/>
                      <w:lang w:val="en-US" w:eastAsia="zh-CN"/>
                    </w:rPr>
                    <w:t>东侧</w:t>
                  </w:r>
                  <w:r>
                    <w:rPr>
                      <w:rFonts w:hint="default" w:ascii="Times New Roman" w:hAnsi="Times New Roman" w:eastAsia="宋体" w:cs="Times New Roman"/>
                      <w:color w:val="auto"/>
                      <w:sz w:val="21"/>
                      <w:szCs w:val="21"/>
                      <w:lang w:val="en-US" w:eastAsia="zh-CN"/>
                    </w:rPr>
                    <w:t>建设</w:t>
                  </w:r>
                  <w:r>
                    <w:rPr>
                      <w:rFonts w:hint="eastAsia" w:cs="Times New Roman"/>
                      <w:color w:val="auto"/>
                      <w:sz w:val="21"/>
                      <w:szCs w:val="21"/>
                      <w:lang w:val="en-US" w:eastAsia="zh-CN"/>
                    </w:rPr>
                    <w:t>2</w:t>
                  </w:r>
                  <w:r>
                    <w:rPr>
                      <w:rFonts w:hint="default" w:ascii="Times New Roman" w:hAnsi="Times New Roman" w:eastAsia="宋体" w:cs="Times New Roman"/>
                      <w:color w:val="auto"/>
                      <w:sz w:val="21"/>
                      <w:szCs w:val="21"/>
                      <w:lang w:val="en-US" w:eastAsia="zh-CN"/>
                    </w:rPr>
                    <w:t>座</w:t>
                  </w:r>
                  <w:r>
                    <w:rPr>
                      <w:rFonts w:hint="eastAsia" w:cs="Times New Roman"/>
                      <w:color w:val="auto"/>
                      <w:sz w:val="21"/>
                      <w:szCs w:val="21"/>
                      <w:lang w:val="en-US" w:eastAsia="zh-CN"/>
                    </w:rPr>
                    <w:t>消防水池，总容积为1512m</w:t>
                  </w:r>
                  <w:r>
                    <w:rPr>
                      <w:rFonts w:hint="eastAsia" w:cs="Times New Roman"/>
                      <w:color w:val="auto"/>
                      <w:sz w:val="21"/>
                      <w:szCs w:val="21"/>
                      <w:vertAlign w:val="superscript"/>
                      <w:lang w:val="en-US" w:eastAsia="zh-CN"/>
                    </w:rPr>
                    <w:t>3</w:t>
                  </w:r>
                  <w:r>
                    <w:rPr>
                      <w:rFonts w:hint="default" w:ascii="Times New Roman" w:hAnsi="Times New Roman" w:eastAsia="宋体" w:cs="Times New Roman"/>
                      <w:color w:val="auto"/>
                      <w:sz w:val="21"/>
                      <w:szCs w:val="21"/>
                      <w:lang w:val="en-US" w:eastAsia="zh-CN"/>
                    </w:rPr>
                    <w:t>。</w:t>
                  </w:r>
                </w:p>
              </w:tc>
              <w:tc>
                <w:tcPr>
                  <w:tcW w:w="927" w:type="dxa"/>
                  <w:vMerge w:val="continue"/>
                  <w:vAlign w:val="center"/>
                </w:tcPr>
                <w:p w14:paraId="2006ABFF">
                  <w:pPr>
                    <w:pStyle w:val="70"/>
                    <w:spacing w:line="240" w:lineRule="auto"/>
                    <w:rPr>
                      <w:rFonts w:hint="eastAsia" w:ascii="Times New Roman" w:hAnsi="Times New Roman" w:eastAsia="宋体" w:cs="Times New Roman"/>
                      <w:color w:val="auto"/>
                      <w:sz w:val="21"/>
                      <w:szCs w:val="21"/>
                    </w:rPr>
                  </w:pPr>
                </w:p>
              </w:tc>
              <w:tc>
                <w:tcPr>
                  <w:tcW w:w="981" w:type="dxa"/>
                  <w:shd w:val="clear" w:color="auto" w:fill="auto"/>
                  <w:vAlign w:val="center"/>
                </w:tcPr>
                <w:p w14:paraId="01A7CFD8">
                  <w:pPr>
                    <w:pStyle w:val="70"/>
                    <w:spacing w:line="240" w:lineRule="auto"/>
                    <w:rPr>
                      <w:rFonts w:hint="eastAsia"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w:t>
                  </w:r>
                </w:p>
              </w:tc>
              <w:tc>
                <w:tcPr>
                  <w:tcW w:w="733" w:type="dxa"/>
                  <w:shd w:val="clear" w:color="auto" w:fill="auto"/>
                  <w:vAlign w:val="center"/>
                </w:tcPr>
                <w:p w14:paraId="457B39C3">
                  <w:pPr>
                    <w:pStyle w:val="70"/>
                    <w:spacing w:line="240" w:lineRule="auto"/>
                    <w:rPr>
                      <w:rFonts w:hint="eastAsia"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新建</w:t>
                  </w:r>
                </w:p>
              </w:tc>
            </w:tr>
            <w:tr w14:paraId="094C532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90" w:type="dxa"/>
                  <w:vMerge w:val="continue"/>
                  <w:vAlign w:val="center"/>
                </w:tcPr>
                <w:p w14:paraId="00E11562">
                  <w:pPr>
                    <w:pStyle w:val="70"/>
                    <w:spacing w:line="240" w:lineRule="auto"/>
                    <w:rPr>
                      <w:rFonts w:hint="eastAsia" w:ascii="Times New Roman" w:hAnsi="Times New Roman" w:eastAsia="宋体" w:cs="Times New Roman"/>
                      <w:color w:val="auto"/>
                      <w:sz w:val="21"/>
                      <w:szCs w:val="21"/>
                    </w:rPr>
                  </w:pPr>
                </w:p>
              </w:tc>
              <w:tc>
                <w:tcPr>
                  <w:tcW w:w="750" w:type="dxa"/>
                  <w:shd w:val="clear" w:color="auto" w:fill="auto"/>
                  <w:vAlign w:val="center"/>
                </w:tcPr>
                <w:p w14:paraId="44F45DE7">
                  <w:pPr>
                    <w:pStyle w:val="70"/>
                    <w:spacing w:line="240" w:lineRule="auto"/>
                    <w:rPr>
                      <w:rFonts w:hint="eastAsia"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排水系统</w:t>
                  </w:r>
                </w:p>
              </w:tc>
              <w:tc>
                <w:tcPr>
                  <w:tcW w:w="3573" w:type="dxa"/>
                  <w:gridSpan w:val="2"/>
                  <w:shd w:val="clear" w:color="auto" w:fill="auto"/>
                  <w:vAlign w:val="center"/>
                </w:tcPr>
                <w:p w14:paraId="66984782">
                  <w:pPr>
                    <w:pStyle w:val="70"/>
                    <w:spacing w:line="240" w:lineRule="auto"/>
                    <w:rPr>
                      <w:rFonts w:hint="eastAsia"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本项目所在厂区实行雨污分流制度。其中雨水汇入雨水管网系统直接排入市政雨水管网；办公生活污水</w:t>
                  </w:r>
                  <w:r>
                    <w:rPr>
                      <w:rFonts w:hint="eastAsia" w:cs="Times New Roman"/>
                      <w:color w:val="auto"/>
                      <w:sz w:val="21"/>
                      <w:szCs w:val="21"/>
                      <w:lang w:val="en-US" w:eastAsia="zh-CN"/>
                    </w:rPr>
                    <w:t>、纯水制备浓水</w:t>
                  </w:r>
                  <w:r>
                    <w:rPr>
                      <w:rFonts w:hint="default" w:ascii="Times New Roman" w:hAnsi="Times New Roman" w:eastAsia="宋体" w:cs="Times New Roman"/>
                      <w:color w:val="auto"/>
                      <w:sz w:val="21"/>
                      <w:szCs w:val="21"/>
                      <w:lang w:val="en-US" w:eastAsia="zh-CN"/>
                    </w:rPr>
                    <w:t>、生产废水经处理后排入市政园区污水管网。</w:t>
                  </w:r>
                </w:p>
              </w:tc>
              <w:tc>
                <w:tcPr>
                  <w:tcW w:w="927" w:type="dxa"/>
                  <w:vMerge w:val="continue"/>
                  <w:vAlign w:val="center"/>
                </w:tcPr>
                <w:p w14:paraId="3FC73AF6">
                  <w:pPr>
                    <w:pStyle w:val="70"/>
                    <w:spacing w:line="240" w:lineRule="auto"/>
                    <w:rPr>
                      <w:rFonts w:hint="eastAsia" w:ascii="Times New Roman" w:hAnsi="Times New Roman" w:eastAsia="宋体" w:cs="Times New Roman"/>
                      <w:color w:val="auto"/>
                      <w:sz w:val="21"/>
                      <w:szCs w:val="21"/>
                    </w:rPr>
                  </w:pPr>
                </w:p>
              </w:tc>
              <w:tc>
                <w:tcPr>
                  <w:tcW w:w="981" w:type="dxa"/>
                  <w:shd w:val="clear" w:color="auto" w:fill="auto"/>
                  <w:vAlign w:val="center"/>
                </w:tcPr>
                <w:p w14:paraId="5A827F6E">
                  <w:pPr>
                    <w:pStyle w:val="70"/>
                    <w:spacing w:line="240" w:lineRule="auto"/>
                    <w:rPr>
                      <w:rFonts w:hint="eastAsia"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噪声</w:t>
                  </w:r>
                </w:p>
              </w:tc>
              <w:tc>
                <w:tcPr>
                  <w:tcW w:w="733" w:type="dxa"/>
                  <w:shd w:val="clear" w:color="auto" w:fill="auto"/>
                  <w:vAlign w:val="center"/>
                </w:tcPr>
                <w:p w14:paraId="69880E53">
                  <w:pPr>
                    <w:pStyle w:val="70"/>
                    <w:spacing w:line="240" w:lineRule="auto"/>
                    <w:rPr>
                      <w:rFonts w:hint="eastAsia"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新建</w:t>
                  </w:r>
                </w:p>
              </w:tc>
            </w:tr>
            <w:tr w14:paraId="04B0F0E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5" w:hRule="atLeast"/>
              </w:trPr>
              <w:tc>
                <w:tcPr>
                  <w:tcW w:w="790" w:type="dxa"/>
                  <w:vMerge w:val="continue"/>
                  <w:vAlign w:val="center"/>
                </w:tcPr>
                <w:p w14:paraId="69FDB594">
                  <w:pPr>
                    <w:pStyle w:val="70"/>
                    <w:spacing w:line="240" w:lineRule="auto"/>
                    <w:rPr>
                      <w:rFonts w:hint="eastAsia" w:ascii="Times New Roman" w:hAnsi="Times New Roman" w:eastAsia="宋体" w:cs="Times New Roman"/>
                      <w:color w:val="auto"/>
                      <w:sz w:val="21"/>
                      <w:szCs w:val="21"/>
                    </w:rPr>
                  </w:pPr>
                </w:p>
              </w:tc>
              <w:tc>
                <w:tcPr>
                  <w:tcW w:w="750" w:type="dxa"/>
                  <w:shd w:val="clear" w:color="auto" w:fill="auto"/>
                  <w:vAlign w:val="center"/>
                </w:tcPr>
                <w:p w14:paraId="3BE36D26">
                  <w:pPr>
                    <w:pStyle w:val="70"/>
                    <w:spacing w:line="240" w:lineRule="auto"/>
                    <w:rPr>
                      <w:rFonts w:hint="eastAsia"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维修间</w:t>
                  </w:r>
                </w:p>
              </w:tc>
              <w:tc>
                <w:tcPr>
                  <w:tcW w:w="3573" w:type="dxa"/>
                  <w:gridSpan w:val="2"/>
                  <w:shd w:val="clear" w:color="auto" w:fill="auto"/>
                  <w:vAlign w:val="center"/>
                </w:tcPr>
                <w:p w14:paraId="40610A3F">
                  <w:pPr>
                    <w:pStyle w:val="70"/>
                    <w:spacing w:line="240" w:lineRule="auto"/>
                    <w:rPr>
                      <w:rFonts w:hint="eastAsia"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位于</w:t>
                  </w:r>
                  <w:r>
                    <w:rPr>
                      <w:rFonts w:hint="eastAsia" w:cs="Times New Roman"/>
                      <w:color w:val="auto"/>
                      <w:sz w:val="21"/>
                      <w:szCs w:val="21"/>
                      <w:lang w:val="en-US" w:eastAsia="zh-CN"/>
                    </w:rPr>
                    <w:t>电芯车间东</w:t>
                  </w:r>
                  <w:r>
                    <w:rPr>
                      <w:rFonts w:hint="default" w:ascii="Times New Roman" w:hAnsi="Times New Roman" w:eastAsia="宋体" w:cs="Times New Roman"/>
                      <w:color w:val="auto"/>
                      <w:sz w:val="21"/>
                      <w:szCs w:val="21"/>
                      <w:lang w:val="en-US" w:eastAsia="zh-CN"/>
                    </w:rPr>
                    <w:t>侧，主要为工艺设备维修。</w:t>
                  </w:r>
                </w:p>
              </w:tc>
              <w:tc>
                <w:tcPr>
                  <w:tcW w:w="927" w:type="dxa"/>
                  <w:vMerge w:val="continue"/>
                  <w:vAlign w:val="center"/>
                </w:tcPr>
                <w:p w14:paraId="39D67563">
                  <w:pPr>
                    <w:pStyle w:val="70"/>
                    <w:spacing w:line="240" w:lineRule="auto"/>
                    <w:rPr>
                      <w:rFonts w:hint="eastAsia" w:ascii="Times New Roman" w:hAnsi="Times New Roman" w:eastAsia="宋体" w:cs="Times New Roman"/>
                      <w:color w:val="auto"/>
                      <w:sz w:val="21"/>
                      <w:szCs w:val="21"/>
                    </w:rPr>
                  </w:pPr>
                </w:p>
              </w:tc>
              <w:tc>
                <w:tcPr>
                  <w:tcW w:w="981" w:type="dxa"/>
                  <w:shd w:val="clear" w:color="auto" w:fill="auto"/>
                  <w:vAlign w:val="center"/>
                </w:tcPr>
                <w:p w14:paraId="2B6C0A2F">
                  <w:pPr>
                    <w:pStyle w:val="70"/>
                    <w:spacing w:line="240" w:lineRule="auto"/>
                    <w:rPr>
                      <w:rFonts w:hint="eastAsia"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噪声、废水</w:t>
                  </w:r>
                </w:p>
              </w:tc>
              <w:tc>
                <w:tcPr>
                  <w:tcW w:w="733" w:type="dxa"/>
                  <w:shd w:val="clear" w:color="auto" w:fill="auto"/>
                  <w:vAlign w:val="center"/>
                </w:tcPr>
                <w:p w14:paraId="1DA10367">
                  <w:pPr>
                    <w:pStyle w:val="70"/>
                    <w:spacing w:line="240" w:lineRule="auto"/>
                    <w:rPr>
                      <w:rFonts w:hint="eastAsia"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新建</w:t>
                  </w:r>
                </w:p>
              </w:tc>
            </w:tr>
            <w:tr w14:paraId="2DDA295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5" w:hRule="atLeast"/>
              </w:trPr>
              <w:tc>
                <w:tcPr>
                  <w:tcW w:w="790" w:type="dxa"/>
                  <w:vAlign w:val="center"/>
                </w:tcPr>
                <w:p w14:paraId="086A6738">
                  <w:pPr>
                    <w:pStyle w:val="70"/>
                    <w:spacing w:line="240" w:lineRule="auto"/>
                    <w:rPr>
                      <w:rFonts w:hint="eastAsia"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办公生活设施</w:t>
                  </w:r>
                </w:p>
              </w:tc>
              <w:tc>
                <w:tcPr>
                  <w:tcW w:w="750" w:type="dxa"/>
                  <w:shd w:val="clear" w:color="auto" w:fill="auto"/>
                  <w:vAlign w:val="center"/>
                </w:tcPr>
                <w:p w14:paraId="4104CDA4">
                  <w:pPr>
                    <w:pStyle w:val="70"/>
                    <w:spacing w:line="240" w:lineRule="auto"/>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门卫室</w:t>
                  </w:r>
                </w:p>
              </w:tc>
              <w:tc>
                <w:tcPr>
                  <w:tcW w:w="3573" w:type="dxa"/>
                  <w:gridSpan w:val="2"/>
                  <w:shd w:val="clear" w:color="auto" w:fill="auto"/>
                  <w:vAlign w:val="center"/>
                </w:tcPr>
                <w:p w14:paraId="06AA6AF3">
                  <w:pPr>
                    <w:pStyle w:val="70"/>
                    <w:spacing w:line="240" w:lineRule="auto"/>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1个，建筑面积为60.46m</w:t>
                  </w:r>
                  <w:r>
                    <w:rPr>
                      <w:rFonts w:hint="eastAsia" w:cs="Times New Roman"/>
                      <w:color w:val="auto"/>
                      <w:sz w:val="21"/>
                      <w:szCs w:val="21"/>
                      <w:vertAlign w:val="superscript"/>
                      <w:lang w:val="en-US" w:eastAsia="zh-CN"/>
                    </w:rPr>
                    <w:t>2</w:t>
                  </w:r>
                  <w:r>
                    <w:rPr>
                      <w:rFonts w:hint="eastAsia" w:cs="Times New Roman"/>
                      <w:color w:val="auto"/>
                      <w:sz w:val="21"/>
                      <w:szCs w:val="21"/>
                      <w:lang w:val="en-US" w:eastAsia="zh-CN"/>
                    </w:rPr>
                    <w:t>，位于厂区西侧</w:t>
                  </w:r>
                </w:p>
              </w:tc>
              <w:tc>
                <w:tcPr>
                  <w:tcW w:w="927" w:type="dxa"/>
                  <w:vMerge w:val="continue"/>
                  <w:vAlign w:val="center"/>
                </w:tcPr>
                <w:p w14:paraId="49FB394B">
                  <w:pPr>
                    <w:pStyle w:val="70"/>
                    <w:spacing w:line="240" w:lineRule="auto"/>
                    <w:rPr>
                      <w:rFonts w:hint="eastAsia" w:ascii="Times New Roman" w:hAnsi="Times New Roman" w:eastAsia="宋体" w:cs="Times New Roman"/>
                      <w:color w:val="auto"/>
                      <w:sz w:val="21"/>
                      <w:szCs w:val="21"/>
                    </w:rPr>
                  </w:pPr>
                </w:p>
              </w:tc>
              <w:tc>
                <w:tcPr>
                  <w:tcW w:w="981" w:type="dxa"/>
                  <w:shd w:val="clear" w:color="auto" w:fill="auto"/>
                  <w:vAlign w:val="center"/>
                </w:tcPr>
                <w:p w14:paraId="1BDBF695">
                  <w:pPr>
                    <w:pStyle w:val="70"/>
                    <w:spacing w:line="240" w:lineRule="auto"/>
                    <w:rPr>
                      <w:rFonts w:hint="eastAsia"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生活垃圾、生活污水</w:t>
                  </w:r>
                </w:p>
              </w:tc>
              <w:tc>
                <w:tcPr>
                  <w:tcW w:w="733" w:type="dxa"/>
                  <w:shd w:val="clear" w:color="auto" w:fill="auto"/>
                  <w:vAlign w:val="center"/>
                </w:tcPr>
                <w:p w14:paraId="2DFFFE96">
                  <w:pPr>
                    <w:pStyle w:val="70"/>
                    <w:spacing w:line="240" w:lineRule="auto"/>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新建</w:t>
                  </w:r>
                </w:p>
              </w:tc>
            </w:tr>
            <w:tr w14:paraId="18B8779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5" w:hRule="atLeast"/>
              </w:trPr>
              <w:tc>
                <w:tcPr>
                  <w:tcW w:w="790" w:type="dxa"/>
                  <w:vMerge w:val="restart"/>
                  <w:vAlign w:val="center"/>
                </w:tcPr>
                <w:p w14:paraId="667FA33F">
                  <w:pPr>
                    <w:pStyle w:val="70"/>
                    <w:spacing w:line="240" w:lineRule="auto"/>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仓储工程</w:t>
                  </w:r>
                </w:p>
              </w:tc>
              <w:tc>
                <w:tcPr>
                  <w:tcW w:w="750" w:type="dxa"/>
                  <w:shd w:val="clear" w:color="auto" w:fill="auto"/>
                  <w:vAlign w:val="center"/>
                </w:tcPr>
                <w:p w14:paraId="404F1507">
                  <w:pPr>
                    <w:pStyle w:val="70"/>
                    <w:spacing w:line="240" w:lineRule="auto"/>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原材料库房</w:t>
                  </w:r>
                </w:p>
              </w:tc>
              <w:tc>
                <w:tcPr>
                  <w:tcW w:w="3573" w:type="dxa"/>
                  <w:gridSpan w:val="2"/>
                  <w:shd w:val="clear" w:color="auto" w:fill="auto"/>
                  <w:vAlign w:val="center"/>
                </w:tcPr>
                <w:p w14:paraId="312A2750">
                  <w:pPr>
                    <w:pStyle w:val="70"/>
                    <w:spacing w:line="240" w:lineRule="auto"/>
                    <w:rPr>
                      <w:rFonts w:hint="eastAsia"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在</w:t>
                  </w:r>
                  <w:r>
                    <w:rPr>
                      <w:rFonts w:hint="eastAsia" w:cs="Times New Roman"/>
                      <w:color w:val="auto"/>
                      <w:sz w:val="21"/>
                      <w:szCs w:val="21"/>
                      <w:lang w:val="en-US" w:eastAsia="zh-CN"/>
                    </w:rPr>
                    <w:t>电芯</w:t>
                  </w:r>
                  <w:r>
                    <w:rPr>
                      <w:rFonts w:hint="default" w:ascii="Times New Roman" w:hAnsi="Times New Roman" w:eastAsia="宋体" w:cs="Times New Roman"/>
                      <w:color w:val="auto"/>
                      <w:sz w:val="21"/>
                      <w:szCs w:val="21"/>
                      <w:lang w:val="en-US" w:eastAsia="zh-CN"/>
                    </w:rPr>
                    <w:t>车间内</w:t>
                  </w:r>
                  <w:r>
                    <w:rPr>
                      <w:rFonts w:hint="eastAsia" w:cs="Times New Roman"/>
                      <w:color w:val="auto"/>
                      <w:sz w:val="21"/>
                      <w:szCs w:val="21"/>
                      <w:lang w:val="en-US" w:eastAsia="zh-CN"/>
                    </w:rPr>
                    <w:t>西</w:t>
                  </w:r>
                  <w:r>
                    <w:rPr>
                      <w:rFonts w:hint="default" w:ascii="Times New Roman" w:hAnsi="Times New Roman" w:eastAsia="宋体" w:cs="Times New Roman"/>
                      <w:color w:val="auto"/>
                      <w:sz w:val="21"/>
                      <w:szCs w:val="21"/>
                      <w:lang w:val="en-US" w:eastAsia="zh-CN"/>
                    </w:rPr>
                    <w:t>侧设置1间原</w:t>
                  </w:r>
                  <w:r>
                    <w:rPr>
                      <w:rFonts w:hint="eastAsia" w:cs="Times New Roman"/>
                      <w:color w:val="auto"/>
                      <w:sz w:val="21"/>
                      <w:szCs w:val="21"/>
                      <w:lang w:val="en-US" w:eastAsia="zh-CN"/>
                    </w:rPr>
                    <w:t>材</w:t>
                  </w:r>
                  <w:r>
                    <w:rPr>
                      <w:rFonts w:hint="default" w:ascii="Times New Roman" w:hAnsi="Times New Roman" w:eastAsia="宋体" w:cs="Times New Roman"/>
                      <w:color w:val="auto"/>
                      <w:sz w:val="21"/>
                      <w:szCs w:val="21"/>
                      <w:lang w:val="en-US" w:eastAsia="zh-CN"/>
                    </w:rPr>
                    <w:t>料库房，建筑面积约</w:t>
                  </w:r>
                  <w:r>
                    <w:rPr>
                      <w:rFonts w:hint="eastAsia" w:cs="Times New Roman"/>
                      <w:color w:val="auto"/>
                      <w:sz w:val="21"/>
                      <w:szCs w:val="21"/>
                      <w:lang w:val="en-US" w:eastAsia="zh-CN"/>
                    </w:rPr>
                    <w:t>1100</w:t>
                  </w:r>
                  <w:r>
                    <w:rPr>
                      <w:rFonts w:hint="eastAsia" w:ascii="Times New Roman" w:hAnsi="Times New Roman" w:eastAsia="宋体" w:cs="Times New Roman"/>
                      <w:color w:val="auto"/>
                      <w:sz w:val="21"/>
                      <w:szCs w:val="21"/>
                      <w:lang w:val="en-US" w:eastAsia="zh-CN"/>
                    </w:rPr>
                    <w:t>m</w:t>
                  </w:r>
                  <w:r>
                    <w:rPr>
                      <w:rFonts w:hint="eastAsia" w:ascii="Times New Roman" w:hAnsi="Times New Roman" w:eastAsia="宋体" w:cs="Times New Roman"/>
                      <w:color w:val="auto"/>
                      <w:sz w:val="21"/>
                      <w:szCs w:val="21"/>
                      <w:vertAlign w:val="superscript"/>
                      <w:lang w:val="en-US" w:eastAsia="zh-CN"/>
                    </w:rPr>
                    <w:t>2</w:t>
                  </w:r>
                  <w:r>
                    <w:rPr>
                      <w:rFonts w:hint="default" w:ascii="Times New Roman" w:hAnsi="Times New Roman" w:eastAsia="宋体" w:cs="Times New Roman"/>
                      <w:color w:val="auto"/>
                      <w:sz w:val="21"/>
                      <w:szCs w:val="21"/>
                      <w:lang w:val="en-US" w:eastAsia="zh-CN"/>
                    </w:rPr>
                    <w:t>，</w:t>
                  </w:r>
                  <w:r>
                    <w:rPr>
                      <w:rFonts w:hint="eastAsia" w:cs="Times New Roman"/>
                      <w:color w:val="auto"/>
                      <w:sz w:val="21"/>
                      <w:szCs w:val="21"/>
                      <w:lang w:val="en-US" w:eastAsia="zh-CN"/>
                    </w:rPr>
                    <w:t>主要用于</w:t>
                  </w:r>
                  <w:r>
                    <w:rPr>
                      <w:rFonts w:hint="default" w:ascii="Times New Roman" w:hAnsi="Times New Roman" w:eastAsia="宋体" w:cs="Times New Roman"/>
                      <w:color w:val="auto"/>
                      <w:sz w:val="21"/>
                      <w:szCs w:val="21"/>
                      <w:lang w:val="en-US" w:eastAsia="zh-CN"/>
                    </w:rPr>
                    <w:t>储存</w:t>
                  </w:r>
                  <w:r>
                    <w:rPr>
                      <w:rFonts w:hint="eastAsia" w:cs="Times New Roman"/>
                      <w:color w:val="auto"/>
                      <w:sz w:val="21"/>
                      <w:szCs w:val="21"/>
                      <w:lang w:val="en-US" w:eastAsia="zh-CN"/>
                    </w:rPr>
                    <w:t>电池生产线的</w:t>
                  </w:r>
                  <w:r>
                    <w:rPr>
                      <w:rFonts w:hint="default" w:ascii="Times New Roman" w:hAnsi="Times New Roman" w:eastAsia="宋体" w:cs="Times New Roman"/>
                      <w:color w:val="auto"/>
                      <w:sz w:val="21"/>
                      <w:szCs w:val="21"/>
                      <w:lang w:val="en-US" w:eastAsia="zh-CN"/>
                    </w:rPr>
                    <w:t>原辅材料</w:t>
                  </w:r>
                </w:p>
              </w:tc>
              <w:tc>
                <w:tcPr>
                  <w:tcW w:w="927" w:type="dxa"/>
                  <w:vMerge w:val="continue"/>
                  <w:vAlign w:val="center"/>
                </w:tcPr>
                <w:p w14:paraId="26AA273B">
                  <w:pPr>
                    <w:pStyle w:val="70"/>
                    <w:spacing w:line="240" w:lineRule="auto"/>
                    <w:rPr>
                      <w:rFonts w:hint="eastAsia" w:ascii="Times New Roman" w:hAnsi="Times New Roman" w:eastAsia="宋体" w:cs="Times New Roman"/>
                      <w:color w:val="auto"/>
                      <w:sz w:val="21"/>
                      <w:szCs w:val="21"/>
                    </w:rPr>
                  </w:pPr>
                </w:p>
              </w:tc>
              <w:tc>
                <w:tcPr>
                  <w:tcW w:w="981" w:type="dxa"/>
                  <w:shd w:val="clear" w:color="auto" w:fill="auto"/>
                  <w:vAlign w:val="center"/>
                </w:tcPr>
                <w:p w14:paraId="475820E7">
                  <w:pPr>
                    <w:pStyle w:val="70"/>
                    <w:spacing w:line="240" w:lineRule="auto"/>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w:t>
                  </w:r>
                </w:p>
              </w:tc>
              <w:tc>
                <w:tcPr>
                  <w:tcW w:w="733" w:type="dxa"/>
                  <w:shd w:val="clear" w:color="auto" w:fill="auto"/>
                  <w:vAlign w:val="center"/>
                </w:tcPr>
                <w:p w14:paraId="3C95A308">
                  <w:pPr>
                    <w:pStyle w:val="70"/>
                    <w:spacing w:line="240" w:lineRule="auto"/>
                    <w:rPr>
                      <w:rFonts w:hint="eastAsia"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新建</w:t>
                  </w:r>
                </w:p>
              </w:tc>
            </w:tr>
            <w:tr w14:paraId="1B1BCA8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5" w:hRule="atLeast"/>
              </w:trPr>
              <w:tc>
                <w:tcPr>
                  <w:tcW w:w="790" w:type="dxa"/>
                  <w:vMerge w:val="continue"/>
                  <w:vAlign w:val="center"/>
                </w:tcPr>
                <w:p w14:paraId="1E54B5BF">
                  <w:pPr>
                    <w:pStyle w:val="70"/>
                    <w:spacing w:line="240" w:lineRule="auto"/>
                    <w:rPr>
                      <w:rFonts w:hint="eastAsia" w:ascii="Times New Roman" w:hAnsi="Times New Roman" w:eastAsia="宋体" w:cs="Times New Roman"/>
                      <w:color w:val="auto"/>
                      <w:sz w:val="21"/>
                      <w:szCs w:val="21"/>
                      <w:lang w:val="en-US" w:eastAsia="zh-CN"/>
                    </w:rPr>
                  </w:pPr>
                </w:p>
              </w:tc>
              <w:tc>
                <w:tcPr>
                  <w:tcW w:w="750" w:type="dxa"/>
                  <w:shd w:val="clear" w:color="auto" w:fill="auto"/>
                  <w:vAlign w:val="center"/>
                </w:tcPr>
                <w:p w14:paraId="1224306B">
                  <w:pPr>
                    <w:pStyle w:val="70"/>
                    <w:spacing w:line="240" w:lineRule="auto"/>
                    <w:rPr>
                      <w:rFonts w:hint="default" w:cs="Times New Roman"/>
                      <w:color w:val="auto"/>
                      <w:sz w:val="21"/>
                      <w:szCs w:val="21"/>
                      <w:lang w:val="en-US" w:eastAsia="zh-CN"/>
                    </w:rPr>
                  </w:pPr>
                  <w:r>
                    <w:rPr>
                      <w:rFonts w:hint="eastAsia" w:cs="Times New Roman"/>
                      <w:color w:val="auto"/>
                      <w:sz w:val="21"/>
                      <w:szCs w:val="21"/>
                      <w:lang w:val="en-US" w:eastAsia="zh-CN"/>
                    </w:rPr>
                    <w:t>NMP暂存间</w:t>
                  </w:r>
                </w:p>
              </w:tc>
              <w:tc>
                <w:tcPr>
                  <w:tcW w:w="3573" w:type="dxa"/>
                  <w:gridSpan w:val="2"/>
                  <w:shd w:val="clear" w:color="auto" w:fill="auto"/>
                  <w:vAlign w:val="center"/>
                </w:tcPr>
                <w:p w14:paraId="528A4EF7">
                  <w:pPr>
                    <w:pStyle w:val="70"/>
                    <w:spacing w:line="240" w:lineRule="auto"/>
                    <w:rPr>
                      <w:rFonts w:hint="default" w:ascii="Times New Roman" w:hAnsi="Times New Roman" w:eastAsia="宋体" w:cs="Times New Roman"/>
                      <w:color w:val="auto"/>
                      <w:sz w:val="21"/>
                      <w:szCs w:val="21"/>
                      <w:lang w:val="en-US" w:eastAsia="zh-CN"/>
                    </w:rPr>
                  </w:pPr>
                  <w:r>
                    <w:rPr>
                      <w:rFonts w:ascii="宋体" w:hAnsi="宋体" w:eastAsia="宋体" w:cs="宋体"/>
                      <w:color w:val="auto"/>
                      <w:sz w:val="21"/>
                      <w:szCs w:val="21"/>
                    </w:rPr>
                    <w:t>电芯车间内设NMP暂存间1间，建筑</w:t>
                  </w:r>
                  <w:r>
                    <w:rPr>
                      <w:rFonts w:hint="default" w:ascii="Times New Roman" w:hAnsi="Times New Roman" w:eastAsia="宋体" w:cs="Times New Roman"/>
                      <w:color w:val="auto"/>
                      <w:sz w:val="21"/>
                      <w:szCs w:val="21"/>
                      <w:lang w:val="en-US" w:eastAsia="zh-CN"/>
                    </w:rPr>
                    <w:t>面积约200</w:t>
                  </w:r>
                  <w:r>
                    <w:rPr>
                      <w:rFonts w:hint="eastAsia" w:cs="Times New Roman"/>
                      <w:color w:val="auto"/>
                      <w:sz w:val="21"/>
                      <w:szCs w:val="21"/>
                      <w:lang w:val="en-US" w:eastAsia="zh-CN"/>
                    </w:rPr>
                    <w:t>m</w:t>
                  </w:r>
                  <w:r>
                    <w:rPr>
                      <w:rFonts w:hint="eastAsia" w:cs="Times New Roman"/>
                      <w:color w:val="auto"/>
                      <w:sz w:val="21"/>
                      <w:szCs w:val="21"/>
                      <w:vertAlign w:val="superscript"/>
                      <w:lang w:val="en-US" w:eastAsia="zh-CN"/>
                    </w:rPr>
                    <w:t>2</w:t>
                  </w:r>
                  <w:r>
                    <w:rPr>
                      <w:rFonts w:hint="default" w:ascii="Times New Roman" w:hAnsi="Times New Roman" w:eastAsia="宋体" w:cs="Times New Roman"/>
                      <w:color w:val="auto"/>
                      <w:sz w:val="21"/>
                      <w:szCs w:val="21"/>
                      <w:lang w:val="en-US" w:eastAsia="zh-CN"/>
                    </w:rPr>
                    <w:t>，室内配置1座容积为3</w:t>
                  </w:r>
                  <w:r>
                    <w:rPr>
                      <w:rFonts w:hint="eastAsia" w:cs="Times New Roman"/>
                      <w:color w:val="auto"/>
                      <w:sz w:val="21"/>
                      <w:szCs w:val="21"/>
                      <w:lang w:val="en-US" w:eastAsia="zh-CN"/>
                    </w:rPr>
                    <w:t>m</w:t>
                  </w:r>
                  <w:r>
                    <w:rPr>
                      <w:rFonts w:hint="eastAsia" w:cs="Times New Roman"/>
                      <w:color w:val="auto"/>
                      <w:sz w:val="21"/>
                      <w:szCs w:val="21"/>
                      <w:vertAlign w:val="superscript"/>
                      <w:lang w:val="en-US" w:eastAsia="zh-CN"/>
                    </w:rPr>
                    <w:t>3</w:t>
                  </w:r>
                  <w:r>
                    <w:rPr>
                      <w:rFonts w:hint="default" w:ascii="Times New Roman" w:hAnsi="Times New Roman" w:eastAsia="宋体" w:cs="Times New Roman"/>
                      <w:color w:val="auto"/>
                      <w:sz w:val="21"/>
                      <w:szCs w:val="21"/>
                      <w:lang w:val="en-US" w:eastAsia="zh-CN"/>
                    </w:rPr>
                    <w:t>的NMP储罐，作为</w:t>
                  </w:r>
                  <w:r>
                    <w:rPr>
                      <w:rFonts w:hint="eastAsia" w:ascii="Times New Roman" w:hAnsi="Times New Roman" w:eastAsia="宋体" w:cs="Times New Roman"/>
                      <w:color w:val="auto"/>
                      <w:sz w:val="21"/>
                      <w:szCs w:val="21"/>
                      <w:lang w:val="en-US" w:eastAsia="zh-CN"/>
                    </w:rPr>
                    <w:t>NMP</w:t>
                  </w:r>
                  <w:r>
                    <w:rPr>
                      <w:rFonts w:hint="default" w:ascii="Times New Roman" w:hAnsi="Times New Roman" w:eastAsia="宋体" w:cs="Times New Roman"/>
                      <w:color w:val="auto"/>
                      <w:sz w:val="21"/>
                      <w:szCs w:val="21"/>
                      <w:lang w:val="en-US" w:eastAsia="zh-CN"/>
                    </w:rPr>
                    <w:t>中转储存设施</w:t>
                  </w:r>
                </w:p>
              </w:tc>
              <w:tc>
                <w:tcPr>
                  <w:tcW w:w="927" w:type="dxa"/>
                  <w:vMerge w:val="continue"/>
                  <w:vAlign w:val="center"/>
                </w:tcPr>
                <w:p w14:paraId="46F3D397">
                  <w:pPr>
                    <w:pStyle w:val="70"/>
                    <w:spacing w:line="240" w:lineRule="auto"/>
                    <w:rPr>
                      <w:rFonts w:hint="eastAsia" w:ascii="Times New Roman" w:hAnsi="Times New Roman" w:eastAsia="宋体" w:cs="Times New Roman"/>
                      <w:color w:val="auto"/>
                      <w:sz w:val="21"/>
                      <w:szCs w:val="21"/>
                    </w:rPr>
                  </w:pPr>
                </w:p>
              </w:tc>
              <w:tc>
                <w:tcPr>
                  <w:tcW w:w="981" w:type="dxa"/>
                  <w:shd w:val="clear" w:color="auto" w:fill="auto"/>
                  <w:vAlign w:val="center"/>
                </w:tcPr>
                <w:p w14:paraId="001B91F0">
                  <w:pPr>
                    <w:pStyle w:val="70"/>
                    <w:spacing w:line="240" w:lineRule="auto"/>
                    <w:rPr>
                      <w:rFonts w:hint="eastAsia"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环境风险</w:t>
                  </w:r>
                </w:p>
              </w:tc>
              <w:tc>
                <w:tcPr>
                  <w:tcW w:w="733" w:type="dxa"/>
                  <w:shd w:val="clear" w:color="auto" w:fill="auto"/>
                  <w:vAlign w:val="center"/>
                </w:tcPr>
                <w:p w14:paraId="64450549">
                  <w:pPr>
                    <w:pStyle w:val="70"/>
                    <w:spacing w:line="240" w:lineRule="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新建</w:t>
                  </w:r>
                </w:p>
              </w:tc>
            </w:tr>
            <w:tr w14:paraId="62F810F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5" w:hRule="atLeast"/>
              </w:trPr>
              <w:tc>
                <w:tcPr>
                  <w:tcW w:w="790" w:type="dxa"/>
                  <w:vMerge w:val="continue"/>
                  <w:vAlign w:val="center"/>
                </w:tcPr>
                <w:p w14:paraId="6C53DB3B">
                  <w:pPr>
                    <w:pStyle w:val="70"/>
                    <w:spacing w:line="240" w:lineRule="auto"/>
                    <w:rPr>
                      <w:rFonts w:hint="eastAsia" w:ascii="Times New Roman" w:hAnsi="Times New Roman" w:eastAsia="宋体" w:cs="Times New Roman"/>
                      <w:color w:val="auto"/>
                      <w:sz w:val="21"/>
                      <w:szCs w:val="21"/>
                    </w:rPr>
                  </w:pPr>
                </w:p>
              </w:tc>
              <w:tc>
                <w:tcPr>
                  <w:tcW w:w="750" w:type="dxa"/>
                  <w:shd w:val="clear" w:color="auto" w:fill="auto"/>
                  <w:vAlign w:val="center"/>
                </w:tcPr>
                <w:p w14:paraId="50D8035C">
                  <w:pPr>
                    <w:pStyle w:val="70"/>
                    <w:spacing w:line="240" w:lineRule="auto"/>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NMP回收储罐</w:t>
                  </w:r>
                </w:p>
              </w:tc>
              <w:tc>
                <w:tcPr>
                  <w:tcW w:w="3573" w:type="dxa"/>
                  <w:gridSpan w:val="2"/>
                  <w:shd w:val="clear" w:color="auto" w:fill="auto"/>
                  <w:vAlign w:val="center"/>
                </w:tcPr>
                <w:p w14:paraId="151CFA34">
                  <w:pPr>
                    <w:pStyle w:val="70"/>
                    <w:spacing w:line="240" w:lineRule="auto"/>
                    <w:rPr>
                      <w:rFonts w:hint="eastAsia"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位于</w:t>
                  </w:r>
                  <w:r>
                    <w:rPr>
                      <w:rFonts w:hint="eastAsia" w:cs="Times New Roman"/>
                      <w:color w:val="auto"/>
                      <w:sz w:val="21"/>
                      <w:szCs w:val="21"/>
                      <w:lang w:val="en-US" w:eastAsia="zh-CN"/>
                    </w:rPr>
                    <w:t>电芯车间</w:t>
                  </w:r>
                  <w:r>
                    <w:rPr>
                      <w:rFonts w:hint="default" w:ascii="Times New Roman" w:hAnsi="Times New Roman" w:eastAsia="宋体" w:cs="Times New Roman"/>
                      <w:color w:val="auto"/>
                      <w:sz w:val="21"/>
                      <w:szCs w:val="21"/>
                      <w:lang w:val="en-US" w:eastAsia="zh-CN"/>
                    </w:rPr>
                    <w:t>外东侧，设置</w:t>
                  </w:r>
                  <w:r>
                    <w:rPr>
                      <w:rFonts w:hint="eastAsia" w:cs="Times New Roman"/>
                      <w:color w:val="auto"/>
                      <w:sz w:val="21"/>
                      <w:szCs w:val="21"/>
                      <w:lang w:val="en-US" w:eastAsia="zh-CN"/>
                    </w:rPr>
                    <w:t>1</w:t>
                  </w:r>
                  <w:r>
                    <w:rPr>
                      <w:rFonts w:hint="default" w:ascii="Times New Roman" w:hAnsi="Times New Roman" w:eastAsia="宋体" w:cs="Times New Roman"/>
                      <w:color w:val="auto"/>
                      <w:sz w:val="21"/>
                      <w:szCs w:val="21"/>
                      <w:lang w:val="en-US" w:eastAsia="zh-CN"/>
                    </w:rPr>
                    <w:t>个NMP储罐，有效容积为</w:t>
                  </w:r>
                  <w:r>
                    <w:rPr>
                      <w:rFonts w:hint="eastAsia" w:cs="Times New Roman"/>
                      <w:color w:val="auto"/>
                      <w:sz w:val="21"/>
                      <w:szCs w:val="21"/>
                      <w:lang w:val="en-US" w:eastAsia="zh-CN"/>
                    </w:rPr>
                    <w:t>6</w:t>
                  </w:r>
                  <w:r>
                    <w:rPr>
                      <w:rFonts w:hint="eastAsia" w:ascii="Times New Roman" w:hAnsi="Times New Roman" w:eastAsia="宋体" w:cs="Times New Roman"/>
                      <w:color w:val="auto"/>
                      <w:sz w:val="21"/>
                      <w:szCs w:val="21"/>
                      <w:lang w:val="en-US" w:eastAsia="zh-CN"/>
                    </w:rPr>
                    <w:t>m</w:t>
                  </w:r>
                  <w:r>
                    <w:rPr>
                      <w:rFonts w:hint="eastAsia" w:ascii="Times New Roman" w:hAnsi="Times New Roman" w:eastAsia="宋体" w:cs="Times New Roman"/>
                      <w:color w:val="auto"/>
                      <w:sz w:val="21"/>
                      <w:szCs w:val="21"/>
                      <w:vertAlign w:val="superscript"/>
                      <w:lang w:val="en-US" w:eastAsia="zh-CN"/>
                    </w:rPr>
                    <w:t>3</w:t>
                  </w:r>
                </w:p>
              </w:tc>
              <w:tc>
                <w:tcPr>
                  <w:tcW w:w="927" w:type="dxa"/>
                  <w:vMerge w:val="continue"/>
                  <w:vAlign w:val="center"/>
                </w:tcPr>
                <w:p w14:paraId="617F024E">
                  <w:pPr>
                    <w:pStyle w:val="70"/>
                    <w:spacing w:line="240" w:lineRule="auto"/>
                    <w:rPr>
                      <w:rFonts w:hint="eastAsia" w:ascii="Times New Roman" w:hAnsi="Times New Roman" w:eastAsia="宋体" w:cs="Times New Roman"/>
                      <w:color w:val="auto"/>
                      <w:sz w:val="21"/>
                      <w:szCs w:val="21"/>
                    </w:rPr>
                  </w:pPr>
                </w:p>
              </w:tc>
              <w:tc>
                <w:tcPr>
                  <w:tcW w:w="981" w:type="dxa"/>
                  <w:vAlign w:val="center"/>
                </w:tcPr>
                <w:p w14:paraId="6E5C6138">
                  <w:pPr>
                    <w:pStyle w:val="70"/>
                    <w:spacing w:line="240" w:lineRule="auto"/>
                    <w:rPr>
                      <w:rFonts w:hint="eastAsia"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环境风险</w:t>
                  </w:r>
                </w:p>
              </w:tc>
              <w:tc>
                <w:tcPr>
                  <w:tcW w:w="733" w:type="dxa"/>
                  <w:vAlign w:val="center"/>
                </w:tcPr>
                <w:p w14:paraId="6C13DA0D">
                  <w:pPr>
                    <w:pStyle w:val="70"/>
                    <w:spacing w:line="240" w:lineRule="auto"/>
                    <w:rPr>
                      <w:rFonts w:hint="eastAsia"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新建</w:t>
                  </w:r>
                </w:p>
              </w:tc>
            </w:tr>
            <w:tr w14:paraId="4CD75C3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5" w:hRule="atLeast"/>
              </w:trPr>
              <w:tc>
                <w:tcPr>
                  <w:tcW w:w="790" w:type="dxa"/>
                  <w:vMerge w:val="continue"/>
                  <w:vAlign w:val="center"/>
                </w:tcPr>
                <w:p w14:paraId="378A6353">
                  <w:pPr>
                    <w:pStyle w:val="70"/>
                    <w:spacing w:line="240" w:lineRule="auto"/>
                    <w:rPr>
                      <w:rFonts w:hint="eastAsia" w:ascii="Times New Roman" w:hAnsi="Times New Roman" w:eastAsia="宋体" w:cs="Times New Roman"/>
                      <w:color w:val="auto"/>
                      <w:sz w:val="21"/>
                      <w:szCs w:val="21"/>
                    </w:rPr>
                  </w:pPr>
                </w:p>
              </w:tc>
              <w:tc>
                <w:tcPr>
                  <w:tcW w:w="750" w:type="dxa"/>
                  <w:shd w:val="clear" w:color="auto" w:fill="auto"/>
                  <w:vAlign w:val="center"/>
                </w:tcPr>
                <w:p w14:paraId="06065A2D">
                  <w:pPr>
                    <w:pStyle w:val="70"/>
                    <w:spacing w:line="240" w:lineRule="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成品库</w:t>
                  </w:r>
                </w:p>
              </w:tc>
              <w:tc>
                <w:tcPr>
                  <w:tcW w:w="3573" w:type="dxa"/>
                  <w:gridSpan w:val="2"/>
                  <w:shd w:val="clear" w:color="auto" w:fill="auto"/>
                  <w:vAlign w:val="center"/>
                </w:tcPr>
                <w:p w14:paraId="73137B67">
                  <w:pPr>
                    <w:pStyle w:val="70"/>
                    <w:spacing w:line="240" w:lineRule="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在</w:t>
                  </w:r>
                  <w:r>
                    <w:rPr>
                      <w:rFonts w:hint="eastAsia" w:cs="Times New Roman"/>
                      <w:color w:val="auto"/>
                      <w:sz w:val="21"/>
                      <w:szCs w:val="21"/>
                      <w:lang w:val="en-US" w:eastAsia="zh-CN"/>
                    </w:rPr>
                    <w:t>电芯车间</w:t>
                  </w:r>
                  <w:r>
                    <w:rPr>
                      <w:rFonts w:hint="default" w:ascii="Times New Roman" w:hAnsi="Times New Roman" w:eastAsia="宋体" w:cs="Times New Roman"/>
                      <w:color w:val="auto"/>
                      <w:sz w:val="21"/>
                      <w:szCs w:val="21"/>
                      <w:lang w:val="en-US" w:eastAsia="zh-CN"/>
                    </w:rPr>
                    <w:t>内</w:t>
                  </w:r>
                  <w:r>
                    <w:rPr>
                      <w:rFonts w:hint="eastAsia" w:cs="Times New Roman"/>
                      <w:color w:val="auto"/>
                      <w:sz w:val="21"/>
                      <w:szCs w:val="21"/>
                      <w:lang w:val="en-US" w:eastAsia="zh-CN"/>
                    </w:rPr>
                    <w:t>东</w:t>
                  </w:r>
                  <w:r>
                    <w:rPr>
                      <w:rFonts w:hint="default" w:ascii="Times New Roman" w:hAnsi="Times New Roman" w:eastAsia="宋体" w:cs="Times New Roman"/>
                      <w:color w:val="auto"/>
                      <w:sz w:val="21"/>
                      <w:szCs w:val="21"/>
                      <w:lang w:val="en-US" w:eastAsia="zh-CN"/>
                    </w:rPr>
                    <w:t>侧设置1间产品库房，建筑面积</w:t>
                  </w:r>
                  <w:r>
                    <w:rPr>
                      <w:rFonts w:hint="eastAsia" w:cs="Times New Roman"/>
                      <w:color w:val="auto"/>
                      <w:sz w:val="21"/>
                      <w:szCs w:val="21"/>
                      <w:lang w:val="en-US" w:eastAsia="zh-CN"/>
                    </w:rPr>
                    <w:t>约50</w:t>
                  </w:r>
                  <w:r>
                    <w:rPr>
                      <w:rFonts w:hint="eastAsia" w:ascii="Times New Roman" w:hAnsi="Times New Roman" w:eastAsia="宋体" w:cs="Times New Roman"/>
                      <w:color w:val="auto"/>
                      <w:sz w:val="21"/>
                      <w:szCs w:val="21"/>
                      <w:lang w:val="en-US" w:eastAsia="zh-CN"/>
                    </w:rPr>
                    <w:t>m</w:t>
                  </w:r>
                  <w:r>
                    <w:rPr>
                      <w:rFonts w:hint="eastAsia" w:ascii="Times New Roman" w:hAnsi="Times New Roman" w:eastAsia="宋体" w:cs="Times New Roman"/>
                      <w:color w:val="auto"/>
                      <w:sz w:val="21"/>
                      <w:szCs w:val="21"/>
                      <w:vertAlign w:val="superscript"/>
                      <w:lang w:val="en-US" w:eastAsia="zh-CN"/>
                    </w:rPr>
                    <w:t>2</w:t>
                  </w:r>
                  <w:r>
                    <w:rPr>
                      <w:rFonts w:hint="default" w:ascii="Times New Roman" w:hAnsi="Times New Roman" w:eastAsia="宋体" w:cs="Times New Roman"/>
                      <w:color w:val="auto"/>
                      <w:sz w:val="21"/>
                      <w:szCs w:val="21"/>
                      <w:lang w:val="en-US" w:eastAsia="zh-CN"/>
                    </w:rPr>
                    <w:t>，用于电池产品临时储存</w:t>
                  </w:r>
                </w:p>
              </w:tc>
              <w:tc>
                <w:tcPr>
                  <w:tcW w:w="927" w:type="dxa"/>
                  <w:vMerge w:val="continue"/>
                  <w:vAlign w:val="center"/>
                </w:tcPr>
                <w:p w14:paraId="20D8C619">
                  <w:pPr>
                    <w:pStyle w:val="70"/>
                    <w:spacing w:line="240" w:lineRule="auto"/>
                    <w:rPr>
                      <w:rFonts w:hint="eastAsia" w:ascii="Times New Roman" w:hAnsi="Times New Roman" w:eastAsia="宋体" w:cs="Times New Roman"/>
                      <w:color w:val="auto"/>
                      <w:sz w:val="21"/>
                      <w:szCs w:val="21"/>
                    </w:rPr>
                  </w:pPr>
                </w:p>
              </w:tc>
              <w:tc>
                <w:tcPr>
                  <w:tcW w:w="981" w:type="dxa"/>
                  <w:vAlign w:val="center"/>
                </w:tcPr>
                <w:p w14:paraId="1C5BB5E7">
                  <w:pPr>
                    <w:pStyle w:val="70"/>
                    <w:spacing w:line="240" w:lineRule="auto"/>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w:t>
                  </w:r>
                </w:p>
              </w:tc>
              <w:tc>
                <w:tcPr>
                  <w:tcW w:w="733" w:type="dxa"/>
                  <w:vAlign w:val="center"/>
                </w:tcPr>
                <w:p w14:paraId="61DE3C3B">
                  <w:pPr>
                    <w:pStyle w:val="70"/>
                    <w:spacing w:line="240" w:lineRule="auto"/>
                    <w:rPr>
                      <w:rFonts w:hint="eastAsia"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新建</w:t>
                  </w:r>
                </w:p>
              </w:tc>
            </w:tr>
            <w:tr w14:paraId="338913F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5" w:hRule="atLeast"/>
              </w:trPr>
              <w:tc>
                <w:tcPr>
                  <w:tcW w:w="790" w:type="dxa"/>
                  <w:vMerge w:val="continue"/>
                  <w:vAlign w:val="center"/>
                </w:tcPr>
                <w:p w14:paraId="034A4E54">
                  <w:pPr>
                    <w:pStyle w:val="70"/>
                    <w:spacing w:line="240" w:lineRule="auto"/>
                    <w:rPr>
                      <w:rFonts w:hint="eastAsia" w:ascii="Times New Roman" w:hAnsi="Times New Roman" w:eastAsia="宋体" w:cs="Times New Roman"/>
                      <w:color w:val="auto"/>
                      <w:sz w:val="21"/>
                      <w:szCs w:val="21"/>
                    </w:rPr>
                  </w:pPr>
                </w:p>
              </w:tc>
              <w:tc>
                <w:tcPr>
                  <w:tcW w:w="750" w:type="dxa"/>
                  <w:shd w:val="clear" w:color="auto" w:fill="auto"/>
                  <w:vAlign w:val="center"/>
                </w:tcPr>
                <w:p w14:paraId="1221D05B">
                  <w:pPr>
                    <w:pStyle w:val="70"/>
                    <w:spacing w:line="240" w:lineRule="auto"/>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电解液间</w:t>
                  </w:r>
                </w:p>
              </w:tc>
              <w:tc>
                <w:tcPr>
                  <w:tcW w:w="3573" w:type="dxa"/>
                  <w:gridSpan w:val="2"/>
                  <w:shd w:val="clear" w:color="auto" w:fill="auto"/>
                  <w:vAlign w:val="center"/>
                </w:tcPr>
                <w:p w14:paraId="63AEBC7E">
                  <w:pPr>
                    <w:pStyle w:val="70"/>
                    <w:spacing w:line="240" w:lineRule="auto"/>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电芯车间内北侧设置1间电解液暂存间，建筑面积约51m</w:t>
                  </w:r>
                  <w:r>
                    <w:rPr>
                      <w:rFonts w:hint="eastAsia" w:cs="Times New Roman"/>
                      <w:color w:val="auto"/>
                      <w:sz w:val="21"/>
                      <w:szCs w:val="21"/>
                      <w:vertAlign w:val="superscript"/>
                      <w:lang w:val="en-US" w:eastAsia="zh-CN"/>
                    </w:rPr>
                    <w:t>2</w:t>
                  </w:r>
                  <w:r>
                    <w:rPr>
                      <w:rFonts w:hint="eastAsia" w:cs="Times New Roman"/>
                      <w:color w:val="auto"/>
                      <w:sz w:val="21"/>
                      <w:szCs w:val="21"/>
                      <w:lang w:val="en-US" w:eastAsia="zh-CN"/>
                    </w:rPr>
                    <w:t>，主要暂存生产时所需电解液</w:t>
                  </w:r>
                </w:p>
              </w:tc>
              <w:tc>
                <w:tcPr>
                  <w:tcW w:w="927" w:type="dxa"/>
                  <w:vMerge w:val="continue"/>
                  <w:vAlign w:val="center"/>
                </w:tcPr>
                <w:p w14:paraId="626DC633">
                  <w:pPr>
                    <w:pStyle w:val="70"/>
                    <w:spacing w:line="240" w:lineRule="auto"/>
                    <w:rPr>
                      <w:rFonts w:hint="eastAsia" w:ascii="Times New Roman" w:hAnsi="Times New Roman" w:eastAsia="宋体" w:cs="Times New Roman"/>
                      <w:color w:val="auto"/>
                      <w:sz w:val="21"/>
                      <w:szCs w:val="21"/>
                    </w:rPr>
                  </w:pPr>
                </w:p>
              </w:tc>
              <w:tc>
                <w:tcPr>
                  <w:tcW w:w="981" w:type="dxa"/>
                  <w:vAlign w:val="center"/>
                </w:tcPr>
                <w:p w14:paraId="65D3ACD7">
                  <w:pPr>
                    <w:pStyle w:val="70"/>
                    <w:spacing w:line="240" w:lineRule="auto"/>
                    <w:rPr>
                      <w:rFonts w:hint="default" w:cs="Times New Roman"/>
                      <w:color w:val="auto"/>
                      <w:sz w:val="21"/>
                      <w:szCs w:val="21"/>
                      <w:lang w:val="en-US" w:eastAsia="zh-CN"/>
                    </w:rPr>
                  </w:pPr>
                  <w:r>
                    <w:rPr>
                      <w:rFonts w:hint="eastAsia" w:cs="Times New Roman"/>
                      <w:color w:val="auto"/>
                      <w:sz w:val="21"/>
                      <w:szCs w:val="21"/>
                      <w:lang w:val="en-US" w:eastAsia="zh-CN"/>
                    </w:rPr>
                    <w:t>/</w:t>
                  </w:r>
                </w:p>
              </w:tc>
              <w:tc>
                <w:tcPr>
                  <w:tcW w:w="733" w:type="dxa"/>
                  <w:vAlign w:val="center"/>
                </w:tcPr>
                <w:p w14:paraId="68A40783">
                  <w:pPr>
                    <w:pStyle w:val="70"/>
                    <w:spacing w:line="240" w:lineRule="auto"/>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新建</w:t>
                  </w:r>
                </w:p>
              </w:tc>
            </w:tr>
            <w:tr w14:paraId="4178672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5" w:hRule="atLeast"/>
              </w:trPr>
              <w:tc>
                <w:tcPr>
                  <w:tcW w:w="790" w:type="dxa"/>
                  <w:vMerge w:val="continue"/>
                  <w:vAlign w:val="center"/>
                </w:tcPr>
                <w:p w14:paraId="76F4260C">
                  <w:pPr>
                    <w:pStyle w:val="70"/>
                    <w:spacing w:line="240" w:lineRule="auto"/>
                    <w:rPr>
                      <w:rFonts w:hint="eastAsia" w:ascii="Times New Roman" w:hAnsi="Times New Roman" w:eastAsia="宋体" w:cs="Times New Roman"/>
                      <w:color w:val="auto"/>
                      <w:sz w:val="21"/>
                      <w:szCs w:val="21"/>
                    </w:rPr>
                  </w:pPr>
                </w:p>
              </w:tc>
              <w:tc>
                <w:tcPr>
                  <w:tcW w:w="750" w:type="dxa"/>
                  <w:shd w:val="clear" w:color="auto" w:fill="auto"/>
                  <w:vAlign w:val="center"/>
                </w:tcPr>
                <w:p w14:paraId="1CA81C2B">
                  <w:pPr>
                    <w:pStyle w:val="70"/>
                    <w:spacing w:line="240" w:lineRule="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低温电解液仓库</w:t>
                  </w:r>
                </w:p>
              </w:tc>
              <w:tc>
                <w:tcPr>
                  <w:tcW w:w="3573" w:type="dxa"/>
                  <w:gridSpan w:val="2"/>
                  <w:shd w:val="clear" w:color="auto" w:fill="auto"/>
                  <w:vAlign w:val="center"/>
                </w:tcPr>
                <w:p w14:paraId="3B48C075">
                  <w:pPr>
                    <w:pStyle w:val="70"/>
                    <w:spacing w:line="240" w:lineRule="auto"/>
                    <w:rPr>
                      <w:rFonts w:hint="default"/>
                      <w:color w:val="auto"/>
                      <w:sz w:val="21"/>
                      <w:szCs w:val="21"/>
                      <w:lang w:val="en-US" w:eastAsia="zh-CN"/>
                    </w:rPr>
                  </w:pPr>
                  <w:r>
                    <w:rPr>
                      <w:rFonts w:hint="eastAsia" w:ascii="Times New Roman" w:hAnsi="Times New Roman" w:eastAsia="宋体" w:cs="Times New Roman"/>
                      <w:color w:val="auto"/>
                      <w:sz w:val="21"/>
                      <w:szCs w:val="21"/>
                      <w:lang w:val="en-US" w:eastAsia="zh-CN"/>
                    </w:rPr>
                    <w:t>厂区东侧新建一栋甲类仓库，其中111.99m</w:t>
                  </w:r>
                  <w:r>
                    <w:rPr>
                      <w:rFonts w:hint="eastAsia" w:ascii="Times New Roman" w:hAnsi="Times New Roman" w:eastAsia="宋体" w:cs="Times New Roman"/>
                      <w:color w:val="auto"/>
                      <w:sz w:val="21"/>
                      <w:szCs w:val="21"/>
                      <w:vertAlign w:val="superscript"/>
                      <w:lang w:val="en-US" w:eastAsia="zh-CN"/>
                    </w:rPr>
                    <w:t>2</w:t>
                  </w:r>
                  <w:r>
                    <w:rPr>
                      <w:rFonts w:hint="eastAsia" w:ascii="Times New Roman" w:hAnsi="Times New Roman" w:eastAsia="宋体" w:cs="Times New Roman"/>
                      <w:color w:val="auto"/>
                      <w:sz w:val="21"/>
                      <w:szCs w:val="21"/>
                      <w:lang w:val="en-US" w:eastAsia="zh-CN"/>
                    </w:rPr>
                    <w:t>为低温电解液仓库，主要用于存放电解液</w:t>
                  </w:r>
                </w:p>
              </w:tc>
              <w:tc>
                <w:tcPr>
                  <w:tcW w:w="927" w:type="dxa"/>
                  <w:vMerge w:val="continue"/>
                  <w:vAlign w:val="center"/>
                </w:tcPr>
                <w:p w14:paraId="2CF498EE">
                  <w:pPr>
                    <w:pStyle w:val="70"/>
                    <w:spacing w:line="240" w:lineRule="auto"/>
                    <w:rPr>
                      <w:rFonts w:hint="eastAsia" w:ascii="Times New Roman" w:hAnsi="Times New Roman" w:eastAsia="宋体" w:cs="Times New Roman"/>
                      <w:color w:val="auto"/>
                      <w:sz w:val="21"/>
                      <w:szCs w:val="21"/>
                    </w:rPr>
                  </w:pPr>
                </w:p>
              </w:tc>
              <w:tc>
                <w:tcPr>
                  <w:tcW w:w="981" w:type="dxa"/>
                  <w:vAlign w:val="center"/>
                </w:tcPr>
                <w:p w14:paraId="18D4580C">
                  <w:pPr>
                    <w:pStyle w:val="70"/>
                    <w:spacing w:line="240" w:lineRule="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转运噪声、环境风险</w:t>
                  </w:r>
                </w:p>
              </w:tc>
              <w:tc>
                <w:tcPr>
                  <w:tcW w:w="733" w:type="dxa"/>
                  <w:vAlign w:val="center"/>
                </w:tcPr>
                <w:p w14:paraId="14132982">
                  <w:pPr>
                    <w:pStyle w:val="70"/>
                    <w:spacing w:line="240" w:lineRule="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新建</w:t>
                  </w:r>
                </w:p>
              </w:tc>
            </w:tr>
            <w:tr w14:paraId="3222E47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72" w:hRule="atLeast"/>
              </w:trPr>
              <w:tc>
                <w:tcPr>
                  <w:tcW w:w="790" w:type="dxa"/>
                  <w:vMerge w:val="continue"/>
                  <w:vAlign w:val="center"/>
                </w:tcPr>
                <w:p w14:paraId="11833786">
                  <w:pPr>
                    <w:pStyle w:val="70"/>
                    <w:spacing w:line="240" w:lineRule="auto"/>
                    <w:rPr>
                      <w:rFonts w:hint="eastAsia" w:ascii="Times New Roman" w:hAnsi="Times New Roman" w:eastAsia="宋体" w:cs="Times New Roman"/>
                      <w:color w:val="auto"/>
                      <w:sz w:val="21"/>
                      <w:szCs w:val="21"/>
                    </w:rPr>
                  </w:pPr>
                </w:p>
              </w:tc>
              <w:tc>
                <w:tcPr>
                  <w:tcW w:w="750" w:type="dxa"/>
                  <w:shd w:val="clear" w:color="auto" w:fill="auto"/>
                  <w:vAlign w:val="center"/>
                </w:tcPr>
                <w:p w14:paraId="749F04F1">
                  <w:pPr>
                    <w:pStyle w:val="70"/>
                    <w:spacing w:line="240" w:lineRule="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危废库</w:t>
                  </w:r>
                </w:p>
              </w:tc>
              <w:tc>
                <w:tcPr>
                  <w:tcW w:w="3573" w:type="dxa"/>
                  <w:gridSpan w:val="2"/>
                  <w:shd w:val="clear" w:color="auto" w:fill="auto"/>
                  <w:vAlign w:val="center"/>
                </w:tcPr>
                <w:p w14:paraId="7F696529">
                  <w:pPr>
                    <w:pStyle w:val="70"/>
                    <w:spacing w:line="240" w:lineRule="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厂区东侧新建一栋甲类仓库，其中111.99m</w:t>
                  </w:r>
                  <w:r>
                    <w:rPr>
                      <w:rFonts w:hint="eastAsia" w:ascii="Times New Roman" w:hAnsi="Times New Roman" w:eastAsia="宋体" w:cs="Times New Roman"/>
                      <w:color w:val="auto"/>
                      <w:sz w:val="21"/>
                      <w:szCs w:val="21"/>
                      <w:vertAlign w:val="superscript"/>
                      <w:lang w:val="en-US" w:eastAsia="zh-CN"/>
                    </w:rPr>
                    <w:t>2</w:t>
                  </w:r>
                  <w:r>
                    <w:rPr>
                      <w:rFonts w:hint="eastAsia" w:ascii="Times New Roman" w:hAnsi="Times New Roman" w:eastAsia="宋体" w:cs="Times New Roman"/>
                      <w:color w:val="auto"/>
                      <w:sz w:val="21"/>
                      <w:szCs w:val="21"/>
                      <w:lang w:val="en-US" w:eastAsia="zh-CN"/>
                    </w:rPr>
                    <w:t>为危废仓库，主要用于暂存厂区所产生的各类危险废物</w:t>
                  </w:r>
                </w:p>
              </w:tc>
              <w:tc>
                <w:tcPr>
                  <w:tcW w:w="927" w:type="dxa"/>
                  <w:vMerge w:val="continue"/>
                  <w:vAlign w:val="center"/>
                </w:tcPr>
                <w:p w14:paraId="041B7F86">
                  <w:pPr>
                    <w:pStyle w:val="70"/>
                    <w:spacing w:line="240" w:lineRule="auto"/>
                    <w:rPr>
                      <w:rFonts w:hint="eastAsia" w:ascii="Times New Roman" w:hAnsi="Times New Roman" w:eastAsia="宋体" w:cs="Times New Roman"/>
                      <w:color w:val="auto"/>
                      <w:sz w:val="21"/>
                      <w:szCs w:val="21"/>
                    </w:rPr>
                  </w:pPr>
                </w:p>
              </w:tc>
              <w:tc>
                <w:tcPr>
                  <w:tcW w:w="981" w:type="dxa"/>
                  <w:vAlign w:val="center"/>
                </w:tcPr>
                <w:p w14:paraId="2190298C">
                  <w:pPr>
                    <w:pStyle w:val="70"/>
                    <w:spacing w:line="240" w:lineRule="auto"/>
                    <w:rPr>
                      <w:rFonts w:hint="eastAsia"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转运噪声、环境风险</w:t>
                  </w:r>
                </w:p>
              </w:tc>
              <w:tc>
                <w:tcPr>
                  <w:tcW w:w="733" w:type="dxa"/>
                  <w:vAlign w:val="center"/>
                </w:tcPr>
                <w:p w14:paraId="7CF38689">
                  <w:pPr>
                    <w:pStyle w:val="70"/>
                    <w:spacing w:line="240" w:lineRule="auto"/>
                    <w:rPr>
                      <w:rFonts w:hint="eastAsia"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新建</w:t>
                  </w:r>
                </w:p>
              </w:tc>
            </w:tr>
            <w:tr w14:paraId="6B415E9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72" w:hRule="atLeast"/>
              </w:trPr>
              <w:tc>
                <w:tcPr>
                  <w:tcW w:w="790" w:type="dxa"/>
                  <w:vMerge w:val="restart"/>
                  <w:vAlign w:val="center"/>
                </w:tcPr>
                <w:p w14:paraId="181A6563">
                  <w:pPr>
                    <w:pStyle w:val="70"/>
                    <w:spacing w:line="240" w:lineRule="auto"/>
                    <w:rPr>
                      <w:rFonts w:hint="eastAsia"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环保工程</w:t>
                  </w:r>
                </w:p>
              </w:tc>
              <w:tc>
                <w:tcPr>
                  <w:tcW w:w="750" w:type="dxa"/>
                  <w:vMerge w:val="restart"/>
                  <w:shd w:val="clear" w:color="auto" w:fill="auto"/>
                  <w:vAlign w:val="center"/>
                </w:tcPr>
                <w:p w14:paraId="210F0CC9">
                  <w:pPr>
                    <w:pStyle w:val="70"/>
                    <w:spacing w:line="240" w:lineRule="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废水治理</w:t>
                  </w:r>
                </w:p>
              </w:tc>
              <w:tc>
                <w:tcPr>
                  <w:tcW w:w="1064" w:type="dxa"/>
                  <w:shd w:val="clear" w:color="auto" w:fill="auto"/>
                  <w:vAlign w:val="center"/>
                </w:tcPr>
                <w:p w14:paraId="2F6EE1F8">
                  <w:pPr>
                    <w:pStyle w:val="70"/>
                    <w:spacing w:line="240" w:lineRule="auto"/>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设备清洗废水</w:t>
                  </w:r>
                </w:p>
              </w:tc>
              <w:tc>
                <w:tcPr>
                  <w:tcW w:w="2509" w:type="dxa"/>
                  <w:shd w:val="clear" w:color="auto" w:fill="auto"/>
                  <w:vAlign w:val="center"/>
                </w:tcPr>
                <w:p w14:paraId="336ADC07">
                  <w:pPr>
                    <w:pStyle w:val="70"/>
                    <w:spacing w:line="240" w:lineRule="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经厂区内新建的废水处理装置（</w:t>
                  </w:r>
                  <w:r>
                    <w:rPr>
                      <w:rFonts w:hint="eastAsia" w:ascii="Times New Roman" w:hAnsi="Times New Roman" w:eastAsia="宋体" w:cs="Times New Roman"/>
                      <w:color w:val="auto"/>
                      <w:sz w:val="21"/>
                      <w:szCs w:val="21"/>
                      <w:lang w:val="en-US" w:eastAsia="zh-CN"/>
                    </w:rPr>
                    <w:t>处理工艺为水解酸化+UASB厌氧处理</w:t>
                  </w:r>
                  <w:r>
                    <w:rPr>
                      <w:rFonts w:hint="default" w:ascii="Times New Roman" w:hAnsi="Times New Roman" w:eastAsia="宋体" w:cs="Times New Roman"/>
                      <w:color w:val="auto"/>
                      <w:sz w:val="21"/>
                      <w:szCs w:val="21"/>
                      <w:lang w:val="en-US" w:eastAsia="zh-CN"/>
                    </w:rPr>
                    <w:t>，处理能力</w:t>
                  </w:r>
                  <w:r>
                    <w:rPr>
                      <w:rFonts w:hint="eastAsia" w:cs="Times New Roman"/>
                      <w:color w:val="auto"/>
                      <w:sz w:val="21"/>
                      <w:szCs w:val="21"/>
                      <w:lang w:val="en-US" w:eastAsia="zh-CN"/>
                    </w:rPr>
                    <w:t>6</w:t>
                  </w:r>
                  <w:r>
                    <w:rPr>
                      <w:rFonts w:hint="eastAsia" w:ascii="Times New Roman" w:hAnsi="Times New Roman" w:eastAsia="宋体" w:cs="Times New Roman"/>
                      <w:color w:val="auto"/>
                      <w:sz w:val="21"/>
                      <w:szCs w:val="21"/>
                      <w:lang w:val="en-US" w:eastAsia="zh-CN"/>
                    </w:rPr>
                    <w:t>m</w:t>
                  </w:r>
                  <w:r>
                    <w:rPr>
                      <w:rFonts w:hint="eastAsia" w:ascii="Times New Roman" w:hAnsi="Times New Roman" w:eastAsia="宋体" w:cs="Times New Roman"/>
                      <w:color w:val="auto"/>
                      <w:sz w:val="21"/>
                      <w:szCs w:val="21"/>
                      <w:vertAlign w:val="superscript"/>
                      <w:lang w:val="en-US" w:eastAsia="zh-CN"/>
                    </w:rPr>
                    <w:t>3</w:t>
                  </w:r>
                  <w:r>
                    <w:rPr>
                      <w:rFonts w:hint="default" w:ascii="Times New Roman" w:hAnsi="Times New Roman" w:eastAsia="宋体" w:cs="Times New Roman"/>
                      <w:color w:val="auto"/>
                      <w:sz w:val="21"/>
                      <w:szCs w:val="21"/>
                      <w:lang w:val="en-US" w:eastAsia="zh-CN"/>
                    </w:rPr>
                    <w:t>/d）处理达标后，由厂区内管网引至厂区废水总排放口排入园区市政污水管网。</w:t>
                  </w:r>
                </w:p>
              </w:tc>
              <w:tc>
                <w:tcPr>
                  <w:tcW w:w="927" w:type="dxa"/>
                  <w:vMerge w:val="continue"/>
                  <w:vAlign w:val="center"/>
                </w:tcPr>
                <w:p w14:paraId="3FF0635C">
                  <w:pPr>
                    <w:pStyle w:val="70"/>
                    <w:spacing w:line="240" w:lineRule="auto"/>
                    <w:rPr>
                      <w:rFonts w:hint="eastAsia" w:ascii="Times New Roman" w:hAnsi="Times New Roman" w:eastAsia="宋体" w:cs="Times New Roman"/>
                      <w:color w:val="auto"/>
                      <w:sz w:val="21"/>
                      <w:szCs w:val="21"/>
                    </w:rPr>
                  </w:pPr>
                </w:p>
              </w:tc>
              <w:tc>
                <w:tcPr>
                  <w:tcW w:w="981" w:type="dxa"/>
                  <w:vAlign w:val="center"/>
                </w:tcPr>
                <w:p w14:paraId="517F2C76">
                  <w:pPr>
                    <w:pStyle w:val="70"/>
                    <w:spacing w:line="240" w:lineRule="auto"/>
                    <w:rPr>
                      <w:rFonts w:hint="eastAsia"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噪声、污泥</w:t>
                  </w:r>
                </w:p>
              </w:tc>
              <w:tc>
                <w:tcPr>
                  <w:tcW w:w="733" w:type="dxa"/>
                  <w:vAlign w:val="center"/>
                </w:tcPr>
                <w:p w14:paraId="7862D66B">
                  <w:pPr>
                    <w:pStyle w:val="70"/>
                    <w:spacing w:line="240" w:lineRule="auto"/>
                    <w:rPr>
                      <w:rFonts w:hint="eastAsia"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新建</w:t>
                  </w:r>
                </w:p>
              </w:tc>
            </w:tr>
            <w:tr w14:paraId="1280290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72" w:hRule="atLeast"/>
              </w:trPr>
              <w:tc>
                <w:tcPr>
                  <w:tcW w:w="790" w:type="dxa"/>
                  <w:vMerge w:val="continue"/>
                  <w:vAlign w:val="center"/>
                </w:tcPr>
                <w:p w14:paraId="4ADF2302">
                  <w:pPr>
                    <w:pStyle w:val="70"/>
                    <w:spacing w:line="240" w:lineRule="auto"/>
                    <w:rPr>
                      <w:rFonts w:hint="eastAsia" w:ascii="Times New Roman" w:hAnsi="Times New Roman" w:eastAsia="宋体" w:cs="Times New Roman"/>
                      <w:color w:val="auto"/>
                      <w:sz w:val="21"/>
                      <w:szCs w:val="21"/>
                    </w:rPr>
                  </w:pPr>
                </w:p>
              </w:tc>
              <w:tc>
                <w:tcPr>
                  <w:tcW w:w="750" w:type="dxa"/>
                  <w:vMerge w:val="continue"/>
                  <w:shd w:val="clear" w:color="auto" w:fill="auto"/>
                  <w:vAlign w:val="center"/>
                </w:tcPr>
                <w:p w14:paraId="1D843A04">
                  <w:pPr>
                    <w:pStyle w:val="70"/>
                    <w:spacing w:line="240" w:lineRule="auto"/>
                    <w:rPr>
                      <w:rFonts w:hint="default" w:ascii="Times New Roman" w:hAnsi="Times New Roman" w:eastAsia="宋体" w:cs="Times New Roman"/>
                      <w:color w:val="auto"/>
                      <w:sz w:val="21"/>
                      <w:szCs w:val="21"/>
                      <w:lang w:val="en-US" w:eastAsia="zh-CN"/>
                    </w:rPr>
                  </w:pPr>
                </w:p>
              </w:tc>
              <w:tc>
                <w:tcPr>
                  <w:tcW w:w="1064" w:type="dxa"/>
                  <w:shd w:val="clear" w:color="auto" w:fill="auto"/>
                  <w:vAlign w:val="center"/>
                </w:tcPr>
                <w:p w14:paraId="6115B5A4">
                  <w:pPr>
                    <w:pStyle w:val="70"/>
                    <w:spacing w:line="240" w:lineRule="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生活污水</w:t>
                  </w:r>
                  <w:r>
                    <w:rPr>
                      <w:rFonts w:hint="eastAsia" w:cs="Times New Roman"/>
                      <w:color w:val="auto"/>
                      <w:sz w:val="21"/>
                      <w:szCs w:val="21"/>
                      <w:lang w:val="en-US" w:eastAsia="zh-CN"/>
                    </w:rPr>
                    <w:t>、纯水制备浓水</w:t>
                  </w:r>
                </w:p>
              </w:tc>
              <w:tc>
                <w:tcPr>
                  <w:tcW w:w="2509" w:type="dxa"/>
                  <w:shd w:val="clear" w:color="auto" w:fill="auto"/>
                  <w:vAlign w:val="center"/>
                </w:tcPr>
                <w:p w14:paraId="08DEF5C7">
                  <w:pPr>
                    <w:pStyle w:val="70"/>
                    <w:spacing w:line="240" w:lineRule="auto"/>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集成车间西侧，新建1座预处理池（处理能力为50m</w:t>
                  </w:r>
                  <w:r>
                    <w:rPr>
                      <w:rFonts w:hint="eastAsia" w:cs="Times New Roman"/>
                      <w:color w:val="auto"/>
                      <w:sz w:val="21"/>
                      <w:szCs w:val="21"/>
                      <w:vertAlign w:val="superscript"/>
                      <w:lang w:val="en-US" w:eastAsia="zh-CN"/>
                    </w:rPr>
                    <w:t>3</w:t>
                  </w:r>
                  <w:r>
                    <w:rPr>
                      <w:rFonts w:hint="eastAsia" w:cs="Times New Roman"/>
                      <w:color w:val="auto"/>
                      <w:sz w:val="21"/>
                      <w:szCs w:val="21"/>
                      <w:lang w:val="en-US" w:eastAsia="zh-CN"/>
                    </w:rPr>
                    <w:t>），</w:t>
                  </w:r>
                  <w:r>
                    <w:rPr>
                      <w:rFonts w:hint="default" w:ascii="Times New Roman" w:hAnsi="Times New Roman" w:eastAsia="宋体" w:cs="Times New Roman"/>
                      <w:color w:val="auto"/>
                      <w:sz w:val="21"/>
                      <w:szCs w:val="21"/>
                      <w:lang w:val="en-US" w:eastAsia="zh-CN"/>
                    </w:rPr>
                    <w:t>办公生活污水</w:t>
                  </w:r>
                  <w:r>
                    <w:rPr>
                      <w:rFonts w:hint="eastAsia" w:cs="Times New Roman"/>
                      <w:color w:val="auto"/>
                      <w:sz w:val="21"/>
                      <w:szCs w:val="21"/>
                      <w:lang w:val="en-US" w:eastAsia="zh-CN"/>
                    </w:rPr>
                    <w:t>、纯水制备浓水</w:t>
                  </w:r>
                  <w:r>
                    <w:rPr>
                      <w:rFonts w:hint="default" w:ascii="Times New Roman" w:hAnsi="Times New Roman" w:eastAsia="宋体" w:cs="Times New Roman"/>
                      <w:color w:val="auto"/>
                      <w:sz w:val="21"/>
                      <w:szCs w:val="21"/>
                      <w:lang w:val="en-US" w:eastAsia="zh-CN"/>
                    </w:rPr>
                    <w:t>经预处理池处理后</w:t>
                  </w:r>
                  <w:r>
                    <w:rPr>
                      <w:rFonts w:hint="eastAsia" w:ascii="Times New Roman" w:hAnsi="Times New Roman" w:eastAsia="宋体" w:cs="Times New Roman"/>
                      <w:color w:val="auto"/>
                      <w:sz w:val="21"/>
                      <w:szCs w:val="21"/>
                      <w:lang w:val="en-US" w:eastAsia="zh-CN"/>
                    </w:rPr>
                    <w:t>进入园区管网排入巴中经开区污水处理厂处理</w:t>
                  </w:r>
                  <w:r>
                    <w:rPr>
                      <w:rFonts w:hint="default" w:ascii="Times New Roman" w:hAnsi="Times New Roman" w:eastAsia="宋体" w:cs="Times New Roman"/>
                      <w:color w:val="auto"/>
                      <w:sz w:val="21"/>
                      <w:szCs w:val="21"/>
                      <w:lang w:val="en-US" w:eastAsia="zh-CN"/>
                    </w:rPr>
                    <w:t>。</w:t>
                  </w:r>
                </w:p>
              </w:tc>
              <w:tc>
                <w:tcPr>
                  <w:tcW w:w="927" w:type="dxa"/>
                  <w:vMerge w:val="continue"/>
                  <w:vAlign w:val="center"/>
                </w:tcPr>
                <w:p w14:paraId="165A62F4">
                  <w:pPr>
                    <w:pStyle w:val="70"/>
                    <w:spacing w:line="240" w:lineRule="auto"/>
                    <w:rPr>
                      <w:rFonts w:hint="eastAsia" w:ascii="Times New Roman" w:hAnsi="Times New Roman" w:eastAsia="宋体" w:cs="Times New Roman"/>
                      <w:color w:val="auto"/>
                      <w:sz w:val="21"/>
                      <w:szCs w:val="21"/>
                    </w:rPr>
                  </w:pPr>
                </w:p>
              </w:tc>
              <w:tc>
                <w:tcPr>
                  <w:tcW w:w="981" w:type="dxa"/>
                  <w:vAlign w:val="center"/>
                </w:tcPr>
                <w:p w14:paraId="0831B065">
                  <w:pPr>
                    <w:pStyle w:val="70"/>
                    <w:spacing w:line="240" w:lineRule="auto"/>
                    <w:rPr>
                      <w:rFonts w:hint="eastAsia"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污泥</w:t>
                  </w:r>
                </w:p>
              </w:tc>
              <w:tc>
                <w:tcPr>
                  <w:tcW w:w="733" w:type="dxa"/>
                  <w:vAlign w:val="center"/>
                </w:tcPr>
                <w:p w14:paraId="370A6679">
                  <w:pPr>
                    <w:pStyle w:val="70"/>
                    <w:spacing w:line="240" w:lineRule="auto"/>
                    <w:rPr>
                      <w:rFonts w:hint="eastAsia"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新建</w:t>
                  </w:r>
                </w:p>
              </w:tc>
            </w:tr>
            <w:tr w14:paraId="639D7D5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72" w:hRule="atLeast"/>
              </w:trPr>
              <w:tc>
                <w:tcPr>
                  <w:tcW w:w="790" w:type="dxa"/>
                  <w:vMerge w:val="continue"/>
                  <w:vAlign w:val="center"/>
                </w:tcPr>
                <w:p w14:paraId="19F8DB81">
                  <w:pPr>
                    <w:pStyle w:val="70"/>
                    <w:spacing w:line="240" w:lineRule="auto"/>
                    <w:rPr>
                      <w:rFonts w:hint="eastAsia" w:ascii="Times New Roman" w:hAnsi="Times New Roman" w:eastAsia="宋体" w:cs="Times New Roman"/>
                      <w:color w:val="auto"/>
                      <w:sz w:val="21"/>
                      <w:szCs w:val="21"/>
                    </w:rPr>
                  </w:pPr>
                </w:p>
              </w:tc>
              <w:tc>
                <w:tcPr>
                  <w:tcW w:w="750" w:type="dxa"/>
                  <w:vMerge w:val="restart"/>
                  <w:shd w:val="clear" w:color="auto" w:fill="auto"/>
                  <w:vAlign w:val="center"/>
                </w:tcPr>
                <w:p w14:paraId="6B4F390F">
                  <w:pPr>
                    <w:keepNext w:val="0"/>
                    <w:keepLines w:val="0"/>
                    <w:pageBreakBefore w:val="0"/>
                    <w:widowControl w:val="0"/>
                    <w:kinsoku/>
                    <w:wordWrap/>
                    <w:overflowPunct/>
                    <w:topLinePunct w:val="0"/>
                    <w:bidi w:val="0"/>
                    <w:adjustRightInd/>
                    <w:snapToGrid/>
                    <w:spacing w:line="240" w:lineRule="auto"/>
                    <w:ind w:firstLine="0" w:firstLineChars="0"/>
                    <w:jc w:val="center"/>
                    <w:textAlignment w:val="baseline"/>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kern w:val="0"/>
                      <w:sz w:val="21"/>
                      <w:szCs w:val="21"/>
                      <w:lang w:val="en-US" w:eastAsia="zh-CN" w:bidi="ar-SA"/>
                    </w:rPr>
                    <w:t>废气治理</w:t>
                  </w:r>
                </w:p>
              </w:tc>
              <w:tc>
                <w:tcPr>
                  <w:tcW w:w="1064" w:type="dxa"/>
                  <w:shd w:val="clear" w:color="auto" w:fill="auto"/>
                  <w:vAlign w:val="center"/>
                </w:tcPr>
                <w:p w14:paraId="0E9EE047">
                  <w:pPr>
                    <w:keepNext w:val="0"/>
                    <w:keepLines w:val="0"/>
                    <w:pageBreakBefore w:val="0"/>
                    <w:widowControl w:val="0"/>
                    <w:kinsoku/>
                    <w:wordWrap/>
                    <w:overflowPunct/>
                    <w:topLinePunct w:val="0"/>
                    <w:bidi w:val="0"/>
                    <w:adjustRightInd/>
                    <w:snapToGrid/>
                    <w:spacing w:line="240" w:lineRule="auto"/>
                    <w:ind w:firstLine="0" w:firstLineChars="0"/>
                    <w:jc w:val="center"/>
                    <w:rPr>
                      <w:rFonts w:hint="default" w:ascii="Times New Roman" w:hAnsi="Times New Roman" w:eastAsia="宋体" w:cs="Times New Roman"/>
                      <w:color w:val="auto"/>
                      <w:kern w:val="0"/>
                      <w:sz w:val="21"/>
                      <w:szCs w:val="21"/>
                      <w:lang w:val="en-US" w:eastAsia="zh-CN" w:bidi="ar-SA"/>
                    </w:rPr>
                  </w:pPr>
                  <w:r>
                    <w:rPr>
                      <w:rFonts w:hint="eastAsia" w:cs="Times New Roman"/>
                      <w:color w:val="auto"/>
                      <w:kern w:val="0"/>
                      <w:sz w:val="21"/>
                      <w:szCs w:val="21"/>
                      <w:lang w:val="en-US" w:eastAsia="zh-CN" w:bidi="ar-SA"/>
                    </w:rPr>
                    <w:t>投料粉尘</w:t>
                  </w:r>
                </w:p>
              </w:tc>
              <w:tc>
                <w:tcPr>
                  <w:tcW w:w="2509" w:type="dxa"/>
                  <w:shd w:val="clear" w:color="auto" w:fill="auto"/>
                  <w:vAlign w:val="center"/>
                </w:tcPr>
                <w:p w14:paraId="3264B8C0">
                  <w:pPr>
                    <w:keepNext w:val="0"/>
                    <w:keepLines w:val="0"/>
                    <w:pageBreakBefore w:val="0"/>
                    <w:widowControl w:val="0"/>
                    <w:kinsoku/>
                    <w:wordWrap/>
                    <w:overflowPunct/>
                    <w:topLinePunct w:val="0"/>
                    <w:bidi w:val="0"/>
                    <w:adjustRightInd/>
                    <w:snapToGrid/>
                    <w:spacing w:line="240" w:lineRule="auto"/>
                    <w:ind w:firstLine="0" w:firstLineChars="0"/>
                    <w:rPr>
                      <w:rFonts w:hint="default" w:ascii="Times New Roman" w:hAnsi="Times New Roman" w:eastAsia="宋体" w:cs="Times New Roman"/>
                      <w:color w:val="auto"/>
                      <w:kern w:val="0"/>
                      <w:sz w:val="21"/>
                      <w:szCs w:val="21"/>
                      <w:lang w:val="en-US" w:eastAsia="zh-CN" w:bidi="ar-SA"/>
                    </w:rPr>
                  </w:pPr>
                  <w:r>
                    <w:rPr>
                      <w:rFonts w:hint="eastAsia" w:cs="Times New Roman"/>
                      <w:color w:val="auto"/>
                      <w:kern w:val="0"/>
                      <w:sz w:val="21"/>
                      <w:szCs w:val="21"/>
                      <w:lang w:val="en-US" w:eastAsia="zh-CN" w:bidi="ar-SA"/>
                    </w:rPr>
                    <w:t>投料产生的粉尘经设备自带除尘装置收集，未收集的粉尘无组织排放</w:t>
                  </w:r>
                </w:p>
              </w:tc>
              <w:tc>
                <w:tcPr>
                  <w:tcW w:w="927" w:type="dxa"/>
                  <w:vMerge w:val="continue"/>
                  <w:vAlign w:val="center"/>
                </w:tcPr>
                <w:p w14:paraId="3E59811A">
                  <w:pPr>
                    <w:pStyle w:val="70"/>
                    <w:spacing w:line="240" w:lineRule="auto"/>
                    <w:rPr>
                      <w:rFonts w:hint="eastAsia" w:ascii="Times New Roman" w:hAnsi="Times New Roman" w:eastAsia="宋体" w:cs="Times New Roman"/>
                      <w:color w:val="auto"/>
                      <w:sz w:val="21"/>
                      <w:szCs w:val="21"/>
                    </w:rPr>
                  </w:pPr>
                </w:p>
              </w:tc>
              <w:tc>
                <w:tcPr>
                  <w:tcW w:w="981" w:type="dxa"/>
                  <w:vMerge w:val="restart"/>
                  <w:vAlign w:val="center"/>
                </w:tcPr>
                <w:p w14:paraId="65CC98AF">
                  <w:pPr>
                    <w:pStyle w:val="70"/>
                    <w:spacing w:line="240" w:lineRule="auto"/>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废气</w:t>
                  </w:r>
                </w:p>
              </w:tc>
              <w:tc>
                <w:tcPr>
                  <w:tcW w:w="733" w:type="dxa"/>
                  <w:vAlign w:val="center"/>
                </w:tcPr>
                <w:p w14:paraId="71C95C14">
                  <w:pPr>
                    <w:pStyle w:val="70"/>
                    <w:spacing w:line="240" w:lineRule="auto"/>
                    <w:rPr>
                      <w:rFonts w:hint="eastAsia"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新建</w:t>
                  </w:r>
                </w:p>
              </w:tc>
            </w:tr>
            <w:tr w14:paraId="22B7F0A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72" w:hRule="atLeast"/>
              </w:trPr>
              <w:tc>
                <w:tcPr>
                  <w:tcW w:w="790" w:type="dxa"/>
                  <w:vMerge w:val="continue"/>
                  <w:vAlign w:val="center"/>
                </w:tcPr>
                <w:p w14:paraId="780A4447">
                  <w:pPr>
                    <w:pStyle w:val="70"/>
                    <w:spacing w:line="240" w:lineRule="auto"/>
                    <w:rPr>
                      <w:rFonts w:hint="eastAsia" w:ascii="Times New Roman" w:hAnsi="Times New Roman" w:eastAsia="宋体" w:cs="Times New Roman"/>
                      <w:color w:val="auto"/>
                      <w:sz w:val="21"/>
                      <w:szCs w:val="21"/>
                    </w:rPr>
                  </w:pPr>
                </w:p>
              </w:tc>
              <w:tc>
                <w:tcPr>
                  <w:tcW w:w="750" w:type="dxa"/>
                  <w:vMerge w:val="continue"/>
                  <w:shd w:val="clear" w:color="auto" w:fill="auto"/>
                  <w:vAlign w:val="center"/>
                </w:tcPr>
                <w:p w14:paraId="093333C4">
                  <w:pPr>
                    <w:keepNext w:val="0"/>
                    <w:keepLines w:val="0"/>
                    <w:pageBreakBefore w:val="0"/>
                    <w:widowControl w:val="0"/>
                    <w:kinsoku/>
                    <w:wordWrap/>
                    <w:overflowPunct/>
                    <w:topLinePunct w:val="0"/>
                    <w:bidi w:val="0"/>
                    <w:adjustRightInd/>
                    <w:snapToGrid/>
                    <w:spacing w:line="240" w:lineRule="auto"/>
                    <w:ind w:firstLine="0" w:firstLineChars="0"/>
                    <w:jc w:val="center"/>
                    <w:textAlignment w:val="baseline"/>
                    <w:rPr>
                      <w:rFonts w:hint="default" w:ascii="Times New Roman" w:hAnsi="Times New Roman" w:eastAsia="宋体" w:cs="Times New Roman"/>
                      <w:color w:val="auto"/>
                      <w:kern w:val="0"/>
                      <w:sz w:val="21"/>
                      <w:szCs w:val="21"/>
                      <w:lang w:val="en-US" w:eastAsia="zh-CN" w:bidi="ar-SA"/>
                    </w:rPr>
                  </w:pPr>
                </w:p>
              </w:tc>
              <w:tc>
                <w:tcPr>
                  <w:tcW w:w="1064" w:type="dxa"/>
                  <w:shd w:val="clear" w:color="auto" w:fill="auto"/>
                  <w:vAlign w:val="center"/>
                </w:tcPr>
                <w:p w14:paraId="479032B1">
                  <w:pPr>
                    <w:keepNext w:val="0"/>
                    <w:keepLines w:val="0"/>
                    <w:pageBreakBefore w:val="0"/>
                    <w:widowControl w:val="0"/>
                    <w:kinsoku/>
                    <w:wordWrap/>
                    <w:overflowPunct/>
                    <w:topLinePunct w:val="0"/>
                    <w:bidi w:val="0"/>
                    <w:adjustRightInd/>
                    <w:snapToGrid/>
                    <w:spacing w:line="240" w:lineRule="auto"/>
                    <w:ind w:firstLine="0" w:firstLineChars="0"/>
                    <w:jc w:val="center"/>
                    <w:rPr>
                      <w:rFonts w:hint="eastAsia" w:cs="Times New Roman"/>
                      <w:color w:val="auto"/>
                      <w:kern w:val="0"/>
                      <w:sz w:val="21"/>
                      <w:szCs w:val="21"/>
                      <w:lang w:val="en-US" w:eastAsia="zh-CN" w:bidi="ar-SA"/>
                    </w:rPr>
                  </w:pPr>
                  <w:r>
                    <w:rPr>
                      <w:rFonts w:hint="eastAsia" w:cs="Times New Roman"/>
                      <w:color w:val="auto"/>
                      <w:kern w:val="0"/>
                      <w:sz w:val="21"/>
                      <w:szCs w:val="21"/>
                      <w:lang w:val="en-US" w:eastAsia="zh-CN" w:bidi="ar-SA"/>
                    </w:rPr>
                    <w:t>涂布烘干废气</w:t>
                  </w:r>
                </w:p>
              </w:tc>
              <w:tc>
                <w:tcPr>
                  <w:tcW w:w="2509" w:type="dxa"/>
                  <w:shd w:val="clear" w:color="auto" w:fill="auto"/>
                  <w:vAlign w:val="center"/>
                </w:tcPr>
                <w:p w14:paraId="1E4B2F0A">
                  <w:pPr>
                    <w:keepNext w:val="0"/>
                    <w:keepLines w:val="0"/>
                    <w:pageBreakBefore w:val="0"/>
                    <w:widowControl w:val="0"/>
                    <w:kinsoku/>
                    <w:wordWrap/>
                    <w:overflowPunct/>
                    <w:topLinePunct w:val="0"/>
                    <w:bidi w:val="0"/>
                    <w:adjustRightInd/>
                    <w:snapToGrid/>
                    <w:spacing w:line="240" w:lineRule="auto"/>
                    <w:ind w:firstLine="0" w:firstLineChars="0"/>
                    <w:rPr>
                      <w:rFonts w:hint="default" w:cs="Times New Roman"/>
                      <w:color w:val="auto"/>
                      <w:kern w:val="0"/>
                      <w:sz w:val="21"/>
                      <w:szCs w:val="21"/>
                      <w:lang w:val="en-US" w:eastAsia="zh-CN" w:bidi="ar-SA"/>
                    </w:rPr>
                  </w:pPr>
                  <w:r>
                    <w:rPr>
                      <w:rFonts w:hint="eastAsia" w:cs="Times New Roman"/>
                      <w:color w:val="auto"/>
                      <w:kern w:val="0"/>
                      <w:sz w:val="21"/>
                      <w:szCs w:val="21"/>
                      <w:lang w:val="en-US" w:eastAsia="zh-CN" w:bidi="ar-SA"/>
                    </w:rPr>
                    <w:t>经NMP回收装置（TA002）处理后通过30m高排气筒（DA001）排放</w:t>
                  </w:r>
                </w:p>
              </w:tc>
              <w:tc>
                <w:tcPr>
                  <w:tcW w:w="927" w:type="dxa"/>
                  <w:vMerge w:val="continue"/>
                  <w:vAlign w:val="center"/>
                </w:tcPr>
                <w:p w14:paraId="7BFB4B76">
                  <w:pPr>
                    <w:pStyle w:val="70"/>
                    <w:spacing w:line="240" w:lineRule="auto"/>
                    <w:rPr>
                      <w:rFonts w:hint="eastAsia" w:ascii="Times New Roman" w:hAnsi="Times New Roman" w:eastAsia="宋体" w:cs="Times New Roman"/>
                      <w:color w:val="auto"/>
                      <w:sz w:val="21"/>
                      <w:szCs w:val="21"/>
                    </w:rPr>
                  </w:pPr>
                </w:p>
              </w:tc>
              <w:tc>
                <w:tcPr>
                  <w:tcW w:w="981" w:type="dxa"/>
                  <w:vMerge w:val="continue"/>
                  <w:vAlign w:val="center"/>
                </w:tcPr>
                <w:p w14:paraId="1E16375D">
                  <w:pPr>
                    <w:pStyle w:val="70"/>
                    <w:spacing w:line="240" w:lineRule="auto"/>
                    <w:rPr>
                      <w:rFonts w:hint="eastAsia" w:cs="Times New Roman"/>
                      <w:color w:val="auto"/>
                      <w:sz w:val="21"/>
                      <w:szCs w:val="21"/>
                      <w:lang w:val="en-US" w:eastAsia="zh-CN"/>
                    </w:rPr>
                  </w:pPr>
                </w:p>
              </w:tc>
              <w:tc>
                <w:tcPr>
                  <w:tcW w:w="733" w:type="dxa"/>
                  <w:vAlign w:val="center"/>
                </w:tcPr>
                <w:p w14:paraId="2ADC9E03">
                  <w:pPr>
                    <w:pStyle w:val="70"/>
                    <w:spacing w:line="240" w:lineRule="auto"/>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新建</w:t>
                  </w:r>
                </w:p>
              </w:tc>
            </w:tr>
            <w:tr w14:paraId="530D8ED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72" w:hRule="atLeast"/>
              </w:trPr>
              <w:tc>
                <w:tcPr>
                  <w:tcW w:w="790" w:type="dxa"/>
                  <w:vMerge w:val="continue"/>
                  <w:vAlign w:val="center"/>
                </w:tcPr>
                <w:p w14:paraId="47132FF0">
                  <w:pPr>
                    <w:pStyle w:val="70"/>
                    <w:spacing w:line="240" w:lineRule="auto"/>
                    <w:rPr>
                      <w:rFonts w:hint="eastAsia" w:ascii="Times New Roman" w:hAnsi="Times New Roman" w:eastAsia="宋体" w:cs="Times New Roman"/>
                      <w:color w:val="auto"/>
                      <w:sz w:val="21"/>
                      <w:szCs w:val="21"/>
                    </w:rPr>
                  </w:pPr>
                </w:p>
              </w:tc>
              <w:tc>
                <w:tcPr>
                  <w:tcW w:w="750" w:type="dxa"/>
                  <w:vMerge w:val="continue"/>
                  <w:shd w:val="clear" w:color="auto" w:fill="auto"/>
                  <w:vAlign w:val="center"/>
                </w:tcPr>
                <w:p w14:paraId="56F0CBF9">
                  <w:pPr>
                    <w:keepNext w:val="0"/>
                    <w:keepLines w:val="0"/>
                    <w:pageBreakBefore w:val="0"/>
                    <w:widowControl w:val="0"/>
                    <w:kinsoku/>
                    <w:wordWrap/>
                    <w:overflowPunct/>
                    <w:topLinePunct w:val="0"/>
                    <w:bidi w:val="0"/>
                    <w:adjustRightInd/>
                    <w:snapToGrid/>
                    <w:spacing w:line="240" w:lineRule="auto"/>
                    <w:ind w:firstLine="0" w:firstLineChars="0"/>
                    <w:jc w:val="center"/>
                    <w:textAlignment w:val="baseline"/>
                    <w:rPr>
                      <w:rFonts w:hint="default" w:ascii="Times New Roman" w:hAnsi="Times New Roman" w:eastAsia="宋体" w:cs="Times New Roman"/>
                      <w:color w:val="auto"/>
                      <w:kern w:val="0"/>
                      <w:sz w:val="21"/>
                      <w:szCs w:val="21"/>
                      <w:lang w:val="en-US" w:eastAsia="zh-CN" w:bidi="ar-SA"/>
                    </w:rPr>
                  </w:pPr>
                </w:p>
              </w:tc>
              <w:tc>
                <w:tcPr>
                  <w:tcW w:w="1064" w:type="dxa"/>
                  <w:shd w:val="clear" w:color="auto" w:fill="auto"/>
                  <w:vAlign w:val="center"/>
                </w:tcPr>
                <w:p w14:paraId="54C30542">
                  <w:pPr>
                    <w:keepNext w:val="0"/>
                    <w:keepLines w:val="0"/>
                    <w:pageBreakBefore w:val="0"/>
                    <w:widowControl w:val="0"/>
                    <w:kinsoku/>
                    <w:wordWrap/>
                    <w:overflowPunct/>
                    <w:topLinePunct w:val="0"/>
                    <w:bidi w:val="0"/>
                    <w:adjustRightInd/>
                    <w:snapToGrid/>
                    <w:spacing w:line="240" w:lineRule="auto"/>
                    <w:ind w:firstLine="0" w:firstLineChars="0"/>
                    <w:jc w:val="center"/>
                    <w:rPr>
                      <w:rFonts w:hint="default" w:cs="Times New Roman"/>
                      <w:color w:val="auto"/>
                      <w:kern w:val="0"/>
                      <w:sz w:val="21"/>
                      <w:szCs w:val="21"/>
                      <w:lang w:val="en-US" w:eastAsia="zh-CN" w:bidi="ar-SA"/>
                    </w:rPr>
                  </w:pPr>
                  <w:r>
                    <w:rPr>
                      <w:rFonts w:hint="eastAsia" w:cs="Times New Roman"/>
                      <w:color w:val="auto"/>
                      <w:kern w:val="0"/>
                      <w:sz w:val="21"/>
                      <w:szCs w:val="21"/>
                      <w:lang w:val="en-US" w:eastAsia="zh-CN" w:bidi="ar-SA"/>
                    </w:rPr>
                    <w:t>注液废气</w:t>
                  </w:r>
                </w:p>
              </w:tc>
              <w:tc>
                <w:tcPr>
                  <w:tcW w:w="2509" w:type="dxa"/>
                  <w:vMerge w:val="restart"/>
                  <w:shd w:val="clear" w:color="auto" w:fill="auto"/>
                  <w:vAlign w:val="center"/>
                </w:tcPr>
                <w:p w14:paraId="2389E4BE">
                  <w:pPr>
                    <w:keepNext w:val="0"/>
                    <w:keepLines w:val="0"/>
                    <w:pageBreakBefore w:val="0"/>
                    <w:widowControl w:val="0"/>
                    <w:kinsoku/>
                    <w:wordWrap/>
                    <w:overflowPunct/>
                    <w:topLinePunct w:val="0"/>
                    <w:bidi w:val="0"/>
                    <w:adjustRightInd/>
                    <w:snapToGrid/>
                    <w:spacing w:line="240" w:lineRule="auto"/>
                    <w:ind w:firstLine="0" w:firstLineChars="0"/>
                    <w:rPr>
                      <w:rFonts w:hint="default" w:cs="Times New Roman"/>
                      <w:color w:val="auto"/>
                      <w:kern w:val="0"/>
                      <w:sz w:val="21"/>
                      <w:szCs w:val="21"/>
                      <w:lang w:val="en-US" w:eastAsia="zh-CN" w:bidi="ar-SA"/>
                    </w:rPr>
                  </w:pPr>
                  <w:r>
                    <w:rPr>
                      <w:rFonts w:hint="eastAsia" w:cs="Times New Roman"/>
                      <w:color w:val="auto"/>
                      <w:kern w:val="0"/>
                      <w:sz w:val="21"/>
                      <w:szCs w:val="21"/>
                      <w:lang w:val="en-US" w:eastAsia="zh-CN" w:bidi="ar-SA"/>
                    </w:rPr>
                    <w:t>二级活性炭（TA003）处理后通过30m高排气筒（DA002）排放</w:t>
                  </w:r>
                </w:p>
              </w:tc>
              <w:tc>
                <w:tcPr>
                  <w:tcW w:w="927" w:type="dxa"/>
                  <w:vMerge w:val="continue"/>
                  <w:vAlign w:val="center"/>
                </w:tcPr>
                <w:p w14:paraId="61749294">
                  <w:pPr>
                    <w:pStyle w:val="70"/>
                    <w:spacing w:line="240" w:lineRule="auto"/>
                    <w:rPr>
                      <w:rFonts w:hint="eastAsia" w:ascii="Times New Roman" w:hAnsi="Times New Roman" w:eastAsia="宋体" w:cs="Times New Roman"/>
                      <w:color w:val="auto"/>
                      <w:sz w:val="21"/>
                      <w:szCs w:val="21"/>
                    </w:rPr>
                  </w:pPr>
                </w:p>
              </w:tc>
              <w:tc>
                <w:tcPr>
                  <w:tcW w:w="981" w:type="dxa"/>
                  <w:vMerge w:val="continue"/>
                  <w:vAlign w:val="center"/>
                </w:tcPr>
                <w:p w14:paraId="6AA48AAB">
                  <w:pPr>
                    <w:pStyle w:val="70"/>
                    <w:spacing w:line="240" w:lineRule="auto"/>
                    <w:rPr>
                      <w:rFonts w:hint="eastAsia" w:cs="Times New Roman"/>
                      <w:color w:val="auto"/>
                      <w:sz w:val="21"/>
                      <w:szCs w:val="21"/>
                      <w:lang w:val="en-US" w:eastAsia="zh-CN"/>
                    </w:rPr>
                  </w:pPr>
                </w:p>
              </w:tc>
              <w:tc>
                <w:tcPr>
                  <w:tcW w:w="733" w:type="dxa"/>
                  <w:vAlign w:val="center"/>
                </w:tcPr>
                <w:p w14:paraId="517CCECA">
                  <w:pPr>
                    <w:spacing w:line="240" w:lineRule="auto"/>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新建</w:t>
                  </w:r>
                </w:p>
              </w:tc>
            </w:tr>
            <w:tr w14:paraId="1F0B44B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72" w:hRule="atLeast"/>
              </w:trPr>
              <w:tc>
                <w:tcPr>
                  <w:tcW w:w="790" w:type="dxa"/>
                  <w:vMerge w:val="continue"/>
                  <w:vAlign w:val="center"/>
                </w:tcPr>
                <w:p w14:paraId="1C8803A8">
                  <w:pPr>
                    <w:pStyle w:val="70"/>
                    <w:spacing w:line="240" w:lineRule="auto"/>
                    <w:rPr>
                      <w:rFonts w:hint="eastAsia" w:ascii="Times New Roman" w:hAnsi="Times New Roman" w:eastAsia="宋体" w:cs="Times New Roman"/>
                      <w:color w:val="auto"/>
                      <w:sz w:val="21"/>
                      <w:szCs w:val="21"/>
                    </w:rPr>
                  </w:pPr>
                </w:p>
              </w:tc>
              <w:tc>
                <w:tcPr>
                  <w:tcW w:w="750" w:type="dxa"/>
                  <w:vMerge w:val="continue"/>
                  <w:shd w:val="clear" w:color="auto" w:fill="auto"/>
                  <w:vAlign w:val="center"/>
                </w:tcPr>
                <w:p w14:paraId="2607E1E1">
                  <w:pPr>
                    <w:keepNext w:val="0"/>
                    <w:keepLines w:val="0"/>
                    <w:pageBreakBefore w:val="0"/>
                    <w:widowControl w:val="0"/>
                    <w:kinsoku/>
                    <w:wordWrap/>
                    <w:overflowPunct/>
                    <w:topLinePunct w:val="0"/>
                    <w:bidi w:val="0"/>
                    <w:adjustRightInd/>
                    <w:snapToGrid/>
                    <w:spacing w:line="240" w:lineRule="auto"/>
                    <w:ind w:firstLine="0" w:firstLineChars="0"/>
                    <w:jc w:val="center"/>
                    <w:textAlignment w:val="baseline"/>
                    <w:rPr>
                      <w:rFonts w:hint="default" w:ascii="Times New Roman" w:hAnsi="Times New Roman" w:eastAsia="宋体" w:cs="Times New Roman"/>
                      <w:color w:val="auto"/>
                      <w:kern w:val="0"/>
                      <w:sz w:val="21"/>
                      <w:szCs w:val="21"/>
                      <w:lang w:val="en-US" w:eastAsia="zh-CN" w:bidi="ar-SA"/>
                    </w:rPr>
                  </w:pPr>
                </w:p>
              </w:tc>
              <w:tc>
                <w:tcPr>
                  <w:tcW w:w="1064" w:type="dxa"/>
                  <w:shd w:val="clear" w:color="auto" w:fill="auto"/>
                  <w:vAlign w:val="center"/>
                </w:tcPr>
                <w:p w14:paraId="6CF0F658">
                  <w:pPr>
                    <w:keepNext w:val="0"/>
                    <w:keepLines w:val="0"/>
                    <w:pageBreakBefore w:val="0"/>
                    <w:widowControl w:val="0"/>
                    <w:kinsoku/>
                    <w:wordWrap/>
                    <w:overflowPunct/>
                    <w:topLinePunct w:val="0"/>
                    <w:bidi w:val="0"/>
                    <w:adjustRightInd/>
                    <w:snapToGrid/>
                    <w:spacing w:line="240" w:lineRule="auto"/>
                    <w:ind w:firstLine="0" w:firstLineChars="0"/>
                    <w:jc w:val="center"/>
                    <w:rPr>
                      <w:rFonts w:hint="default" w:cs="Times New Roman"/>
                      <w:color w:val="auto"/>
                      <w:kern w:val="0"/>
                      <w:sz w:val="21"/>
                      <w:szCs w:val="21"/>
                      <w:lang w:val="en-US" w:eastAsia="zh-CN" w:bidi="ar-SA"/>
                    </w:rPr>
                  </w:pPr>
                  <w:r>
                    <w:rPr>
                      <w:rFonts w:hint="eastAsia" w:cs="Times New Roman"/>
                      <w:color w:val="auto"/>
                      <w:kern w:val="0"/>
                      <w:sz w:val="21"/>
                      <w:szCs w:val="21"/>
                      <w:lang w:val="en-US" w:eastAsia="zh-CN" w:bidi="ar-SA"/>
                    </w:rPr>
                    <w:t>二封废气</w:t>
                  </w:r>
                </w:p>
              </w:tc>
              <w:tc>
                <w:tcPr>
                  <w:tcW w:w="2509" w:type="dxa"/>
                  <w:vMerge w:val="continue"/>
                  <w:shd w:val="clear" w:color="auto" w:fill="auto"/>
                  <w:vAlign w:val="center"/>
                </w:tcPr>
                <w:p w14:paraId="3BAC1EC3">
                  <w:pPr>
                    <w:keepNext w:val="0"/>
                    <w:keepLines w:val="0"/>
                    <w:pageBreakBefore w:val="0"/>
                    <w:widowControl w:val="0"/>
                    <w:kinsoku/>
                    <w:wordWrap/>
                    <w:overflowPunct/>
                    <w:topLinePunct w:val="0"/>
                    <w:bidi w:val="0"/>
                    <w:adjustRightInd/>
                    <w:snapToGrid/>
                    <w:spacing w:line="240" w:lineRule="auto"/>
                    <w:ind w:firstLine="0" w:firstLineChars="0"/>
                    <w:rPr>
                      <w:rFonts w:hint="eastAsia" w:cs="Times New Roman"/>
                      <w:color w:val="auto"/>
                      <w:kern w:val="0"/>
                      <w:sz w:val="21"/>
                      <w:szCs w:val="21"/>
                      <w:lang w:val="en-US" w:eastAsia="zh-CN" w:bidi="ar-SA"/>
                    </w:rPr>
                  </w:pPr>
                </w:p>
              </w:tc>
              <w:tc>
                <w:tcPr>
                  <w:tcW w:w="927" w:type="dxa"/>
                  <w:vMerge w:val="continue"/>
                  <w:vAlign w:val="center"/>
                </w:tcPr>
                <w:p w14:paraId="7F0087ED">
                  <w:pPr>
                    <w:pStyle w:val="70"/>
                    <w:spacing w:line="240" w:lineRule="auto"/>
                    <w:rPr>
                      <w:rFonts w:hint="eastAsia" w:ascii="Times New Roman" w:hAnsi="Times New Roman" w:eastAsia="宋体" w:cs="Times New Roman"/>
                      <w:color w:val="auto"/>
                      <w:sz w:val="21"/>
                      <w:szCs w:val="21"/>
                    </w:rPr>
                  </w:pPr>
                </w:p>
              </w:tc>
              <w:tc>
                <w:tcPr>
                  <w:tcW w:w="981" w:type="dxa"/>
                  <w:vMerge w:val="continue"/>
                  <w:vAlign w:val="center"/>
                </w:tcPr>
                <w:p w14:paraId="6E10BD07">
                  <w:pPr>
                    <w:pStyle w:val="70"/>
                    <w:spacing w:line="240" w:lineRule="auto"/>
                    <w:rPr>
                      <w:rFonts w:hint="eastAsia" w:cs="Times New Roman"/>
                      <w:color w:val="auto"/>
                      <w:sz w:val="21"/>
                      <w:szCs w:val="21"/>
                      <w:lang w:val="en-US" w:eastAsia="zh-CN"/>
                    </w:rPr>
                  </w:pPr>
                </w:p>
              </w:tc>
              <w:tc>
                <w:tcPr>
                  <w:tcW w:w="733" w:type="dxa"/>
                  <w:vAlign w:val="center"/>
                </w:tcPr>
                <w:p w14:paraId="21D7248B">
                  <w:pPr>
                    <w:spacing w:line="240" w:lineRule="auto"/>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新建</w:t>
                  </w:r>
                </w:p>
              </w:tc>
            </w:tr>
            <w:tr w14:paraId="1B9D30F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72" w:hRule="atLeast"/>
              </w:trPr>
              <w:tc>
                <w:tcPr>
                  <w:tcW w:w="790" w:type="dxa"/>
                  <w:vMerge w:val="continue"/>
                  <w:vAlign w:val="center"/>
                </w:tcPr>
                <w:p w14:paraId="3C08A942">
                  <w:pPr>
                    <w:pStyle w:val="70"/>
                    <w:spacing w:line="240" w:lineRule="auto"/>
                    <w:rPr>
                      <w:rFonts w:hint="eastAsia" w:ascii="Times New Roman" w:hAnsi="Times New Roman" w:eastAsia="宋体" w:cs="Times New Roman"/>
                      <w:color w:val="auto"/>
                      <w:sz w:val="21"/>
                      <w:szCs w:val="21"/>
                    </w:rPr>
                  </w:pPr>
                </w:p>
              </w:tc>
              <w:tc>
                <w:tcPr>
                  <w:tcW w:w="750" w:type="dxa"/>
                  <w:vMerge w:val="continue"/>
                  <w:shd w:val="clear" w:color="auto" w:fill="auto"/>
                  <w:vAlign w:val="center"/>
                </w:tcPr>
                <w:p w14:paraId="4F629B9A">
                  <w:pPr>
                    <w:keepNext w:val="0"/>
                    <w:keepLines w:val="0"/>
                    <w:pageBreakBefore w:val="0"/>
                    <w:widowControl w:val="0"/>
                    <w:kinsoku/>
                    <w:wordWrap/>
                    <w:overflowPunct/>
                    <w:topLinePunct w:val="0"/>
                    <w:bidi w:val="0"/>
                    <w:adjustRightInd/>
                    <w:snapToGrid/>
                    <w:spacing w:line="240" w:lineRule="auto"/>
                    <w:ind w:firstLine="0" w:firstLineChars="0"/>
                    <w:jc w:val="center"/>
                    <w:textAlignment w:val="baseline"/>
                    <w:rPr>
                      <w:rFonts w:hint="default" w:ascii="Times New Roman" w:hAnsi="Times New Roman" w:eastAsia="宋体" w:cs="Times New Roman"/>
                      <w:color w:val="auto"/>
                      <w:kern w:val="0"/>
                      <w:sz w:val="21"/>
                      <w:szCs w:val="21"/>
                      <w:lang w:val="en-US" w:eastAsia="zh-CN" w:bidi="ar-SA"/>
                    </w:rPr>
                  </w:pPr>
                </w:p>
              </w:tc>
              <w:tc>
                <w:tcPr>
                  <w:tcW w:w="1064" w:type="dxa"/>
                  <w:shd w:val="clear" w:color="auto" w:fill="auto"/>
                  <w:vAlign w:val="center"/>
                </w:tcPr>
                <w:p w14:paraId="3760A984">
                  <w:pPr>
                    <w:keepNext w:val="0"/>
                    <w:keepLines w:val="0"/>
                    <w:pageBreakBefore w:val="0"/>
                    <w:widowControl w:val="0"/>
                    <w:kinsoku/>
                    <w:wordWrap/>
                    <w:overflowPunct/>
                    <w:topLinePunct w:val="0"/>
                    <w:bidi w:val="0"/>
                    <w:adjustRightInd/>
                    <w:snapToGrid/>
                    <w:spacing w:line="240" w:lineRule="auto"/>
                    <w:ind w:firstLine="0" w:firstLineChars="0"/>
                    <w:jc w:val="center"/>
                    <w:rPr>
                      <w:rFonts w:hint="default" w:cs="Times New Roman"/>
                      <w:color w:val="auto"/>
                      <w:kern w:val="0"/>
                      <w:sz w:val="21"/>
                      <w:szCs w:val="21"/>
                      <w:lang w:val="en-US" w:eastAsia="zh-CN" w:bidi="ar-SA"/>
                    </w:rPr>
                  </w:pPr>
                  <w:r>
                    <w:rPr>
                      <w:rFonts w:hint="eastAsia" w:cs="Times New Roman"/>
                      <w:color w:val="auto"/>
                      <w:kern w:val="0"/>
                      <w:sz w:val="21"/>
                      <w:szCs w:val="21"/>
                      <w:lang w:val="en-US" w:eastAsia="zh-CN" w:bidi="ar-SA"/>
                    </w:rPr>
                    <w:t>封边废气</w:t>
                  </w:r>
                </w:p>
              </w:tc>
              <w:tc>
                <w:tcPr>
                  <w:tcW w:w="2509" w:type="dxa"/>
                  <w:vMerge w:val="continue"/>
                  <w:shd w:val="clear" w:color="auto" w:fill="auto"/>
                  <w:vAlign w:val="center"/>
                </w:tcPr>
                <w:p w14:paraId="5D7D46D9">
                  <w:pPr>
                    <w:keepNext w:val="0"/>
                    <w:keepLines w:val="0"/>
                    <w:pageBreakBefore w:val="0"/>
                    <w:widowControl w:val="0"/>
                    <w:kinsoku/>
                    <w:wordWrap/>
                    <w:overflowPunct/>
                    <w:topLinePunct w:val="0"/>
                    <w:bidi w:val="0"/>
                    <w:adjustRightInd/>
                    <w:snapToGrid/>
                    <w:spacing w:line="240" w:lineRule="auto"/>
                    <w:ind w:firstLine="0" w:firstLineChars="0"/>
                    <w:rPr>
                      <w:rFonts w:hint="default" w:cs="Times New Roman"/>
                      <w:color w:val="auto"/>
                      <w:kern w:val="0"/>
                      <w:sz w:val="21"/>
                      <w:szCs w:val="21"/>
                      <w:lang w:val="en-US" w:eastAsia="zh-CN" w:bidi="ar-SA"/>
                    </w:rPr>
                  </w:pPr>
                </w:p>
              </w:tc>
              <w:tc>
                <w:tcPr>
                  <w:tcW w:w="927" w:type="dxa"/>
                  <w:vMerge w:val="continue"/>
                  <w:vAlign w:val="center"/>
                </w:tcPr>
                <w:p w14:paraId="600CCE04">
                  <w:pPr>
                    <w:pStyle w:val="70"/>
                    <w:spacing w:line="240" w:lineRule="auto"/>
                    <w:rPr>
                      <w:rFonts w:hint="eastAsia" w:ascii="Times New Roman" w:hAnsi="Times New Roman" w:eastAsia="宋体" w:cs="Times New Roman"/>
                      <w:color w:val="auto"/>
                      <w:sz w:val="21"/>
                      <w:szCs w:val="21"/>
                    </w:rPr>
                  </w:pPr>
                </w:p>
              </w:tc>
              <w:tc>
                <w:tcPr>
                  <w:tcW w:w="981" w:type="dxa"/>
                  <w:vMerge w:val="continue"/>
                  <w:vAlign w:val="center"/>
                </w:tcPr>
                <w:p w14:paraId="792B03CF">
                  <w:pPr>
                    <w:pStyle w:val="70"/>
                    <w:spacing w:line="240" w:lineRule="auto"/>
                    <w:rPr>
                      <w:rFonts w:hint="eastAsia" w:cs="Times New Roman"/>
                      <w:color w:val="auto"/>
                      <w:sz w:val="21"/>
                      <w:szCs w:val="21"/>
                      <w:lang w:val="en-US" w:eastAsia="zh-CN"/>
                    </w:rPr>
                  </w:pPr>
                </w:p>
              </w:tc>
              <w:tc>
                <w:tcPr>
                  <w:tcW w:w="733" w:type="dxa"/>
                  <w:vAlign w:val="center"/>
                </w:tcPr>
                <w:p w14:paraId="67B9EFFF">
                  <w:pPr>
                    <w:spacing w:line="240" w:lineRule="auto"/>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新建</w:t>
                  </w:r>
                </w:p>
              </w:tc>
            </w:tr>
            <w:tr w14:paraId="41C29D3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72" w:hRule="atLeast"/>
              </w:trPr>
              <w:tc>
                <w:tcPr>
                  <w:tcW w:w="790" w:type="dxa"/>
                  <w:vMerge w:val="continue"/>
                  <w:vAlign w:val="center"/>
                </w:tcPr>
                <w:p w14:paraId="2E437A1B">
                  <w:pPr>
                    <w:pStyle w:val="70"/>
                    <w:spacing w:line="240" w:lineRule="auto"/>
                    <w:rPr>
                      <w:rFonts w:hint="eastAsia" w:ascii="Times New Roman" w:hAnsi="Times New Roman" w:eastAsia="宋体" w:cs="Times New Roman"/>
                      <w:color w:val="auto"/>
                      <w:sz w:val="21"/>
                      <w:szCs w:val="21"/>
                    </w:rPr>
                  </w:pPr>
                </w:p>
              </w:tc>
              <w:tc>
                <w:tcPr>
                  <w:tcW w:w="750" w:type="dxa"/>
                  <w:vMerge w:val="continue"/>
                  <w:shd w:val="clear" w:color="auto" w:fill="auto"/>
                  <w:vAlign w:val="center"/>
                </w:tcPr>
                <w:p w14:paraId="79925B3F">
                  <w:pPr>
                    <w:keepNext w:val="0"/>
                    <w:keepLines w:val="0"/>
                    <w:pageBreakBefore w:val="0"/>
                    <w:widowControl w:val="0"/>
                    <w:kinsoku/>
                    <w:wordWrap/>
                    <w:overflowPunct/>
                    <w:topLinePunct w:val="0"/>
                    <w:bidi w:val="0"/>
                    <w:adjustRightInd/>
                    <w:snapToGrid/>
                    <w:spacing w:line="240" w:lineRule="auto"/>
                    <w:ind w:firstLine="0" w:firstLineChars="0"/>
                    <w:jc w:val="center"/>
                    <w:textAlignment w:val="baseline"/>
                    <w:rPr>
                      <w:rFonts w:hint="default" w:ascii="Times New Roman" w:hAnsi="Times New Roman" w:eastAsia="宋体" w:cs="Times New Roman"/>
                      <w:color w:val="auto"/>
                      <w:kern w:val="0"/>
                      <w:sz w:val="21"/>
                      <w:szCs w:val="21"/>
                      <w:lang w:val="en-US" w:eastAsia="zh-CN" w:bidi="ar-SA"/>
                    </w:rPr>
                  </w:pPr>
                </w:p>
              </w:tc>
              <w:tc>
                <w:tcPr>
                  <w:tcW w:w="1064" w:type="dxa"/>
                  <w:shd w:val="clear" w:color="auto" w:fill="auto"/>
                  <w:vAlign w:val="center"/>
                </w:tcPr>
                <w:p w14:paraId="548A5F45">
                  <w:pPr>
                    <w:keepNext w:val="0"/>
                    <w:keepLines w:val="0"/>
                    <w:pageBreakBefore w:val="0"/>
                    <w:widowControl w:val="0"/>
                    <w:kinsoku/>
                    <w:wordWrap/>
                    <w:overflowPunct/>
                    <w:topLinePunct w:val="0"/>
                    <w:bidi w:val="0"/>
                    <w:adjustRightInd/>
                    <w:snapToGrid/>
                    <w:spacing w:line="240" w:lineRule="auto"/>
                    <w:ind w:firstLine="0" w:firstLineChars="0"/>
                    <w:jc w:val="center"/>
                    <w:rPr>
                      <w:rFonts w:hint="default" w:cs="Times New Roman"/>
                      <w:color w:val="auto"/>
                      <w:kern w:val="0"/>
                      <w:sz w:val="21"/>
                      <w:szCs w:val="21"/>
                      <w:lang w:val="en-US" w:eastAsia="zh-CN" w:bidi="ar-SA"/>
                    </w:rPr>
                  </w:pPr>
                  <w:r>
                    <w:rPr>
                      <w:rFonts w:hint="eastAsia" w:cs="Times New Roman"/>
                      <w:color w:val="auto"/>
                      <w:kern w:val="0"/>
                      <w:sz w:val="21"/>
                      <w:szCs w:val="21"/>
                      <w:lang w:val="en-US" w:eastAsia="zh-CN" w:bidi="ar-SA"/>
                    </w:rPr>
                    <w:t>拆解废气</w:t>
                  </w:r>
                </w:p>
              </w:tc>
              <w:tc>
                <w:tcPr>
                  <w:tcW w:w="2509" w:type="dxa"/>
                  <w:vMerge w:val="continue"/>
                  <w:shd w:val="clear" w:color="auto" w:fill="auto"/>
                  <w:vAlign w:val="center"/>
                </w:tcPr>
                <w:p w14:paraId="48C6810B">
                  <w:pPr>
                    <w:keepNext w:val="0"/>
                    <w:keepLines w:val="0"/>
                    <w:pageBreakBefore w:val="0"/>
                    <w:widowControl w:val="0"/>
                    <w:kinsoku/>
                    <w:wordWrap/>
                    <w:overflowPunct/>
                    <w:topLinePunct w:val="0"/>
                    <w:bidi w:val="0"/>
                    <w:adjustRightInd/>
                    <w:snapToGrid/>
                    <w:spacing w:line="240" w:lineRule="auto"/>
                    <w:ind w:firstLine="0" w:firstLineChars="0"/>
                    <w:rPr>
                      <w:rFonts w:hint="default" w:cs="Times New Roman"/>
                      <w:color w:val="auto"/>
                      <w:kern w:val="0"/>
                      <w:sz w:val="21"/>
                      <w:szCs w:val="21"/>
                      <w:lang w:val="en-US" w:eastAsia="zh-CN" w:bidi="ar-SA"/>
                    </w:rPr>
                  </w:pPr>
                </w:p>
              </w:tc>
              <w:tc>
                <w:tcPr>
                  <w:tcW w:w="927" w:type="dxa"/>
                  <w:vMerge w:val="continue"/>
                  <w:vAlign w:val="center"/>
                </w:tcPr>
                <w:p w14:paraId="66F47F84">
                  <w:pPr>
                    <w:pStyle w:val="70"/>
                    <w:spacing w:line="240" w:lineRule="auto"/>
                    <w:rPr>
                      <w:rFonts w:hint="eastAsia" w:ascii="Times New Roman" w:hAnsi="Times New Roman" w:eastAsia="宋体" w:cs="Times New Roman"/>
                      <w:color w:val="auto"/>
                      <w:sz w:val="21"/>
                      <w:szCs w:val="21"/>
                    </w:rPr>
                  </w:pPr>
                </w:p>
              </w:tc>
              <w:tc>
                <w:tcPr>
                  <w:tcW w:w="981" w:type="dxa"/>
                  <w:vMerge w:val="continue"/>
                  <w:vAlign w:val="center"/>
                </w:tcPr>
                <w:p w14:paraId="5D1AD79A">
                  <w:pPr>
                    <w:pStyle w:val="70"/>
                    <w:spacing w:line="240" w:lineRule="auto"/>
                    <w:rPr>
                      <w:rFonts w:hint="eastAsia" w:cs="Times New Roman"/>
                      <w:color w:val="auto"/>
                      <w:sz w:val="21"/>
                      <w:szCs w:val="21"/>
                      <w:lang w:val="en-US" w:eastAsia="zh-CN"/>
                    </w:rPr>
                  </w:pPr>
                </w:p>
              </w:tc>
              <w:tc>
                <w:tcPr>
                  <w:tcW w:w="733" w:type="dxa"/>
                  <w:vAlign w:val="center"/>
                </w:tcPr>
                <w:p w14:paraId="0CB1C0DD">
                  <w:pPr>
                    <w:spacing w:line="240" w:lineRule="auto"/>
                    <w:jc w:val="center"/>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新建</w:t>
                  </w:r>
                </w:p>
              </w:tc>
            </w:tr>
            <w:tr w14:paraId="4C41D5F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72" w:hRule="atLeast"/>
              </w:trPr>
              <w:tc>
                <w:tcPr>
                  <w:tcW w:w="790" w:type="dxa"/>
                  <w:vMerge w:val="continue"/>
                  <w:vAlign w:val="center"/>
                </w:tcPr>
                <w:p w14:paraId="58DEC98D">
                  <w:pPr>
                    <w:pStyle w:val="70"/>
                    <w:spacing w:line="240" w:lineRule="auto"/>
                    <w:rPr>
                      <w:rFonts w:hint="eastAsia" w:ascii="Times New Roman" w:hAnsi="Times New Roman" w:eastAsia="宋体" w:cs="Times New Roman"/>
                      <w:color w:val="auto"/>
                      <w:sz w:val="21"/>
                      <w:szCs w:val="21"/>
                    </w:rPr>
                  </w:pPr>
                </w:p>
              </w:tc>
              <w:tc>
                <w:tcPr>
                  <w:tcW w:w="750" w:type="dxa"/>
                  <w:vMerge w:val="continue"/>
                  <w:shd w:val="clear" w:color="auto" w:fill="auto"/>
                  <w:vAlign w:val="center"/>
                </w:tcPr>
                <w:p w14:paraId="21195A91">
                  <w:pPr>
                    <w:keepNext w:val="0"/>
                    <w:keepLines w:val="0"/>
                    <w:pageBreakBefore w:val="0"/>
                    <w:widowControl w:val="0"/>
                    <w:kinsoku/>
                    <w:wordWrap/>
                    <w:overflowPunct/>
                    <w:topLinePunct w:val="0"/>
                    <w:bidi w:val="0"/>
                    <w:adjustRightInd/>
                    <w:snapToGrid/>
                    <w:spacing w:line="240" w:lineRule="auto"/>
                    <w:ind w:firstLine="0" w:firstLineChars="0"/>
                    <w:jc w:val="center"/>
                    <w:textAlignment w:val="baseline"/>
                    <w:rPr>
                      <w:rFonts w:hint="default" w:ascii="Times New Roman" w:hAnsi="Times New Roman" w:eastAsia="宋体" w:cs="Times New Roman"/>
                      <w:color w:val="auto"/>
                      <w:kern w:val="0"/>
                      <w:sz w:val="21"/>
                      <w:szCs w:val="21"/>
                      <w:lang w:val="en-US" w:eastAsia="zh-CN" w:bidi="ar-SA"/>
                    </w:rPr>
                  </w:pPr>
                </w:p>
              </w:tc>
              <w:tc>
                <w:tcPr>
                  <w:tcW w:w="1064" w:type="dxa"/>
                  <w:shd w:val="clear" w:color="auto" w:fill="auto"/>
                  <w:vAlign w:val="center"/>
                </w:tcPr>
                <w:p w14:paraId="4F689467">
                  <w:pPr>
                    <w:keepNext w:val="0"/>
                    <w:keepLines w:val="0"/>
                    <w:pageBreakBefore w:val="0"/>
                    <w:widowControl w:val="0"/>
                    <w:kinsoku/>
                    <w:wordWrap/>
                    <w:overflowPunct/>
                    <w:topLinePunct w:val="0"/>
                    <w:bidi w:val="0"/>
                    <w:adjustRightInd/>
                    <w:snapToGrid/>
                    <w:spacing w:line="240" w:lineRule="auto"/>
                    <w:ind w:firstLine="0" w:firstLineChars="0"/>
                    <w:rPr>
                      <w:rFonts w:hint="eastAsia"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0"/>
                      <w:sz w:val="21"/>
                      <w:szCs w:val="21"/>
                      <w:lang w:val="en-US" w:eastAsia="zh-CN" w:bidi="ar-SA"/>
                    </w:rPr>
                    <w:t>NMP储罐呼吸废气</w:t>
                  </w:r>
                </w:p>
              </w:tc>
              <w:tc>
                <w:tcPr>
                  <w:tcW w:w="2509" w:type="dxa"/>
                  <w:shd w:val="clear" w:color="auto" w:fill="auto"/>
                  <w:vAlign w:val="center"/>
                </w:tcPr>
                <w:p w14:paraId="215EB1B1">
                  <w:pPr>
                    <w:keepNext w:val="0"/>
                    <w:keepLines w:val="0"/>
                    <w:pageBreakBefore w:val="0"/>
                    <w:widowControl w:val="0"/>
                    <w:kinsoku/>
                    <w:wordWrap/>
                    <w:overflowPunct/>
                    <w:topLinePunct w:val="0"/>
                    <w:bidi w:val="0"/>
                    <w:adjustRightInd/>
                    <w:snapToGrid/>
                    <w:spacing w:line="240" w:lineRule="auto"/>
                    <w:ind w:firstLine="0" w:firstLineChars="0"/>
                    <w:rPr>
                      <w:rFonts w:hint="default"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0"/>
                      <w:sz w:val="21"/>
                      <w:szCs w:val="21"/>
                      <w:lang w:val="en-US" w:eastAsia="zh-CN" w:bidi="ar-SA"/>
                    </w:rPr>
                    <w:t>无组织排放</w:t>
                  </w:r>
                </w:p>
              </w:tc>
              <w:tc>
                <w:tcPr>
                  <w:tcW w:w="927" w:type="dxa"/>
                  <w:vMerge w:val="continue"/>
                  <w:vAlign w:val="center"/>
                </w:tcPr>
                <w:p w14:paraId="7E5EB41F">
                  <w:pPr>
                    <w:pStyle w:val="70"/>
                    <w:spacing w:line="240" w:lineRule="auto"/>
                    <w:rPr>
                      <w:rFonts w:hint="eastAsia" w:ascii="Times New Roman" w:hAnsi="Times New Roman" w:eastAsia="宋体" w:cs="Times New Roman"/>
                      <w:color w:val="auto"/>
                      <w:sz w:val="21"/>
                      <w:szCs w:val="21"/>
                    </w:rPr>
                  </w:pPr>
                </w:p>
              </w:tc>
              <w:tc>
                <w:tcPr>
                  <w:tcW w:w="981" w:type="dxa"/>
                  <w:vMerge w:val="continue"/>
                  <w:vAlign w:val="center"/>
                </w:tcPr>
                <w:p w14:paraId="0F382187">
                  <w:pPr>
                    <w:pStyle w:val="70"/>
                    <w:spacing w:line="240" w:lineRule="auto"/>
                    <w:rPr>
                      <w:rFonts w:hint="eastAsia" w:cs="Times New Roman"/>
                      <w:color w:val="auto"/>
                      <w:sz w:val="21"/>
                      <w:szCs w:val="21"/>
                      <w:lang w:val="en-US" w:eastAsia="zh-CN"/>
                    </w:rPr>
                  </w:pPr>
                </w:p>
              </w:tc>
              <w:tc>
                <w:tcPr>
                  <w:tcW w:w="733" w:type="dxa"/>
                  <w:vAlign w:val="center"/>
                </w:tcPr>
                <w:p w14:paraId="6B25F8F1">
                  <w:pPr>
                    <w:spacing w:line="240" w:lineRule="auto"/>
                    <w:jc w:val="center"/>
                    <w:rPr>
                      <w:rFonts w:hint="eastAsia" w:cs="Times New Roman"/>
                      <w:color w:val="auto"/>
                      <w:sz w:val="21"/>
                      <w:szCs w:val="21"/>
                      <w:lang w:val="en-US" w:eastAsia="zh-CN"/>
                    </w:rPr>
                  </w:pPr>
                  <w:r>
                    <w:rPr>
                      <w:rFonts w:hint="eastAsia" w:cs="Times New Roman"/>
                      <w:color w:val="auto"/>
                      <w:sz w:val="21"/>
                      <w:szCs w:val="21"/>
                      <w:lang w:val="en-US" w:eastAsia="zh-CN"/>
                    </w:rPr>
                    <w:t>新建</w:t>
                  </w:r>
                </w:p>
              </w:tc>
            </w:tr>
            <w:tr w14:paraId="590712A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72" w:hRule="atLeast"/>
              </w:trPr>
              <w:tc>
                <w:tcPr>
                  <w:tcW w:w="790" w:type="dxa"/>
                  <w:vMerge w:val="continue"/>
                  <w:vAlign w:val="center"/>
                </w:tcPr>
                <w:p w14:paraId="5C7DD0E2">
                  <w:pPr>
                    <w:pStyle w:val="70"/>
                    <w:spacing w:line="240" w:lineRule="auto"/>
                    <w:rPr>
                      <w:rFonts w:hint="eastAsia" w:ascii="Times New Roman" w:hAnsi="Times New Roman" w:eastAsia="宋体" w:cs="Times New Roman"/>
                      <w:color w:val="auto"/>
                      <w:sz w:val="21"/>
                      <w:szCs w:val="21"/>
                    </w:rPr>
                  </w:pPr>
                </w:p>
              </w:tc>
              <w:tc>
                <w:tcPr>
                  <w:tcW w:w="750" w:type="dxa"/>
                  <w:vMerge w:val="continue"/>
                  <w:shd w:val="clear" w:color="auto" w:fill="auto"/>
                  <w:vAlign w:val="center"/>
                </w:tcPr>
                <w:p w14:paraId="3DC0AE01">
                  <w:pPr>
                    <w:keepNext w:val="0"/>
                    <w:keepLines w:val="0"/>
                    <w:pageBreakBefore w:val="0"/>
                    <w:widowControl w:val="0"/>
                    <w:kinsoku/>
                    <w:wordWrap/>
                    <w:overflowPunct/>
                    <w:topLinePunct w:val="0"/>
                    <w:bidi w:val="0"/>
                    <w:adjustRightInd/>
                    <w:snapToGrid/>
                    <w:spacing w:line="240" w:lineRule="auto"/>
                    <w:ind w:firstLine="0" w:firstLineChars="0"/>
                    <w:jc w:val="center"/>
                    <w:textAlignment w:val="baseline"/>
                    <w:rPr>
                      <w:rFonts w:hint="default" w:ascii="Times New Roman" w:hAnsi="Times New Roman" w:eastAsia="宋体" w:cs="Times New Roman"/>
                      <w:color w:val="auto"/>
                      <w:kern w:val="0"/>
                      <w:sz w:val="21"/>
                      <w:szCs w:val="21"/>
                      <w:lang w:val="en-US" w:eastAsia="zh-CN" w:bidi="ar-SA"/>
                    </w:rPr>
                  </w:pPr>
                </w:p>
              </w:tc>
              <w:tc>
                <w:tcPr>
                  <w:tcW w:w="1064" w:type="dxa"/>
                  <w:shd w:val="clear" w:color="auto" w:fill="auto"/>
                  <w:vAlign w:val="center"/>
                </w:tcPr>
                <w:p w14:paraId="1A8449D2">
                  <w:pPr>
                    <w:keepNext w:val="0"/>
                    <w:keepLines w:val="0"/>
                    <w:pageBreakBefore w:val="0"/>
                    <w:widowControl w:val="0"/>
                    <w:kinsoku/>
                    <w:wordWrap/>
                    <w:overflowPunct/>
                    <w:topLinePunct w:val="0"/>
                    <w:bidi w:val="0"/>
                    <w:adjustRightInd/>
                    <w:snapToGrid/>
                    <w:spacing w:line="240" w:lineRule="auto"/>
                    <w:ind w:firstLine="0" w:firstLineChars="0"/>
                    <w:rPr>
                      <w:rFonts w:hint="default" w:ascii="Times New Roman" w:hAnsi="Times New Roman" w:eastAsia="宋体" w:cs="Times New Roman"/>
                      <w:color w:val="auto"/>
                      <w:kern w:val="0"/>
                      <w:sz w:val="21"/>
                      <w:szCs w:val="21"/>
                      <w:lang w:val="en-US" w:eastAsia="zh-CN" w:bidi="ar-SA"/>
                    </w:rPr>
                  </w:pPr>
                  <w:r>
                    <w:rPr>
                      <w:rFonts w:hint="eastAsia" w:cs="Times New Roman"/>
                      <w:color w:val="auto"/>
                      <w:kern w:val="0"/>
                      <w:sz w:val="21"/>
                      <w:szCs w:val="21"/>
                      <w:lang w:val="en-US" w:eastAsia="zh-CN" w:bidi="ar-SA"/>
                    </w:rPr>
                    <w:t>焊接烟尘</w:t>
                  </w:r>
                </w:p>
              </w:tc>
              <w:tc>
                <w:tcPr>
                  <w:tcW w:w="2509" w:type="dxa"/>
                  <w:shd w:val="clear" w:color="auto" w:fill="auto"/>
                  <w:vAlign w:val="center"/>
                </w:tcPr>
                <w:p w14:paraId="2AABB8EF">
                  <w:pPr>
                    <w:keepNext w:val="0"/>
                    <w:keepLines w:val="0"/>
                    <w:pageBreakBefore w:val="0"/>
                    <w:widowControl w:val="0"/>
                    <w:kinsoku/>
                    <w:wordWrap/>
                    <w:overflowPunct/>
                    <w:topLinePunct w:val="0"/>
                    <w:bidi w:val="0"/>
                    <w:adjustRightInd/>
                    <w:snapToGrid/>
                    <w:spacing w:line="240" w:lineRule="auto"/>
                    <w:ind w:firstLine="0" w:firstLineChars="0"/>
                    <w:rPr>
                      <w:rFonts w:hint="default" w:ascii="Times New Roman" w:hAnsi="Times New Roman" w:eastAsia="宋体" w:cs="Times New Roman"/>
                      <w:color w:val="auto"/>
                      <w:kern w:val="0"/>
                      <w:sz w:val="21"/>
                      <w:szCs w:val="21"/>
                      <w:lang w:val="en-US" w:eastAsia="zh-CN" w:bidi="ar-SA"/>
                    </w:rPr>
                  </w:pPr>
                  <w:r>
                    <w:rPr>
                      <w:rFonts w:hint="eastAsia" w:cs="Times New Roman"/>
                      <w:color w:val="auto"/>
                      <w:kern w:val="0"/>
                      <w:sz w:val="21"/>
                      <w:szCs w:val="21"/>
                      <w:lang w:val="en-US" w:eastAsia="zh-CN" w:bidi="ar-SA"/>
                    </w:rPr>
                    <w:t>经自带滤芯除尘器处理后无组织排放</w:t>
                  </w:r>
                </w:p>
              </w:tc>
              <w:tc>
                <w:tcPr>
                  <w:tcW w:w="927" w:type="dxa"/>
                  <w:vMerge w:val="continue"/>
                  <w:vAlign w:val="center"/>
                </w:tcPr>
                <w:p w14:paraId="438D48D1">
                  <w:pPr>
                    <w:pStyle w:val="70"/>
                    <w:spacing w:line="240" w:lineRule="auto"/>
                    <w:rPr>
                      <w:rFonts w:hint="eastAsia" w:ascii="Times New Roman" w:hAnsi="Times New Roman" w:eastAsia="宋体" w:cs="Times New Roman"/>
                      <w:color w:val="auto"/>
                      <w:sz w:val="21"/>
                      <w:szCs w:val="21"/>
                    </w:rPr>
                  </w:pPr>
                </w:p>
              </w:tc>
              <w:tc>
                <w:tcPr>
                  <w:tcW w:w="981" w:type="dxa"/>
                  <w:vMerge w:val="continue"/>
                  <w:vAlign w:val="center"/>
                </w:tcPr>
                <w:p w14:paraId="508D27CA">
                  <w:pPr>
                    <w:pStyle w:val="70"/>
                    <w:spacing w:line="240" w:lineRule="auto"/>
                    <w:rPr>
                      <w:rFonts w:hint="eastAsia" w:cs="Times New Roman"/>
                      <w:color w:val="auto"/>
                      <w:sz w:val="21"/>
                      <w:szCs w:val="21"/>
                      <w:lang w:val="en-US" w:eastAsia="zh-CN"/>
                    </w:rPr>
                  </w:pPr>
                </w:p>
              </w:tc>
              <w:tc>
                <w:tcPr>
                  <w:tcW w:w="733" w:type="dxa"/>
                  <w:vAlign w:val="center"/>
                </w:tcPr>
                <w:p w14:paraId="522DB836">
                  <w:pPr>
                    <w:spacing w:line="240" w:lineRule="auto"/>
                    <w:jc w:val="center"/>
                    <w:rPr>
                      <w:rFonts w:hint="eastAsia" w:cs="Times New Roman"/>
                      <w:color w:val="auto"/>
                      <w:sz w:val="21"/>
                      <w:szCs w:val="21"/>
                      <w:lang w:val="en-US" w:eastAsia="zh-CN"/>
                    </w:rPr>
                  </w:pPr>
                  <w:r>
                    <w:rPr>
                      <w:rFonts w:hint="eastAsia" w:cs="Times New Roman"/>
                      <w:color w:val="auto"/>
                      <w:sz w:val="21"/>
                      <w:szCs w:val="21"/>
                      <w:lang w:val="en-US" w:eastAsia="zh-CN"/>
                    </w:rPr>
                    <w:t>新建</w:t>
                  </w:r>
                </w:p>
              </w:tc>
            </w:tr>
            <w:tr w14:paraId="597F4FC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72" w:hRule="atLeast"/>
              </w:trPr>
              <w:tc>
                <w:tcPr>
                  <w:tcW w:w="790" w:type="dxa"/>
                  <w:vMerge w:val="continue"/>
                  <w:vAlign w:val="center"/>
                </w:tcPr>
                <w:p w14:paraId="33655300">
                  <w:pPr>
                    <w:pStyle w:val="70"/>
                    <w:spacing w:line="240" w:lineRule="auto"/>
                    <w:rPr>
                      <w:rFonts w:hint="eastAsia" w:ascii="Times New Roman" w:hAnsi="Times New Roman" w:eastAsia="宋体" w:cs="Times New Roman"/>
                      <w:color w:val="auto"/>
                      <w:sz w:val="21"/>
                      <w:szCs w:val="21"/>
                    </w:rPr>
                  </w:pPr>
                </w:p>
              </w:tc>
              <w:tc>
                <w:tcPr>
                  <w:tcW w:w="750" w:type="dxa"/>
                  <w:vMerge w:val="continue"/>
                  <w:shd w:val="clear" w:color="auto" w:fill="auto"/>
                  <w:vAlign w:val="center"/>
                </w:tcPr>
                <w:p w14:paraId="2A0668F6">
                  <w:pPr>
                    <w:keepNext w:val="0"/>
                    <w:keepLines w:val="0"/>
                    <w:pageBreakBefore w:val="0"/>
                    <w:widowControl w:val="0"/>
                    <w:kinsoku/>
                    <w:wordWrap/>
                    <w:overflowPunct/>
                    <w:topLinePunct w:val="0"/>
                    <w:bidi w:val="0"/>
                    <w:adjustRightInd/>
                    <w:snapToGrid/>
                    <w:spacing w:line="240" w:lineRule="auto"/>
                    <w:ind w:firstLine="0" w:firstLineChars="0"/>
                    <w:jc w:val="center"/>
                    <w:textAlignment w:val="baseline"/>
                    <w:rPr>
                      <w:rFonts w:hint="default" w:ascii="Times New Roman" w:hAnsi="Times New Roman" w:eastAsia="宋体" w:cs="Times New Roman"/>
                      <w:color w:val="auto"/>
                      <w:kern w:val="0"/>
                      <w:sz w:val="21"/>
                      <w:szCs w:val="21"/>
                      <w:lang w:val="en-US" w:eastAsia="zh-CN" w:bidi="ar-SA"/>
                    </w:rPr>
                  </w:pPr>
                </w:p>
              </w:tc>
              <w:tc>
                <w:tcPr>
                  <w:tcW w:w="1064" w:type="dxa"/>
                  <w:shd w:val="clear" w:color="auto" w:fill="auto"/>
                  <w:vAlign w:val="center"/>
                </w:tcPr>
                <w:p w14:paraId="4AF10D81">
                  <w:pPr>
                    <w:keepNext w:val="0"/>
                    <w:keepLines w:val="0"/>
                    <w:pageBreakBefore w:val="0"/>
                    <w:widowControl w:val="0"/>
                    <w:kinsoku/>
                    <w:wordWrap/>
                    <w:overflowPunct/>
                    <w:topLinePunct w:val="0"/>
                    <w:bidi w:val="0"/>
                    <w:adjustRightInd/>
                    <w:snapToGrid/>
                    <w:spacing w:line="240" w:lineRule="auto"/>
                    <w:ind w:firstLine="0" w:firstLineChars="0"/>
                    <w:jc w:val="center"/>
                    <w:rPr>
                      <w:rFonts w:hint="default" w:cs="Times New Roman"/>
                      <w:color w:val="auto"/>
                      <w:kern w:val="0"/>
                      <w:sz w:val="21"/>
                      <w:szCs w:val="21"/>
                      <w:lang w:val="en-US" w:eastAsia="zh-CN" w:bidi="ar-SA"/>
                    </w:rPr>
                  </w:pPr>
                  <w:r>
                    <w:rPr>
                      <w:rFonts w:hint="eastAsia" w:cs="Times New Roman"/>
                      <w:color w:val="auto"/>
                      <w:kern w:val="0"/>
                      <w:sz w:val="21"/>
                      <w:szCs w:val="21"/>
                      <w:lang w:val="en-US" w:eastAsia="zh-CN" w:bidi="ar-SA"/>
                    </w:rPr>
                    <w:t>分切粉尘</w:t>
                  </w:r>
                </w:p>
              </w:tc>
              <w:tc>
                <w:tcPr>
                  <w:tcW w:w="2509" w:type="dxa"/>
                  <w:shd w:val="clear" w:color="auto" w:fill="auto"/>
                  <w:vAlign w:val="center"/>
                </w:tcPr>
                <w:p w14:paraId="12FD6E64">
                  <w:pPr>
                    <w:keepNext w:val="0"/>
                    <w:keepLines w:val="0"/>
                    <w:pageBreakBefore w:val="0"/>
                    <w:widowControl w:val="0"/>
                    <w:kinsoku/>
                    <w:wordWrap/>
                    <w:overflowPunct/>
                    <w:topLinePunct w:val="0"/>
                    <w:bidi w:val="0"/>
                    <w:adjustRightInd/>
                    <w:snapToGrid/>
                    <w:spacing w:line="240" w:lineRule="auto"/>
                    <w:ind w:firstLine="0" w:firstLineChars="0"/>
                    <w:rPr>
                      <w:rFonts w:hint="default" w:cs="Times New Roman"/>
                      <w:color w:val="auto"/>
                      <w:kern w:val="0"/>
                      <w:sz w:val="21"/>
                      <w:szCs w:val="21"/>
                      <w:lang w:val="en-US" w:eastAsia="zh-CN" w:bidi="ar-SA"/>
                    </w:rPr>
                  </w:pPr>
                  <w:r>
                    <w:rPr>
                      <w:rFonts w:hint="eastAsia" w:cs="Times New Roman"/>
                      <w:color w:val="auto"/>
                      <w:kern w:val="0"/>
                      <w:sz w:val="21"/>
                      <w:szCs w:val="21"/>
                      <w:lang w:val="en-US" w:eastAsia="zh-CN" w:bidi="ar-SA"/>
                    </w:rPr>
                    <w:t>无组织排放</w:t>
                  </w:r>
                </w:p>
              </w:tc>
              <w:tc>
                <w:tcPr>
                  <w:tcW w:w="927" w:type="dxa"/>
                  <w:vMerge w:val="continue"/>
                  <w:vAlign w:val="center"/>
                </w:tcPr>
                <w:p w14:paraId="11EDE476">
                  <w:pPr>
                    <w:pStyle w:val="70"/>
                    <w:spacing w:line="240" w:lineRule="auto"/>
                    <w:rPr>
                      <w:rFonts w:hint="eastAsia" w:ascii="Times New Roman" w:hAnsi="Times New Roman" w:eastAsia="宋体" w:cs="Times New Roman"/>
                      <w:color w:val="auto"/>
                      <w:sz w:val="21"/>
                      <w:szCs w:val="21"/>
                    </w:rPr>
                  </w:pPr>
                </w:p>
              </w:tc>
              <w:tc>
                <w:tcPr>
                  <w:tcW w:w="981" w:type="dxa"/>
                  <w:vMerge w:val="continue"/>
                  <w:vAlign w:val="center"/>
                </w:tcPr>
                <w:p w14:paraId="5E7AABE7">
                  <w:pPr>
                    <w:pStyle w:val="70"/>
                    <w:spacing w:line="240" w:lineRule="auto"/>
                    <w:rPr>
                      <w:rFonts w:hint="eastAsia" w:cs="Times New Roman"/>
                      <w:color w:val="auto"/>
                      <w:sz w:val="21"/>
                      <w:szCs w:val="21"/>
                      <w:lang w:val="en-US" w:eastAsia="zh-CN"/>
                    </w:rPr>
                  </w:pPr>
                </w:p>
              </w:tc>
              <w:tc>
                <w:tcPr>
                  <w:tcW w:w="733" w:type="dxa"/>
                  <w:vAlign w:val="center"/>
                </w:tcPr>
                <w:p w14:paraId="0137BDDA">
                  <w:pPr>
                    <w:spacing w:line="240" w:lineRule="auto"/>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新建</w:t>
                  </w:r>
                </w:p>
              </w:tc>
            </w:tr>
            <w:tr w14:paraId="3EC414B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72" w:hRule="atLeast"/>
              </w:trPr>
              <w:tc>
                <w:tcPr>
                  <w:tcW w:w="790" w:type="dxa"/>
                  <w:vMerge w:val="continue"/>
                  <w:vAlign w:val="center"/>
                </w:tcPr>
                <w:p w14:paraId="458A39BE">
                  <w:pPr>
                    <w:pStyle w:val="70"/>
                    <w:spacing w:line="240" w:lineRule="auto"/>
                    <w:rPr>
                      <w:rFonts w:hint="eastAsia" w:ascii="Times New Roman" w:hAnsi="Times New Roman" w:eastAsia="宋体" w:cs="Times New Roman"/>
                      <w:color w:val="auto"/>
                      <w:sz w:val="21"/>
                      <w:szCs w:val="21"/>
                    </w:rPr>
                  </w:pPr>
                </w:p>
              </w:tc>
              <w:tc>
                <w:tcPr>
                  <w:tcW w:w="750" w:type="dxa"/>
                  <w:vMerge w:val="continue"/>
                  <w:shd w:val="clear" w:color="auto" w:fill="auto"/>
                  <w:vAlign w:val="center"/>
                </w:tcPr>
                <w:p w14:paraId="7483C928">
                  <w:pPr>
                    <w:keepNext w:val="0"/>
                    <w:keepLines w:val="0"/>
                    <w:pageBreakBefore w:val="0"/>
                    <w:widowControl w:val="0"/>
                    <w:kinsoku/>
                    <w:wordWrap/>
                    <w:overflowPunct/>
                    <w:topLinePunct w:val="0"/>
                    <w:bidi w:val="0"/>
                    <w:adjustRightInd/>
                    <w:snapToGrid/>
                    <w:spacing w:line="240" w:lineRule="auto"/>
                    <w:ind w:firstLine="0" w:firstLineChars="0"/>
                    <w:jc w:val="center"/>
                    <w:textAlignment w:val="baseline"/>
                    <w:rPr>
                      <w:rFonts w:hint="default" w:ascii="Times New Roman" w:hAnsi="Times New Roman" w:eastAsia="宋体" w:cs="Times New Roman"/>
                      <w:color w:val="auto"/>
                      <w:kern w:val="0"/>
                      <w:sz w:val="21"/>
                      <w:szCs w:val="21"/>
                      <w:lang w:val="en-US" w:eastAsia="zh-CN" w:bidi="ar-SA"/>
                    </w:rPr>
                  </w:pPr>
                </w:p>
              </w:tc>
              <w:tc>
                <w:tcPr>
                  <w:tcW w:w="1064" w:type="dxa"/>
                  <w:shd w:val="clear" w:color="auto" w:fill="auto"/>
                  <w:vAlign w:val="center"/>
                </w:tcPr>
                <w:p w14:paraId="546CEDBD">
                  <w:pPr>
                    <w:keepNext w:val="0"/>
                    <w:keepLines w:val="0"/>
                    <w:pageBreakBefore w:val="0"/>
                    <w:widowControl w:val="0"/>
                    <w:kinsoku/>
                    <w:wordWrap/>
                    <w:overflowPunct/>
                    <w:topLinePunct w:val="0"/>
                    <w:bidi w:val="0"/>
                    <w:adjustRightInd/>
                    <w:snapToGrid/>
                    <w:spacing w:line="240" w:lineRule="auto"/>
                    <w:ind w:firstLine="0" w:firstLineChars="0"/>
                    <w:jc w:val="center"/>
                    <w:rPr>
                      <w:rFonts w:hint="default" w:cs="Times New Roman"/>
                      <w:color w:val="auto"/>
                      <w:kern w:val="0"/>
                      <w:sz w:val="21"/>
                      <w:szCs w:val="21"/>
                      <w:lang w:val="en-US" w:eastAsia="zh-CN" w:bidi="ar-SA"/>
                    </w:rPr>
                  </w:pPr>
                  <w:r>
                    <w:rPr>
                      <w:rFonts w:hint="eastAsia" w:cs="Times New Roman"/>
                      <w:color w:val="auto"/>
                      <w:kern w:val="0"/>
                      <w:sz w:val="21"/>
                      <w:szCs w:val="21"/>
                      <w:lang w:val="en-US" w:eastAsia="zh-CN" w:bidi="ar-SA"/>
                    </w:rPr>
                    <w:t>危废库废气</w:t>
                  </w:r>
                </w:p>
              </w:tc>
              <w:tc>
                <w:tcPr>
                  <w:tcW w:w="2509" w:type="dxa"/>
                  <w:shd w:val="clear" w:color="auto" w:fill="auto"/>
                  <w:vAlign w:val="center"/>
                </w:tcPr>
                <w:p w14:paraId="7E02E81D">
                  <w:pPr>
                    <w:keepNext w:val="0"/>
                    <w:keepLines w:val="0"/>
                    <w:pageBreakBefore w:val="0"/>
                    <w:widowControl w:val="0"/>
                    <w:kinsoku/>
                    <w:wordWrap/>
                    <w:overflowPunct/>
                    <w:topLinePunct w:val="0"/>
                    <w:bidi w:val="0"/>
                    <w:adjustRightInd/>
                    <w:snapToGrid/>
                    <w:spacing w:line="240" w:lineRule="auto"/>
                    <w:ind w:firstLine="0" w:firstLineChars="0"/>
                    <w:rPr>
                      <w:rFonts w:hint="default" w:cs="Times New Roman"/>
                      <w:color w:val="auto"/>
                      <w:kern w:val="0"/>
                      <w:sz w:val="21"/>
                      <w:szCs w:val="21"/>
                      <w:lang w:val="en-US" w:eastAsia="zh-CN" w:bidi="ar-SA"/>
                    </w:rPr>
                  </w:pPr>
                  <w:r>
                    <w:rPr>
                      <w:rFonts w:hint="eastAsia" w:cs="Times New Roman"/>
                      <w:color w:val="auto"/>
                      <w:kern w:val="0"/>
                      <w:sz w:val="21"/>
                      <w:szCs w:val="21"/>
                      <w:lang w:val="en-US" w:eastAsia="zh-CN" w:bidi="ar-SA"/>
                    </w:rPr>
                    <w:t>密闭抽风+活性炭吸附装置（TA004）处理后通过15m高排气筒（DA003）排放</w:t>
                  </w:r>
                </w:p>
              </w:tc>
              <w:tc>
                <w:tcPr>
                  <w:tcW w:w="927" w:type="dxa"/>
                  <w:vMerge w:val="continue"/>
                  <w:vAlign w:val="center"/>
                </w:tcPr>
                <w:p w14:paraId="2116FA4F">
                  <w:pPr>
                    <w:pStyle w:val="70"/>
                    <w:spacing w:line="240" w:lineRule="auto"/>
                    <w:rPr>
                      <w:rFonts w:hint="eastAsia" w:ascii="Times New Roman" w:hAnsi="Times New Roman" w:eastAsia="宋体" w:cs="Times New Roman"/>
                      <w:color w:val="auto"/>
                      <w:sz w:val="21"/>
                      <w:szCs w:val="21"/>
                    </w:rPr>
                  </w:pPr>
                </w:p>
              </w:tc>
              <w:tc>
                <w:tcPr>
                  <w:tcW w:w="981" w:type="dxa"/>
                  <w:vMerge w:val="continue"/>
                  <w:vAlign w:val="center"/>
                </w:tcPr>
                <w:p w14:paraId="1AC1E246">
                  <w:pPr>
                    <w:pStyle w:val="70"/>
                    <w:spacing w:line="240" w:lineRule="auto"/>
                    <w:rPr>
                      <w:rFonts w:hint="eastAsia" w:cs="Times New Roman"/>
                      <w:color w:val="auto"/>
                      <w:sz w:val="21"/>
                      <w:szCs w:val="21"/>
                      <w:lang w:val="en-US" w:eastAsia="zh-CN"/>
                    </w:rPr>
                  </w:pPr>
                </w:p>
              </w:tc>
              <w:tc>
                <w:tcPr>
                  <w:tcW w:w="733" w:type="dxa"/>
                  <w:vAlign w:val="center"/>
                </w:tcPr>
                <w:p w14:paraId="3B984021">
                  <w:pPr>
                    <w:spacing w:line="240" w:lineRule="auto"/>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新建</w:t>
                  </w:r>
                </w:p>
              </w:tc>
            </w:tr>
            <w:tr w14:paraId="0E5431D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72" w:hRule="atLeast"/>
              </w:trPr>
              <w:tc>
                <w:tcPr>
                  <w:tcW w:w="790" w:type="dxa"/>
                  <w:vMerge w:val="continue"/>
                  <w:vAlign w:val="center"/>
                </w:tcPr>
                <w:p w14:paraId="6E84A0D9">
                  <w:pPr>
                    <w:pStyle w:val="70"/>
                    <w:spacing w:line="240" w:lineRule="auto"/>
                    <w:rPr>
                      <w:rFonts w:hint="eastAsia" w:ascii="Times New Roman" w:hAnsi="Times New Roman" w:eastAsia="宋体" w:cs="Times New Roman"/>
                      <w:color w:val="auto"/>
                      <w:sz w:val="21"/>
                      <w:szCs w:val="21"/>
                    </w:rPr>
                  </w:pPr>
                </w:p>
              </w:tc>
              <w:tc>
                <w:tcPr>
                  <w:tcW w:w="750" w:type="dxa"/>
                  <w:vMerge w:val="continue"/>
                  <w:shd w:val="clear" w:color="auto" w:fill="auto"/>
                  <w:vAlign w:val="center"/>
                </w:tcPr>
                <w:p w14:paraId="6C6EDC4A">
                  <w:pPr>
                    <w:keepNext w:val="0"/>
                    <w:keepLines w:val="0"/>
                    <w:pageBreakBefore w:val="0"/>
                    <w:widowControl w:val="0"/>
                    <w:kinsoku/>
                    <w:wordWrap/>
                    <w:overflowPunct/>
                    <w:topLinePunct w:val="0"/>
                    <w:bidi w:val="0"/>
                    <w:adjustRightInd/>
                    <w:snapToGrid/>
                    <w:spacing w:line="240" w:lineRule="auto"/>
                    <w:ind w:firstLine="0" w:firstLineChars="0"/>
                    <w:jc w:val="center"/>
                    <w:textAlignment w:val="baseline"/>
                    <w:rPr>
                      <w:rFonts w:hint="default" w:ascii="Times New Roman" w:hAnsi="Times New Roman" w:eastAsia="宋体" w:cs="Times New Roman"/>
                      <w:color w:val="auto"/>
                      <w:kern w:val="0"/>
                      <w:sz w:val="21"/>
                      <w:szCs w:val="21"/>
                      <w:lang w:val="en-US" w:eastAsia="zh-CN" w:bidi="ar-SA"/>
                    </w:rPr>
                  </w:pPr>
                </w:p>
              </w:tc>
              <w:tc>
                <w:tcPr>
                  <w:tcW w:w="1064" w:type="dxa"/>
                  <w:shd w:val="clear" w:color="auto" w:fill="auto"/>
                  <w:vAlign w:val="center"/>
                </w:tcPr>
                <w:p w14:paraId="3DBF61BB">
                  <w:pPr>
                    <w:keepNext w:val="0"/>
                    <w:keepLines w:val="0"/>
                    <w:pageBreakBefore w:val="0"/>
                    <w:widowControl w:val="0"/>
                    <w:kinsoku/>
                    <w:wordWrap/>
                    <w:overflowPunct/>
                    <w:topLinePunct w:val="0"/>
                    <w:bidi w:val="0"/>
                    <w:adjustRightInd/>
                    <w:snapToGrid/>
                    <w:spacing w:line="240" w:lineRule="auto"/>
                    <w:ind w:firstLine="0" w:firstLineChars="0"/>
                    <w:jc w:val="center"/>
                    <w:rPr>
                      <w:rFonts w:hint="default" w:cs="Times New Roman"/>
                      <w:color w:val="auto"/>
                      <w:kern w:val="0"/>
                      <w:sz w:val="21"/>
                      <w:szCs w:val="21"/>
                      <w:lang w:val="en-US" w:eastAsia="zh-CN" w:bidi="ar-SA"/>
                    </w:rPr>
                  </w:pPr>
                  <w:r>
                    <w:rPr>
                      <w:rFonts w:hint="eastAsia" w:cs="Times New Roman"/>
                      <w:color w:val="auto"/>
                      <w:kern w:val="0"/>
                      <w:sz w:val="21"/>
                      <w:szCs w:val="21"/>
                      <w:lang w:val="en-US" w:eastAsia="zh-CN" w:bidi="ar-SA"/>
                    </w:rPr>
                    <w:t>污水处理站废气</w:t>
                  </w:r>
                </w:p>
              </w:tc>
              <w:tc>
                <w:tcPr>
                  <w:tcW w:w="2509" w:type="dxa"/>
                  <w:shd w:val="clear" w:color="auto" w:fill="auto"/>
                  <w:vAlign w:val="center"/>
                </w:tcPr>
                <w:p w14:paraId="064A358C">
                  <w:pPr>
                    <w:keepNext w:val="0"/>
                    <w:keepLines w:val="0"/>
                    <w:pageBreakBefore w:val="0"/>
                    <w:widowControl w:val="0"/>
                    <w:kinsoku/>
                    <w:wordWrap/>
                    <w:overflowPunct/>
                    <w:topLinePunct w:val="0"/>
                    <w:bidi w:val="0"/>
                    <w:adjustRightInd/>
                    <w:snapToGrid/>
                    <w:spacing w:line="240" w:lineRule="auto"/>
                    <w:ind w:firstLine="0" w:firstLineChars="0"/>
                    <w:rPr>
                      <w:rFonts w:hint="default" w:cs="Times New Roman"/>
                      <w:color w:val="auto"/>
                      <w:kern w:val="0"/>
                      <w:sz w:val="21"/>
                      <w:szCs w:val="21"/>
                      <w:lang w:val="en-US" w:eastAsia="zh-CN" w:bidi="ar-SA"/>
                    </w:rPr>
                  </w:pPr>
                  <w:r>
                    <w:rPr>
                      <w:rFonts w:hint="eastAsia" w:cs="Times New Roman"/>
                      <w:color w:val="auto"/>
                      <w:kern w:val="0"/>
                      <w:sz w:val="21"/>
                      <w:szCs w:val="21"/>
                      <w:lang w:val="en-US" w:eastAsia="zh-CN" w:bidi="ar-SA"/>
                    </w:rPr>
                    <w:t>无组织排放</w:t>
                  </w:r>
                </w:p>
              </w:tc>
              <w:tc>
                <w:tcPr>
                  <w:tcW w:w="927" w:type="dxa"/>
                  <w:vMerge w:val="continue"/>
                  <w:vAlign w:val="center"/>
                </w:tcPr>
                <w:p w14:paraId="000EA541">
                  <w:pPr>
                    <w:pStyle w:val="70"/>
                    <w:spacing w:line="240" w:lineRule="auto"/>
                    <w:rPr>
                      <w:rFonts w:hint="eastAsia" w:ascii="Times New Roman" w:hAnsi="Times New Roman" w:eastAsia="宋体" w:cs="Times New Roman"/>
                      <w:color w:val="auto"/>
                      <w:sz w:val="21"/>
                      <w:szCs w:val="21"/>
                    </w:rPr>
                  </w:pPr>
                </w:p>
              </w:tc>
              <w:tc>
                <w:tcPr>
                  <w:tcW w:w="981" w:type="dxa"/>
                  <w:vMerge w:val="continue"/>
                  <w:vAlign w:val="center"/>
                </w:tcPr>
                <w:p w14:paraId="31694280">
                  <w:pPr>
                    <w:pStyle w:val="70"/>
                    <w:spacing w:line="240" w:lineRule="auto"/>
                    <w:rPr>
                      <w:rFonts w:hint="eastAsia" w:cs="Times New Roman"/>
                      <w:color w:val="auto"/>
                      <w:sz w:val="21"/>
                      <w:szCs w:val="21"/>
                      <w:lang w:val="en-US" w:eastAsia="zh-CN"/>
                    </w:rPr>
                  </w:pPr>
                </w:p>
              </w:tc>
              <w:tc>
                <w:tcPr>
                  <w:tcW w:w="733" w:type="dxa"/>
                  <w:vAlign w:val="center"/>
                </w:tcPr>
                <w:p w14:paraId="176606E9">
                  <w:pPr>
                    <w:spacing w:line="240" w:lineRule="auto"/>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新建</w:t>
                  </w:r>
                </w:p>
              </w:tc>
            </w:tr>
            <w:tr w14:paraId="2C1D30D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72" w:hRule="atLeast"/>
              </w:trPr>
              <w:tc>
                <w:tcPr>
                  <w:tcW w:w="790" w:type="dxa"/>
                  <w:vMerge w:val="continue"/>
                  <w:vAlign w:val="center"/>
                </w:tcPr>
                <w:p w14:paraId="15361462">
                  <w:pPr>
                    <w:pStyle w:val="70"/>
                    <w:spacing w:line="240" w:lineRule="auto"/>
                    <w:rPr>
                      <w:rFonts w:hint="eastAsia" w:ascii="Times New Roman" w:hAnsi="Times New Roman" w:eastAsia="宋体" w:cs="Times New Roman"/>
                      <w:color w:val="auto"/>
                      <w:sz w:val="21"/>
                      <w:szCs w:val="21"/>
                    </w:rPr>
                  </w:pPr>
                </w:p>
              </w:tc>
              <w:tc>
                <w:tcPr>
                  <w:tcW w:w="750" w:type="dxa"/>
                  <w:vMerge w:val="restart"/>
                  <w:shd w:val="clear" w:color="auto" w:fill="auto"/>
                  <w:vAlign w:val="center"/>
                </w:tcPr>
                <w:p w14:paraId="0F6C0319">
                  <w:pPr>
                    <w:pStyle w:val="70"/>
                    <w:spacing w:line="240" w:lineRule="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固体废物治理</w:t>
                  </w:r>
                </w:p>
              </w:tc>
              <w:tc>
                <w:tcPr>
                  <w:tcW w:w="1064" w:type="dxa"/>
                  <w:shd w:val="clear" w:color="auto" w:fill="auto"/>
                  <w:vAlign w:val="center"/>
                </w:tcPr>
                <w:p w14:paraId="1A9A7A8D">
                  <w:pPr>
                    <w:pStyle w:val="70"/>
                    <w:spacing w:line="240" w:lineRule="auto"/>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生活垃圾</w:t>
                  </w:r>
                </w:p>
              </w:tc>
              <w:tc>
                <w:tcPr>
                  <w:tcW w:w="2509" w:type="dxa"/>
                  <w:shd w:val="clear" w:color="auto" w:fill="auto"/>
                  <w:vAlign w:val="center"/>
                </w:tcPr>
                <w:p w14:paraId="569D25A4">
                  <w:pPr>
                    <w:pStyle w:val="70"/>
                    <w:spacing w:line="240" w:lineRule="auto"/>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设置生活垃圾收集桶若干个，经收集后交环卫部门统一清运处置</w:t>
                  </w:r>
                </w:p>
              </w:tc>
              <w:tc>
                <w:tcPr>
                  <w:tcW w:w="927" w:type="dxa"/>
                  <w:vMerge w:val="continue"/>
                  <w:vAlign w:val="center"/>
                </w:tcPr>
                <w:p w14:paraId="7DDC891A">
                  <w:pPr>
                    <w:pStyle w:val="70"/>
                    <w:spacing w:line="240" w:lineRule="auto"/>
                    <w:rPr>
                      <w:rFonts w:hint="eastAsia" w:ascii="Times New Roman" w:hAnsi="Times New Roman" w:eastAsia="宋体" w:cs="Times New Roman"/>
                      <w:color w:val="auto"/>
                      <w:sz w:val="21"/>
                      <w:szCs w:val="21"/>
                    </w:rPr>
                  </w:pPr>
                </w:p>
              </w:tc>
              <w:tc>
                <w:tcPr>
                  <w:tcW w:w="981" w:type="dxa"/>
                  <w:vAlign w:val="center"/>
                </w:tcPr>
                <w:p w14:paraId="285B0741">
                  <w:pPr>
                    <w:pStyle w:val="70"/>
                    <w:spacing w:line="240" w:lineRule="auto"/>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生活垃圾</w:t>
                  </w:r>
                </w:p>
              </w:tc>
              <w:tc>
                <w:tcPr>
                  <w:tcW w:w="733" w:type="dxa"/>
                  <w:vAlign w:val="center"/>
                </w:tcPr>
                <w:p w14:paraId="2F50EE7F">
                  <w:pPr>
                    <w:pStyle w:val="70"/>
                    <w:spacing w:line="240" w:lineRule="auto"/>
                    <w:rPr>
                      <w:rFonts w:hint="eastAsia"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新建</w:t>
                  </w:r>
                </w:p>
              </w:tc>
            </w:tr>
            <w:tr w14:paraId="454B05C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72" w:hRule="atLeast"/>
              </w:trPr>
              <w:tc>
                <w:tcPr>
                  <w:tcW w:w="790" w:type="dxa"/>
                  <w:vMerge w:val="continue"/>
                  <w:vAlign w:val="center"/>
                </w:tcPr>
                <w:p w14:paraId="1E290133">
                  <w:pPr>
                    <w:pStyle w:val="70"/>
                    <w:spacing w:line="240" w:lineRule="auto"/>
                    <w:rPr>
                      <w:rFonts w:hint="eastAsia" w:ascii="Times New Roman" w:hAnsi="Times New Roman" w:eastAsia="宋体" w:cs="Times New Roman"/>
                      <w:color w:val="auto"/>
                      <w:sz w:val="21"/>
                      <w:szCs w:val="21"/>
                    </w:rPr>
                  </w:pPr>
                </w:p>
              </w:tc>
              <w:tc>
                <w:tcPr>
                  <w:tcW w:w="750" w:type="dxa"/>
                  <w:vMerge w:val="continue"/>
                  <w:shd w:val="clear" w:color="auto" w:fill="auto"/>
                  <w:vAlign w:val="center"/>
                </w:tcPr>
                <w:p w14:paraId="6C603574">
                  <w:pPr>
                    <w:pStyle w:val="70"/>
                    <w:spacing w:line="240" w:lineRule="auto"/>
                    <w:rPr>
                      <w:rFonts w:hint="default" w:ascii="Times New Roman" w:hAnsi="Times New Roman" w:eastAsia="宋体" w:cs="Times New Roman"/>
                      <w:color w:val="auto"/>
                      <w:sz w:val="21"/>
                      <w:szCs w:val="21"/>
                      <w:lang w:val="en-US" w:eastAsia="zh-CN"/>
                    </w:rPr>
                  </w:pPr>
                </w:p>
              </w:tc>
              <w:tc>
                <w:tcPr>
                  <w:tcW w:w="1064" w:type="dxa"/>
                  <w:shd w:val="clear" w:color="auto" w:fill="auto"/>
                  <w:vAlign w:val="center"/>
                </w:tcPr>
                <w:p w14:paraId="362CE70E">
                  <w:pPr>
                    <w:pStyle w:val="70"/>
                    <w:spacing w:line="240" w:lineRule="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一般</w:t>
                  </w:r>
                  <w:r>
                    <w:rPr>
                      <w:rFonts w:hint="eastAsia" w:cs="Times New Roman"/>
                      <w:color w:val="auto"/>
                      <w:sz w:val="21"/>
                      <w:szCs w:val="21"/>
                      <w:lang w:val="en-US" w:eastAsia="zh-CN"/>
                    </w:rPr>
                    <w:t>固废暂存间</w:t>
                  </w:r>
                </w:p>
              </w:tc>
              <w:tc>
                <w:tcPr>
                  <w:tcW w:w="2509" w:type="dxa"/>
                  <w:shd w:val="clear" w:color="auto" w:fill="auto"/>
                  <w:vAlign w:val="center"/>
                </w:tcPr>
                <w:p w14:paraId="6AB49BE3">
                  <w:pPr>
                    <w:pStyle w:val="70"/>
                    <w:spacing w:line="240" w:lineRule="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位于</w:t>
                  </w:r>
                  <w:r>
                    <w:rPr>
                      <w:rFonts w:hint="eastAsia" w:cs="Times New Roman"/>
                      <w:color w:val="auto"/>
                      <w:sz w:val="21"/>
                      <w:szCs w:val="21"/>
                      <w:lang w:val="en-US" w:eastAsia="zh-CN"/>
                    </w:rPr>
                    <w:t>电芯</w:t>
                  </w:r>
                  <w:r>
                    <w:rPr>
                      <w:rFonts w:hint="default" w:ascii="Times New Roman" w:hAnsi="Times New Roman" w:eastAsia="宋体" w:cs="Times New Roman"/>
                      <w:color w:val="auto"/>
                      <w:sz w:val="21"/>
                      <w:szCs w:val="21"/>
                      <w:lang w:val="en-US" w:eastAsia="zh-CN"/>
                    </w:rPr>
                    <w:t>车间</w:t>
                  </w:r>
                  <w:r>
                    <w:rPr>
                      <w:rFonts w:hint="eastAsia" w:cs="Times New Roman"/>
                      <w:color w:val="auto"/>
                      <w:sz w:val="21"/>
                      <w:szCs w:val="21"/>
                      <w:lang w:val="en-US" w:eastAsia="zh-CN"/>
                    </w:rPr>
                    <w:t>内</w:t>
                  </w:r>
                  <w:r>
                    <w:rPr>
                      <w:rFonts w:hint="default" w:ascii="Times New Roman" w:hAnsi="Times New Roman" w:eastAsia="宋体" w:cs="Times New Roman"/>
                      <w:color w:val="auto"/>
                      <w:sz w:val="21"/>
                      <w:szCs w:val="21"/>
                      <w:lang w:val="en-US" w:eastAsia="zh-CN"/>
                    </w:rPr>
                    <w:t>南侧，建筑面积</w:t>
                  </w:r>
                  <w:r>
                    <w:rPr>
                      <w:rFonts w:hint="eastAsia" w:cs="Times New Roman"/>
                      <w:color w:val="auto"/>
                      <w:sz w:val="21"/>
                      <w:szCs w:val="21"/>
                      <w:lang w:val="en-US" w:eastAsia="zh-CN"/>
                    </w:rPr>
                    <w:t>50</w:t>
                  </w:r>
                  <w:r>
                    <w:rPr>
                      <w:rFonts w:hint="eastAsia" w:ascii="Times New Roman" w:hAnsi="Times New Roman" w:eastAsia="宋体" w:cs="Times New Roman"/>
                      <w:color w:val="auto"/>
                      <w:sz w:val="21"/>
                      <w:szCs w:val="21"/>
                      <w:lang w:val="en-US" w:eastAsia="zh-CN"/>
                    </w:rPr>
                    <w:t>m</w:t>
                  </w:r>
                  <w:r>
                    <w:rPr>
                      <w:rFonts w:hint="eastAsia" w:ascii="Times New Roman" w:hAnsi="Times New Roman" w:eastAsia="宋体" w:cs="Times New Roman"/>
                      <w:color w:val="auto"/>
                      <w:sz w:val="21"/>
                      <w:szCs w:val="21"/>
                      <w:vertAlign w:val="superscript"/>
                      <w:lang w:val="en-US" w:eastAsia="zh-CN"/>
                    </w:rPr>
                    <w:t>2</w:t>
                  </w:r>
                  <w:r>
                    <w:rPr>
                      <w:rFonts w:hint="default" w:ascii="Times New Roman" w:hAnsi="Times New Roman" w:eastAsia="宋体" w:cs="Times New Roman"/>
                      <w:color w:val="auto"/>
                      <w:sz w:val="21"/>
                      <w:szCs w:val="21"/>
                      <w:lang w:val="en-US" w:eastAsia="zh-CN"/>
                    </w:rPr>
                    <w:t>，用于项目产生的一般固废临时储存</w:t>
                  </w:r>
                </w:p>
              </w:tc>
              <w:tc>
                <w:tcPr>
                  <w:tcW w:w="927" w:type="dxa"/>
                  <w:vMerge w:val="continue"/>
                  <w:vAlign w:val="center"/>
                </w:tcPr>
                <w:p w14:paraId="222D9ECB">
                  <w:pPr>
                    <w:pStyle w:val="70"/>
                    <w:spacing w:line="240" w:lineRule="auto"/>
                    <w:rPr>
                      <w:rFonts w:hint="eastAsia" w:ascii="Times New Roman" w:hAnsi="Times New Roman" w:eastAsia="宋体" w:cs="Times New Roman"/>
                      <w:color w:val="auto"/>
                      <w:sz w:val="21"/>
                      <w:szCs w:val="21"/>
                    </w:rPr>
                  </w:pPr>
                </w:p>
              </w:tc>
              <w:tc>
                <w:tcPr>
                  <w:tcW w:w="981" w:type="dxa"/>
                  <w:vAlign w:val="center"/>
                </w:tcPr>
                <w:p w14:paraId="6A82B8F9">
                  <w:pPr>
                    <w:pStyle w:val="70"/>
                    <w:spacing w:line="240" w:lineRule="auto"/>
                    <w:rPr>
                      <w:rFonts w:hint="eastAsia"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w:t>
                  </w:r>
                </w:p>
              </w:tc>
              <w:tc>
                <w:tcPr>
                  <w:tcW w:w="733" w:type="dxa"/>
                  <w:vAlign w:val="center"/>
                </w:tcPr>
                <w:p w14:paraId="0FA067EE">
                  <w:pPr>
                    <w:pStyle w:val="70"/>
                    <w:spacing w:line="240" w:lineRule="auto"/>
                    <w:rPr>
                      <w:rFonts w:hint="eastAsia"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新建</w:t>
                  </w:r>
                </w:p>
              </w:tc>
            </w:tr>
            <w:tr w14:paraId="7F3AD08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72" w:hRule="atLeast"/>
              </w:trPr>
              <w:tc>
                <w:tcPr>
                  <w:tcW w:w="790" w:type="dxa"/>
                  <w:vMerge w:val="continue"/>
                  <w:vAlign w:val="center"/>
                </w:tcPr>
                <w:p w14:paraId="6AAFD558">
                  <w:pPr>
                    <w:pStyle w:val="70"/>
                    <w:spacing w:line="240" w:lineRule="auto"/>
                    <w:rPr>
                      <w:rFonts w:hint="eastAsia" w:ascii="Times New Roman" w:hAnsi="Times New Roman" w:eastAsia="宋体" w:cs="Times New Roman"/>
                      <w:color w:val="auto"/>
                      <w:sz w:val="21"/>
                      <w:szCs w:val="21"/>
                    </w:rPr>
                  </w:pPr>
                </w:p>
              </w:tc>
              <w:tc>
                <w:tcPr>
                  <w:tcW w:w="750" w:type="dxa"/>
                  <w:vMerge w:val="continue"/>
                  <w:shd w:val="clear" w:color="auto" w:fill="auto"/>
                  <w:vAlign w:val="center"/>
                </w:tcPr>
                <w:p w14:paraId="79EAD716">
                  <w:pPr>
                    <w:pStyle w:val="70"/>
                    <w:spacing w:line="240" w:lineRule="auto"/>
                    <w:rPr>
                      <w:rFonts w:hint="default" w:ascii="Times New Roman" w:hAnsi="Times New Roman" w:eastAsia="宋体" w:cs="Times New Roman"/>
                      <w:color w:val="auto"/>
                      <w:sz w:val="21"/>
                      <w:szCs w:val="21"/>
                      <w:lang w:val="en-US" w:eastAsia="zh-CN"/>
                    </w:rPr>
                  </w:pPr>
                </w:p>
              </w:tc>
              <w:tc>
                <w:tcPr>
                  <w:tcW w:w="1064" w:type="dxa"/>
                  <w:shd w:val="clear" w:color="auto" w:fill="auto"/>
                  <w:vAlign w:val="center"/>
                </w:tcPr>
                <w:p w14:paraId="6111BCDB">
                  <w:pPr>
                    <w:pStyle w:val="70"/>
                    <w:spacing w:line="240" w:lineRule="auto"/>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危废库</w:t>
                  </w:r>
                </w:p>
              </w:tc>
              <w:tc>
                <w:tcPr>
                  <w:tcW w:w="2509" w:type="dxa"/>
                  <w:shd w:val="clear" w:color="auto" w:fill="auto"/>
                  <w:vAlign w:val="center"/>
                </w:tcPr>
                <w:p w14:paraId="4C4640E3">
                  <w:pPr>
                    <w:pStyle w:val="70"/>
                    <w:spacing w:line="240" w:lineRule="auto"/>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厂区东侧新建一间电解液库，建筑面积约111.99m</w:t>
                  </w:r>
                  <w:r>
                    <w:rPr>
                      <w:rFonts w:hint="eastAsia" w:cs="Times New Roman"/>
                      <w:color w:val="auto"/>
                      <w:sz w:val="21"/>
                      <w:szCs w:val="21"/>
                      <w:vertAlign w:val="superscript"/>
                      <w:lang w:val="en-US" w:eastAsia="zh-CN"/>
                    </w:rPr>
                    <w:t>2</w:t>
                  </w:r>
                  <w:r>
                    <w:rPr>
                      <w:rFonts w:hint="eastAsia" w:cs="Times New Roman"/>
                      <w:color w:val="auto"/>
                      <w:sz w:val="21"/>
                      <w:szCs w:val="21"/>
                      <w:lang w:val="en-US" w:eastAsia="zh-CN"/>
                    </w:rPr>
                    <w:t>，主要用于暂存厂区所产生的各类危险废物</w:t>
                  </w:r>
                </w:p>
              </w:tc>
              <w:tc>
                <w:tcPr>
                  <w:tcW w:w="927" w:type="dxa"/>
                  <w:vMerge w:val="continue"/>
                  <w:vAlign w:val="center"/>
                </w:tcPr>
                <w:p w14:paraId="29BC7767">
                  <w:pPr>
                    <w:pStyle w:val="70"/>
                    <w:spacing w:line="240" w:lineRule="auto"/>
                    <w:rPr>
                      <w:rFonts w:hint="eastAsia" w:ascii="Times New Roman" w:hAnsi="Times New Roman" w:eastAsia="宋体" w:cs="Times New Roman"/>
                      <w:color w:val="auto"/>
                      <w:sz w:val="21"/>
                      <w:szCs w:val="21"/>
                    </w:rPr>
                  </w:pPr>
                </w:p>
              </w:tc>
              <w:tc>
                <w:tcPr>
                  <w:tcW w:w="981" w:type="dxa"/>
                  <w:vAlign w:val="center"/>
                </w:tcPr>
                <w:p w14:paraId="60C4F4C3">
                  <w:pPr>
                    <w:pStyle w:val="70"/>
                    <w:spacing w:line="240" w:lineRule="auto"/>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w:t>
                  </w:r>
                </w:p>
              </w:tc>
              <w:tc>
                <w:tcPr>
                  <w:tcW w:w="733" w:type="dxa"/>
                  <w:vAlign w:val="center"/>
                </w:tcPr>
                <w:p w14:paraId="6FD407B3">
                  <w:pPr>
                    <w:pStyle w:val="70"/>
                    <w:spacing w:line="240" w:lineRule="auto"/>
                    <w:rPr>
                      <w:rFonts w:hint="eastAsia"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新建</w:t>
                  </w:r>
                </w:p>
              </w:tc>
            </w:tr>
            <w:tr w14:paraId="4B810BB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72" w:hRule="atLeast"/>
              </w:trPr>
              <w:tc>
                <w:tcPr>
                  <w:tcW w:w="790" w:type="dxa"/>
                  <w:vMerge w:val="continue"/>
                  <w:vAlign w:val="center"/>
                </w:tcPr>
                <w:p w14:paraId="46A20449">
                  <w:pPr>
                    <w:pStyle w:val="70"/>
                    <w:spacing w:line="240" w:lineRule="auto"/>
                    <w:rPr>
                      <w:rFonts w:hint="eastAsia" w:ascii="Times New Roman" w:hAnsi="Times New Roman" w:eastAsia="宋体" w:cs="Times New Roman"/>
                      <w:color w:val="auto"/>
                      <w:sz w:val="21"/>
                      <w:szCs w:val="21"/>
                    </w:rPr>
                  </w:pPr>
                </w:p>
              </w:tc>
              <w:tc>
                <w:tcPr>
                  <w:tcW w:w="750" w:type="dxa"/>
                  <w:shd w:val="clear" w:color="auto" w:fill="auto"/>
                  <w:vAlign w:val="center"/>
                </w:tcPr>
                <w:p w14:paraId="61655B9A">
                  <w:pPr>
                    <w:pStyle w:val="70"/>
                    <w:spacing w:line="240" w:lineRule="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噪声治理</w:t>
                  </w:r>
                </w:p>
              </w:tc>
              <w:tc>
                <w:tcPr>
                  <w:tcW w:w="3573" w:type="dxa"/>
                  <w:gridSpan w:val="2"/>
                  <w:shd w:val="clear" w:color="auto" w:fill="auto"/>
                  <w:vAlign w:val="center"/>
                </w:tcPr>
                <w:p w14:paraId="3F2F93B0">
                  <w:pPr>
                    <w:pStyle w:val="70"/>
                    <w:spacing w:line="240" w:lineRule="auto"/>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选用低噪声设备，合理布局，</w:t>
                  </w:r>
                  <w:r>
                    <w:rPr>
                      <w:rFonts w:hint="default" w:ascii="Times New Roman" w:hAnsi="Times New Roman" w:eastAsia="宋体" w:cs="Times New Roman"/>
                      <w:color w:val="auto"/>
                      <w:sz w:val="21"/>
                      <w:szCs w:val="21"/>
                      <w:lang w:val="en-US" w:eastAsia="zh-CN"/>
                    </w:rPr>
                    <w:t>隔声，减振，距离衰减</w:t>
                  </w:r>
                  <w:r>
                    <w:rPr>
                      <w:rFonts w:hint="eastAsia" w:ascii="Times New Roman" w:hAnsi="Times New Roman" w:eastAsia="宋体" w:cs="Times New Roman"/>
                      <w:color w:val="auto"/>
                      <w:sz w:val="21"/>
                      <w:szCs w:val="21"/>
                      <w:lang w:val="en-US" w:eastAsia="zh-CN"/>
                    </w:rPr>
                    <w:t>等</w:t>
                  </w:r>
                  <w:r>
                    <w:rPr>
                      <w:rFonts w:hint="default" w:ascii="Times New Roman" w:hAnsi="Times New Roman" w:eastAsia="宋体" w:cs="Times New Roman"/>
                      <w:color w:val="auto"/>
                      <w:sz w:val="21"/>
                      <w:szCs w:val="21"/>
                      <w:lang w:val="en-US" w:eastAsia="zh-CN"/>
                    </w:rPr>
                    <w:t>措施控制。</w:t>
                  </w:r>
                </w:p>
              </w:tc>
              <w:tc>
                <w:tcPr>
                  <w:tcW w:w="927" w:type="dxa"/>
                  <w:vMerge w:val="continue"/>
                  <w:vAlign w:val="center"/>
                </w:tcPr>
                <w:p w14:paraId="408FCDAB">
                  <w:pPr>
                    <w:pStyle w:val="70"/>
                    <w:spacing w:line="240" w:lineRule="auto"/>
                    <w:rPr>
                      <w:rFonts w:hint="eastAsia" w:ascii="Times New Roman" w:hAnsi="Times New Roman" w:eastAsia="宋体" w:cs="Times New Roman"/>
                      <w:color w:val="auto"/>
                      <w:sz w:val="21"/>
                      <w:szCs w:val="21"/>
                    </w:rPr>
                  </w:pPr>
                </w:p>
              </w:tc>
              <w:tc>
                <w:tcPr>
                  <w:tcW w:w="981" w:type="dxa"/>
                  <w:vAlign w:val="center"/>
                </w:tcPr>
                <w:p w14:paraId="52865F41">
                  <w:pPr>
                    <w:pStyle w:val="70"/>
                    <w:spacing w:line="240" w:lineRule="auto"/>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w:t>
                  </w:r>
                </w:p>
              </w:tc>
              <w:tc>
                <w:tcPr>
                  <w:tcW w:w="733" w:type="dxa"/>
                  <w:vAlign w:val="center"/>
                </w:tcPr>
                <w:p w14:paraId="19AD928E">
                  <w:pPr>
                    <w:pStyle w:val="70"/>
                    <w:spacing w:line="240" w:lineRule="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新建</w:t>
                  </w:r>
                </w:p>
              </w:tc>
            </w:tr>
            <w:tr w14:paraId="524E41F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72" w:hRule="atLeast"/>
              </w:trPr>
              <w:tc>
                <w:tcPr>
                  <w:tcW w:w="790" w:type="dxa"/>
                  <w:vMerge w:val="continue"/>
                  <w:vAlign w:val="center"/>
                </w:tcPr>
                <w:p w14:paraId="5C5FC026">
                  <w:pPr>
                    <w:pStyle w:val="70"/>
                    <w:spacing w:line="240" w:lineRule="auto"/>
                    <w:rPr>
                      <w:rFonts w:hint="eastAsia" w:ascii="Times New Roman" w:hAnsi="Times New Roman" w:eastAsia="宋体" w:cs="Times New Roman"/>
                      <w:color w:val="auto"/>
                      <w:sz w:val="21"/>
                      <w:szCs w:val="21"/>
                    </w:rPr>
                  </w:pPr>
                </w:p>
              </w:tc>
              <w:tc>
                <w:tcPr>
                  <w:tcW w:w="750" w:type="dxa"/>
                  <w:vMerge w:val="restart"/>
                  <w:shd w:val="clear" w:color="auto" w:fill="auto"/>
                  <w:vAlign w:val="center"/>
                </w:tcPr>
                <w:p w14:paraId="7BD7B7F5">
                  <w:pPr>
                    <w:pStyle w:val="70"/>
                    <w:spacing w:line="240" w:lineRule="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地下水、土壤污染防治措施</w:t>
                  </w:r>
                </w:p>
              </w:tc>
              <w:tc>
                <w:tcPr>
                  <w:tcW w:w="3573" w:type="dxa"/>
                  <w:gridSpan w:val="2"/>
                  <w:shd w:val="clear" w:color="auto" w:fill="auto"/>
                  <w:vAlign w:val="center"/>
                </w:tcPr>
                <w:p w14:paraId="01A0CDA2">
                  <w:pPr>
                    <w:pStyle w:val="70"/>
                    <w:spacing w:line="240" w:lineRule="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重点防渗区：</w:t>
                  </w:r>
                  <w:r>
                    <w:rPr>
                      <w:rFonts w:hint="eastAsia" w:ascii="Times New Roman" w:hAnsi="Times New Roman" w:eastAsia="宋体" w:cs="Times New Roman"/>
                      <w:color w:val="auto"/>
                      <w:sz w:val="21"/>
                      <w:szCs w:val="21"/>
                      <w:lang w:val="en-US" w:eastAsia="zh-CN"/>
                    </w:rPr>
                    <w:t>危废库、低温电解液仓库、事故应急池（池体）、污水处理设施（池体）</w:t>
                  </w:r>
                  <w:r>
                    <w:rPr>
                      <w:rFonts w:hint="eastAsia" w:cs="Times New Roman"/>
                      <w:color w:val="auto"/>
                      <w:sz w:val="21"/>
                      <w:szCs w:val="21"/>
                      <w:lang w:val="en-US" w:eastAsia="zh-CN"/>
                    </w:rPr>
                    <w:t>、电解液间、电池拆解间、NMP暂存间</w:t>
                  </w:r>
                  <w:r>
                    <w:rPr>
                      <w:rFonts w:hint="eastAsia" w:ascii="Times New Roman" w:hAnsi="Times New Roman" w:eastAsia="宋体" w:cs="Times New Roman"/>
                      <w:color w:val="auto"/>
                      <w:sz w:val="21"/>
                      <w:szCs w:val="21"/>
                      <w:lang w:val="en-US" w:eastAsia="zh-CN"/>
                    </w:rPr>
                    <w:t>等，其中危</w:t>
                  </w:r>
                  <w:r>
                    <w:rPr>
                      <w:rFonts w:hint="eastAsia" w:cs="Times New Roman"/>
                      <w:color w:val="auto"/>
                      <w:sz w:val="21"/>
                      <w:szCs w:val="21"/>
                      <w:lang w:val="en-US" w:eastAsia="zh-CN"/>
                    </w:rPr>
                    <w:t>废</w:t>
                  </w:r>
                  <w:r>
                    <w:rPr>
                      <w:rFonts w:hint="eastAsia" w:ascii="Times New Roman" w:hAnsi="Times New Roman" w:eastAsia="宋体" w:cs="Times New Roman"/>
                      <w:color w:val="auto"/>
                      <w:sz w:val="21"/>
                      <w:szCs w:val="21"/>
                      <w:lang w:val="en-US" w:eastAsia="zh-CN"/>
                    </w:rPr>
                    <w:t>库、低温电解液仓库防渗系数K≤10</w:t>
                  </w:r>
                  <w:r>
                    <w:rPr>
                      <w:rFonts w:hint="eastAsia" w:ascii="Times New Roman" w:hAnsi="Times New Roman" w:eastAsia="宋体" w:cs="Times New Roman"/>
                      <w:color w:val="auto"/>
                      <w:sz w:val="21"/>
                      <w:szCs w:val="21"/>
                      <w:vertAlign w:val="superscript"/>
                      <w:lang w:val="en-US" w:eastAsia="zh-CN"/>
                    </w:rPr>
                    <w:t>-10</w:t>
                  </w:r>
                  <w:r>
                    <w:rPr>
                      <w:rFonts w:hint="eastAsia" w:ascii="Times New Roman" w:hAnsi="Times New Roman" w:eastAsia="宋体" w:cs="Times New Roman"/>
                      <w:color w:val="auto"/>
                      <w:sz w:val="21"/>
                      <w:szCs w:val="21"/>
                      <w:lang w:val="en-US" w:eastAsia="zh-CN"/>
                    </w:rPr>
                    <w:t>cm/s，其余重点防渗区</w:t>
                  </w:r>
                  <w:r>
                    <w:rPr>
                      <w:rFonts w:hint="default" w:ascii="Times New Roman" w:hAnsi="Times New Roman" w:eastAsia="宋体" w:cs="Times New Roman"/>
                      <w:color w:val="auto"/>
                      <w:sz w:val="21"/>
                      <w:szCs w:val="21"/>
                      <w:lang w:val="en-US" w:eastAsia="zh-CN"/>
                    </w:rPr>
                    <w:t>等效黏土防渗层Mb≥6.0m，K≤10</w:t>
                  </w:r>
                  <w:r>
                    <w:rPr>
                      <w:rFonts w:hint="default" w:ascii="Times New Roman" w:hAnsi="Times New Roman" w:eastAsia="宋体" w:cs="Times New Roman"/>
                      <w:color w:val="auto"/>
                      <w:sz w:val="21"/>
                      <w:szCs w:val="21"/>
                      <w:vertAlign w:val="superscript"/>
                      <w:lang w:val="en-US" w:eastAsia="zh-CN"/>
                    </w:rPr>
                    <w:t>-7</w:t>
                  </w:r>
                  <w:r>
                    <w:rPr>
                      <w:rFonts w:hint="default" w:ascii="Times New Roman" w:hAnsi="Times New Roman" w:eastAsia="宋体" w:cs="Times New Roman"/>
                      <w:color w:val="auto"/>
                      <w:sz w:val="21"/>
                      <w:szCs w:val="21"/>
                      <w:lang w:val="en-US" w:eastAsia="zh-CN"/>
                    </w:rPr>
                    <w:t>cm/s；或参照GB18598执行。</w:t>
                  </w:r>
                </w:p>
              </w:tc>
              <w:tc>
                <w:tcPr>
                  <w:tcW w:w="927" w:type="dxa"/>
                  <w:vMerge w:val="continue"/>
                  <w:vAlign w:val="center"/>
                </w:tcPr>
                <w:p w14:paraId="53F88E39">
                  <w:pPr>
                    <w:pStyle w:val="70"/>
                    <w:spacing w:line="240" w:lineRule="auto"/>
                    <w:rPr>
                      <w:rFonts w:hint="eastAsia" w:ascii="Times New Roman" w:hAnsi="Times New Roman" w:eastAsia="宋体" w:cs="Times New Roman"/>
                      <w:color w:val="auto"/>
                      <w:sz w:val="21"/>
                      <w:szCs w:val="21"/>
                    </w:rPr>
                  </w:pPr>
                </w:p>
              </w:tc>
              <w:tc>
                <w:tcPr>
                  <w:tcW w:w="981" w:type="dxa"/>
                  <w:vAlign w:val="center"/>
                </w:tcPr>
                <w:p w14:paraId="6A728767">
                  <w:pPr>
                    <w:pStyle w:val="70"/>
                    <w:spacing w:line="240" w:lineRule="auto"/>
                    <w:rPr>
                      <w:rFonts w:hint="eastAsia"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w:t>
                  </w:r>
                </w:p>
              </w:tc>
              <w:tc>
                <w:tcPr>
                  <w:tcW w:w="733" w:type="dxa"/>
                  <w:vAlign w:val="center"/>
                </w:tcPr>
                <w:p w14:paraId="1D3E7352">
                  <w:pPr>
                    <w:pStyle w:val="70"/>
                    <w:spacing w:line="240" w:lineRule="auto"/>
                    <w:rPr>
                      <w:rFonts w:hint="eastAsia"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新建</w:t>
                  </w:r>
                </w:p>
              </w:tc>
            </w:tr>
            <w:tr w14:paraId="68E941B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72" w:hRule="atLeast"/>
              </w:trPr>
              <w:tc>
                <w:tcPr>
                  <w:tcW w:w="790" w:type="dxa"/>
                  <w:vMerge w:val="continue"/>
                  <w:vAlign w:val="center"/>
                </w:tcPr>
                <w:p w14:paraId="6275FA8B">
                  <w:pPr>
                    <w:pStyle w:val="70"/>
                    <w:spacing w:line="240" w:lineRule="auto"/>
                    <w:rPr>
                      <w:rFonts w:hint="eastAsia" w:ascii="Times New Roman" w:hAnsi="Times New Roman" w:eastAsia="宋体" w:cs="Times New Roman"/>
                      <w:color w:val="auto"/>
                      <w:sz w:val="21"/>
                      <w:szCs w:val="21"/>
                    </w:rPr>
                  </w:pPr>
                </w:p>
              </w:tc>
              <w:tc>
                <w:tcPr>
                  <w:tcW w:w="750" w:type="dxa"/>
                  <w:vMerge w:val="continue"/>
                  <w:shd w:val="clear" w:color="auto" w:fill="auto"/>
                  <w:vAlign w:val="center"/>
                </w:tcPr>
                <w:p w14:paraId="2678A309">
                  <w:pPr>
                    <w:pStyle w:val="70"/>
                    <w:spacing w:line="240" w:lineRule="auto"/>
                    <w:rPr>
                      <w:rFonts w:hint="default" w:ascii="Times New Roman" w:hAnsi="Times New Roman" w:eastAsia="宋体" w:cs="Times New Roman"/>
                      <w:color w:val="auto"/>
                      <w:sz w:val="21"/>
                      <w:szCs w:val="21"/>
                      <w:lang w:val="en-US" w:eastAsia="zh-CN"/>
                    </w:rPr>
                  </w:pPr>
                </w:p>
              </w:tc>
              <w:tc>
                <w:tcPr>
                  <w:tcW w:w="3573" w:type="dxa"/>
                  <w:gridSpan w:val="2"/>
                  <w:shd w:val="clear" w:color="auto" w:fill="auto"/>
                  <w:vAlign w:val="center"/>
                </w:tcPr>
                <w:p w14:paraId="47CA4AC3">
                  <w:pPr>
                    <w:pStyle w:val="70"/>
                    <w:spacing w:line="240" w:lineRule="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一般防渗区：除重点防渗、简单防渗外的其他区域</w:t>
                  </w:r>
                  <w:r>
                    <w:rPr>
                      <w:rFonts w:hint="eastAsia" w:cs="Times New Roman"/>
                      <w:color w:val="auto"/>
                      <w:sz w:val="21"/>
                      <w:szCs w:val="21"/>
                      <w:lang w:val="en-US" w:eastAsia="zh-CN"/>
                    </w:rPr>
                    <w:t>，</w:t>
                  </w:r>
                  <w:r>
                    <w:rPr>
                      <w:rFonts w:hint="default" w:ascii="Times New Roman" w:hAnsi="Times New Roman" w:eastAsia="宋体" w:cs="Times New Roman"/>
                      <w:color w:val="auto"/>
                      <w:sz w:val="21"/>
                      <w:szCs w:val="21"/>
                      <w:lang w:val="en-US" w:eastAsia="zh-CN"/>
                    </w:rPr>
                    <w:t>防渗系数Mb≥1.5m，K≤1×10</w:t>
                  </w:r>
                  <w:r>
                    <w:rPr>
                      <w:rFonts w:hint="default" w:ascii="Times New Roman" w:hAnsi="Times New Roman" w:eastAsia="宋体" w:cs="Times New Roman"/>
                      <w:color w:val="auto"/>
                      <w:sz w:val="21"/>
                      <w:szCs w:val="21"/>
                      <w:vertAlign w:val="superscript"/>
                      <w:lang w:val="en-US" w:eastAsia="zh-CN"/>
                    </w:rPr>
                    <w:t>-7</w:t>
                  </w:r>
                  <w:r>
                    <w:rPr>
                      <w:rFonts w:hint="default" w:ascii="Times New Roman" w:hAnsi="Times New Roman" w:eastAsia="宋体" w:cs="Times New Roman"/>
                      <w:color w:val="auto"/>
                      <w:sz w:val="21"/>
                      <w:szCs w:val="21"/>
                      <w:vertAlign w:val="baseline"/>
                      <w:lang w:val="en-US" w:eastAsia="zh-CN"/>
                    </w:rPr>
                    <w:t>c</w:t>
                  </w:r>
                  <w:r>
                    <w:rPr>
                      <w:rFonts w:hint="default" w:ascii="Times New Roman" w:hAnsi="Times New Roman" w:eastAsia="宋体" w:cs="Times New Roman"/>
                      <w:color w:val="auto"/>
                      <w:sz w:val="21"/>
                      <w:szCs w:val="21"/>
                      <w:lang w:val="en-US" w:eastAsia="zh-CN"/>
                    </w:rPr>
                    <w:t>m/s。</w:t>
                  </w:r>
                </w:p>
              </w:tc>
              <w:tc>
                <w:tcPr>
                  <w:tcW w:w="927" w:type="dxa"/>
                  <w:vMerge w:val="continue"/>
                  <w:vAlign w:val="center"/>
                </w:tcPr>
                <w:p w14:paraId="0CA99E80">
                  <w:pPr>
                    <w:pStyle w:val="70"/>
                    <w:spacing w:line="240" w:lineRule="auto"/>
                    <w:rPr>
                      <w:rFonts w:hint="eastAsia" w:ascii="Times New Roman" w:hAnsi="Times New Roman" w:eastAsia="宋体" w:cs="Times New Roman"/>
                      <w:color w:val="auto"/>
                      <w:sz w:val="21"/>
                      <w:szCs w:val="21"/>
                    </w:rPr>
                  </w:pPr>
                </w:p>
              </w:tc>
              <w:tc>
                <w:tcPr>
                  <w:tcW w:w="981" w:type="dxa"/>
                  <w:vAlign w:val="center"/>
                </w:tcPr>
                <w:p w14:paraId="11FBF4E5">
                  <w:pPr>
                    <w:pStyle w:val="70"/>
                    <w:spacing w:line="240" w:lineRule="auto"/>
                    <w:rPr>
                      <w:rFonts w:hint="eastAsia"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w:t>
                  </w:r>
                </w:p>
              </w:tc>
              <w:tc>
                <w:tcPr>
                  <w:tcW w:w="733" w:type="dxa"/>
                  <w:vAlign w:val="center"/>
                </w:tcPr>
                <w:p w14:paraId="272BF95D">
                  <w:pPr>
                    <w:pStyle w:val="70"/>
                    <w:spacing w:line="240" w:lineRule="auto"/>
                    <w:rPr>
                      <w:rFonts w:hint="eastAsia"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新建</w:t>
                  </w:r>
                </w:p>
              </w:tc>
            </w:tr>
            <w:tr w14:paraId="3F73717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72" w:hRule="atLeast"/>
              </w:trPr>
              <w:tc>
                <w:tcPr>
                  <w:tcW w:w="790" w:type="dxa"/>
                  <w:vMerge w:val="continue"/>
                  <w:vAlign w:val="center"/>
                </w:tcPr>
                <w:p w14:paraId="2363D66D">
                  <w:pPr>
                    <w:pStyle w:val="70"/>
                    <w:spacing w:line="240" w:lineRule="auto"/>
                    <w:rPr>
                      <w:rFonts w:hint="eastAsia" w:ascii="Times New Roman" w:hAnsi="Times New Roman" w:eastAsia="宋体" w:cs="Times New Roman"/>
                      <w:color w:val="auto"/>
                      <w:sz w:val="21"/>
                      <w:szCs w:val="21"/>
                      <w:lang w:val="en-US" w:eastAsia="zh-CN"/>
                    </w:rPr>
                  </w:pPr>
                </w:p>
              </w:tc>
              <w:tc>
                <w:tcPr>
                  <w:tcW w:w="750" w:type="dxa"/>
                  <w:shd w:val="clear" w:color="auto" w:fill="auto"/>
                  <w:vAlign w:val="center"/>
                </w:tcPr>
                <w:p w14:paraId="3952E917">
                  <w:pPr>
                    <w:pStyle w:val="70"/>
                    <w:spacing w:line="240" w:lineRule="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环境风险防范</w:t>
                  </w:r>
                </w:p>
              </w:tc>
              <w:tc>
                <w:tcPr>
                  <w:tcW w:w="3573" w:type="dxa"/>
                  <w:gridSpan w:val="2"/>
                  <w:shd w:val="clear" w:color="auto" w:fill="auto"/>
                  <w:vAlign w:val="center"/>
                </w:tcPr>
                <w:p w14:paraId="6236F556">
                  <w:pPr>
                    <w:pStyle w:val="70"/>
                    <w:spacing w:line="240" w:lineRule="auto"/>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厂区配置消防器材并落实防火管理</w:t>
                  </w:r>
                  <w:r>
                    <w:rPr>
                      <w:rFonts w:hint="default" w:ascii="Times New Roman" w:hAnsi="Times New Roman" w:eastAsia="宋体" w:cs="Times New Roman"/>
                      <w:color w:val="auto"/>
                      <w:sz w:val="21"/>
                      <w:szCs w:val="21"/>
                      <w:lang w:val="en-US" w:eastAsia="zh-CN"/>
                    </w:rPr>
                    <w:t>，</w:t>
                  </w:r>
                  <w:r>
                    <w:rPr>
                      <w:rFonts w:hint="eastAsia" w:cs="Times New Roman"/>
                      <w:color w:val="auto"/>
                      <w:sz w:val="21"/>
                      <w:szCs w:val="21"/>
                      <w:lang w:val="en-US" w:eastAsia="zh-CN"/>
                    </w:rPr>
                    <w:t>严格落实各防渗分区的防渗措施</w:t>
                  </w:r>
                  <w:r>
                    <w:rPr>
                      <w:rFonts w:hint="default" w:ascii="Times New Roman" w:hAnsi="Times New Roman" w:eastAsia="宋体" w:cs="Times New Roman"/>
                      <w:color w:val="auto"/>
                      <w:sz w:val="21"/>
                      <w:szCs w:val="21"/>
                      <w:lang w:val="en-US" w:eastAsia="zh-CN"/>
                    </w:rPr>
                    <w:t>，定期对员工进行上岗培训与安全防护培训</w:t>
                  </w:r>
                  <w:r>
                    <w:rPr>
                      <w:rFonts w:hint="eastAsia" w:cs="Times New Roman"/>
                      <w:color w:val="auto"/>
                      <w:sz w:val="21"/>
                      <w:szCs w:val="21"/>
                      <w:lang w:val="en-US" w:eastAsia="zh-CN"/>
                    </w:rPr>
                    <w:t>等</w:t>
                  </w:r>
                </w:p>
              </w:tc>
              <w:tc>
                <w:tcPr>
                  <w:tcW w:w="927" w:type="dxa"/>
                  <w:vMerge w:val="continue"/>
                  <w:vAlign w:val="center"/>
                </w:tcPr>
                <w:p w14:paraId="7AB00E74">
                  <w:pPr>
                    <w:pStyle w:val="70"/>
                    <w:spacing w:line="240" w:lineRule="auto"/>
                    <w:rPr>
                      <w:rFonts w:hint="eastAsia" w:ascii="Times New Roman" w:hAnsi="Times New Roman" w:eastAsia="宋体" w:cs="Times New Roman"/>
                      <w:color w:val="auto"/>
                      <w:sz w:val="21"/>
                      <w:szCs w:val="21"/>
                      <w:lang w:val="en-US" w:eastAsia="zh-CN"/>
                    </w:rPr>
                  </w:pPr>
                </w:p>
              </w:tc>
              <w:tc>
                <w:tcPr>
                  <w:tcW w:w="981" w:type="dxa"/>
                  <w:vAlign w:val="center"/>
                </w:tcPr>
                <w:p w14:paraId="70509A36">
                  <w:pPr>
                    <w:pStyle w:val="70"/>
                    <w:spacing w:line="240" w:lineRule="auto"/>
                    <w:rPr>
                      <w:rFonts w:hint="eastAsia"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w:t>
                  </w:r>
                </w:p>
              </w:tc>
              <w:tc>
                <w:tcPr>
                  <w:tcW w:w="733" w:type="dxa"/>
                  <w:vAlign w:val="center"/>
                </w:tcPr>
                <w:p w14:paraId="25243CC6">
                  <w:pPr>
                    <w:pStyle w:val="70"/>
                    <w:spacing w:line="240" w:lineRule="auto"/>
                    <w:rPr>
                      <w:rFonts w:hint="eastAsia"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新建</w:t>
                  </w:r>
                </w:p>
              </w:tc>
            </w:tr>
          </w:tbl>
          <w:p w14:paraId="7BDE72DC">
            <w:pPr>
              <w:pStyle w:val="66"/>
              <w:spacing w:line="360" w:lineRule="auto"/>
              <w:ind w:firstLine="482"/>
              <w:rPr>
                <w:rFonts w:hint="eastAsia" w:ascii="Times New Roman" w:hAnsi="Times New Roman" w:eastAsia="宋体" w:cs="Times New Roman"/>
                <w:b/>
                <w:bCs/>
                <w:color w:val="auto"/>
                <w:lang w:val="en-US" w:eastAsia="zh-CN"/>
              </w:rPr>
            </w:pPr>
            <w:r>
              <w:rPr>
                <w:rFonts w:hint="eastAsia" w:ascii="Times New Roman" w:hAnsi="Times New Roman" w:eastAsia="宋体" w:cs="Times New Roman"/>
                <w:b/>
                <w:bCs/>
                <w:color w:val="auto"/>
                <w:lang w:val="en-US" w:eastAsia="zh-CN"/>
              </w:rPr>
              <w:t>5、主要生产设备</w:t>
            </w:r>
          </w:p>
          <w:p w14:paraId="1FE95C82">
            <w:pPr>
              <w:pStyle w:val="66"/>
              <w:spacing w:line="360" w:lineRule="auto"/>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本项目主要生产设备清单见下表。</w:t>
            </w:r>
          </w:p>
          <w:p w14:paraId="568EA0FF">
            <w:pPr>
              <w:pStyle w:val="68"/>
              <w:rPr>
                <w:rFonts w:hint="eastAsia" w:ascii="Times New Roman" w:hAnsi="Times New Roman" w:eastAsia="宋体" w:cs="Times New Roman"/>
                <w:b/>
                <w:bCs/>
                <w:color w:val="auto"/>
              </w:rPr>
            </w:pPr>
            <w:r>
              <w:rPr>
                <w:rFonts w:hint="eastAsia" w:ascii="Times New Roman" w:hAnsi="Times New Roman" w:eastAsia="宋体" w:cs="Times New Roman"/>
                <w:b/>
                <w:bCs/>
                <w:color w:val="auto"/>
              </w:rPr>
              <w:t>表2-</w:t>
            </w:r>
            <w:r>
              <w:rPr>
                <w:rFonts w:hint="eastAsia" w:ascii="Times New Roman" w:hAnsi="Times New Roman" w:eastAsia="宋体" w:cs="Times New Roman"/>
                <w:b/>
                <w:bCs/>
                <w:color w:val="auto"/>
                <w:lang w:val="en-US" w:eastAsia="zh-CN"/>
              </w:rPr>
              <w:t>3</w:t>
            </w:r>
            <w:r>
              <w:rPr>
                <w:rFonts w:hint="eastAsia" w:ascii="Times New Roman" w:hAnsi="Times New Roman" w:eastAsia="宋体" w:cs="Times New Roman"/>
                <w:b/>
                <w:bCs/>
                <w:color w:val="auto"/>
              </w:rPr>
              <w:t xml:space="preserve">  主要设备清单一览表</w:t>
            </w:r>
          </w:p>
          <w:tbl>
            <w:tblPr>
              <w:tblStyle w:val="42"/>
              <w:tblW w:w="7778" w:type="dxa"/>
              <w:tblInd w:w="5"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693"/>
              <w:gridCol w:w="2052"/>
              <w:gridCol w:w="1372"/>
              <w:gridCol w:w="1829"/>
              <w:gridCol w:w="916"/>
              <w:gridCol w:w="916"/>
            </w:tblGrid>
            <w:tr w14:paraId="6A48AE0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693" w:type="dxa"/>
                  <w:vAlign w:val="center"/>
                </w:tcPr>
                <w:p w14:paraId="099B1E65">
                  <w:pPr>
                    <w:pStyle w:val="70"/>
                    <w:spacing w:line="240" w:lineRule="auto"/>
                    <w:rPr>
                      <w:rFonts w:hint="default" w:ascii="Times New Roman" w:hAnsi="Times New Roman" w:eastAsia="宋体" w:cs="Times New Roman"/>
                      <w:b/>
                      <w:color w:val="auto"/>
                      <w:sz w:val="21"/>
                      <w:szCs w:val="21"/>
                      <w:lang w:val="en-US" w:eastAsia="zh-CN"/>
                    </w:rPr>
                  </w:pPr>
                  <w:r>
                    <w:rPr>
                      <w:rFonts w:hint="default" w:ascii="Times New Roman" w:hAnsi="Times New Roman" w:eastAsia="宋体" w:cs="Times New Roman"/>
                      <w:b/>
                      <w:color w:val="auto"/>
                      <w:sz w:val="21"/>
                      <w:szCs w:val="21"/>
                      <w:lang w:val="en-US" w:eastAsia="zh-CN"/>
                    </w:rPr>
                    <w:t>序号</w:t>
                  </w:r>
                </w:p>
              </w:tc>
              <w:tc>
                <w:tcPr>
                  <w:tcW w:w="2052" w:type="dxa"/>
                  <w:vAlign w:val="center"/>
                </w:tcPr>
                <w:p w14:paraId="511EC67E">
                  <w:pPr>
                    <w:pStyle w:val="70"/>
                    <w:spacing w:line="240" w:lineRule="auto"/>
                    <w:rPr>
                      <w:rFonts w:hint="default" w:ascii="Times New Roman" w:hAnsi="Times New Roman" w:eastAsia="宋体" w:cs="Times New Roman"/>
                      <w:b/>
                      <w:color w:val="auto"/>
                      <w:sz w:val="21"/>
                      <w:szCs w:val="21"/>
                      <w:lang w:val="en-US" w:eastAsia="zh-CN"/>
                    </w:rPr>
                  </w:pPr>
                  <w:r>
                    <w:rPr>
                      <w:rFonts w:hint="default" w:ascii="Times New Roman" w:hAnsi="Times New Roman" w:eastAsia="宋体" w:cs="Times New Roman"/>
                      <w:b/>
                      <w:color w:val="auto"/>
                      <w:sz w:val="21"/>
                      <w:szCs w:val="21"/>
                      <w:lang w:val="en-US" w:eastAsia="zh-CN"/>
                    </w:rPr>
                    <w:t>设备名称</w:t>
                  </w:r>
                </w:p>
              </w:tc>
              <w:tc>
                <w:tcPr>
                  <w:tcW w:w="1372" w:type="dxa"/>
                  <w:vAlign w:val="center"/>
                </w:tcPr>
                <w:p w14:paraId="306E62F4">
                  <w:pPr>
                    <w:pStyle w:val="70"/>
                    <w:spacing w:line="240" w:lineRule="auto"/>
                    <w:rPr>
                      <w:rFonts w:hint="default" w:ascii="Times New Roman" w:hAnsi="Times New Roman" w:eastAsia="宋体" w:cs="Times New Roman"/>
                      <w:b/>
                      <w:color w:val="auto"/>
                      <w:sz w:val="21"/>
                      <w:szCs w:val="21"/>
                      <w:lang w:val="en-US" w:eastAsia="zh-CN"/>
                    </w:rPr>
                  </w:pPr>
                  <w:r>
                    <w:rPr>
                      <w:rFonts w:hint="default" w:ascii="Times New Roman" w:hAnsi="Times New Roman" w:eastAsia="宋体" w:cs="Times New Roman"/>
                      <w:b/>
                      <w:color w:val="auto"/>
                      <w:sz w:val="21"/>
                      <w:szCs w:val="21"/>
                      <w:lang w:val="en-US" w:eastAsia="zh-CN"/>
                    </w:rPr>
                    <w:t>设备数量（台/套）</w:t>
                  </w:r>
                </w:p>
              </w:tc>
              <w:tc>
                <w:tcPr>
                  <w:tcW w:w="1829" w:type="dxa"/>
                  <w:vAlign w:val="center"/>
                </w:tcPr>
                <w:p w14:paraId="21B83368">
                  <w:pPr>
                    <w:pStyle w:val="70"/>
                    <w:spacing w:line="240" w:lineRule="auto"/>
                    <w:rPr>
                      <w:rFonts w:hint="default" w:ascii="Times New Roman" w:hAnsi="Times New Roman" w:eastAsia="宋体" w:cs="Times New Roman"/>
                      <w:b/>
                      <w:color w:val="auto"/>
                      <w:sz w:val="21"/>
                      <w:szCs w:val="21"/>
                      <w:lang w:val="en-US" w:eastAsia="zh-CN"/>
                    </w:rPr>
                  </w:pPr>
                  <w:r>
                    <w:rPr>
                      <w:rFonts w:hint="default" w:ascii="Times New Roman" w:hAnsi="Times New Roman" w:eastAsia="宋体" w:cs="Times New Roman"/>
                      <w:b/>
                      <w:color w:val="auto"/>
                      <w:sz w:val="21"/>
                      <w:szCs w:val="21"/>
                      <w:lang w:val="en-US" w:eastAsia="zh-CN"/>
                    </w:rPr>
                    <w:t>型号</w:t>
                  </w:r>
                </w:p>
              </w:tc>
              <w:tc>
                <w:tcPr>
                  <w:tcW w:w="916" w:type="dxa"/>
                  <w:vAlign w:val="center"/>
                </w:tcPr>
                <w:p w14:paraId="5A459316">
                  <w:pPr>
                    <w:pStyle w:val="70"/>
                    <w:spacing w:line="240" w:lineRule="auto"/>
                    <w:rPr>
                      <w:rFonts w:hint="default" w:ascii="Times New Roman" w:hAnsi="Times New Roman" w:eastAsia="宋体" w:cs="Times New Roman"/>
                      <w:b/>
                      <w:color w:val="auto"/>
                      <w:sz w:val="21"/>
                      <w:szCs w:val="21"/>
                      <w:lang w:val="en-US" w:eastAsia="zh-CN"/>
                    </w:rPr>
                  </w:pPr>
                  <w:r>
                    <w:rPr>
                      <w:rFonts w:hint="eastAsia" w:cs="Times New Roman"/>
                      <w:b/>
                      <w:color w:val="auto"/>
                      <w:sz w:val="21"/>
                      <w:szCs w:val="21"/>
                      <w:lang w:val="en-US" w:eastAsia="zh-CN"/>
                    </w:rPr>
                    <w:t>使用工序</w:t>
                  </w:r>
                </w:p>
              </w:tc>
              <w:tc>
                <w:tcPr>
                  <w:tcW w:w="916" w:type="dxa"/>
                  <w:vAlign w:val="center"/>
                </w:tcPr>
                <w:p w14:paraId="710FAEAB">
                  <w:pPr>
                    <w:pStyle w:val="70"/>
                    <w:spacing w:line="240" w:lineRule="auto"/>
                    <w:rPr>
                      <w:rFonts w:hint="default" w:ascii="Times New Roman" w:hAnsi="Times New Roman" w:eastAsia="宋体" w:cs="Times New Roman"/>
                      <w:b/>
                      <w:color w:val="auto"/>
                      <w:sz w:val="21"/>
                      <w:szCs w:val="21"/>
                      <w:lang w:val="en-US" w:eastAsia="zh-CN"/>
                    </w:rPr>
                  </w:pPr>
                  <w:r>
                    <w:rPr>
                      <w:rFonts w:hint="eastAsia" w:cs="Times New Roman"/>
                      <w:b/>
                      <w:color w:val="auto"/>
                      <w:sz w:val="21"/>
                      <w:szCs w:val="21"/>
                      <w:lang w:val="en-US" w:eastAsia="zh-CN"/>
                    </w:rPr>
                    <w:t>设计产能</w:t>
                  </w:r>
                </w:p>
              </w:tc>
            </w:tr>
            <w:tr w14:paraId="1388D98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693" w:type="dxa"/>
                  <w:vAlign w:val="center"/>
                </w:tcPr>
                <w:p w14:paraId="6BD042EC">
                  <w:pPr>
                    <w:pStyle w:val="70"/>
                    <w:rPr>
                      <w:rFonts w:hint="default" w:ascii="Times New Roman" w:hAnsi="Times New Roman" w:eastAsia="宋体" w:cs="Times New Roman"/>
                      <w:color w:val="auto"/>
                      <w:sz w:val="21"/>
                      <w:szCs w:val="21"/>
                      <w:lang w:val="en-US" w:eastAsia="zh-CN"/>
                    </w:rPr>
                  </w:pPr>
                  <w:r>
                    <w:rPr>
                      <w:rFonts w:hint="eastAsia" w:ascii="Times New Roman" w:hAnsi="Times New Roman" w:cs="Times New Roman"/>
                      <w:color w:val="auto"/>
                      <w:sz w:val="21"/>
                      <w:szCs w:val="21"/>
                      <w:lang w:val="en-US" w:eastAsia="zh-CN"/>
                    </w:rPr>
                    <w:t>1</w:t>
                  </w:r>
                </w:p>
              </w:tc>
              <w:tc>
                <w:tcPr>
                  <w:tcW w:w="2052" w:type="dxa"/>
                  <w:vAlign w:val="center"/>
                </w:tcPr>
                <w:p w14:paraId="27F8AED5">
                  <w:pPr>
                    <w:autoSpaceDN w:val="0"/>
                    <w:adjustRightInd w:val="0"/>
                    <w:snapToGrid w:val="0"/>
                    <w:jc w:val="center"/>
                    <w:textAlignment w:val="top"/>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rPr>
                    <w:t>正极</w:t>
                  </w:r>
                  <w:r>
                    <w:rPr>
                      <w:rFonts w:hint="default" w:ascii="Times New Roman" w:hAnsi="Times New Roman" w:cs="Times New Roman"/>
                      <w:color w:val="auto"/>
                      <w:sz w:val="21"/>
                      <w:szCs w:val="21"/>
                      <w:lang w:val="en-US" w:eastAsia="zh-CN"/>
                    </w:rPr>
                    <w:t>匀浆</w:t>
                  </w:r>
                  <w:r>
                    <w:rPr>
                      <w:rFonts w:hint="default" w:ascii="Times New Roman" w:hAnsi="Times New Roman" w:cs="Times New Roman"/>
                      <w:color w:val="auto"/>
                      <w:sz w:val="21"/>
                      <w:szCs w:val="21"/>
                    </w:rPr>
                    <w:t>系统</w:t>
                  </w:r>
                </w:p>
              </w:tc>
              <w:tc>
                <w:tcPr>
                  <w:tcW w:w="1372" w:type="dxa"/>
                  <w:vAlign w:val="center"/>
                </w:tcPr>
                <w:p w14:paraId="59E204D7">
                  <w:pPr>
                    <w:autoSpaceDN w:val="0"/>
                    <w:adjustRightInd w:val="0"/>
                    <w:snapToGrid w:val="0"/>
                    <w:jc w:val="center"/>
                    <w:textAlignment w:val="top"/>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lang w:val="en-US" w:eastAsia="zh-CN"/>
                    </w:rPr>
                    <w:t>7</w:t>
                  </w:r>
                </w:p>
              </w:tc>
              <w:tc>
                <w:tcPr>
                  <w:tcW w:w="1829" w:type="dxa"/>
                  <w:vAlign w:val="center"/>
                </w:tcPr>
                <w:p w14:paraId="56D83946">
                  <w:pPr>
                    <w:autoSpaceDN w:val="0"/>
                    <w:adjustRightInd w:val="0"/>
                    <w:snapToGrid w:val="0"/>
                    <w:jc w:val="center"/>
                    <w:textAlignment w:val="top"/>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rPr>
                    <w:t>HY-DLH820L</w:t>
                  </w:r>
                </w:p>
              </w:tc>
              <w:tc>
                <w:tcPr>
                  <w:tcW w:w="916" w:type="dxa"/>
                  <w:vMerge w:val="restart"/>
                  <w:vAlign w:val="center"/>
                </w:tcPr>
                <w:p w14:paraId="197CF3B7">
                  <w:pPr>
                    <w:pStyle w:val="70"/>
                    <w:spacing w:line="240" w:lineRule="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正极匀浆</w:t>
                  </w:r>
                </w:p>
              </w:tc>
              <w:tc>
                <w:tcPr>
                  <w:tcW w:w="916" w:type="dxa"/>
                  <w:vMerge w:val="restart"/>
                  <w:vAlign w:val="center"/>
                </w:tcPr>
                <w:p w14:paraId="446F380E">
                  <w:pPr>
                    <w:pStyle w:val="70"/>
                    <w:spacing w:line="240" w:lineRule="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11000L/</w:t>
                  </w:r>
                  <w:r>
                    <w:rPr>
                      <w:rFonts w:hint="eastAsia" w:cs="Times New Roman"/>
                      <w:color w:val="auto"/>
                      <w:sz w:val="21"/>
                      <w:szCs w:val="21"/>
                      <w:lang w:val="en-US" w:eastAsia="zh-CN"/>
                    </w:rPr>
                    <w:t>d</w:t>
                  </w:r>
                </w:p>
              </w:tc>
            </w:tr>
            <w:tr w14:paraId="7EF8C62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693" w:type="dxa"/>
                  <w:vAlign w:val="center"/>
                </w:tcPr>
                <w:p w14:paraId="340CFD1E">
                  <w:pPr>
                    <w:pStyle w:val="70"/>
                    <w:rPr>
                      <w:rFonts w:hint="default"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2</w:t>
                  </w:r>
                </w:p>
              </w:tc>
              <w:tc>
                <w:tcPr>
                  <w:tcW w:w="2052" w:type="dxa"/>
                  <w:vAlign w:val="center"/>
                </w:tcPr>
                <w:p w14:paraId="7AB5BD34">
                  <w:pPr>
                    <w:autoSpaceDN w:val="0"/>
                    <w:adjustRightInd w:val="0"/>
                    <w:snapToGrid w:val="0"/>
                    <w:jc w:val="center"/>
                    <w:textAlignment w:val="top"/>
                    <w:rPr>
                      <w:rFonts w:hint="default" w:ascii="Times New Roman" w:hAnsi="Times New Roman" w:cs="Times New Roman"/>
                      <w:color w:val="auto"/>
                      <w:sz w:val="21"/>
                      <w:szCs w:val="21"/>
                    </w:rPr>
                  </w:pPr>
                  <w:r>
                    <w:rPr>
                      <w:rFonts w:hint="default" w:ascii="Times New Roman" w:hAnsi="Times New Roman" w:cs="Times New Roman"/>
                      <w:color w:val="auto"/>
                      <w:sz w:val="21"/>
                      <w:szCs w:val="21"/>
                    </w:rPr>
                    <w:t>正极</w:t>
                  </w:r>
                  <w:r>
                    <w:rPr>
                      <w:rFonts w:hint="default" w:ascii="Times New Roman" w:hAnsi="Times New Roman" w:cs="Times New Roman"/>
                      <w:color w:val="auto"/>
                      <w:sz w:val="21"/>
                      <w:szCs w:val="21"/>
                      <w:lang w:val="en-US" w:eastAsia="zh-CN"/>
                    </w:rPr>
                    <w:t>粉体上料系统</w:t>
                  </w:r>
                </w:p>
              </w:tc>
              <w:tc>
                <w:tcPr>
                  <w:tcW w:w="1372" w:type="dxa"/>
                  <w:vAlign w:val="center"/>
                </w:tcPr>
                <w:p w14:paraId="3C533439">
                  <w:pPr>
                    <w:autoSpaceDN w:val="0"/>
                    <w:adjustRightInd w:val="0"/>
                    <w:snapToGrid w:val="0"/>
                    <w:jc w:val="center"/>
                    <w:textAlignment w:val="top"/>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2</w:t>
                  </w:r>
                </w:p>
              </w:tc>
              <w:tc>
                <w:tcPr>
                  <w:tcW w:w="1829" w:type="dxa"/>
                  <w:vAlign w:val="center"/>
                </w:tcPr>
                <w:p w14:paraId="7D66BF14">
                  <w:pPr>
                    <w:autoSpaceDN w:val="0"/>
                    <w:adjustRightInd w:val="0"/>
                    <w:snapToGrid w:val="0"/>
                    <w:jc w:val="center"/>
                    <w:textAlignment w:val="top"/>
                    <w:rPr>
                      <w:rFonts w:hint="default" w:ascii="Times New Roman" w:hAnsi="Times New Roman" w:cs="Times New Roman"/>
                      <w:color w:val="auto"/>
                      <w:sz w:val="21"/>
                      <w:szCs w:val="21"/>
                    </w:rPr>
                  </w:pPr>
                  <w:r>
                    <w:rPr>
                      <w:rFonts w:hint="default" w:ascii="Times New Roman" w:hAnsi="Times New Roman" w:cs="Times New Roman"/>
                      <w:color w:val="auto"/>
                      <w:sz w:val="21"/>
                      <w:szCs w:val="21"/>
                      <w:lang w:val="en-US" w:eastAsia="zh-CN"/>
                    </w:rPr>
                    <w:t>/</w:t>
                  </w:r>
                </w:p>
              </w:tc>
              <w:tc>
                <w:tcPr>
                  <w:tcW w:w="916" w:type="dxa"/>
                  <w:vMerge w:val="continue"/>
                  <w:vAlign w:val="center"/>
                </w:tcPr>
                <w:p w14:paraId="2A9C2DCD">
                  <w:pPr>
                    <w:pStyle w:val="70"/>
                    <w:rPr>
                      <w:rFonts w:hint="default" w:ascii="Times New Roman" w:hAnsi="Times New Roman" w:eastAsia="宋体" w:cs="Times New Roman"/>
                      <w:color w:val="auto"/>
                      <w:sz w:val="21"/>
                      <w:szCs w:val="21"/>
                      <w:lang w:val="en-US" w:eastAsia="zh-CN"/>
                    </w:rPr>
                  </w:pPr>
                </w:p>
              </w:tc>
              <w:tc>
                <w:tcPr>
                  <w:tcW w:w="916" w:type="dxa"/>
                  <w:vMerge w:val="continue"/>
                  <w:vAlign w:val="center"/>
                </w:tcPr>
                <w:p w14:paraId="02FF84AD">
                  <w:pPr>
                    <w:pStyle w:val="70"/>
                    <w:rPr>
                      <w:rFonts w:hint="default" w:ascii="Times New Roman" w:hAnsi="Times New Roman" w:eastAsia="宋体" w:cs="Times New Roman"/>
                      <w:color w:val="auto"/>
                      <w:sz w:val="21"/>
                      <w:szCs w:val="21"/>
                      <w:lang w:val="en-US" w:eastAsia="zh-CN"/>
                    </w:rPr>
                  </w:pPr>
                </w:p>
              </w:tc>
            </w:tr>
            <w:tr w14:paraId="0C01334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693" w:type="dxa"/>
                  <w:vAlign w:val="center"/>
                </w:tcPr>
                <w:p w14:paraId="07F3963B">
                  <w:pPr>
                    <w:pStyle w:val="70"/>
                    <w:rPr>
                      <w:rFonts w:hint="default"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3</w:t>
                  </w:r>
                </w:p>
              </w:tc>
              <w:tc>
                <w:tcPr>
                  <w:tcW w:w="2052" w:type="dxa"/>
                  <w:vAlign w:val="center"/>
                </w:tcPr>
                <w:p w14:paraId="06FE34DB">
                  <w:pPr>
                    <w:autoSpaceDN w:val="0"/>
                    <w:adjustRightInd w:val="0"/>
                    <w:snapToGrid w:val="0"/>
                    <w:jc w:val="center"/>
                    <w:textAlignment w:val="top"/>
                    <w:rPr>
                      <w:rFonts w:hint="default" w:ascii="Times New Roman" w:hAnsi="Times New Roman" w:cs="Times New Roman"/>
                      <w:color w:val="auto"/>
                      <w:sz w:val="21"/>
                      <w:szCs w:val="21"/>
                    </w:rPr>
                  </w:pPr>
                  <w:r>
                    <w:rPr>
                      <w:rFonts w:hint="default" w:ascii="Times New Roman" w:hAnsi="Times New Roman" w:cs="Times New Roman"/>
                      <w:color w:val="auto"/>
                      <w:sz w:val="21"/>
                      <w:szCs w:val="21"/>
                    </w:rPr>
                    <w:t>正极</w:t>
                  </w:r>
                  <w:r>
                    <w:rPr>
                      <w:rFonts w:hint="default" w:ascii="Times New Roman" w:hAnsi="Times New Roman" w:cs="Times New Roman"/>
                      <w:color w:val="auto"/>
                      <w:sz w:val="21"/>
                      <w:szCs w:val="21"/>
                      <w:lang w:val="en-US" w:eastAsia="zh-CN"/>
                    </w:rPr>
                    <w:t>液体上料系统</w:t>
                  </w:r>
                </w:p>
              </w:tc>
              <w:tc>
                <w:tcPr>
                  <w:tcW w:w="1372" w:type="dxa"/>
                  <w:vAlign w:val="center"/>
                </w:tcPr>
                <w:p w14:paraId="3D6CF838">
                  <w:pPr>
                    <w:autoSpaceDN w:val="0"/>
                    <w:adjustRightInd w:val="0"/>
                    <w:snapToGrid w:val="0"/>
                    <w:jc w:val="center"/>
                    <w:textAlignment w:val="top"/>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1</w:t>
                  </w:r>
                </w:p>
              </w:tc>
              <w:tc>
                <w:tcPr>
                  <w:tcW w:w="1829" w:type="dxa"/>
                  <w:vAlign w:val="center"/>
                </w:tcPr>
                <w:p w14:paraId="34632945">
                  <w:pPr>
                    <w:autoSpaceDN w:val="0"/>
                    <w:adjustRightInd w:val="0"/>
                    <w:snapToGrid w:val="0"/>
                    <w:jc w:val="center"/>
                    <w:textAlignment w:val="top"/>
                    <w:rPr>
                      <w:rFonts w:hint="default" w:ascii="Times New Roman" w:hAnsi="Times New Roman" w:cs="Times New Roman"/>
                      <w:color w:val="auto"/>
                      <w:sz w:val="21"/>
                      <w:szCs w:val="21"/>
                    </w:rPr>
                  </w:pPr>
                  <w:r>
                    <w:rPr>
                      <w:rFonts w:hint="default" w:ascii="Times New Roman" w:hAnsi="Times New Roman" w:cs="Times New Roman"/>
                      <w:color w:val="auto"/>
                      <w:sz w:val="21"/>
                      <w:szCs w:val="21"/>
                      <w:lang w:val="en-US" w:eastAsia="zh-CN"/>
                    </w:rPr>
                    <w:t>/</w:t>
                  </w:r>
                </w:p>
              </w:tc>
              <w:tc>
                <w:tcPr>
                  <w:tcW w:w="916" w:type="dxa"/>
                  <w:vMerge w:val="continue"/>
                  <w:vAlign w:val="center"/>
                </w:tcPr>
                <w:p w14:paraId="17EF4431">
                  <w:pPr>
                    <w:pStyle w:val="70"/>
                    <w:rPr>
                      <w:rFonts w:hint="default" w:ascii="Times New Roman" w:hAnsi="Times New Roman" w:eastAsia="宋体" w:cs="Times New Roman"/>
                      <w:color w:val="auto"/>
                      <w:sz w:val="21"/>
                      <w:szCs w:val="21"/>
                      <w:lang w:val="en-US" w:eastAsia="zh-CN"/>
                    </w:rPr>
                  </w:pPr>
                </w:p>
              </w:tc>
              <w:tc>
                <w:tcPr>
                  <w:tcW w:w="916" w:type="dxa"/>
                  <w:vMerge w:val="continue"/>
                  <w:vAlign w:val="center"/>
                </w:tcPr>
                <w:p w14:paraId="4D2FB80D">
                  <w:pPr>
                    <w:pStyle w:val="70"/>
                    <w:rPr>
                      <w:rFonts w:hint="default" w:ascii="Times New Roman" w:hAnsi="Times New Roman" w:eastAsia="宋体" w:cs="Times New Roman"/>
                      <w:color w:val="auto"/>
                      <w:sz w:val="21"/>
                      <w:szCs w:val="21"/>
                      <w:lang w:val="en-US" w:eastAsia="zh-CN"/>
                    </w:rPr>
                  </w:pPr>
                </w:p>
              </w:tc>
            </w:tr>
            <w:tr w14:paraId="65945DB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693" w:type="dxa"/>
                  <w:vAlign w:val="center"/>
                </w:tcPr>
                <w:p w14:paraId="23024432">
                  <w:pPr>
                    <w:pStyle w:val="70"/>
                    <w:rPr>
                      <w:rFonts w:hint="default" w:ascii="Times New Roman" w:hAnsi="Times New Roman" w:eastAsia="宋体" w:cs="Times New Roman"/>
                      <w:color w:val="auto"/>
                      <w:sz w:val="21"/>
                      <w:szCs w:val="21"/>
                      <w:lang w:val="en-US" w:eastAsia="zh-CN"/>
                    </w:rPr>
                  </w:pPr>
                  <w:r>
                    <w:rPr>
                      <w:rFonts w:hint="eastAsia" w:ascii="Times New Roman" w:hAnsi="Times New Roman" w:cs="Times New Roman"/>
                      <w:color w:val="auto"/>
                      <w:sz w:val="21"/>
                      <w:szCs w:val="21"/>
                      <w:lang w:val="en-US" w:eastAsia="zh-CN"/>
                    </w:rPr>
                    <w:t>4</w:t>
                  </w:r>
                </w:p>
              </w:tc>
              <w:tc>
                <w:tcPr>
                  <w:tcW w:w="2052" w:type="dxa"/>
                  <w:vAlign w:val="center"/>
                </w:tcPr>
                <w:p w14:paraId="06F35091">
                  <w:pPr>
                    <w:autoSpaceDN w:val="0"/>
                    <w:adjustRightInd w:val="0"/>
                    <w:snapToGrid w:val="0"/>
                    <w:jc w:val="center"/>
                    <w:textAlignment w:val="top"/>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lang w:val="en-US" w:eastAsia="zh-CN"/>
                    </w:rPr>
                    <w:t>负</w:t>
                  </w:r>
                  <w:r>
                    <w:rPr>
                      <w:rFonts w:hint="default" w:ascii="Times New Roman" w:hAnsi="Times New Roman" w:cs="Times New Roman"/>
                      <w:color w:val="auto"/>
                      <w:sz w:val="21"/>
                      <w:szCs w:val="21"/>
                    </w:rPr>
                    <w:t>极</w:t>
                  </w:r>
                  <w:r>
                    <w:rPr>
                      <w:rFonts w:hint="default" w:ascii="Times New Roman" w:hAnsi="Times New Roman" w:cs="Times New Roman"/>
                      <w:color w:val="auto"/>
                      <w:sz w:val="21"/>
                      <w:szCs w:val="21"/>
                      <w:lang w:val="en-US" w:eastAsia="zh-CN"/>
                    </w:rPr>
                    <w:t>匀浆</w:t>
                  </w:r>
                  <w:r>
                    <w:rPr>
                      <w:rFonts w:hint="default" w:ascii="Times New Roman" w:hAnsi="Times New Roman" w:cs="Times New Roman"/>
                      <w:color w:val="auto"/>
                      <w:sz w:val="21"/>
                      <w:szCs w:val="21"/>
                    </w:rPr>
                    <w:t>系统</w:t>
                  </w:r>
                </w:p>
              </w:tc>
              <w:tc>
                <w:tcPr>
                  <w:tcW w:w="1372" w:type="dxa"/>
                  <w:vAlign w:val="center"/>
                </w:tcPr>
                <w:p w14:paraId="5DC7B3AE">
                  <w:pPr>
                    <w:autoSpaceDN w:val="0"/>
                    <w:adjustRightInd w:val="0"/>
                    <w:snapToGrid w:val="0"/>
                    <w:jc w:val="center"/>
                    <w:textAlignment w:val="top"/>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lang w:val="en-US" w:eastAsia="zh-CN"/>
                    </w:rPr>
                    <w:t>4</w:t>
                  </w:r>
                </w:p>
              </w:tc>
              <w:tc>
                <w:tcPr>
                  <w:tcW w:w="1829" w:type="dxa"/>
                  <w:vAlign w:val="center"/>
                </w:tcPr>
                <w:p w14:paraId="048A9CC0">
                  <w:pPr>
                    <w:autoSpaceDN w:val="0"/>
                    <w:adjustRightInd w:val="0"/>
                    <w:snapToGrid w:val="0"/>
                    <w:jc w:val="center"/>
                    <w:textAlignment w:val="top"/>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rPr>
                    <w:t>HY-DLH820L</w:t>
                  </w:r>
                </w:p>
              </w:tc>
              <w:tc>
                <w:tcPr>
                  <w:tcW w:w="916" w:type="dxa"/>
                  <w:vMerge w:val="restart"/>
                  <w:vAlign w:val="center"/>
                </w:tcPr>
                <w:p w14:paraId="7D339169">
                  <w:pPr>
                    <w:pStyle w:val="70"/>
                    <w:spacing w:line="240" w:lineRule="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负极匀浆</w:t>
                  </w:r>
                </w:p>
              </w:tc>
              <w:tc>
                <w:tcPr>
                  <w:tcW w:w="916" w:type="dxa"/>
                  <w:vMerge w:val="restart"/>
                  <w:vAlign w:val="center"/>
                </w:tcPr>
                <w:p w14:paraId="74B3298E">
                  <w:pPr>
                    <w:pStyle w:val="70"/>
                    <w:spacing w:line="240" w:lineRule="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7200L/</w:t>
                  </w:r>
                  <w:r>
                    <w:rPr>
                      <w:rFonts w:hint="eastAsia" w:cs="Times New Roman"/>
                      <w:color w:val="auto"/>
                      <w:sz w:val="21"/>
                      <w:szCs w:val="21"/>
                      <w:lang w:val="en-US" w:eastAsia="zh-CN"/>
                    </w:rPr>
                    <w:t>d</w:t>
                  </w:r>
                </w:p>
              </w:tc>
            </w:tr>
            <w:tr w14:paraId="1E3EC93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693" w:type="dxa"/>
                  <w:vAlign w:val="center"/>
                </w:tcPr>
                <w:p w14:paraId="5921BC93">
                  <w:pPr>
                    <w:pStyle w:val="70"/>
                    <w:rPr>
                      <w:rFonts w:hint="default"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5</w:t>
                  </w:r>
                </w:p>
              </w:tc>
              <w:tc>
                <w:tcPr>
                  <w:tcW w:w="2052" w:type="dxa"/>
                  <w:vAlign w:val="center"/>
                </w:tcPr>
                <w:p w14:paraId="1EDFDF20">
                  <w:pPr>
                    <w:autoSpaceDN w:val="0"/>
                    <w:adjustRightInd w:val="0"/>
                    <w:snapToGrid w:val="0"/>
                    <w:jc w:val="center"/>
                    <w:textAlignment w:val="top"/>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负</w:t>
                  </w:r>
                  <w:r>
                    <w:rPr>
                      <w:rFonts w:hint="default" w:ascii="Times New Roman" w:hAnsi="Times New Roman" w:cs="Times New Roman"/>
                      <w:color w:val="auto"/>
                      <w:sz w:val="21"/>
                      <w:szCs w:val="21"/>
                    </w:rPr>
                    <w:t>极</w:t>
                  </w:r>
                  <w:r>
                    <w:rPr>
                      <w:rFonts w:hint="default" w:ascii="Times New Roman" w:hAnsi="Times New Roman" w:cs="Times New Roman"/>
                      <w:color w:val="auto"/>
                      <w:sz w:val="21"/>
                      <w:szCs w:val="21"/>
                      <w:lang w:val="en-US" w:eastAsia="zh-CN"/>
                    </w:rPr>
                    <w:t>粉体上料系统</w:t>
                  </w:r>
                </w:p>
              </w:tc>
              <w:tc>
                <w:tcPr>
                  <w:tcW w:w="1372" w:type="dxa"/>
                  <w:vAlign w:val="center"/>
                </w:tcPr>
                <w:p w14:paraId="48749846">
                  <w:pPr>
                    <w:autoSpaceDN w:val="0"/>
                    <w:adjustRightInd w:val="0"/>
                    <w:snapToGrid w:val="0"/>
                    <w:jc w:val="center"/>
                    <w:textAlignment w:val="top"/>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1</w:t>
                  </w:r>
                </w:p>
              </w:tc>
              <w:tc>
                <w:tcPr>
                  <w:tcW w:w="1829" w:type="dxa"/>
                  <w:vAlign w:val="center"/>
                </w:tcPr>
                <w:p w14:paraId="4A84AD28">
                  <w:pPr>
                    <w:autoSpaceDN w:val="0"/>
                    <w:adjustRightInd w:val="0"/>
                    <w:snapToGrid w:val="0"/>
                    <w:jc w:val="center"/>
                    <w:textAlignment w:val="top"/>
                    <w:rPr>
                      <w:rFonts w:hint="default" w:ascii="Times New Roman" w:hAnsi="Times New Roman" w:cs="Times New Roman"/>
                      <w:color w:val="auto"/>
                      <w:sz w:val="21"/>
                      <w:szCs w:val="21"/>
                    </w:rPr>
                  </w:pPr>
                  <w:r>
                    <w:rPr>
                      <w:rFonts w:hint="default" w:ascii="Times New Roman" w:hAnsi="Times New Roman" w:cs="Times New Roman"/>
                      <w:color w:val="auto"/>
                      <w:sz w:val="21"/>
                      <w:szCs w:val="21"/>
                      <w:lang w:val="en-US" w:eastAsia="zh-CN"/>
                    </w:rPr>
                    <w:t>/</w:t>
                  </w:r>
                </w:p>
              </w:tc>
              <w:tc>
                <w:tcPr>
                  <w:tcW w:w="916" w:type="dxa"/>
                  <w:vMerge w:val="continue"/>
                  <w:vAlign w:val="center"/>
                </w:tcPr>
                <w:p w14:paraId="159C26DF">
                  <w:pPr>
                    <w:pStyle w:val="70"/>
                    <w:rPr>
                      <w:rFonts w:hint="default" w:ascii="Times New Roman" w:hAnsi="Times New Roman" w:eastAsia="宋体" w:cs="Times New Roman"/>
                      <w:color w:val="auto"/>
                      <w:sz w:val="21"/>
                      <w:szCs w:val="21"/>
                      <w:lang w:val="en-US" w:eastAsia="zh-CN"/>
                    </w:rPr>
                  </w:pPr>
                </w:p>
              </w:tc>
              <w:tc>
                <w:tcPr>
                  <w:tcW w:w="916" w:type="dxa"/>
                  <w:vMerge w:val="continue"/>
                  <w:vAlign w:val="center"/>
                </w:tcPr>
                <w:p w14:paraId="163DC632">
                  <w:pPr>
                    <w:pStyle w:val="70"/>
                    <w:rPr>
                      <w:rFonts w:hint="default" w:ascii="Times New Roman" w:hAnsi="Times New Roman" w:eastAsia="宋体" w:cs="Times New Roman"/>
                      <w:color w:val="auto"/>
                      <w:sz w:val="21"/>
                      <w:szCs w:val="21"/>
                      <w:lang w:val="en-US" w:eastAsia="zh-CN"/>
                    </w:rPr>
                  </w:pPr>
                </w:p>
              </w:tc>
            </w:tr>
            <w:tr w14:paraId="3BE636F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693" w:type="dxa"/>
                  <w:vAlign w:val="center"/>
                </w:tcPr>
                <w:p w14:paraId="1D0E80AE">
                  <w:pPr>
                    <w:pStyle w:val="70"/>
                    <w:rPr>
                      <w:rFonts w:hint="default"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6</w:t>
                  </w:r>
                </w:p>
              </w:tc>
              <w:tc>
                <w:tcPr>
                  <w:tcW w:w="2052" w:type="dxa"/>
                  <w:vAlign w:val="center"/>
                </w:tcPr>
                <w:p w14:paraId="3915D7EB">
                  <w:pPr>
                    <w:autoSpaceDN w:val="0"/>
                    <w:adjustRightInd w:val="0"/>
                    <w:snapToGrid w:val="0"/>
                    <w:jc w:val="center"/>
                    <w:textAlignment w:val="top"/>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负</w:t>
                  </w:r>
                  <w:r>
                    <w:rPr>
                      <w:rFonts w:hint="default" w:ascii="Times New Roman" w:hAnsi="Times New Roman" w:cs="Times New Roman"/>
                      <w:color w:val="auto"/>
                      <w:sz w:val="21"/>
                      <w:szCs w:val="21"/>
                    </w:rPr>
                    <w:t>极</w:t>
                  </w:r>
                  <w:r>
                    <w:rPr>
                      <w:rFonts w:hint="default" w:ascii="Times New Roman" w:hAnsi="Times New Roman" w:cs="Times New Roman"/>
                      <w:color w:val="auto"/>
                      <w:sz w:val="21"/>
                      <w:szCs w:val="21"/>
                      <w:lang w:val="en-US" w:eastAsia="zh-CN"/>
                    </w:rPr>
                    <w:t>液体上料系统</w:t>
                  </w:r>
                </w:p>
              </w:tc>
              <w:tc>
                <w:tcPr>
                  <w:tcW w:w="1372" w:type="dxa"/>
                  <w:vAlign w:val="center"/>
                </w:tcPr>
                <w:p w14:paraId="2D21555C">
                  <w:pPr>
                    <w:autoSpaceDN w:val="0"/>
                    <w:adjustRightInd w:val="0"/>
                    <w:snapToGrid w:val="0"/>
                    <w:jc w:val="center"/>
                    <w:textAlignment w:val="top"/>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1</w:t>
                  </w:r>
                </w:p>
              </w:tc>
              <w:tc>
                <w:tcPr>
                  <w:tcW w:w="1829" w:type="dxa"/>
                  <w:vAlign w:val="center"/>
                </w:tcPr>
                <w:p w14:paraId="227E07BB">
                  <w:pPr>
                    <w:autoSpaceDN w:val="0"/>
                    <w:adjustRightInd w:val="0"/>
                    <w:snapToGrid w:val="0"/>
                    <w:jc w:val="center"/>
                    <w:textAlignment w:val="top"/>
                    <w:rPr>
                      <w:rFonts w:hint="default" w:ascii="Times New Roman" w:hAnsi="Times New Roman" w:cs="Times New Roman"/>
                      <w:color w:val="auto"/>
                      <w:sz w:val="21"/>
                      <w:szCs w:val="21"/>
                    </w:rPr>
                  </w:pPr>
                  <w:r>
                    <w:rPr>
                      <w:rFonts w:hint="default" w:ascii="Times New Roman" w:hAnsi="Times New Roman" w:cs="Times New Roman"/>
                      <w:color w:val="auto"/>
                      <w:sz w:val="21"/>
                      <w:szCs w:val="21"/>
                      <w:lang w:val="en-US" w:eastAsia="zh-CN"/>
                    </w:rPr>
                    <w:t>/</w:t>
                  </w:r>
                </w:p>
              </w:tc>
              <w:tc>
                <w:tcPr>
                  <w:tcW w:w="916" w:type="dxa"/>
                  <w:vMerge w:val="continue"/>
                  <w:vAlign w:val="center"/>
                </w:tcPr>
                <w:p w14:paraId="21FC942C">
                  <w:pPr>
                    <w:pStyle w:val="70"/>
                    <w:rPr>
                      <w:rFonts w:hint="default" w:ascii="Times New Roman" w:hAnsi="Times New Roman" w:eastAsia="宋体" w:cs="Times New Roman"/>
                      <w:color w:val="auto"/>
                      <w:sz w:val="21"/>
                      <w:szCs w:val="21"/>
                      <w:lang w:val="en-US" w:eastAsia="zh-CN"/>
                    </w:rPr>
                  </w:pPr>
                </w:p>
              </w:tc>
              <w:tc>
                <w:tcPr>
                  <w:tcW w:w="916" w:type="dxa"/>
                  <w:vMerge w:val="continue"/>
                  <w:vAlign w:val="center"/>
                </w:tcPr>
                <w:p w14:paraId="2E69574C">
                  <w:pPr>
                    <w:pStyle w:val="70"/>
                    <w:rPr>
                      <w:rFonts w:hint="default" w:ascii="Times New Roman" w:hAnsi="Times New Roman" w:eastAsia="宋体" w:cs="Times New Roman"/>
                      <w:color w:val="auto"/>
                      <w:sz w:val="21"/>
                      <w:szCs w:val="21"/>
                      <w:lang w:val="en-US" w:eastAsia="zh-CN"/>
                    </w:rPr>
                  </w:pPr>
                </w:p>
              </w:tc>
            </w:tr>
            <w:tr w14:paraId="45A56B2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693" w:type="dxa"/>
                  <w:vAlign w:val="center"/>
                </w:tcPr>
                <w:p w14:paraId="54731513">
                  <w:pPr>
                    <w:pStyle w:val="70"/>
                    <w:rPr>
                      <w:rFonts w:hint="default" w:ascii="Times New Roman" w:hAnsi="Times New Roman" w:eastAsia="宋体" w:cs="Times New Roman"/>
                      <w:color w:val="auto"/>
                      <w:sz w:val="21"/>
                      <w:szCs w:val="21"/>
                      <w:lang w:val="en-US" w:eastAsia="zh-CN"/>
                    </w:rPr>
                  </w:pPr>
                  <w:r>
                    <w:rPr>
                      <w:rFonts w:hint="eastAsia" w:ascii="Times New Roman" w:hAnsi="Times New Roman" w:cs="Times New Roman"/>
                      <w:color w:val="auto"/>
                      <w:sz w:val="21"/>
                      <w:szCs w:val="21"/>
                      <w:lang w:val="en-US" w:eastAsia="zh-CN"/>
                    </w:rPr>
                    <w:t>7</w:t>
                  </w:r>
                </w:p>
              </w:tc>
              <w:tc>
                <w:tcPr>
                  <w:tcW w:w="2052" w:type="dxa"/>
                  <w:vAlign w:val="center"/>
                </w:tcPr>
                <w:p w14:paraId="5A7D7E1B">
                  <w:pPr>
                    <w:autoSpaceDN w:val="0"/>
                    <w:adjustRightInd w:val="0"/>
                    <w:snapToGrid w:val="0"/>
                    <w:jc w:val="center"/>
                    <w:textAlignment w:val="top"/>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lang w:val="en-US" w:eastAsia="zh-CN"/>
                    </w:rPr>
                    <w:t>涂布机</w:t>
                  </w:r>
                </w:p>
              </w:tc>
              <w:tc>
                <w:tcPr>
                  <w:tcW w:w="1372" w:type="dxa"/>
                  <w:vAlign w:val="center"/>
                </w:tcPr>
                <w:p w14:paraId="697638C7">
                  <w:pPr>
                    <w:autoSpaceDN w:val="0"/>
                    <w:adjustRightInd w:val="0"/>
                    <w:snapToGrid w:val="0"/>
                    <w:jc w:val="center"/>
                    <w:textAlignment w:val="top"/>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lang w:val="en-US" w:eastAsia="zh-CN"/>
                    </w:rPr>
                    <w:t>2</w:t>
                  </w:r>
                </w:p>
              </w:tc>
              <w:tc>
                <w:tcPr>
                  <w:tcW w:w="1829" w:type="dxa"/>
                  <w:vAlign w:val="center"/>
                </w:tcPr>
                <w:p w14:paraId="0DB1833C">
                  <w:pPr>
                    <w:autoSpaceDN w:val="0"/>
                    <w:adjustRightInd w:val="0"/>
                    <w:snapToGrid w:val="0"/>
                    <w:jc w:val="center"/>
                    <w:textAlignment w:val="top"/>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rPr>
                    <w:t>KC-SD-1200-45-A</w:t>
                  </w:r>
                </w:p>
              </w:tc>
              <w:tc>
                <w:tcPr>
                  <w:tcW w:w="916" w:type="dxa"/>
                  <w:vAlign w:val="center"/>
                </w:tcPr>
                <w:p w14:paraId="5E71540C">
                  <w:pPr>
                    <w:pStyle w:val="70"/>
                    <w:spacing w:line="240" w:lineRule="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涂布</w:t>
                  </w:r>
                </w:p>
              </w:tc>
              <w:tc>
                <w:tcPr>
                  <w:tcW w:w="916" w:type="dxa"/>
                  <w:vAlign w:val="center"/>
                </w:tcPr>
                <w:p w14:paraId="64ADB380">
                  <w:pPr>
                    <w:pStyle w:val="70"/>
                    <w:spacing w:line="240" w:lineRule="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45m/min</w:t>
                  </w:r>
                </w:p>
              </w:tc>
            </w:tr>
            <w:tr w14:paraId="0684D32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693" w:type="dxa"/>
                  <w:vAlign w:val="center"/>
                </w:tcPr>
                <w:p w14:paraId="7B7222EF">
                  <w:pPr>
                    <w:pStyle w:val="70"/>
                    <w:rPr>
                      <w:rFonts w:hint="default" w:ascii="Times New Roman" w:hAnsi="Times New Roman" w:eastAsia="宋体" w:cs="Times New Roman"/>
                      <w:color w:val="auto"/>
                      <w:sz w:val="21"/>
                      <w:szCs w:val="21"/>
                      <w:lang w:val="en-US" w:eastAsia="zh-CN"/>
                    </w:rPr>
                  </w:pPr>
                  <w:r>
                    <w:rPr>
                      <w:rFonts w:hint="eastAsia" w:ascii="Times New Roman" w:hAnsi="Times New Roman" w:cs="Times New Roman"/>
                      <w:color w:val="auto"/>
                      <w:sz w:val="21"/>
                      <w:szCs w:val="21"/>
                      <w:lang w:val="en-US" w:eastAsia="zh-CN"/>
                    </w:rPr>
                    <w:t>8</w:t>
                  </w:r>
                </w:p>
              </w:tc>
              <w:tc>
                <w:tcPr>
                  <w:tcW w:w="2052" w:type="dxa"/>
                  <w:vAlign w:val="center"/>
                </w:tcPr>
                <w:p w14:paraId="25A6F5A7">
                  <w:pPr>
                    <w:autoSpaceDN w:val="0"/>
                    <w:adjustRightInd w:val="0"/>
                    <w:snapToGrid w:val="0"/>
                    <w:jc w:val="center"/>
                    <w:textAlignment w:val="top"/>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lang w:val="en-US" w:eastAsia="zh-CN"/>
                    </w:rPr>
                    <w:t>辊分一体机</w:t>
                  </w:r>
                </w:p>
              </w:tc>
              <w:tc>
                <w:tcPr>
                  <w:tcW w:w="1372" w:type="dxa"/>
                  <w:vAlign w:val="center"/>
                </w:tcPr>
                <w:p w14:paraId="3D34252D">
                  <w:pPr>
                    <w:autoSpaceDN w:val="0"/>
                    <w:adjustRightInd w:val="0"/>
                    <w:snapToGrid w:val="0"/>
                    <w:jc w:val="center"/>
                    <w:textAlignment w:val="top"/>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lang w:val="en-US" w:eastAsia="zh-CN"/>
                    </w:rPr>
                    <w:t>2</w:t>
                  </w:r>
                </w:p>
              </w:tc>
              <w:tc>
                <w:tcPr>
                  <w:tcW w:w="1829" w:type="dxa"/>
                  <w:vAlign w:val="center"/>
                </w:tcPr>
                <w:p w14:paraId="3D99A969">
                  <w:pPr>
                    <w:autoSpaceDN w:val="0"/>
                    <w:adjustRightInd w:val="0"/>
                    <w:snapToGrid w:val="0"/>
                    <w:jc w:val="center"/>
                    <w:textAlignment w:val="top"/>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rPr>
                    <w:t>LDHS900-WND120</w:t>
                  </w:r>
                </w:p>
              </w:tc>
              <w:tc>
                <w:tcPr>
                  <w:tcW w:w="916" w:type="dxa"/>
                  <w:vAlign w:val="center"/>
                </w:tcPr>
                <w:p w14:paraId="1353895B">
                  <w:pPr>
                    <w:pStyle w:val="70"/>
                    <w:spacing w:line="240" w:lineRule="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锟压、分条</w:t>
                  </w:r>
                </w:p>
              </w:tc>
              <w:tc>
                <w:tcPr>
                  <w:tcW w:w="916" w:type="dxa"/>
                  <w:vAlign w:val="center"/>
                </w:tcPr>
                <w:p w14:paraId="73598945">
                  <w:pPr>
                    <w:pStyle w:val="70"/>
                    <w:spacing w:line="240" w:lineRule="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80m/min</w:t>
                  </w:r>
                </w:p>
              </w:tc>
            </w:tr>
            <w:tr w14:paraId="0118FE1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93" w:type="dxa"/>
                  <w:vAlign w:val="center"/>
                </w:tcPr>
                <w:p w14:paraId="415C7065">
                  <w:pPr>
                    <w:pStyle w:val="70"/>
                    <w:rPr>
                      <w:rFonts w:hint="default" w:ascii="Times New Roman" w:hAnsi="Times New Roman" w:eastAsia="宋体" w:cs="Times New Roman"/>
                      <w:color w:val="auto"/>
                      <w:sz w:val="21"/>
                      <w:szCs w:val="21"/>
                      <w:lang w:val="en-US" w:eastAsia="zh-CN"/>
                    </w:rPr>
                  </w:pPr>
                  <w:r>
                    <w:rPr>
                      <w:rFonts w:hint="eastAsia" w:ascii="Times New Roman" w:hAnsi="Times New Roman" w:cs="Times New Roman"/>
                      <w:color w:val="auto"/>
                      <w:sz w:val="21"/>
                      <w:szCs w:val="21"/>
                      <w:lang w:val="en-US" w:eastAsia="zh-CN"/>
                    </w:rPr>
                    <w:t>9</w:t>
                  </w:r>
                </w:p>
              </w:tc>
              <w:tc>
                <w:tcPr>
                  <w:tcW w:w="2052" w:type="dxa"/>
                  <w:vAlign w:val="center"/>
                </w:tcPr>
                <w:p w14:paraId="3E32D535">
                  <w:pPr>
                    <w:autoSpaceDN w:val="0"/>
                    <w:adjustRightInd w:val="0"/>
                    <w:snapToGrid w:val="0"/>
                    <w:jc w:val="center"/>
                    <w:textAlignment w:val="top"/>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lang w:val="en-US" w:eastAsia="zh-CN"/>
                    </w:rPr>
                    <w:t>切叠一体机</w:t>
                  </w:r>
                </w:p>
              </w:tc>
              <w:tc>
                <w:tcPr>
                  <w:tcW w:w="1372" w:type="dxa"/>
                  <w:vAlign w:val="center"/>
                </w:tcPr>
                <w:p w14:paraId="3803A7B0">
                  <w:pPr>
                    <w:autoSpaceDN w:val="0"/>
                    <w:adjustRightInd w:val="0"/>
                    <w:snapToGrid w:val="0"/>
                    <w:jc w:val="center"/>
                    <w:textAlignment w:val="top"/>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lang w:val="en-US" w:eastAsia="zh-CN"/>
                    </w:rPr>
                    <w:t>6</w:t>
                  </w:r>
                </w:p>
              </w:tc>
              <w:tc>
                <w:tcPr>
                  <w:tcW w:w="1829" w:type="dxa"/>
                  <w:vAlign w:val="center"/>
                </w:tcPr>
                <w:p w14:paraId="17A8A55E">
                  <w:pPr>
                    <w:autoSpaceDN w:val="0"/>
                    <w:adjustRightInd w:val="0"/>
                    <w:snapToGrid w:val="0"/>
                    <w:jc w:val="center"/>
                    <w:textAlignment w:val="top"/>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lang w:val="en-US" w:eastAsia="zh-CN"/>
                    </w:rPr>
                    <w:t>/</w:t>
                  </w:r>
                </w:p>
              </w:tc>
              <w:tc>
                <w:tcPr>
                  <w:tcW w:w="916" w:type="dxa"/>
                  <w:vAlign w:val="center"/>
                </w:tcPr>
                <w:p w14:paraId="72CBC7BE">
                  <w:pPr>
                    <w:pStyle w:val="70"/>
                    <w:spacing w:line="240" w:lineRule="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叠片</w:t>
                  </w:r>
                </w:p>
              </w:tc>
              <w:tc>
                <w:tcPr>
                  <w:tcW w:w="916" w:type="dxa"/>
                  <w:vAlign w:val="center"/>
                </w:tcPr>
                <w:p w14:paraId="199B5C52">
                  <w:pPr>
                    <w:pStyle w:val="70"/>
                    <w:spacing w:line="240" w:lineRule="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0.6S/片</w:t>
                  </w:r>
                </w:p>
              </w:tc>
            </w:tr>
            <w:tr w14:paraId="76D8227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693" w:type="dxa"/>
                  <w:vAlign w:val="center"/>
                </w:tcPr>
                <w:p w14:paraId="7A7F7AF8">
                  <w:pPr>
                    <w:pStyle w:val="70"/>
                    <w:rPr>
                      <w:rFonts w:hint="default" w:ascii="Times New Roman" w:hAnsi="Times New Roman" w:eastAsia="宋体" w:cs="Times New Roman"/>
                      <w:color w:val="auto"/>
                      <w:sz w:val="21"/>
                      <w:szCs w:val="21"/>
                      <w:lang w:val="en-US" w:eastAsia="zh-CN"/>
                    </w:rPr>
                  </w:pPr>
                  <w:r>
                    <w:rPr>
                      <w:rFonts w:hint="eastAsia" w:ascii="Times New Roman" w:hAnsi="Times New Roman" w:cs="Times New Roman"/>
                      <w:color w:val="auto"/>
                      <w:sz w:val="21"/>
                      <w:szCs w:val="21"/>
                      <w:lang w:val="en-US" w:eastAsia="zh-CN"/>
                    </w:rPr>
                    <w:t>10</w:t>
                  </w:r>
                </w:p>
              </w:tc>
              <w:tc>
                <w:tcPr>
                  <w:tcW w:w="2052" w:type="dxa"/>
                  <w:vAlign w:val="center"/>
                </w:tcPr>
                <w:p w14:paraId="410379F1">
                  <w:pPr>
                    <w:autoSpaceDN w:val="0"/>
                    <w:adjustRightInd w:val="0"/>
                    <w:snapToGrid w:val="0"/>
                    <w:jc w:val="center"/>
                    <w:textAlignment w:val="top"/>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lang w:val="en-US" w:eastAsia="zh-CN"/>
                    </w:rPr>
                    <w:t>热压机</w:t>
                  </w:r>
                </w:p>
              </w:tc>
              <w:tc>
                <w:tcPr>
                  <w:tcW w:w="1372" w:type="dxa"/>
                  <w:vAlign w:val="center"/>
                </w:tcPr>
                <w:p w14:paraId="245A9E1E">
                  <w:pPr>
                    <w:autoSpaceDN w:val="0"/>
                    <w:adjustRightInd w:val="0"/>
                    <w:snapToGrid w:val="0"/>
                    <w:jc w:val="center"/>
                    <w:textAlignment w:val="top"/>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lang w:val="en-US" w:eastAsia="zh-CN"/>
                    </w:rPr>
                    <w:t>1</w:t>
                  </w:r>
                </w:p>
              </w:tc>
              <w:tc>
                <w:tcPr>
                  <w:tcW w:w="1829" w:type="dxa"/>
                  <w:vAlign w:val="center"/>
                </w:tcPr>
                <w:p w14:paraId="32F76D40">
                  <w:pPr>
                    <w:autoSpaceDN w:val="0"/>
                    <w:adjustRightInd w:val="0"/>
                    <w:snapToGrid w:val="0"/>
                    <w:jc w:val="center"/>
                    <w:textAlignment w:val="top"/>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rPr>
                    <w:t>AH-RYCS-280</w:t>
                  </w:r>
                </w:p>
              </w:tc>
              <w:tc>
                <w:tcPr>
                  <w:tcW w:w="916" w:type="dxa"/>
                  <w:vAlign w:val="center"/>
                </w:tcPr>
                <w:p w14:paraId="00824F02">
                  <w:pPr>
                    <w:pStyle w:val="70"/>
                    <w:spacing w:line="240" w:lineRule="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热压</w:t>
                  </w:r>
                </w:p>
              </w:tc>
              <w:tc>
                <w:tcPr>
                  <w:tcW w:w="916" w:type="dxa"/>
                  <w:vAlign w:val="center"/>
                </w:tcPr>
                <w:p w14:paraId="21422B8D">
                  <w:pPr>
                    <w:pStyle w:val="70"/>
                    <w:spacing w:line="240" w:lineRule="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15000</w:t>
                  </w:r>
                  <w:r>
                    <w:rPr>
                      <w:rFonts w:hint="eastAsia" w:cs="Times New Roman"/>
                      <w:color w:val="auto"/>
                      <w:sz w:val="21"/>
                      <w:szCs w:val="21"/>
                      <w:lang w:val="en-US" w:eastAsia="zh-CN"/>
                    </w:rPr>
                    <w:t>个</w:t>
                  </w:r>
                  <w:r>
                    <w:rPr>
                      <w:rFonts w:hint="eastAsia" w:ascii="Times New Roman" w:hAnsi="Times New Roman" w:eastAsia="宋体" w:cs="Times New Roman"/>
                      <w:color w:val="auto"/>
                      <w:sz w:val="21"/>
                      <w:szCs w:val="21"/>
                      <w:lang w:val="en-US" w:eastAsia="zh-CN"/>
                    </w:rPr>
                    <w:t>/d</w:t>
                  </w:r>
                </w:p>
              </w:tc>
            </w:tr>
            <w:tr w14:paraId="5A89E0F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693" w:type="dxa"/>
                  <w:vAlign w:val="center"/>
                </w:tcPr>
                <w:p w14:paraId="1C7534DD">
                  <w:pPr>
                    <w:pStyle w:val="70"/>
                    <w:rPr>
                      <w:rFonts w:hint="default" w:ascii="Times New Roman" w:hAnsi="Times New Roman" w:eastAsia="宋体" w:cs="Times New Roman"/>
                      <w:color w:val="auto"/>
                      <w:sz w:val="21"/>
                      <w:szCs w:val="21"/>
                      <w:lang w:val="en-US" w:eastAsia="zh-CN"/>
                    </w:rPr>
                  </w:pPr>
                  <w:r>
                    <w:rPr>
                      <w:rFonts w:hint="eastAsia" w:ascii="Times New Roman" w:hAnsi="Times New Roman" w:cs="Times New Roman"/>
                      <w:color w:val="auto"/>
                      <w:sz w:val="21"/>
                      <w:szCs w:val="21"/>
                      <w:lang w:val="en-US" w:eastAsia="zh-CN"/>
                    </w:rPr>
                    <w:t>11</w:t>
                  </w:r>
                </w:p>
              </w:tc>
              <w:tc>
                <w:tcPr>
                  <w:tcW w:w="2052" w:type="dxa"/>
                  <w:vAlign w:val="center"/>
                </w:tcPr>
                <w:p w14:paraId="67D3FDEC">
                  <w:pPr>
                    <w:autoSpaceDN w:val="0"/>
                    <w:adjustRightInd w:val="0"/>
                    <w:snapToGrid w:val="0"/>
                    <w:jc w:val="center"/>
                    <w:textAlignment w:val="top"/>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lang w:val="en-US" w:eastAsia="zh-CN"/>
                    </w:rPr>
                    <w:t>自动焊接线</w:t>
                  </w:r>
                </w:p>
              </w:tc>
              <w:tc>
                <w:tcPr>
                  <w:tcW w:w="1372" w:type="dxa"/>
                  <w:vAlign w:val="center"/>
                </w:tcPr>
                <w:p w14:paraId="0CBD333F">
                  <w:pPr>
                    <w:autoSpaceDN w:val="0"/>
                    <w:adjustRightInd w:val="0"/>
                    <w:snapToGrid w:val="0"/>
                    <w:jc w:val="center"/>
                    <w:textAlignment w:val="top"/>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lang w:val="en-US" w:eastAsia="zh-CN"/>
                    </w:rPr>
                    <w:t>1</w:t>
                  </w:r>
                </w:p>
              </w:tc>
              <w:tc>
                <w:tcPr>
                  <w:tcW w:w="1829" w:type="dxa"/>
                  <w:vAlign w:val="center"/>
                </w:tcPr>
                <w:p w14:paraId="16D4ADD0">
                  <w:pPr>
                    <w:autoSpaceDN w:val="0"/>
                    <w:adjustRightInd w:val="0"/>
                    <w:snapToGrid w:val="0"/>
                    <w:jc w:val="center"/>
                    <w:textAlignment w:val="top"/>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lang w:val="en-US" w:eastAsia="zh-CN"/>
                    </w:rPr>
                    <w:t>/</w:t>
                  </w:r>
                </w:p>
              </w:tc>
              <w:tc>
                <w:tcPr>
                  <w:tcW w:w="916" w:type="dxa"/>
                  <w:vAlign w:val="center"/>
                </w:tcPr>
                <w:p w14:paraId="47C284BD">
                  <w:pPr>
                    <w:pStyle w:val="70"/>
                    <w:spacing w:line="240" w:lineRule="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极耳焊接</w:t>
                  </w:r>
                </w:p>
              </w:tc>
              <w:tc>
                <w:tcPr>
                  <w:tcW w:w="916" w:type="dxa"/>
                  <w:vAlign w:val="center"/>
                </w:tcPr>
                <w:p w14:paraId="69038D32">
                  <w:pPr>
                    <w:pStyle w:val="70"/>
                    <w:spacing w:line="240" w:lineRule="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15000个/d</w:t>
                  </w:r>
                </w:p>
              </w:tc>
            </w:tr>
            <w:tr w14:paraId="5E64792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693" w:type="dxa"/>
                  <w:vAlign w:val="center"/>
                </w:tcPr>
                <w:p w14:paraId="2746B432">
                  <w:pPr>
                    <w:pStyle w:val="70"/>
                    <w:rPr>
                      <w:rFonts w:hint="default" w:ascii="Times New Roman" w:hAnsi="Times New Roman" w:eastAsia="宋体" w:cs="Times New Roman"/>
                      <w:color w:val="auto"/>
                      <w:sz w:val="21"/>
                      <w:szCs w:val="21"/>
                      <w:lang w:val="en-US" w:eastAsia="zh-CN"/>
                    </w:rPr>
                  </w:pPr>
                  <w:r>
                    <w:rPr>
                      <w:rFonts w:hint="eastAsia" w:ascii="Times New Roman" w:hAnsi="Times New Roman" w:cs="Times New Roman"/>
                      <w:color w:val="auto"/>
                      <w:sz w:val="21"/>
                      <w:szCs w:val="21"/>
                      <w:lang w:val="en-US" w:eastAsia="zh-CN"/>
                    </w:rPr>
                    <w:t>12</w:t>
                  </w:r>
                </w:p>
              </w:tc>
              <w:tc>
                <w:tcPr>
                  <w:tcW w:w="2052" w:type="dxa"/>
                  <w:vAlign w:val="center"/>
                </w:tcPr>
                <w:p w14:paraId="0167BFCD">
                  <w:pPr>
                    <w:autoSpaceDN w:val="0"/>
                    <w:adjustRightInd w:val="0"/>
                    <w:snapToGrid w:val="0"/>
                    <w:jc w:val="center"/>
                    <w:textAlignment w:val="top"/>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lang w:val="en-US" w:eastAsia="zh-CN"/>
                    </w:rPr>
                    <w:t>自动冲壳机</w:t>
                  </w:r>
                </w:p>
              </w:tc>
              <w:tc>
                <w:tcPr>
                  <w:tcW w:w="1372" w:type="dxa"/>
                  <w:vAlign w:val="center"/>
                </w:tcPr>
                <w:p w14:paraId="1D7E1900">
                  <w:pPr>
                    <w:autoSpaceDN w:val="0"/>
                    <w:adjustRightInd w:val="0"/>
                    <w:snapToGrid w:val="0"/>
                    <w:jc w:val="center"/>
                    <w:textAlignment w:val="top"/>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lang w:val="en-US" w:eastAsia="zh-CN"/>
                    </w:rPr>
                    <w:t>1</w:t>
                  </w:r>
                </w:p>
              </w:tc>
              <w:tc>
                <w:tcPr>
                  <w:tcW w:w="1829" w:type="dxa"/>
                  <w:vAlign w:val="center"/>
                </w:tcPr>
                <w:p w14:paraId="783E1B59">
                  <w:pPr>
                    <w:autoSpaceDN w:val="0"/>
                    <w:adjustRightInd w:val="0"/>
                    <w:snapToGrid w:val="0"/>
                    <w:jc w:val="center"/>
                    <w:textAlignment w:val="top"/>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lang w:val="en-US" w:eastAsia="zh-CN"/>
                    </w:rPr>
                    <w:t>/</w:t>
                  </w:r>
                </w:p>
              </w:tc>
              <w:tc>
                <w:tcPr>
                  <w:tcW w:w="916" w:type="dxa"/>
                  <w:vMerge w:val="restart"/>
                  <w:vAlign w:val="center"/>
                </w:tcPr>
                <w:p w14:paraId="751D74EB">
                  <w:pPr>
                    <w:pStyle w:val="70"/>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装配</w:t>
                  </w:r>
                </w:p>
              </w:tc>
              <w:tc>
                <w:tcPr>
                  <w:tcW w:w="916" w:type="dxa"/>
                  <w:vAlign w:val="center"/>
                </w:tcPr>
                <w:p w14:paraId="114CE707">
                  <w:pPr>
                    <w:pStyle w:val="70"/>
                    <w:spacing w:line="240" w:lineRule="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15000个/d</w:t>
                  </w:r>
                </w:p>
              </w:tc>
            </w:tr>
            <w:tr w14:paraId="240DEEE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693" w:type="dxa"/>
                  <w:vAlign w:val="center"/>
                </w:tcPr>
                <w:p w14:paraId="23336ACA">
                  <w:pPr>
                    <w:pStyle w:val="70"/>
                    <w:rPr>
                      <w:rFonts w:hint="default" w:ascii="Times New Roman" w:hAnsi="Times New Roman" w:eastAsia="宋体" w:cs="Times New Roman"/>
                      <w:color w:val="auto"/>
                      <w:sz w:val="21"/>
                      <w:szCs w:val="21"/>
                      <w:lang w:val="en-US" w:eastAsia="zh-CN"/>
                    </w:rPr>
                  </w:pPr>
                  <w:r>
                    <w:rPr>
                      <w:rFonts w:hint="eastAsia" w:ascii="Times New Roman" w:hAnsi="Times New Roman" w:cs="Times New Roman"/>
                      <w:color w:val="auto"/>
                      <w:sz w:val="21"/>
                      <w:szCs w:val="21"/>
                      <w:lang w:val="en-US" w:eastAsia="zh-CN"/>
                    </w:rPr>
                    <w:t>13</w:t>
                  </w:r>
                </w:p>
              </w:tc>
              <w:tc>
                <w:tcPr>
                  <w:tcW w:w="2052" w:type="dxa"/>
                  <w:shd w:val="clear" w:color="auto" w:fill="auto"/>
                  <w:vAlign w:val="center"/>
                </w:tcPr>
                <w:p w14:paraId="299FDF3C">
                  <w:pPr>
                    <w:autoSpaceDN w:val="0"/>
                    <w:adjustRightInd w:val="0"/>
                    <w:snapToGrid w:val="0"/>
                    <w:jc w:val="center"/>
                    <w:textAlignment w:val="top"/>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cs="Times New Roman"/>
                      <w:color w:val="auto"/>
                      <w:sz w:val="21"/>
                      <w:szCs w:val="21"/>
                      <w:lang w:val="en-US" w:eastAsia="zh-CN"/>
                    </w:rPr>
                    <w:t>自动贴膜机</w:t>
                  </w:r>
                </w:p>
              </w:tc>
              <w:tc>
                <w:tcPr>
                  <w:tcW w:w="1372" w:type="dxa"/>
                  <w:shd w:val="clear" w:color="auto" w:fill="auto"/>
                  <w:vAlign w:val="center"/>
                </w:tcPr>
                <w:p w14:paraId="7B2E9017">
                  <w:pPr>
                    <w:autoSpaceDN w:val="0"/>
                    <w:adjustRightInd w:val="0"/>
                    <w:snapToGrid w:val="0"/>
                    <w:jc w:val="center"/>
                    <w:textAlignment w:val="top"/>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cs="Times New Roman"/>
                      <w:color w:val="auto"/>
                      <w:sz w:val="21"/>
                      <w:szCs w:val="21"/>
                      <w:lang w:val="en-US" w:eastAsia="zh-CN"/>
                    </w:rPr>
                    <w:t>1</w:t>
                  </w:r>
                </w:p>
              </w:tc>
              <w:tc>
                <w:tcPr>
                  <w:tcW w:w="1829" w:type="dxa"/>
                  <w:shd w:val="clear" w:color="auto" w:fill="auto"/>
                  <w:vAlign w:val="center"/>
                </w:tcPr>
                <w:p w14:paraId="56F80BE2">
                  <w:pPr>
                    <w:autoSpaceDN w:val="0"/>
                    <w:adjustRightInd w:val="0"/>
                    <w:snapToGrid w:val="0"/>
                    <w:jc w:val="center"/>
                    <w:textAlignment w:val="top"/>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cs="Times New Roman"/>
                      <w:color w:val="auto"/>
                      <w:sz w:val="21"/>
                      <w:szCs w:val="21"/>
                      <w:lang w:val="en-US" w:eastAsia="zh-CN"/>
                    </w:rPr>
                    <w:t>/</w:t>
                  </w:r>
                </w:p>
              </w:tc>
              <w:tc>
                <w:tcPr>
                  <w:tcW w:w="916" w:type="dxa"/>
                  <w:vMerge w:val="continue"/>
                  <w:vAlign w:val="center"/>
                </w:tcPr>
                <w:p w14:paraId="3C85C6AD">
                  <w:pPr>
                    <w:pStyle w:val="70"/>
                    <w:rPr>
                      <w:rFonts w:hint="default" w:ascii="Times New Roman" w:hAnsi="Times New Roman" w:eastAsia="宋体" w:cs="Times New Roman"/>
                      <w:color w:val="auto"/>
                      <w:sz w:val="21"/>
                      <w:szCs w:val="21"/>
                      <w:lang w:val="en-US" w:eastAsia="zh-CN"/>
                    </w:rPr>
                  </w:pPr>
                </w:p>
              </w:tc>
              <w:tc>
                <w:tcPr>
                  <w:tcW w:w="916" w:type="dxa"/>
                  <w:vAlign w:val="center"/>
                </w:tcPr>
                <w:p w14:paraId="1908B516">
                  <w:pPr>
                    <w:pStyle w:val="70"/>
                    <w:spacing w:line="240" w:lineRule="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15000个/d</w:t>
                  </w:r>
                </w:p>
              </w:tc>
            </w:tr>
            <w:tr w14:paraId="278921F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693" w:type="dxa"/>
                  <w:vAlign w:val="center"/>
                </w:tcPr>
                <w:p w14:paraId="44A4DAE8">
                  <w:pPr>
                    <w:pStyle w:val="70"/>
                    <w:rPr>
                      <w:rFonts w:hint="default" w:ascii="Times New Roman" w:hAnsi="Times New Roman" w:eastAsia="宋体" w:cs="Times New Roman"/>
                      <w:color w:val="auto"/>
                      <w:sz w:val="21"/>
                      <w:szCs w:val="21"/>
                      <w:lang w:val="en-US" w:eastAsia="zh-CN"/>
                    </w:rPr>
                  </w:pPr>
                  <w:r>
                    <w:rPr>
                      <w:rFonts w:hint="eastAsia" w:ascii="Times New Roman" w:hAnsi="Times New Roman" w:cs="Times New Roman"/>
                      <w:color w:val="auto"/>
                      <w:sz w:val="21"/>
                      <w:szCs w:val="21"/>
                      <w:lang w:val="en-US" w:eastAsia="zh-CN"/>
                    </w:rPr>
                    <w:t>14</w:t>
                  </w:r>
                </w:p>
              </w:tc>
              <w:tc>
                <w:tcPr>
                  <w:tcW w:w="2052" w:type="dxa"/>
                  <w:shd w:val="clear" w:color="auto" w:fill="auto"/>
                  <w:vAlign w:val="center"/>
                </w:tcPr>
                <w:p w14:paraId="7D0FBFF8">
                  <w:pPr>
                    <w:autoSpaceDN w:val="0"/>
                    <w:adjustRightInd w:val="0"/>
                    <w:snapToGrid w:val="0"/>
                    <w:jc w:val="center"/>
                    <w:textAlignment w:val="top"/>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cs="Times New Roman"/>
                      <w:color w:val="auto"/>
                      <w:sz w:val="21"/>
                      <w:szCs w:val="21"/>
                      <w:lang w:val="en-US" w:eastAsia="zh-CN"/>
                    </w:rPr>
                    <w:t>自动包装机</w:t>
                  </w:r>
                </w:p>
              </w:tc>
              <w:tc>
                <w:tcPr>
                  <w:tcW w:w="1372" w:type="dxa"/>
                  <w:shd w:val="clear" w:color="auto" w:fill="auto"/>
                  <w:vAlign w:val="center"/>
                </w:tcPr>
                <w:p w14:paraId="69F6A4A3">
                  <w:pPr>
                    <w:autoSpaceDN w:val="0"/>
                    <w:adjustRightInd w:val="0"/>
                    <w:snapToGrid w:val="0"/>
                    <w:jc w:val="center"/>
                    <w:textAlignment w:val="top"/>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cs="Times New Roman"/>
                      <w:color w:val="auto"/>
                      <w:sz w:val="21"/>
                      <w:szCs w:val="21"/>
                      <w:lang w:val="en-US" w:eastAsia="zh-CN"/>
                    </w:rPr>
                    <w:t>1</w:t>
                  </w:r>
                </w:p>
              </w:tc>
              <w:tc>
                <w:tcPr>
                  <w:tcW w:w="1829" w:type="dxa"/>
                  <w:shd w:val="clear" w:color="auto" w:fill="auto"/>
                  <w:vAlign w:val="center"/>
                </w:tcPr>
                <w:p w14:paraId="0C45DE2C">
                  <w:pPr>
                    <w:autoSpaceDN w:val="0"/>
                    <w:adjustRightInd w:val="0"/>
                    <w:snapToGrid w:val="0"/>
                    <w:jc w:val="center"/>
                    <w:textAlignment w:val="top"/>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cs="Times New Roman"/>
                      <w:color w:val="auto"/>
                      <w:sz w:val="21"/>
                      <w:szCs w:val="21"/>
                    </w:rPr>
                    <w:t>ZDBZ300</w:t>
                  </w:r>
                  <w:r>
                    <w:rPr>
                      <w:rFonts w:hint="default" w:ascii="Times New Roman" w:hAnsi="Times New Roman" w:cs="Times New Roman"/>
                      <w:color w:val="auto"/>
                      <w:sz w:val="21"/>
                      <w:szCs w:val="21"/>
                      <w:lang w:val="en-US" w:eastAsia="zh-CN"/>
                    </w:rPr>
                    <w:t>-15</w:t>
                  </w:r>
                </w:p>
              </w:tc>
              <w:tc>
                <w:tcPr>
                  <w:tcW w:w="916" w:type="dxa"/>
                  <w:vMerge w:val="continue"/>
                  <w:vAlign w:val="center"/>
                </w:tcPr>
                <w:p w14:paraId="34365395">
                  <w:pPr>
                    <w:pStyle w:val="70"/>
                    <w:rPr>
                      <w:rFonts w:hint="default" w:ascii="Times New Roman" w:hAnsi="Times New Roman" w:eastAsia="宋体" w:cs="Times New Roman"/>
                      <w:color w:val="auto"/>
                      <w:sz w:val="21"/>
                      <w:szCs w:val="21"/>
                      <w:lang w:val="en-US" w:eastAsia="zh-CN"/>
                    </w:rPr>
                  </w:pPr>
                </w:p>
              </w:tc>
              <w:tc>
                <w:tcPr>
                  <w:tcW w:w="916" w:type="dxa"/>
                  <w:vAlign w:val="center"/>
                </w:tcPr>
                <w:p w14:paraId="3E96C342">
                  <w:pPr>
                    <w:pStyle w:val="70"/>
                    <w:spacing w:line="240" w:lineRule="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15000个/d</w:t>
                  </w:r>
                </w:p>
              </w:tc>
            </w:tr>
            <w:tr w14:paraId="07B3B68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693" w:type="dxa"/>
                  <w:vAlign w:val="center"/>
                </w:tcPr>
                <w:p w14:paraId="2A268605">
                  <w:pPr>
                    <w:pStyle w:val="70"/>
                    <w:rPr>
                      <w:rFonts w:hint="default" w:ascii="Times New Roman" w:hAnsi="Times New Roman" w:eastAsia="宋体" w:cs="Times New Roman"/>
                      <w:color w:val="auto"/>
                      <w:sz w:val="21"/>
                      <w:szCs w:val="21"/>
                      <w:lang w:val="en-US" w:eastAsia="zh-CN"/>
                    </w:rPr>
                  </w:pPr>
                  <w:r>
                    <w:rPr>
                      <w:rFonts w:hint="eastAsia" w:ascii="Times New Roman" w:hAnsi="Times New Roman" w:cs="Times New Roman"/>
                      <w:color w:val="auto"/>
                      <w:sz w:val="21"/>
                      <w:szCs w:val="21"/>
                      <w:lang w:val="en-US" w:eastAsia="zh-CN"/>
                    </w:rPr>
                    <w:t>15</w:t>
                  </w:r>
                </w:p>
              </w:tc>
              <w:tc>
                <w:tcPr>
                  <w:tcW w:w="2052" w:type="dxa"/>
                  <w:vAlign w:val="center"/>
                </w:tcPr>
                <w:p w14:paraId="2830F55B">
                  <w:pPr>
                    <w:autoSpaceDN w:val="0"/>
                    <w:adjustRightInd w:val="0"/>
                    <w:snapToGrid w:val="0"/>
                    <w:jc w:val="center"/>
                    <w:textAlignment w:val="top"/>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rPr>
                    <w:t>自动注液机</w:t>
                  </w:r>
                </w:p>
              </w:tc>
              <w:tc>
                <w:tcPr>
                  <w:tcW w:w="1372" w:type="dxa"/>
                  <w:vAlign w:val="center"/>
                </w:tcPr>
                <w:p w14:paraId="409F074B">
                  <w:pPr>
                    <w:autoSpaceDN w:val="0"/>
                    <w:adjustRightInd w:val="0"/>
                    <w:snapToGrid w:val="0"/>
                    <w:jc w:val="center"/>
                    <w:textAlignment w:val="top"/>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lang w:val="en-US" w:eastAsia="zh-CN"/>
                    </w:rPr>
                    <w:t>1</w:t>
                  </w:r>
                </w:p>
              </w:tc>
              <w:tc>
                <w:tcPr>
                  <w:tcW w:w="1829" w:type="dxa"/>
                  <w:vAlign w:val="center"/>
                </w:tcPr>
                <w:p w14:paraId="78917B64">
                  <w:pPr>
                    <w:autoSpaceDN w:val="0"/>
                    <w:adjustRightInd w:val="0"/>
                    <w:snapToGrid w:val="0"/>
                    <w:jc w:val="center"/>
                    <w:textAlignment w:val="top"/>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rPr>
                    <w:t>RZY300ZLA8-15</w:t>
                  </w:r>
                </w:p>
              </w:tc>
              <w:tc>
                <w:tcPr>
                  <w:tcW w:w="916" w:type="dxa"/>
                  <w:vAlign w:val="center"/>
                </w:tcPr>
                <w:p w14:paraId="5F083429">
                  <w:pPr>
                    <w:pStyle w:val="70"/>
                    <w:spacing w:line="240" w:lineRule="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注液</w:t>
                  </w:r>
                </w:p>
              </w:tc>
              <w:tc>
                <w:tcPr>
                  <w:tcW w:w="916" w:type="dxa"/>
                  <w:vAlign w:val="center"/>
                </w:tcPr>
                <w:p w14:paraId="1AFECEB4">
                  <w:pPr>
                    <w:pStyle w:val="70"/>
                    <w:spacing w:line="240" w:lineRule="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15000个/d</w:t>
                  </w:r>
                </w:p>
              </w:tc>
            </w:tr>
            <w:tr w14:paraId="1D525AB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693" w:type="dxa"/>
                  <w:vAlign w:val="center"/>
                </w:tcPr>
                <w:p w14:paraId="764377C0">
                  <w:pPr>
                    <w:pStyle w:val="70"/>
                    <w:rPr>
                      <w:rFonts w:hint="default" w:ascii="Times New Roman" w:hAnsi="Times New Roman" w:eastAsia="宋体" w:cs="Times New Roman"/>
                      <w:color w:val="auto"/>
                      <w:sz w:val="21"/>
                      <w:szCs w:val="21"/>
                      <w:lang w:val="en-US" w:eastAsia="zh-CN"/>
                    </w:rPr>
                  </w:pPr>
                  <w:r>
                    <w:rPr>
                      <w:rFonts w:hint="eastAsia" w:ascii="Times New Roman" w:hAnsi="Times New Roman" w:cs="Times New Roman"/>
                      <w:color w:val="auto"/>
                      <w:sz w:val="21"/>
                      <w:szCs w:val="21"/>
                      <w:lang w:val="en-US" w:eastAsia="zh-CN"/>
                    </w:rPr>
                    <w:t>16</w:t>
                  </w:r>
                </w:p>
              </w:tc>
              <w:tc>
                <w:tcPr>
                  <w:tcW w:w="2052" w:type="dxa"/>
                  <w:vAlign w:val="center"/>
                </w:tcPr>
                <w:p w14:paraId="4E16B153">
                  <w:pPr>
                    <w:autoSpaceDN w:val="0"/>
                    <w:adjustRightInd w:val="0"/>
                    <w:snapToGrid w:val="0"/>
                    <w:jc w:val="center"/>
                    <w:textAlignment w:val="top"/>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rPr>
                    <w:t>自动二封成型机</w:t>
                  </w:r>
                </w:p>
              </w:tc>
              <w:tc>
                <w:tcPr>
                  <w:tcW w:w="1372" w:type="dxa"/>
                  <w:vAlign w:val="center"/>
                </w:tcPr>
                <w:p w14:paraId="7FE16E91">
                  <w:pPr>
                    <w:autoSpaceDN w:val="0"/>
                    <w:adjustRightInd w:val="0"/>
                    <w:snapToGrid w:val="0"/>
                    <w:jc w:val="center"/>
                    <w:textAlignment w:val="top"/>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lang w:val="en-US" w:eastAsia="zh-CN"/>
                    </w:rPr>
                    <w:t>1</w:t>
                  </w:r>
                </w:p>
              </w:tc>
              <w:tc>
                <w:tcPr>
                  <w:tcW w:w="1829" w:type="dxa"/>
                  <w:vAlign w:val="center"/>
                </w:tcPr>
                <w:p w14:paraId="017AF871">
                  <w:pPr>
                    <w:autoSpaceDN w:val="0"/>
                    <w:adjustRightInd w:val="0"/>
                    <w:snapToGrid w:val="0"/>
                    <w:jc w:val="center"/>
                    <w:textAlignment w:val="top"/>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rPr>
                    <w:t>ZDEF300-15</w:t>
                  </w:r>
                </w:p>
              </w:tc>
              <w:tc>
                <w:tcPr>
                  <w:tcW w:w="916" w:type="dxa"/>
                  <w:vAlign w:val="center"/>
                </w:tcPr>
                <w:p w14:paraId="0318F521">
                  <w:pPr>
                    <w:pStyle w:val="70"/>
                    <w:spacing w:line="240" w:lineRule="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二封</w:t>
                  </w:r>
                </w:p>
              </w:tc>
              <w:tc>
                <w:tcPr>
                  <w:tcW w:w="916" w:type="dxa"/>
                  <w:vAlign w:val="center"/>
                </w:tcPr>
                <w:p w14:paraId="5F21EE45">
                  <w:pPr>
                    <w:pStyle w:val="70"/>
                    <w:spacing w:line="240" w:lineRule="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15000个/d</w:t>
                  </w:r>
                </w:p>
              </w:tc>
            </w:tr>
            <w:tr w14:paraId="4E57413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693" w:type="dxa"/>
                  <w:vAlign w:val="center"/>
                </w:tcPr>
                <w:p w14:paraId="0FC1E40F">
                  <w:pPr>
                    <w:pStyle w:val="70"/>
                    <w:rPr>
                      <w:rFonts w:hint="default" w:ascii="Times New Roman" w:hAnsi="Times New Roman" w:eastAsia="宋体" w:cs="Times New Roman"/>
                      <w:color w:val="auto"/>
                      <w:sz w:val="21"/>
                      <w:szCs w:val="21"/>
                      <w:lang w:val="en-US" w:eastAsia="zh-CN"/>
                    </w:rPr>
                  </w:pPr>
                  <w:r>
                    <w:rPr>
                      <w:rFonts w:hint="eastAsia" w:ascii="Times New Roman" w:hAnsi="Times New Roman" w:cs="Times New Roman"/>
                      <w:color w:val="auto"/>
                      <w:sz w:val="21"/>
                      <w:szCs w:val="21"/>
                      <w:lang w:val="en-US" w:eastAsia="zh-CN"/>
                    </w:rPr>
                    <w:t>17</w:t>
                  </w:r>
                </w:p>
              </w:tc>
              <w:tc>
                <w:tcPr>
                  <w:tcW w:w="2052" w:type="dxa"/>
                  <w:vAlign w:val="center"/>
                </w:tcPr>
                <w:p w14:paraId="6F5F1956">
                  <w:pPr>
                    <w:autoSpaceDN w:val="0"/>
                    <w:adjustRightInd w:val="0"/>
                    <w:snapToGrid w:val="0"/>
                    <w:jc w:val="center"/>
                    <w:textAlignment w:val="top"/>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lang w:val="en-US" w:eastAsia="zh-CN"/>
                    </w:rPr>
                    <w:t>激光模分一体机</w:t>
                  </w:r>
                </w:p>
              </w:tc>
              <w:tc>
                <w:tcPr>
                  <w:tcW w:w="1372" w:type="dxa"/>
                  <w:vAlign w:val="center"/>
                </w:tcPr>
                <w:p w14:paraId="25AF2E73">
                  <w:pPr>
                    <w:autoSpaceDN w:val="0"/>
                    <w:adjustRightInd w:val="0"/>
                    <w:snapToGrid w:val="0"/>
                    <w:jc w:val="center"/>
                    <w:textAlignment w:val="top"/>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lang w:val="en-US" w:eastAsia="zh-CN"/>
                    </w:rPr>
                    <w:t>2</w:t>
                  </w:r>
                </w:p>
              </w:tc>
              <w:tc>
                <w:tcPr>
                  <w:tcW w:w="1829" w:type="dxa"/>
                  <w:vAlign w:val="center"/>
                </w:tcPr>
                <w:p w14:paraId="61432D9A">
                  <w:pPr>
                    <w:autoSpaceDN w:val="0"/>
                    <w:adjustRightInd w:val="0"/>
                    <w:snapToGrid w:val="0"/>
                    <w:jc w:val="center"/>
                    <w:textAlignment w:val="top"/>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rPr>
                    <w:t>J500D-AG</w:t>
                  </w:r>
                </w:p>
              </w:tc>
              <w:tc>
                <w:tcPr>
                  <w:tcW w:w="916" w:type="dxa"/>
                  <w:vAlign w:val="center"/>
                </w:tcPr>
                <w:p w14:paraId="754DD2EC">
                  <w:pPr>
                    <w:pStyle w:val="70"/>
                    <w:spacing w:line="240" w:lineRule="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模切</w:t>
                  </w:r>
                </w:p>
              </w:tc>
              <w:tc>
                <w:tcPr>
                  <w:tcW w:w="916" w:type="dxa"/>
                  <w:vAlign w:val="center"/>
                </w:tcPr>
                <w:p w14:paraId="763A8460">
                  <w:pPr>
                    <w:pStyle w:val="70"/>
                    <w:spacing w:line="240" w:lineRule="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100m/min</w:t>
                  </w:r>
                </w:p>
              </w:tc>
            </w:tr>
            <w:tr w14:paraId="306E171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693" w:type="dxa"/>
                  <w:vAlign w:val="center"/>
                </w:tcPr>
                <w:p w14:paraId="3ED2333D">
                  <w:pPr>
                    <w:pStyle w:val="70"/>
                    <w:rPr>
                      <w:rFonts w:hint="default" w:ascii="Times New Roman" w:hAnsi="Times New Roman" w:eastAsia="宋体" w:cs="Times New Roman"/>
                      <w:color w:val="auto"/>
                      <w:sz w:val="21"/>
                      <w:szCs w:val="21"/>
                      <w:lang w:val="en-US" w:eastAsia="zh-CN"/>
                    </w:rPr>
                  </w:pPr>
                  <w:r>
                    <w:rPr>
                      <w:rFonts w:hint="eastAsia" w:ascii="Times New Roman" w:hAnsi="Times New Roman" w:cs="Times New Roman"/>
                      <w:color w:val="auto"/>
                      <w:sz w:val="21"/>
                      <w:szCs w:val="21"/>
                      <w:lang w:val="en-US" w:eastAsia="zh-CN"/>
                    </w:rPr>
                    <w:t>18</w:t>
                  </w:r>
                </w:p>
              </w:tc>
              <w:tc>
                <w:tcPr>
                  <w:tcW w:w="2052" w:type="dxa"/>
                  <w:vAlign w:val="center"/>
                </w:tcPr>
                <w:p w14:paraId="39CA785C">
                  <w:pPr>
                    <w:autoSpaceDN w:val="0"/>
                    <w:adjustRightInd w:val="0"/>
                    <w:snapToGrid w:val="0"/>
                    <w:jc w:val="center"/>
                    <w:textAlignment w:val="top"/>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rPr>
                    <w:t>夹具化成</w:t>
                  </w:r>
                  <w:r>
                    <w:rPr>
                      <w:rFonts w:hint="default" w:ascii="Times New Roman" w:hAnsi="Times New Roman" w:cs="Times New Roman"/>
                      <w:color w:val="auto"/>
                      <w:sz w:val="21"/>
                      <w:szCs w:val="21"/>
                      <w:lang w:val="en-US" w:eastAsia="zh-CN"/>
                    </w:rPr>
                    <w:t>设备线</w:t>
                  </w:r>
                </w:p>
              </w:tc>
              <w:tc>
                <w:tcPr>
                  <w:tcW w:w="1372" w:type="dxa"/>
                  <w:vAlign w:val="center"/>
                </w:tcPr>
                <w:p w14:paraId="09339F56">
                  <w:pPr>
                    <w:autoSpaceDN w:val="0"/>
                    <w:adjustRightInd w:val="0"/>
                    <w:snapToGrid w:val="0"/>
                    <w:jc w:val="center"/>
                    <w:textAlignment w:val="top"/>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lang w:val="en-US" w:eastAsia="zh-CN"/>
                    </w:rPr>
                    <w:t>1</w:t>
                  </w:r>
                </w:p>
              </w:tc>
              <w:tc>
                <w:tcPr>
                  <w:tcW w:w="1829" w:type="dxa"/>
                  <w:vAlign w:val="center"/>
                </w:tcPr>
                <w:p w14:paraId="268AD9F3">
                  <w:pPr>
                    <w:autoSpaceDN w:val="0"/>
                    <w:adjustRightInd w:val="0"/>
                    <w:snapToGrid w:val="0"/>
                    <w:jc w:val="center"/>
                    <w:textAlignment w:val="top"/>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rPr>
                    <w:t>5V-30A-80CH</w:t>
                  </w:r>
                </w:p>
              </w:tc>
              <w:tc>
                <w:tcPr>
                  <w:tcW w:w="916" w:type="dxa"/>
                  <w:vAlign w:val="center"/>
                </w:tcPr>
                <w:p w14:paraId="52E47A62">
                  <w:pPr>
                    <w:pStyle w:val="70"/>
                    <w:spacing w:line="240" w:lineRule="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化成</w:t>
                  </w:r>
                </w:p>
              </w:tc>
              <w:tc>
                <w:tcPr>
                  <w:tcW w:w="916" w:type="dxa"/>
                  <w:vAlign w:val="center"/>
                </w:tcPr>
                <w:p w14:paraId="3706499D">
                  <w:pPr>
                    <w:pStyle w:val="70"/>
                    <w:spacing w:line="240" w:lineRule="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15000个/d</w:t>
                  </w:r>
                </w:p>
              </w:tc>
            </w:tr>
            <w:tr w14:paraId="3DC165A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693" w:type="dxa"/>
                  <w:vAlign w:val="center"/>
                </w:tcPr>
                <w:p w14:paraId="5160B51C">
                  <w:pPr>
                    <w:pStyle w:val="70"/>
                    <w:rPr>
                      <w:rFonts w:hint="default" w:ascii="Times New Roman" w:hAnsi="Times New Roman" w:cs="Times New Roman"/>
                      <w:color w:val="auto"/>
                      <w:sz w:val="21"/>
                      <w:szCs w:val="21"/>
                      <w:lang w:val="en-US" w:eastAsia="zh-CN"/>
                    </w:rPr>
                  </w:pPr>
                  <w:r>
                    <w:rPr>
                      <w:rFonts w:hint="eastAsia" w:cs="Times New Roman"/>
                      <w:color w:val="auto"/>
                      <w:sz w:val="21"/>
                      <w:szCs w:val="21"/>
                      <w:lang w:val="en-US" w:eastAsia="zh-CN"/>
                    </w:rPr>
                    <w:t>20</w:t>
                  </w:r>
                </w:p>
              </w:tc>
              <w:tc>
                <w:tcPr>
                  <w:tcW w:w="2052" w:type="dxa"/>
                  <w:shd w:val="clear" w:color="auto" w:fill="auto"/>
                  <w:vAlign w:val="center"/>
                </w:tcPr>
                <w:p w14:paraId="663C57AA">
                  <w:pPr>
                    <w:autoSpaceDN w:val="0"/>
                    <w:adjustRightInd w:val="0"/>
                    <w:snapToGrid w:val="0"/>
                    <w:jc w:val="center"/>
                    <w:textAlignment w:val="top"/>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cs="Times New Roman"/>
                      <w:color w:val="auto"/>
                      <w:sz w:val="21"/>
                      <w:szCs w:val="21"/>
                    </w:rPr>
                    <w:t>化成物流</w:t>
                  </w:r>
                  <w:r>
                    <w:rPr>
                      <w:rFonts w:hint="default" w:ascii="Times New Roman" w:hAnsi="Times New Roman" w:cs="Times New Roman"/>
                      <w:color w:val="auto"/>
                      <w:sz w:val="21"/>
                      <w:szCs w:val="21"/>
                      <w:lang w:val="en-US" w:eastAsia="zh-CN"/>
                    </w:rPr>
                    <w:t>线</w:t>
                  </w:r>
                </w:p>
              </w:tc>
              <w:tc>
                <w:tcPr>
                  <w:tcW w:w="1372" w:type="dxa"/>
                  <w:shd w:val="clear" w:color="auto" w:fill="auto"/>
                  <w:vAlign w:val="center"/>
                </w:tcPr>
                <w:p w14:paraId="1675CD43">
                  <w:pPr>
                    <w:autoSpaceDN w:val="0"/>
                    <w:adjustRightInd w:val="0"/>
                    <w:snapToGrid w:val="0"/>
                    <w:jc w:val="center"/>
                    <w:textAlignment w:val="top"/>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cs="Times New Roman"/>
                      <w:color w:val="auto"/>
                      <w:sz w:val="21"/>
                      <w:szCs w:val="21"/>
                      <w:lang w:val="en-US" w:eastAsia="zh-CN"/>
                    </w:rPr>
                    <w:t>1</w:t>
                  </w:r>
                </w:p>
              </w:tc>
              <w:tc>
                <w:tcPr>
                  <w:tcW w:w="1829" w:type="dxa"/>
                  <w:shd w:val="clear" w:color="auto" w:fill="auto"/>
                  <w:vAlign w:val="center"/>
                </w:tcPr>
                <w:p w14:paraId="31CFE59A">
                  <w:pPr>
                    <w:autoSpaceDN w:val="0"/>
                    <w:adjustRightInd w:val="0"/>
                    <w:snapToGrid w:val="0"/>
                    <w:jc w:val="center"/>
                    <w:textAlignment w:val="top"/>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cs="Times New Roman"/>
                      <w:color w:val="auto"/>
                      <w:sz w:val="21"/>
                      <w:szCs w:val="21"/>
                      <w:lang w:val="en-US" w:eastAsia="zh-CN"/>
                    </w:rPr>
                    <w:t>/</w:t>
                  </w:r>
                </w:p>
              </w:tc>
              <w:tc>
                <w:tcPr>
                  <w:tcW w:w="916" w:type="dxa"/>
                  <w:vAlign w:val="center"/>
                </w:tcPr>
                <w:p w14:paraId="1BB240E1">
                  <w:pPr>
                    <w:pStyle w:val="70"/>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w:t>
                  </w:r>
                </w:p>
              </w:tc>
              <w:tc>
                <w:tcPr>
                  <w:tcW w:w="916" w:type="dxa"/>
                  <w:vAlign w:val="center"/>
                </w:tcPr>
                <w:p w14:paraId="6019BA92">
                  <w:pPr>
                    <w:pStyle w:val="70"/>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w:t>
                  </w:r>
                </w:p>
              </w:tc>
            </w:tr>
            <w:tr w14:paraId="6A0C1CD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693" w:type="dxa"/>
                  <w:vAlign w:val="center"/>
                </w:tcPr>
                <w:p w14:paraId="0299DE06">
                  <w:pPr>
                    <w:pStyle w:val="70"/>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21</w:t>
                  </w:r>
                </w:p>
              </w:tc>
              <w:tc>
                <w:tcPr>
                  <w:tcW w:w="2052" w:type="dxa"/>
                  <w:vAlign w:val="center"/>
                </w:tcPr>
                <w:p w14:paraId="41D25B57">
                  <w:pPr>
                    <w:autoSpaceDN w:val="0"/>
                    <w:adjustRightInd w:val="0"/>
                    <w:snapToGrid w:val="0"/>
                    <w:jc w:val="center"/>
                    <w:textAlignment w:val="top"/>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rPr>
                    <w:t>分容设备</w:t>
                  </w:r>
                  <w:r>
                    <w:rPr>
                      <w:rFonts w:hint="default" w:ascii="Times New Roman" w:hAnsi="Times New Roman" w:cs="Times New Roman"/>
                      <w:color w:val="auto"/>
                      <w:sz w:val="21"/>
                      <w:szCs w:val="21"/>
                      <w:lang w:val="en-US" w:eastAsia="zh-CN"/>
                    </w:rPr>
                    <w:t>线</w:t>
                  </w:r>
                </w:p>
              </w:tc>
              <w:tc>
                <w:tcPr>
                  <w:tcW w:w="1372" w:type="dxa"/>
                  <w:vAlign w:val="center"/>
                </w:tcPr>
                <w:p w14:paraId="6AFC9E17">
                  <w:pPr>
                    <w:autoSpaceDN w:val="0"/>
                    <w:adjustRightInd w:val="0"/>
                    <w:snapToGrid w:val="0"/>
                    <w:jc w:val="center"/>
                    <w:textAlignment w:val="top"/>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lang w:val="en-US" w:eastAsia="zh-CN"/>
                    </w:rPr>
                    <w:t>1</w:t>
                  </w:r>
                </w:p>
              </w:tc>
              <w:tc>
                <w:tcPr>
                  <w:tcW w:w="1829" w:type="dxa"/>
                  <w:vAlign w:val="center"/>
                </w:tcPr>
                <w:p w14:paraId="3BD0C950">
                  <w:pPr>
                    <w:autoSpaceDN w:val="0"/>
                    <w:adjustRightInd w:val="0"/>
                    <w:snapToGrid w:val="0"/>
                    <w:jc w:val="center"/>
                    <w:textAlignment w:val="top"/>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rPr>
                    <w:t>5V-60A-80CH</w:t>
                  </w:r>
                </w:p>
              </w:tc>
              <w:tc>
                <w:tcPr>
                  <w:tcW w:w="916" w:type="dxa"/>
                  <w:vAlign w:val="center"/>
                </w:tcPr>
                <w:p w14:paraId="2071FE0F">
                  <w:pPr>
                    <w:pStyle w:val="70"/>
                    <w:spacing w:line="240" w:lineRule="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分容</w:t>
                  </w:r>
                </w:p>
              </w:tc>
              <w:tc>
                <w:tcPr>
                  <w:tcW w:w="916" w:type="dxa"/>
                  <w:vAlign w:val="center"/>
                </w:tcPr>
                <w:p w14:paraId="12E63D7F">
                  <w:pPr>
                    <w:pStyle w:val="70"/>
                    <w:spacing w:line="240" w:lineRule="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15000个/d</w:t>
                  </w:r>
                </w:p>
              </w:tc>
            </w:tr>
            <w:tr w14:paraId="42EF733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693" w:type="dxa"/>
                  <w:vAlign w:val="center"/>
                </w:tcPr>
                <w:p w14:paraId="564D0C0C">
                  <w:pPr>
                    <w:pStyle w:val="70"/>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22</w:t>
                  </w:r>
                </w:p>
              </w:tc>
              <w:tc>
                <w:tcPr>
                  <w:tcW w:w="2052" w:type="dxa"/>
                  <w:vAlign w:val="center"/>
                </w:tcPr>
                <w:p w14:paraId="3FB09C8F">
                  <w:pPr>
                    <w:autoSpaceDN w:val="0"/>
                    <w:adjustRightInd w:val="0"/>
                    <w:snapToGrid w:val="0"/>
                    <w:jc w:val="center"/>
                    <w:textAlignment w:val="top"/>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lang w:val="en-US" w:eastAsia="zh-CN"/>
                    </w:rPr>
                    <w:t>OCV测试线</w:t>
                  </w:r>
                </w:p>
              </w:tc>
              <w:tc>
                <w:tcPr>
                  <w:tcW w:w="1372" w:type="dxa"/>
                  <w:vAlign w:val="center"/>
                </w:tcPr>
                <w:p w14:paraId="414EBF78">
                  <w:pPr>
                    <w:autoSpaceDN w:val="0"/>
                    <w:adjustRightInd w:val="0"/>
                    <w:snapToGrid w:val="0"/>
                    <w:jc w:val="center"/>
                    <w:textAlignment w:val="top"/>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lang w:val="en-US" w:eastAsia="zh-CN"/>
                    </w:rPr>
                    <w:t>1</w:t>
                  </w:r>
                </w:p>
              </w:tc>
              <w:tc>
                <w:tcPr>
                  <w:tcW w:w="1829" w:type="dxa"/>
                  <w:vAlign w:val="center"/>
                </w:tcPr>
                <w:p w14:paraId="22A346D5">
                  <w:pPr>
                    <w:autoSpaceDN w:val="0"/>
                    <w:adjustRightInd w:val="0"/>
                    <w:snapToGrid w:val="0"/>
                    <w:jc w:val="center"/>
                    <w:textAlignment w:val="top"/>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lang w:val="en-US" w:eastAsia="zh-CN"/>
                    </w:rPr>
                    <w:t>/</w:t>
                  </w:r>
                </w:p>
              </w:tc>
              <w:tc>
                <w:tcPr>
                  <w:tcW w:w="916" w:type="dxa"/>
                  <w:vAlign w:val="center"/>
                </w:tcPr>
                <w:p w14:paraId="68E8CB9B">
                  <w:pPr>
                    <w:pStyle w:val="70"/>
                    <w:spacing w:line="240" w:lineRule="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OVC测试</w:t>
                  </w:r>
                </w:p>
              </w:tc>
              <w:tc>
                <w:tcPr>
                  <w:tcW w:w="916" w:type="dxa"/>
                  <w:vAlign w:val="center"/>
                </w:tcPr>
                <w:p w14:paraId="37ED4E34">
                  <w:pPr>
                    <w:pStyle w:val="70"/>
                    <w:spacing w:line="240" w:lineRule="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15000个/d</w:t>
                  </w:r>
                </w:p>
              </w:tc>
            </w:tr>
            <w:tr w14:paraId="50D9CD8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693" w:type="dxa"/>
                  <w:vAlign w:val="center"/>
                </w:tcPr>
                <w:p w14:paraId="4C740318">
                  <w:pPr>
                    <w:pStyle w:val="70"/>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23</w:t>
                  </w:r>
                </w:p>
              </w:tc>
              <w:tc>
                <w:tcPr>
                  <w:tcW w:w="2052" w:type="dxa"/>
                  <w:vAlign w:val="center"/>
                </w:tcPr>
                <w:p w14:paraId="57B6F8D1">
                  <w:pPr>
                    <w:autoSpaceDN w:val="0"/>
                    <w:adjustRightInd w:val="0"/>
                    <w:snapToGrid w:val="0"/>
                    <w:jc w:val="center"/>
                    <w:textAlignment w:val="top"/>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rPr>
                    <w:t>冷水机组</w:t>
                  </w:r>
                </w:p>
              </w:tc>
              <w:tc>
                <w:tcPr>
                  <w:tcW w:w="1372" w:type="dxa"/>
                  <w:vAlign w:val="center"/>
                </w:tcPr>
                <w:p w14:paraId="2D4E2A61">
                  <w:pPr>
                    <w:autoSpaceDN w:val="0"/>
                    <w:adjustRightInd w:val="0"/>
                    <w:snapToGrid w:val="0"/>
                    <w:jc w:val="center"/>
                    <w:textAlignment w:val="top"/>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lang w:val="en-US" w:eastAsia="zh-CN"/>
                    </w:rPr>
                    <w:t>5</w:t>
                  </w:r>
                </w:p>
              </w:tc>
              <w:tc>
                <w:tcPr>
                  <w:tcW w:w="1829" w:type="dxa"/>
                  <w:vAlign w:val="center"/>
                </w:tcPr>
                <w:p w14:paraId="3C02412D">
                  <w:pPr>
                    <w:autoSpaceDN w:val="0"/>
                    <w:adjustRightInd w:val="0"/>
                    <w:snapToGrid w:val="0"/>
                    <w:jc w:val="center"/>
                    <w:textAlignment w:val="top"/>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lang w:val="en-US" w:eastAsia="zh-CN"/>
                    </w:rPr>
                    <w:t>YVAA0165-V</w:t>
                  </w:r>
                </w:p>
              </w:tc>
              <w:tc>
                <w:tcPr>
                  <w:tcW w:w="916" w:type="dxa"/>
                  <w:vAlign w:val="center"/>
                </w:tcPr>
                <w:p w14:paraId="0EF81F00">
                  <w:pPr>
                    <w:pStyle w:val="70"/>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w:t>
                  </w:r>
                </w:p>
              </w:tc>
              <w:tc>
                <w:tcPr>
                  <w:tcW w:w="916" w:type="dxa"/>
                  <w:vAlign w:val="center"/>
                </w:tcPr>
                <w:p w14:paraId="34E98A7C">
                  <w:pPr>
                    <w:pStyle w:val="70"/>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w:t>
                  </w:r>
                </w:p>
              </w:tc>
            </w:tr>
            <w:tr w14:paraId="2751DD1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93" w:type="dxa"/>
                  <w:vAlign w:val="center"/>
                </w:tcPr>
                <w:p w14:paraId="77222707">
                  <w:pPr>
                    <w:pStyle w:val="70"/>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24</w:t>
                  </w:r>
                </w:p>
              </w:tc>
              <w:tc>
                <w:tcPr>
                  <w:tcW w:w="2052" w:type="dxa"/>
                  <w:vAlign w:val="center"/>
                </w:tcPr>
                <w:p w14:paraId="766AC4F1">
                  <w:pPr>
                    <w:autoSpaceDN w:val="0"/>
                    <w:adjustRightInd w:val="0"/>
                    <w:snapToGrid w:val="0"/>
                    <w:jc w:val="center"/>
                    <w:textAlignment w:val="top"/>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rPr>
                    <w:t>除湿机</w:t>
                  </w:r>
                  <w:r>
                    <w:rPr>
                      <w:rFonts w:hint="default" w:ascii="Times New Roman" w:hAnsi="Times New Roman" w:cs="Times New Roman"/>
                      <w:color w:val="auto"/>
                      <w:sz w:val="21"/>
                      <w:szCs w:val="21"/>
                      <w:lang w:val="en-US" w:eastAsia="zh-CN"/>
                    </w:rPr>
                    <w:t>系统</w:t>
                  </w:r>
                </w:p>
              </w:tc>
              <w:tc>
                <w:tcPr>
                  <w:tcW w:w="1372" w:type="dxa"/>
                  <w:vAlign w:val="center"/>
                </w:tcPr>
                <w:p w14:paraId="0A2D56D4">
                  <w:pPr>
                    <w:autoSpaceDN w:val="0"/>
                    <w:adjustRightInd w:val="0"/>
                    <w:snapToGrid w:val="0"/>
                    <w:jc w:val="center"/>
                    <w:textAlignment w:val="top"/>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lang w:val="en-US" w:eastAsia="zh-CN"/>
                    </w:rPr>
                    <w:t>9</w:t>
                  </w:r>
                </w:p>
              </w:tc>
              <w:tc>
                <w:tcPr>
                  <w:tcW w:w="1829" w:type="dxa"/>
                  <w:vAlign w:val="center"/>
                </w:tcPr>
                <w:p w14:paraId="1C2F6CA9">
                  <w:pPr>
                    <w:autoSpaceDN w:val="0"/>
                    <w:adjustRightInd w:val="0"/>
                    <w:snapToGrid w:val="0"/>
                    <w:jc w:val="center"/>
                    <w:textAlignment w:val="top"/>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rPr>
                    <w:t xml:space="preserve">DST251060 RFA-28000R-SP </w:t>
                  </w:r>
                </w:p>
              </w:tc>
              <w:tc>
                <w:tcPr>
                  <w:tcW w:w="916" w:type="dxa"/>
                  <w:vAlign w:val="center"/>
                </w:tcPr>
                <w:p w14:paraId="4962E7C6">
                  <w:pPr>
                    <w:pStyle w:val="70"/>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w:t>
                  </w:r>
                </w:p>
              </w:tc>
              <w:tc>
                <w:tcPr>
                  <w:tcW w:w="916" w:type="dxa"/>
                  <w:vAlign w:val="center"/>
                </w:tcPr>
                <w:p w14:paraId="7A410198">
                  <w:pPr>
                    <w:pStyle w:val="7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w:t>
                  </w:r>
                </w:p>
              </w:tc>
            </w:tr>
            <w:tr w14:paraId="4232E84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693" w:type="dxa"/>
                  <w:vAlign w:val="center"/>
                </w:tcPr>
                <w:p w14:paraId="5AAC036B">
                  <w:pPr>
                    <w:pStyle w:val="70"/>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25</w:t>
                  </w:r>
                </w:p>
              </w:tc>
              <w:tc>
                <w:tcPr>
                  <w:tcW w:w="2052" w:type="dxa"/>
                  <w:vAlign w:val="center"/>
                </w:tcPr>
                <w:p w14:paraId="6ADCA3DF">
                  <w:pPr>
                    <w:autoSpaceDN w:val="0"/>
                    <w:adjustRightInd w:val="0"/>
                    <w:snapToGrid w:val="0"/>
                    <w:jc w:val="center"/>
                    <w:textAlignment w:val="top"/>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lang w:val="en-US" w:eastAsia="zh-CN"/>
                    </w:rPr>
                    <w:t>空压机系统</w:t>
                  </w:r>
                </w:p>
              </w:tc>
              <w:tc>
                <w:tcPr>
                  <w:tcW w:w="1372" w:type="dxa"/>
                  <w:vAlign w:val="center"/>
                </w:tcPr>
                <w:p w14:paraId="7B8C95CB">
                  <w:pPr>
                    <w:autoSpaceDN w:val="0"/>
                    <w:adjustRightInd w:val="0"/>
                    <w:snapToGrid w:val="0"/>
                    <w:jc w:val="center"/>
                    <w:textAlignment w:val="top"/>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lang w:val="en-US" w:eastAsia="zh-CN"/>
                    </w:rPr>
                    <w:t>2</w:t>
                  </w:r>
                </w:p>
              </w:tc>
              <w:tc>
                <w:tcPr>
                  <w:tcW w:w="1829" w:type="dxa"/>
                  <w:vAlign w:val="center"/>
                </w:tcPr>
                <w:p w14:paraId="1BDDCA35">
                  <w:pPr>
                    <w:autoSpaceDN w:val="0"/>
                    <w:adjustRightInd w:val="0"/>
                    <w:snapToGrid w:val="0"/>
                    <w:jc w:val="center"/>
                    <w:textAlignment w:val="top"/>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rPr>
                    <w:t>KSOZ-315W-10</w:t>
                  </w:r>
                </w:p>
              </w:tc>
              <w:tc>
                <w:tcPr>
                  <w:tcW w:w="916" w:type="dxa"/>
                  <w:vMerge w:val="restart"/>
                  <w:vAlign w:val="center"/>
                </w:tcPr>
                <w:p w14:paraId="2777828A">
                  <w:pPr>
                    <w:pStyle w:val="70"/>
                    <w:spacing w:line="240" w:lineRule="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压缩空气</w:t>
                  </w:r>
                </w:p>
              </w:tc>
              <w:tc>
                <w:tcPr>
                  <w:tcW w:w="916" w:type="dxa"/>
                  <w:vAlign w:val="center"/>
                </w:tcPr>
                <w:p w14:paraId="52BF0D38">
                  <w:pPr>
                    <w:pStyle w:val="70"/>
                    <w:spacing w:line="240" w:lineRule="auto"/>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43.5</w:t>
                  </w:r>
                  <w:r>
                    <w:rPr>
                      <w:rFonts w:hint="eastAsia" w:ascii="Times New Roman" w:hAnsi="Times New Roman" w:eastAsia="宋体" w:cs="Times New Roman"/>
                      <w:color w:val="auto"/>
                      <w:sz w:val="21"/>
                      <w:szCs w:val="21"/>
                      <w:lang w:val="en-US" w:eastAsia="zh-CN"/>
                    </w:rPr>
                    <w:t>m</w:t>
                  </w:r>
                  <w:r>
                    <w:rPr>
                      <w:rFonts w:hint="eastAsia" w:ascii="Times New Roman" w:hAnsi="Times New Roman" w:eastAsia="宋体" w:cs="Times New Roman"/>
                      <w:color w:val="auto"/>
                      <w:sz w:val="21"/>
                      <w:szCs w:val="21"/>
                      <w:vertAlign w:val="superscript"/>
                      <w:lang w:val="en-US" w:eastAsia="zh-CN"/>
                    </w:rPr>
                    <w:t>3</w:t>
                  </w:r>
                  <w:r>
                    <w:rPr>
                      <w:rFonts w:hint="eastAsia" w:ascii="Times New Roman" w:hAnsi="Times New Roman" w:eastAsia="宋体" w:cs="Times New Roman"/>
                      <w:color w:val="auto"/>
                      <w:sz w:val="21"/>
                      <w:szCs w:val="21"/>
                      <w:lang w:val="en-US" w:eastAsia="zh-CN"/>
                    </w:rPr>
                    <w:t>/min</w:t>
                  </w:r>
                </w:p>
              </w:tc>
            </w:tr>
            <w:tr w14:paraId="6A889BB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693" w:type="dxa"/>
                  <w:shd w:val="clear" w:color="auto" w:fill="auto"/>
                  <w:vAlign w:val="center"/>
                </w:tcPr>
                <w:p w14:paraId="1647DD38">
                  <w:pPr>
                    <w:pStyle w:val="70"/>
                    <w:rPr>
                      <w:rFonts w:hint="default" w:cs="Times New Roman"/>
                      <w:color w:val="auto"/>
                      <w:sz w:val="21"/>
                      <w:szCs w:val="21"/>
                      <w:lang w:val="en-US" w:eastAsia="zh-CN"/>
                    </w:rPr>
                  </w:pPr>
                  <w:r>
                    <w:rPr>
                      <w:rFonts w:hint="eastAsia" w:cs="Times New Roman"/>
                      <w:color w:val="auto"/>
                      <w:sz w:val="21"/>
                      <w:szCs w:val="21"/>
                      <w:lang w:val="en-US" w:eastAsia="zh-CN"/>
                    </w:rPr>
                    <w:t>26</w:t>
                  </w:r>
                </w:p>
              </w:tc>
              <w:tc>
                <w:tcPr>
                  <w:tcW w:w="2052" w:type="dxa"/>
                  <w:shd w:val="clear" w:color="auto" w:fill="auto"/>
                  <w:vAlign w:val="center"/>
                </w:tcPr>
                <w:p w14:paraId="54F456E7">
                  <w:pPr>
                    <w:autoSpaceDN w:val="0"/>
                    <w:adjustRightInd w:val="0"/>
                    <w:snapToGrid w:val="0"/>
                    <w:jc w:val="center"/>
                    <w:textAlignment w:val="top"/>
                    <w:rPr>
                      <w:rFonts w:hint="default"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鼓风热再生吸附式干燥机</w:t>
                  </w:r>
                </w:p>
              </w:tc>
              <w:tc>
                <w:tcPr>
                  <w:tcW w:w="1372" w:type="dxa"/>
                  <w:shd w:val="clear" w:color="auto" w:fill="auto"/>
                  <w:vAlign w:val="center"/>
                </w:tcPr>
                <w:p w14:paraId="3C2108DE">
                  <w:pPr>
                    <w:autoSpaceDN w:val="0"/>
                    <w:adjustRightInd w:val="0"/>
                    <w:snapToGrid w:val="0"/>
                    <w:jc w:val="center"/>
                    <w:textAlignment w:val="top"/>
                    <w:rPr>
                      <w:rFonts w:hint="default"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2</w:t>
                  </w:r>
                </w:p>
              </w:tc>
              <w:tc>
                <w:tcPr>
                  <w:tcW w:w="1829" w:type="dxa"/>
                  <w:shd w:val="clear" w:color="auto" w:fill="auto"/>
                  <w:vAlign w:val="center"/>
                </w:tcPr>
                <w:p w14:paraId="494EF4D0">
                  <w:pPr>
                    <w:autoSpaceDN w:val="0"/>
                    <w:adjustRightInd w:val="0"/>
                    <w:snapToGrid w:val="0"/>
                    <w:jc w:val="center"/>
                    <w:textAlignment w:val="top"/>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w:t>
                  </w:r>
                </w:p>
              </w:tc>
              <w:tc>
                <w:tcPr>
                  <w:tcW w:w="916" w:type="dxa"/>
                  <w:vMerge w:val="continue"/>
                  <w:shd w:val="clear" w:color="auto" w:fill="auto"/>
                  <w:vAlign w:val="center"/>
                </w:tcPr>
                <w:p w14:paraId="322C00D4">
                  <w:pPr>
                    <w:pStyle w:val="70"/>
                    <w:spacing w:line="240" w:lineRule="auto"/>
                    <w:rPr>
                      <w:rFonts w:hint="eastAsia" w:ascii="Times New Roman" w:hAnsi="Times New Roman" w:eastAsia="宋体" w:cs="Times New Roman"/>
                      <w:color w:val="auto"/>
                      <w:sz w:val="21"/>
                      <w:szCs w:val="21"/>
                      <w:lang w:val="en-US" w:eastAsia="zh-CN"/>
                    </w:rPr>
                  </w:pPr>
                </w:p>
              </w:tc>
              <w:tc>
                <w:tcPr>
                  <w:tcW w:w="916" w:type="dxa"/>
                  <w:vAlign w:val="center"/>
                </w:tcPr>
                <w:p w14:paraId="5B888D0B">
                  <w:pPr>
                    <w:pStyle w:val="70"/>
                    <w:spacing w:line="240" w:lineRule="auto"/>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50</w:t>
                  </w:r>
                  <w:r>
                    <w:rPr>
                      <w:rFonts w:hint="eastAsia" w:ascii="Times New Roman" w:hAnsi="Times New Roman" w:eastAsia="宋体" w:cs="Times New Roman"/>
                      <w:color w:val="auto"/>
                      <w:sz w:val="21"/>
                      <w:szCs w:val="21"/>
                      <w:lang w:val="en-US" w:eastAsia="zh-CN"/>
                    </w:rPr>
                    <w:t>m</w:t>
                  </w:r>
                  <w:r>
                    <w:rPr>
                      <w:rFonts w:hint="eastAsia" w:ascii="Times New Roman" w:hAnsi="Times New Roman" w:eastAsia="宋体" w:cs="Times New Roman"/>
                      <w:color w:val="auto"/>
                      <w:sz w:val="21"/>
                      <w:szCs w:val="21"/>
                      <w:vertAlign w:val="superscript"/>
                      <w:lang w:val="en-US" w:eastAsia="zh-CN"/>
                    </w:rPr>
                    <w:t>3</w:t>
                  </w:r>
                  <w:r>
                    <w:rPr>
                      <w:rFonts w:hint="eastAsia" w:ascii="Times New Roman" w:hAnsi="Times New Roman" w:eastAsia="宋体" w:cs="Times New Roman"/>
                      <w:color w:val="auto"/>
                      <w:sz w:val="21"/>
                      <w:szCs w:val="21"/>
                      <w:lang w:val="en-US" w:eastAsia="zh-CN"/>
                    </w:rPr>
                    <w:t>/min</w:t>
                  </w:r>
                </w:p>
              </w:tc>
            </w:tr>
            <w:tr w14:paraId="072C5B6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693" w:type="dxa"/>
                  <w:shd w:val="clear" w:color="auto" w:fill="auto"/>
                  <w:vAlign w:val="center"/>
                </w:tcPr>
                <w:p w14:paraId="6DE36E39">
                  <w:pPr>
                    <w:pStyle w:val="70"/>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27</w:t>
                  </w:r>
                </w:p>
              </w:tc>
              <w:tc>
                <w:tcPr>
                  <w:tcW w:w="2052" w:type="dxa"/>
                  <w:shd w:val="clear" w:color="auto" w:fill="auto"/>
                  <w:vAlign w:val="center"/>
                </w:tcPr>
                <w:p w14:paraId="06994464">
                  <w:pPr>
                    <w:autoSpaceDN w:val="0"/>
                    <w:adjustRightInd w:val="0"/>
                    <w:snapToGrid w:val="0"/>
                    <w:jc w:val="center"/>
                    <w:textAlignment w:val="top"/>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rPr>
                    <w:t>风柜机组</w:t>
                  </w:r>
                </w:p>
              </w:tc>
              <w:tc>
                <w:tcPr>
                  <w:tcW w:w="1372" w:type="dxa"/>
                  <w:shd w:val="clear" w:color="auto" w:fill="auto"/>
                  <w:vAlign w:val="center"/>
                </w:tcPr>
                <w:p w14:paraId="726400C5">
                  <w:pPr>
                    <w:autoSpaceDN w:val="0"/>
                    <w:adjustRightInd w:val="0"/>
                    <w:snapToGrid w:val="0"/>
                    <w:jc w:val="center"/>
                    <w:textAlignment w:val="top"/>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lang w:val="en-US" w:eastAsia="zh-CN"/>
                    </w:rPr>
                    <w:t>12</w:t>
                  </w:r>
                </w:p>
              </w:tc>
              <w:tc>
                <w:tcPr>
                  <w:tcW w:w="1829" w:type="dxa"/>
                  <w:shd w:val="clear" w:color="auto" w:fill="auto"/>
                  <w:vAlign w:val="center"/>
                </w:tcPr>
                <w:p w14:paraId="2B4DD693">
                  <w:pPr>
                    <w:autoSpaceDN w:val="0"/>
                    <w:adjustRightInd w:val="0"/>
                    <w:snapToGrid w:val="0"/>
                    <w:jc w:val="center"/>
                    <w:textAlignment w:val="top"/>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lang w:val="en-US" w:eastAsia="zh-CN"/>
                    </w:rPr>
                    <w:t>/</w:t>
                  </w:r>
                </w:p>
              </w:tc>
              <w:tc>
                <w:tcPr>
                  <w:tcW w:w="916" w:type="dxa"/>
                  <w:shd w:val="clear" w:color="auto" w:fill="auto"/>
                  <w:vAlign w:val="center"/>
                </w:tcPr>
                <w:p w14:paraId="1BE6BA71">
                  <w:pPr>
                    <w:pStyle w:val="70"/>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w:t>
                  </w:r>
                </w:p>
              </w:tc>
              <w:tc>
                <w:tcPr>
                  <w:tcW w:w="916" w:type="dxa"/>
                  <w:vAlign w:val="center"/>
                </w:tcPr>
                <w:p w14:paraId="49FE288D">
                  <w:pPr>
                    <w:pStyle w:val="70"/>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w:t>
                  </w:r>
                </w:p>
              </w:tc>
            </w:tr>
            <w:tr w14:paraId="4896653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693" w:type="dxa"/>
                  <w:shd w:val="clear" w:color="auto" w:fill="auto"/>
                  <w:vAlign w:val="center"/>
                </w:tcPr>
                <w:p w14:paraId="15BC957D">
                  <w:pPr>
                    <w:pStyle w:val="70"/>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28</w:t>
                  </w:r>
                </w:p>
              </w:tc>
              <w:tc>
                <w:tcPr>
                  <w:tcW w:w="2052" w:type="dxa"/>
                  <w:shd w:val="clear" w:color="auto" w:fill="auto"/>
                  <w:vAlign w:val="center"/>
                </w:tcPr>
                <w:p w14:paraId="637C9EED">
                  <w:pPr>
                    <w:autoSpaceDN w:val="0"/>
                    <w:adjustRightInd w:val="0"/>
                    <w:snapToGrid w:val="0"/>
                    <w:jc w:val="center"/>
                    <w:textAlignment w:val="top"/>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lang w:val="en-US" w:eastAsia="zh-CN"/>
                    </w:rPr>
                    <w:t>NMP系统</w:t>
                  </w:r>
                </w:p>
              </w:tc>
              <w:tc>
                <w:tcPr>
                  <w:tcW w:w="1372" w:type="dxa"/>
                  <w:shd w:val="clear" w:color="auto" w:fill="auto"/>
                  <w:vAlign w:val="center"/>
                </w:tcPr>
                <w:p w14:paraId="443517FE">
                  <w:pPr>
                    <w:autoSpaceDN w:val="0"/>
                    <w:adjustRightInd w:val="0"/>
                    <w:snapToGrid w:val="0"/>
                    <w:jc w:val="center"/>
                    <w:textAlignment w:val="top"/>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lang w:val="en-US" w:eastAsia="zh-CN"/>
                    </w:rPr>
                    <w:t>1</w:t>
                  </w:r>
                </w:p>
              </w:tc>
              <w:tc>
                <w:tcPr>
                  <w:tcW w:w="1829" w:type="dxa"/>
                  <w:shd w:val="clear" w:color="auto" w:fill="auto"/>
                  <w:vAlign w:val="center"/>
                </w:tcPr>
                <w:p w14:paraId="47E41CDB">
                  <w:pPr>
                    <w:autoSpaceDN w:val="0"/>
                    <w:adjustRightInd w:val="0"/>
                    <w:snapToGrid w:val="0"/>
                    <w:jc w:val="center"/>
                    <w:textAlignment w:val="top"/>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w:t>
                  </w:r>
                </w:p>
              </w:tc>
              <w:tc>
                <w:tcPr>
                  <w:tcW w:w="916" w:type="dxa"/>
                  <w:shd w:val="clear" w:color="auto" w:fill="auto"/>
                  <w:vAlign w:val="center"/>
                </w:tcPr>
                <w:p w14:paraId="3DCC3832">
                  <w:pPr>
                    <w:pStyle w:val="70"/>
                    <w:spacing w:line="240" w:lineRule="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NMP回收</w:t>
                  </w:r>
                </w:p>
              </w:tc>
              <w:tc>
                <w:tcPr>
                  <w:tcW w:w="916" w:type="dxa"/>
                  <w:shd w:val="clear" w:color="auto" w:fill="auto"/>
                  <w:vAlign w:val="center"/>
                </w:tcPr>
                <w:p w14:paraId="3273FAE7">
                  <w:pPr>
                    <w:pStyle w:val="70"/>
                    <w:spacing w:line="240" w:lineRule="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35000m</w:t>
                  </w:r>
                  <w:r>
                    <w:rPr>
                      <w:rFonts w:hint="eastAsia" w:ascii="Times New Roman" w:hAnsi="Times New Roman" w:eastAsia="宋体" w:cs="Times New Roman"/>
                      <w:color w:val="auto"/>
                      <w:sz w:val="21"/>
                      <w:szCs w:val="21"/>
                      <w:vertAlign w:val="superscript"/>
                      <w:lang w:val="en-US" w:eastAsia="zh-CN"/>
                    </w:rPr>
                    <w:t>3</w:t>
                  </w:r>
                  <w:r>
                    <w:rPr>
                      <w:rFonts w:hint="eastAsia" w:ascii="Times New Roman" w:hAnsi="Times New Roman" w:eastAsia="宋体" w:cs="Times New Roman"/>
                      <w:color w:val="auto"/>
                      <w:sz w:val="21"/>
                      <w:szCs w:val="21"/>
                      <w:lang w:val="en-US" w:eastAsia="zh-CN"/>
                    </w:rPr>
                    <w:t>/h</w:t>
                  </w:r>
                </w:p>
              </w:tc>
            </w:tr>
            <w:tr w14:paraId="2B831F0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693" w:type="dxa"/>
                  <w:shd w:val="clear" w:color="auto" w:fill="auto"/>
                  <w:vAlign w:val="center"/>
                </w:tcPr>
                <w:p w14:paraId="15D50BBC">
                  <w:pPr>
                    <w:pStyle w:val="70"/>
                    <w:rPr>
                      <w:rFonts w:hint="default" w:cs="Times New Roman"/>
                      <w:color w:val="auto"/>
                      <w:sz w:val="21"/>
                      <w:szCs w:val="21"/>
                      <w:lang w:val="en-US" w:eastAsia="zh-CN"/>
                    </w:rPr>
                  </w:pPr>
                  <w:r>
                    <w:rPr>
                      <w:rFonts w:hint="eastAsia" w:cs="Times New Roman"/>
                      <w:color w:val="auto"/>
                      <w:sz w:val="21"/>
                      <w:szCs w:val="21"/>
                      <w:lang w:val="en-US" w:eastAsia="zh-CN"/>
                    </w:rPr>
                    <w:t>29</w:t>
                  </w:r>
                </w:p>
              </w:tc>
              <w:tc>
                <w:tcPr>
                  <w:tcW w:w="2052" w:type="dxa"/>
                  <w:shd w:val="clear" w:color="auto" w:fill="auto"/>
                  <w:vAlign w:val="center"/>
                </w:tcPr>
                <w:p w14:paraId="67831A99">
                  <w:pPr>
                    <w:autoSpaceDN w:val="0"/>
                    <w:adjustRightInd w:val="0"/>
                    <w:snapToGrid w:val="0"/>
                    <w:jc w:val="center"/>
                    <w:textAlignment w:val="top"/>
                    <w:rPr>
                      <w:rFonts w:hint="default" w:ascii="Times New Roman" w:hAnsi="Times New Roman" w:cs="Times New Roman"/>
                      <w:color w:val="auto"/>
                      <w:sz w:val="21"/>
                      <w:szCs w:val="21"/>
                      <w:lang w:val="en-US" w:eastAsia="zh-CN"/>
                    </w:rPr>
                  </w:pPr>
                  <w:r>
                    <w:rPr>
                      <w:rFonts w:hint="eastAsia" w:cs="Times New Roman"/>
                      <w:color w:val="auto"/>
                      <w:sz w:val="21"/>
                      <w:szCs w:val="21"/>
                      <w:lang w:val="en-US" w:eastAsia="zh-CN"/>
                    </w:rPr>
                    <w:t>高温静置箱</w:t>
                  </w:r>
                </w:p>
              </w:tc>
              <w:tc>
                <w:tcPr>
                  <w:tcW w:w="1372" w:type="dxa"/>
                  <w:shd w:val="clear" w:color="auto" w:fill="auto"/>
                  <w:vAlign w:val="center"/>
                </w:tcPr>
                <w:p w14:paraId="7F21408F">
                  <w:pPr>
                    <w:autoSpaceDN w:val="0"/>
                    <w:adjustRightInd w:val="0"/>
                    <w:snapToGrid w:val="0"/>
                    <w:jc w:val="center"/>
                    <w:textAlignment w:val="top"/>
                    <w:rPr>
                      <w:rFonts w:hint="default" w:ascii="Times New Roman" w:hAnsi="Times New Roman" w:cs="Times New Roman"/>
                      <w:color w:val="auto"/>
                      <w:sz w:val="21"/>
                      <w:szCs w:val="21"/>
                      <w:lang w:val="en-US" w:eastAsia="zh-CN"/>
                    </w:rPr>
                  </w:pPr>
                  <w:r>
                    <w:rPr>
                      <w:rFonts w:hint="eastAsia" w:cs="Times New Roman"/>
                      <w:color w:val="auto"/>
                      <w:sz w:val="21"/>
                      <w:szCs w:val="21"/>
                      <w:lang w:val="en-US" w:eastAsia="zh-CN"/>
                    </w:rPr>
                    <w:t>1</w:t>
                  </w:r>
                </w:p>
              </w:tc>
              <w:tc>
                <w:tcPr>
                  <w:tcW w:w="1829" w:type="dxa"/>
                  <w:shd w:val="clear" w:color="auto" w:fill="auto"/>
                  <w:vAlign w:val="center"/>
                </w:tcPr>
                <w:p w14:paraId="0EDA425C">
                  <w:pPr>
                    <w:autoSpaceDN w:val="0"/>
                    <w:adjustRightInd w:val="0"/>
                    <w:snapToGrid w:val="0"/>
                    <w:jc w:val="center"/>
                    <w:textAlignment w:val="top"/>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w:t>
                  </w:r>
                </w:p>
              </w:tc>
              <w:tc>
                <w:tcPr>
                  <w:tcW w:w="916" w:type="dxa"/>
                  <w:shd w:val="clear" w:color="auto" w:fill="auto"/>
                  <w:vAlign w:val="center"/>
                </w:tcPr>
                <w:p w14:paraId="0E880ACC">
                  <w:pPr>
                    <w:pStyle w:val="70"/>
                    <w:spacing w:line="240" w:lineRule="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静置</w:t>
                  </w:r>
                </w:p>
              </w:tc>
              <w:tc>
                <w:tcPr>
                  <w:tcW w:w="916" w:type="dxa"/>
                  <w:vAlign w:val="center"/>
                </w:tcPr>
                <w:p w14:paraId="3314A013">
                  <w:pPr>
                    <w:pStyle w:val="70"/>
                    <w:spacing w:line="240" w:lineRule="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15000个/d</w:t>
                  </w:r>
                </w:p>
              </w:tc>
            </w:tr>
            <w:tr w14:paraId="1134E9A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693" w:type="dxa"/>
                  <w:shd w:val="clear" w:color="auto" w:fill="auto"/>
                  <w:vAlign w:val="center"/>
                </w:tcPr>
                <w:p w14:paraId="22D75DE2">
                  <w:pPr>
                    <w:pStyle w:val="70"/>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30</w:t>
                  </w:r>
                </w:p>
              </w:tc>
              <w:tc>
                <w:tcPr>
                  <w:tcW w:w="2052" w:type="dxa"/>
                  <w:shd w:val="clear" w:color="auto" w:fill="auto"/>
                  <w:vAlign w:val="center"/>
                </w:tcPr>
                <w:p w14:paraId="1B230921">
                  <w:pPr>
                    <w:autoSpaceDN w:val="0"/>
                    <w:adjustRightInd w:val="0"/>
                    <w:snapToGrid w:val="0"/>
                    <w:jc w:val="center"/>
                    <w:textAlignment w:val="top"/>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lang w:val="en-US" w:eastAsia="zh-CN"/>
                    </w:rPr>
                    <w:t>真空泵系统</w:t>
                  </w:r>
                </w:p>
              </w:tc>
              <w:tc>
                <w:tcPr>
                  <w:tcW w:w="1372" w:type="dxa"/>
                  <w:shd w:val="clear" w:color="auto" w:fill="auto"/>
                  <w:vAlign w:val="center"/>
                </w:tcPr>
                <w:p w14:paraId="5C9CFC4C">
                  <w:pPr>
                    <w:autoSpaceDN w:val="0"/>
                    <w:adjustRightInd w:val="0"/>
                    <w:snapToGrid w:val="0"/>
                    <w:jc w:val="center"/>
                    <w:textAlignment w:val="top"/>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lang w:val="en-US" w:eastAsia="zh-CN"/>
                    </w:rPr>
                    <w:t>12</w:t>
                  </w:r>
                </w:p>
              </w:tc>
              <w:tc>
                <w:tcPr>
                  <w:tcW w:w="1829" w:type="dxa"/>
                  <w:shd w:val="clear" w:color="auto" w:fill="auto"/>
                  <w:vAlign w:val="center"/>
                </w:tcPr>
                <w:p w14:paraId="552F3CCE">
                  <w:pPr>
                    <w:autoSpaceDN w:val="0"/>
                    <w:adjustRightInd w:val="0"/>
                    <w:snapToGrid w:val="0"/>
                    <w:jc w:val="center"/>
                    <w:textAlignment w:val="top"/>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rPr>
                    <w:t>GXS160/1750MD</w:t>
                  </w:r>
                </w:p>
              </w:tc>
              <w:tc>
                <w:tcPr>
                  <w:tcW w:w="916" w:type="dxa"/>
                  <w:shd w:val="clear" w:color="auto" w:fill="auto"/>
                  <w:vAlign w:val="center"/>
                </w:tcPr>
                <w:p w14:paraId="32F14A0A">
                  <w:pPr>
                    <w:pStyle w:val="70"/>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w:t>
                  </w:r>
                </w:p>
              </w:tc>
              <w:tc>
                <w:tcPr>
                  <w:tcW w:w="916" w:type="dxa"/>
                  <w:vAlign w:val="center"/>
                </w:tcPr>
                <w:p w14:paraId="1EAFA8D1">
                  <w:pPr>
                    <w:pStyle w:val="70"/>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w:t>
                  </w:r>
                </w:p>
              </w:tc>
            </w:tr>
            <w:tr w14:paraId="1A9152E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693" w:type="dxa"/>
                  <w:shd w:val="clear" w:color="auto" w:fill="auto"/>
                  <w:vAlign w:val="center"/>
                </w:tcPr>
                <w:p w14:paraId="711E2F80">
                  <w:pPr>
                    <w:pStyle w:val="70"/>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31</w:t>
                  </w:r>
                </w:p>
              </w:tc>
              <w:tc>
                <w:tcPr>
                  <w:tcW w:w="2052" w:type="dxa"/>
                  <w:shd w:val="clear" w:color="auto" w:fill="auto"/>
                  <w:vAlign w:val="center"/>
                </w:tcPr>
                <w:p w14:paraId="11F7A5BC">
                  <w:pPr>
                    <w:autoSpaceDN w:val="0"/>
                    <w:adjustRightInd w:val="0"/>
                    <w:snapToGrid w:val="0"/>
                    <w:jc w:val="center"/>
                    <w:textAlignment w:val="top"/>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lang w:val="en-US" w:eastAsia="zh-CN"/>
                    </w:rPr>
                    <w:t>全自动高真空烘烤线</w:t>
                  </w:r>
                </w:p>
              </w:tc>
              <w:tc>
                <w:tcPr>
                  <w:tcW w:w="1372" w:type="dxa"/>
                  <w:shd w:val="clear" w:color="auto" w:fill="auto"/>
                  <w:vAlign w:val="center"/>
                </w:tcPr>
                <w:p w14:paraId="2879F8AE">
                  <w:pPr>
                    <w:autoSpaceDN w:val="0"/>
                    <w:adjustRightInd w:val="0"/>
                    <w:snapToGrid w:val="0"/>
                    <w:jc w:val="center"/>
                    <w:textAlignment w:val="top"/>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lang w:val="en-US" w:eastAsia="zh-CN"/>
                    </w:rPr>
                    <w:t>1</w:t>
                  </w:r>
                </w:p>
              </w:tc>
              <w:tc>
                <w:tcPr>
                  <w:tcW w:w="1829" w:type="dxa"/>
                  <w:shd w:val="clear" w:color="auto" w:fill="auto"/>
                  <w:vAlign w:val="center"/>
                </w:tcPr>
                <w:p w14:paraId="2B13251F">
                  <w:pPr>
                    <w:autoSpaceDN w:val="0"/>
                    <w:adjustRightInd w:val="0"/>
                    <w:snapToGrid w:val="0"/>
                    <w:jc w:val="center"/>
                    <w:textAlignment w:val="top"/>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lang w:val="en-US" w:eastAsia="zh-CN"/>
                    </w:rPr>
                    <w:t>XKX9-318C</w:t>
                  </w:r>
                </w:p>
              </w:tc>
              <w:tc>
                <w:tcPr>
                  <w:tcW w:w="916" w:type="dxa"/>
                  <w:shd w:val="clear" w:color="auto" w:fill="auto"/>
                  <w:vAlign w:val="center"/>
                </w:tcPr>
                <w:p w14:paraId="55CEFD34">
                  <w:pPr>
                    <w:pStyle w:val="70"/>
                    <w:spacing w:line="240" w:lineRule="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电芯干燥</w:t>
                  </w:r>
                </w:p>
              </w:tc>
              <w:tc>
                <w:tcPr>
                  <w:tcW w:w="916" w:type="dxa"/>
                  <w:vAlign w:val="center"/>
                </w:tcPr>
                <w:p w14:paraId="244D3EF6">
                  <w:pPr>
                    <w:pStyle w:val="70"/>
                    <w:spacing w:line="240" w:lineRule="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15000个/d</w:t>
                  </w:r>
                </w:p>
              </w:tc>
            </w:tr>
            <w:tr w14:paraId="2D020FF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693" w:type="dxa"/>
                  <w:shd w:val="clear" w:color="auto" w:fill="auto"/>
                  <w:vAlign w:val="center"/>
                </w:tcPr>
                <w:p w14:paraId="4F778DE7">
                  <w:pPr>
                    <w:pStyle w:val="70"/>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32</w:t>
                  </w:r>
                </w:p>
              </w:tc>
              <w:tc>
                <w:tcPr>
                  <w:tcW w:w="2052" w:type="dxa"/>
                  <w:shd w:val="clear" w:color="auto" w:fill="auto"/>
                  <w:vAlign w:val="center"/>
                </w:tcPr>
                <w:p w14:paraId="0AE2BD7F">
                  <w:pPr>
                    <w:autoSpaceDN w:val="0"/>
                    <w:adjustRightInd w:val="0"/>
                    <w:snapToGrid w:val="0"/>
                    <w:jc w:val="center"/>
                    <w:textAlignment w:val="top"/>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lang w:val="en-US" w:eastAsia="zh-CN"/>
                    </w:rPr>
                    <w:t>制氮机</w:t>
                  </w:r>
                </w:p>
              </w:tc>
              <w:tc>
                <w:tcPr>
                  <w:tcW w:w="1372" w:type="dxa"/>
                  <w:shd w:val="clear" w:color="auto" w:fill="auto"/>
                  <w:vAlign w:val="center"/>
                </w:tcPr>
                <w:p w14:paraId="2D0BE2B5">
                  <w:pPr>
                    <w:autoSpaceDN w:val="0"/>
                    <w:adjustRightInd w:val="0"/>
                    <w:snapToGrid w:val="0"/>
                    <w:jc w:val="center"/>
                    <w:textAlignment w:val="top"/>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2</w:t>
                  </w:r>
                </w:p>
              </w:tc>
              <w:tc>
                <w:tcPr>
                  <w:tcW w:w="1829" w:type="dxa"/>
                  <w:shd w:val="clear" w:color="auto" w:fill="auto"/>
                  <w:vAlign w:val="center"/>
                </w:tcPr>
                <w:p w14:paraId="5000D2A6">
                  <w:pPr>
                    <w:autoSpaceDN w:val="0"/>
                    <w:adjustRightInd w:val="0"/>
                    <w:snapToGrid w:val="0"/>
                    <w:jc w:val="center"/>
                    <w:textAlignment w:val="top"/>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lang w:val="en-US" w:eastAsia="zh-CN"/>
                    </w:rPr>
                    <w:t>/</w:t>
                  </w:r>
                </w:p>
              </w:tc>
              <w:tc>
                <w:tcPr>
                  <w:tcW w:w="916" w:type="dxa"/>
                  <w:shd w:val="clear" w:color="auto" w:fill="auto"/>
                  <w:vAlign w:val="center"/>
                </w:tcPr>
                <w:p w14:paraId="60ECB058">
                  <w:pPr>
                    <w:pStyle w:val="70"/>
                    <w:spacing w:line="240" w:lineRule="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制氮</w:t>
                  </w:r>
                </w:p>
              </w:tc>
              <w:tc>
                <w:tcPr>
                  <w:tcW w:w="916" w:type="dxa"/>
                  <w:vAlign w:val="center"/>
                </w:tcPr>
                <w:p w14:paraId="76F85D60">
                  <w:pPr>
                    <w:pStyle w:val="70"/>
                    <w:spacing w:line="240" w:lineRule="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200m</w:t>
                  </w:r>
                  <w:r>
                    <w:rPr>
                      <w:rFonts w:hint="eastAsia" w:ascii="Times New Roman" w:hAnsi="Times New Roman" w:eastAsia="宋体" w:cs="Times New Roman"/>
                      <w:color w:val="auto"/>
                      <w:sz w:val="21"/>
                      <w:szCs w:val="21"/>
                      <w:vertAlign w:val="superscript"/>
                      <w:lang w:val="en-US" w:eastAsia="zh-CN"/>
                    </w:rPr>
                    <w:t>3</w:t>
                  </w:r>
                  <w:r>
                    <w:rPr>
                      <w:rFonts w:hint="eastAsia" w:ascii="Times New Roman" w:hAnsi="Times New Roman" w:eastAsia="宋体" w:cs="Times New Roman"/>
                      <w:color w:val="auto"/>
                      <w:sz w:val="21"/>
                      <w:szCs w:val="21"/>
                      <w:lang w:val="en-US" w:eastAsia="zh-CN"/>
                    </w:rPr>
                    <w:t>/h</w:t>
                  </w:r>
                </w:p>
              </w:tc>
            </w:tr>
            <w:tr w14:paraId="1788526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693" w:type="dxa"/>
                  <w:vAlign w:val="center"/>
                </w:tcPr>
                <w:p w14:paraId="578E7EF2">
                  <w:pPr>
                    <w:pStyle w:val="70"/>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33</w:t>
                  </w:r>
                </w:p>
              </w:tc>
              <w:tc>
                <w:tcPr>
                  <w:tcW w:w="2052" w:type="dxa"/>
                  <w:vAlign w:val="center"/>
                </w:tcPr>
                <w:p w14:paraId="2781399C">
                  <w:pPr>
                    <w:autoSpaceDN w:val="0"/>
                    <w:adjustRightInd w:val="0"/>
                    <w:snapToGrid w:val="0"/>
                    <w:jc w:val="center"/>
                    <w:textAlignment w:val="top"/>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lang w:val="en-US" w:eastAsia="zh-CN"/>
                    </w:rPr>
                    <w:t>纯水系统</w:t>
                  </w:r>
                </w:p>
              </w:tc>
              <w:tc>
                <w:tcPr>
                  <w:tcW w:w="1372" w:type="dxa"/>
                  <w:vAlign w:val="center"/>
                </w:tcPr>
                <w:p w14:paraId="7CAEA35B">
                  <w:pPr>
                    <w:autoSpaceDN w:val="0"/>
                    <w:adjustRightInd w:val="0"/>
                    <w:snapToGrid w:val="0"/>
                    <w:jc w:val="center"/>
                    <w:textAlignment w:val="top"/>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lang w:val="en-US" w:eastAsia="zh-CN"/>
                    </w:rPr>
                    <w:t>1</w:t>
                  </w:r>
                </w:p>
              </w:tc>
              <w:tc>
                <w:tcPr>
                  <w:tcW w:w="1829" w:type="dxa"/>
                  <w:vAlign w:val="center"/>
                </w:tcPr>
                <w:p w14:paraId="352F161B">
                  <w:pPr>
                    <w:autoSpaceDN w:val="0"/>
                    <w:adjustRightInd w:val="0"/>
                    <w:snapToGrid w:val="0"/>
                    <w:jc w:val="center"/>
                    <w:textAlignment w:val="top"/>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lang w:val="en-US" w:eastAsia="zh-CN"/>
                    </w:rPr>
                    <w:t>/</w:t>
                  </w:r>
                </w:p>
              </w:tc>
              <w:tc>
                <w:tcPr>
                  <w:tcW w:w="916" w:type="dxa"/>
                  <w:vAlign w:val="center"/>
                </w:tcPr>
                <w:p w14:paraId="215FC457">
                  <w:pPr>
                    <w:pStyle w:val="70"/>
                    <w:spacing w:line="240" w:lineRule="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纯水制备</w:t>
                  </w:r>
                </w:p>
              </w:tc>
              <w:tc>
                <w:tcPr>
                  <w:tcW w:w="916" w:type="dxa"/>
                  <w:vAlign w:val="center"/>
                </w:tcPr>
                <w:p w14:paraId="7A745B68">
                  <w:pPr>
                    <w:pStyle w:val="70"/>
                    <w:spacing w:line="240" w:lineRule="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1t/h</w:t>
                  </w:r>
                </w:p>
              </w:tc>
            </w:tr>
            <w:tr w14:paraId="74B3A29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693" w:type="dxa"/>
                  <w:vAlign w:val="center"/>
                </w:tcPr>
                <w:p w14:paraId="109A5F92">
                  <w:pPr>
                    <w:pStyle w:val="70"/>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34</w:t>
                  </w:r>
                </w:p>
              </w:tc>
              <w:tc>
                <w:tcPr>
                  <w:tcW w:w="2052" w:type="dxa"/>
                  <w:vAlign w:val="center"/>
                </w:tcPr>
                <w:p w14:paraId="33106853">
                  <w:pPr>
                    <w:autoSpaceDN w:val="0"/>
                    <w:adjustRightInd w:val="0"/>
                    <w:snapToGrid w:val="0"/>
                    <w:jc w:val="center"/>
                    <w:textAlignment w:val="top"/>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lang w:val="en-US" w:eastAsia="zh-CN"/>
                    </w:rPr>
                    <w:t>废气处理系统</w:t>
                  </w:r>
                </w:p>
              </w:tc>
              <w:tc>
                <w:tcPr>
                  <w:tcW w:w="1372" w:type="dxa"/>
                  <w:vAlign w:val="center"/>
                </w:tcPr>
                <w:p w14:paraId="0251C8ED">
                  <w:pPr>
                    <w:autoSpaceDN w:val="0"/>
                    <w:adjustRightInd w:val="0"/>
                    <w:snapToGrid w:val="0"/>
                    <w:jc w:val="center"/>
                    <w:textAlignment w:val="top"/>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lang w:val="en-US" w:eastAsia="zh-CN"/>
                    </w:rPr>
                    <w:t>3</w:t>
                  </w:r>
                </w:p>
              </w:tc>
              <w:tc>
                <w:tcPr>
                  <w:tcW w:w="1829" w:type="dxa"/>
                  <w:shd w:val="clear" w:color="auto" w:fill="auto"/>
                  <w:vAlign w:val="center"/>
                </w:tcPr>
                <w:p w14:paraId="7A13341A">
                  <w:pPr>
                    <w:autoSpaceDN w:val="0"/>
                    <w:adjustRightInd w:val="0"/>
                    <w:snapToGrid w:val="0"/>
                    <w:jc w:val="center"/>
                    <w:textAlignment w:val="top"/>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lang w:val="en-US" w:eastAsia="zh-CN"/>
                    </w:rPr>
                    <w:t>/</w:t>
                  </w:r>
                </w:p>
              </w:tc>
              <w:tc>
                <w:tcPr>
                  <w:tcW w:w="916" w:type="dxa"/>
                  <w:shd w:val="clear" w:color="auto" w:fill="auto"/>
                  <w:vAlign w:val="center"/>
                </w:tcPr>
                <w:p w14:paraId="3CC5D398">
                  <w:pPr>
                    <w:pStyle w:val="70"/>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w:t>
                  </w:r>
                </w:p>
              </w:tc>
              <w:tc>
                <w:tcPr>
                  <w:tcW w:w="916" w:type="dxa"/>
                  <w:shd w:val="clear" w:color="auto" w:fill="auto"/>
                  <w:vAlign w:val="center"/>
                </w:tcPr>
                <w:p w14:paraId="764618FC">
                  <w:pPr>
                    <w:pStyle w:val="70"/>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w:t>
                  </w:r>
                </w:p>
              </w:tc>
            </w:tr>
            <w:tr w14:paraId="26408B4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4" w:hRule="atLeast"/>
              </w:trPr>
              <w:tc>
                <w:tcPr>
                  <w:tcW w:w="693" w:type="dxa"/>
                  <w:vAlign w:val="center"/>
                </w:tcPr>
                <w:p w14:paraId="0C5C1062">
                  <w:pPr>
                    <w:pStyle w:val="70"/>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35</w:t>
                  </w:r>
                </w:p>
              </w:tc>
              <w:tc>
                <w:tcPr>
                  <w:tcW w:w="2052" w:type="dxa"/>
                  <w:vAlign w:val="center"/>
                </w:tcPr>
                <w:p w14:paraId="60450FCE">
                  <w:pPr>
                    <w:autoSpaceDN w:val="0"/>
                    <w:adjustRightInd w:val="0"/>
                    <w:snapToGrid w:val="0"/>
                    <w:jc w:val="center"/>
                    <w:textAlignment w:val="top"/>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lang w:val="en-US" w:eastAsia="zh-CN"/>
                    </w:rPr>
                    <w:t>污水处理系统</w:t>
                  </w:r>
                </w:p>
              </w:tc>
              <w:tc>
                <w:tcPr>
                  <w:tcW w:w="1372" w:type="dxa"/>
                  <w:vAlign w:val="center"/>
                </w:tcPr>
                <w:p w14:paraId="48EFCF7E">
                  <w:pPr>
                    <w:autoSpaceDN w:val="0"/>
                    <w:adjustRightInd w:val="0"/>
                    <w:snapToGrid w:val="0"/>
                    <w:jc w:val="center"/>
                    <w:textAlignment w:val="top"/>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lang w:val="en-US" w:eastAsia="zh-CN"/>
                    </w:rPr>
                    <w:t>1</w:t>
                  </w:r>
                </w:p>
              </w:tc>
              <w:tc>
                <w:tcPr>
                  <w:tcW w:w="1829" w:type="dxa"/>
                  <w:vAlign w:val="center"/>
                </w:tcPr>
                <w:p w14:paraId="301FE3CE">
                  <w:pPr>
                    <w:autoSpaceDN w:val="0"/>
                    <w:adjustRightInd w:val="0"/>
                    <w:snapToGrid w:val="0"/>
                    <w:jc w:val="center"/>
                    <w:textAlignment w:val="top"/>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lang w:val="en-US" w:eastAsia="zh-CN"/>
                    </w:rPr>
                    <w:t>/</w:t>
                  </w:r>
                </w:p>
              </w:tc>
              <w:tc>
                <w:tcPr>
                  <w:tcW w:w="916" w:type="dxa"/>
                  <w:vAlign w:val="center"/>
                </w:tcPr>
                <w:p w14:paraId="665D682F">
                  <w:pPr>
                    <w:pStyle w:val="70"/>
                    <w:spacing w:line="240" w:lineRule="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废水治理</w:t>
                  </w:r>
                </w:p>
              </w:tc>
              <w:tc>
                <w:tcPr>
                  <w:tcW w:w="916" w:type="dxa"/>
                  <w:vAlign w:val="center"/>
                </w:tcPr>
                <w:p w14:paraId="0E4BBE0B">
                  <w:pPr>
                    <w:pStyle w:val="70"/>
                    <w:spacing w:line="240" w:lineRule="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6m</w:t>
                  </w:r>
                  <w:r>
                    <w:rPr>
                      <w:rFonts w:hint="eastAsia" w:ascii="Times New Roman" w:hAnsi="Times New Roman" w:eastAsia="宋体" w:cs="Times New Roman"/>
                      <w:color w:val="auto"/>
                      <w:sz w:val="21"/>
                      <w:szCs w:val="21"/>
                      <w:vertAlign w:val="superscript"/>
                      <w:lang w:val="en-US" w:eastAsia="zh-CN"/>
                    </w:rPr>
                    <w:t>3</w:t>
                  </w:r>
                  <w:r>
                    <w:rPr>
                      <w:rFonts w:hint="eastAsia" w:ascii="Times New Roman" w:hAnsi="Times New Roman" w:eastAsia="宋体" w:cs="Times New Roman"/>
                      <w:color w:val="auto"/>
                      <w:sz w:val="21"/>
                      <w:szCs w:val="21"/>
                      <w:lang w:val="en-US" w:eastAsia="zh-CN"/>
                    </w:rPr>
                    <w:t>/d</w:t>
                  </w:r>
                </w:p>
              </w:tc>
            </w:tr>
            <w:tr w14:paraId="6D7AB4E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4" w:hRule="atLeast"/>
              </w:trPr>
              <w:tc>
                <w:tcPr>
                  <w:tcW w:w="693" w:type="dxa"/>
                  <w:vAlign w:val="center"/>
                </w:tcPr>
                <w:p w14:paraId="752D2293">
                  <w:pPr>
                    <w:pStyle w:val="70"/>
                    <w:rPr>
                      <w:rFonts w:hint="default" w:cs="Times New Roman"/>
                      <w:color w:val="auto"/>
                      <w:sz w:val="21"/>
                      <w:szCs w:val="21"/>
                      <w:lang w:val="en-US" w:eastAsia="zh-CN"/>
                    </w:rPr>
                  </w:pPr>
                  <w:r>
                    <w:rPr>
                      <w:rFonts w:hint="eastAsia" w:cs="Times New Roman"/>
                      <w:color w:val="auto"/>
                      <w:sz w:val="21"/>
                      <w:szCs w:val="21"/>
                      <w:lang w:val="en-US" w:eastAsia="zh-CN"/>
                    </w:rPr>
                    <w:t>36</w:t>
                  </w:r>
                </w:p>
              </w:tc>
              <w:tc>
                <w:tcPr>
                  <w:tcW w:w="2052" w:type="dxa"/>
                  <w:vAlign w:val="center"/>
                </w:tcPr>
                <w:p w14:paraId="19836D3F">
                  <w:pPr>
                    <w:autoSpaceDN w:val="0"/>
                    <w:adjustRightInd w:val="0"/>
                    <w:snapToGrid w:val="0"/>
                    <w:jc w:val="center"/>
                    <w:textAlignment w:val="top"/>
                    <w:rPr>
                      <w:rFonts w:hint="default" w:ascii="Times New Roman" w:hAnsi="Times New Roman" w:cs="Times New Roman"/>
                      <w:color w:val="auto"/>
                      <w:sz w:val="21"/>
                      <w:szCs w:val="21"/>
                      <w:lang w:val="en-US" w:eastAsia="zh-CN"/>
                    </w:rPr>
                  </w:pPr>
                  <w:r>
                    <w:rPr>
                      <w:rFonts w:hint="eastAsia" w:cs="Times New Roman"/>
                      <w:color w:val="auto"/>
                      <w:sz w:val="21"/>
                      <w:szCs w:val="21"/>
                      <w:lang w:val="en-US" w:eastAsia="zh-CN"/>
                    </w:rPr>
                    <w:t>焊裁一体机</w:t>
                  </w:r>
                </w:p>
              </w:tc>
              <w:tc>
                <w:tcPr>
                  <w:tcW w:w="1372" w:type="dxa"/>
                  <w:vAlign w:val="center"/>
                </w:tcPr>
                <w:p w14:paraId="5CD011B7">
                  <w:pPr>
                    <w:autoSpaceDN w:val="0"/>
                    <w:adjustRightInd w:val="0"/>
                    <w:snapToGrid w:val="0"/>
                    <w:jc w:val="center"/>
                    <w:textAlignment w:val="top"/>
                    <w:rPr>
                      <w:rFonts w:hint="default" w:ascii="Times New Roman" w:hAnsi="Times New Roman" w:cs="Times New Roman"/>
                      <w:color w:val="auto"/>
                      <w:sz w:val="21"/>
                      <w:szCs w:val="21"/>
                      <w:lang w:val="en-US" w:eastAsia="zh-CN"/>
                    </w:rPr>
                  </w:pPr>
                  <w:r>
                    <w:rPr>
                      <w:rFonts w:hint="eastAsia" w:cs="Times New Roman"/>
                      <w:color w:val="auto"/>
                      <w:sz w:val="21"/>
                      <w:szCs w:val="21"/>
                      <w:lang w:val="en-US" w:eastAsia="zh-CN"/>
                    </w:rPr>
                    <w:t>1</w:t>
                  </w:r>
                </w:p>
              </w:tc>
              <w:tc>
                <w:tcPr>
                  <w:tcW w:w="1829" w:type="dxa"/>
                  <w:vAlign w:val="center"/>
                </w:tcPr>
                <w:p w14:paraId="35C4237F">
                  <w:pPr>
                    <w:autoSpaceDN w:val="0"/>
                    <w:adjustRightInd w:val="0"/>
                    <w:snapToGrid w:val="0"/>
                    <w:jc w:val="center"/>
                    <w:textAlignment w:val="top"/>
                    <w:rPr>
                      <w:rFonts w:hint="default" w:ascii="Times New Roman" w:hAnsi="Times New Roman" w:cs="Times New Roman"/>
                      <w:color w:val="auto"/>
                      <w:sz w:val="21"/>
                      <w:szCs w:val="21"/>
                      <w:lang w:val="en-US" w:eastAsia="zh-CN"/>
                    </w:rPr>
                  </w:pPr>
                  <w:r>
                    <w:rPr>
                      <w:rFonts w:hint="eastAsia" w:cs="Times New Roman"/>
                      <w:color w:val="auto"/>
                      <w:sz w:val="21"/>
                      <w:szCs w:val="21"/>
                      <w:lang w:val="en-US" w:eastAsia="zh-CN"/>
                    </w:rPr>
                    <w:t>/</w:t>
                  </w:r>
                </w:p>
              </w:tc>
              <w:tc>
                <w:tcPr>
                  <w:tcW w:w="916" w:type="dxa"/>
                  <w:vAlign w:val="center"/>
                </w:tcPr>
                <w:p w14:paraId="41D11037">
                  <w:pPr>
                    <w:pStyle w:val="70"/>
                    <w:spacing w:line="240" w:lineRule="auto"/>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组块焊接</w:t>
                  </w:r>
                </w:p>
              </w:tc>
              <w:tc>
                <w:tcPr>
                  <w:tcW w:w="916" w:type="dxa"/>
                  <w:vAlign w:val="center"/>
                </w:tcPr>
                <w:p w14:paraId="5DC88D32">
                  <w:pPr>
                    <w:pStyle w:val="70"/>
                    <w:spacing w:line="240" w:lineRule="auto"/>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w:t>
                  </w:r>
                </w:p>
              </w:tc>
            </w:tr>
          </w:tbl>
          <w:p w14:paraId="3369A705">
            <w:pPr>
              <w:pStyle w:val="66"/>
              <w:spacing w:line="360" w:lineRule="auto"/>
              <w:ind w:firstLine="482"/>
              <w:rPr>
                <w:rFonts w:hint="eastAsia" w:ascii="Times New Roman" w:hAnsi="Times New Roman" w:eastAsia="宋体" w:cs="Times New Roman"/>
                <w:b/>
                <w:bCs/>
                <w:color w:val="auto"/>
                <w:lang w:val="en-US" w:eastAsia="zh-CN"/>
              </w:rPr>
            </w:pPr>
            <w:r>
              <w:rPr>
                <w:rFonts w:hint="eastAsia" w:ascii="Times New Roman" w:hAnsi="Times New Roman" w:eastAsia="宋体" w:cs="Times New Roman"/>
                <w:b/>
                <w:bCs/>
                <w:color w:val="auto"/>
                <w:lang w:val="en-US" w:eastAsia="zh-CN"/>
              </w:rPr>
              <w:t>6、主要原辅材料及能源消耗情况</w:t>
            </w:r>
          </w:p>
          <w:p w14:paraId="6845B2A5">
            <w:pPr>
              <w:keepNext w:val="0"/>
              <w:keepLines w:val="0"/>
              <w:pageBreakBefore w:val="0"/>
              <w:widowControl w:val="0"/>
              <w:kinsoku/>
              <w:wordWrap/>
              <w:overflowPunct/>
              <w:topLinePunct w:val="0"/>
              <w:autoSpaceDE w:val="0"/>
              <w:autoSpaceDN w:val="0"/>
              <w:bidi w:val="0"/>
              <w:spacing w:line="360" w:lineRule="auto"/>
              <w:ind w:firstLine="480" w:firstLineChars="200"/>
              <w:textAlignment w:val="auto"/>
              <w:rPr>
                <w:rFonts w:hint="eastAsia" w:ascii="Times New Roman" w:hAnsi="Times New Roman" w:eastAsia="宋体" w:cs="Times New Roman"/>
                <w:color w:val="auto"/>
                <w:sz w:val="24"/>
                <w:highlight w:val="none"/>
              </w:rPr>
            </w:pPr>
            <w:r>
              <w:rPr>
                <w:rFonts w:hint="eastAsia" w:ascii="Times New Roman" w:hAnsi="Times New Roman" w:eastAsia="宋体" w:cs="Times New Roman"/>
                <w:color w:val="auto"/>
                <w:sz w:val="24"/>
                <w:highlight w:val="none"/>
                <w:lang w:val="en-US" w:eastAsia="zh-CN"/>
              </w:rPr>
              <w:t>本</w:t>
            </w:r>
            <w:r>
              <w:rPr>
                <w:rFonts w:hint="eastAsia" w:ascii="Times New Roman" w:hAnsi="Times New Roman" w:eastAsia="宋体" w:cs="Times New Roman"/>
                <w:color w:val="auto"/>
                <w:sz w:val="24"/>
                <w:highlight w:val="none"/>
              </w:rPr>
              <w:t>项目主要原辅料及能源消耗情况见下表。</w:t>
            </w:r>
          </w:p>
          <w:p w14:paraId="54E351DC">
            <w:pPr>
              <w:pStyle w:val="68"/>
              <w:rPr>
                <w:rFonts w:hint="eastAsia" w:ascii="Times New Roman" w:hAnsi="Times New Roman" w:eastAsia="宋体" w:cs="Times New Roman"/>
                <w:b/>
                <w:bCs/>
                <w:color w:val="auto"/>
              </w:rPr>
            </w:pPr>
            <w:r>
              <w:rPr>
                <w:rFonts w:hint="eastAsia" w:ascii="Times New Roman" w:hAnsi="Times New Roman" w:eastAsia="宋体" w:cs="Times New Roman"/>
                <w:b/>
                <w:bCs/>
                <w:color w:val="auto"/>
              </w:rPr>
              <w:t>表2-</w:t>
            </w:r>
            <w:r>
              <w:rPr>
                <w:rFonts w:hint="eastAsia" w:ascii="Times New Roman" w:hAnsi="Times New Roman" w:eastAsia="宋体" w:cs="Times New Roman"/>
                <w:b/>
                <w:bCs/>
                <w:color w:val="auto"/>
                <w:lang w:val="en-US" w:eastAsia="zh-CN"/>
              </w:rPr>
              <w:t>4</w:t>
            </w:r>
            <w:r>
              <w:rPr>
                <w:rFonts w:hint="eastAsia" w:ascii="Times New Roman" w:hAnsi="Times New Roman" w:eastAsia="宋体" w:cs="Times New Roman"/>
                <w:b/>
                <w:bCs/>
                <w:color w:val="auto"/>
              </w:rPr>
              <w:t xml:space="preserve">  </w:t>
            </w:r>
            <w:bookmarkStart w:id="10" w:name="_Hlk182823470"/>
            <w:r>
              <w:rPr>
                <w:rFonts w:hint="eastAsia" w:ascii="Times New Roman" w:hAnsi="Times New Roman" w:eastAsia="宋体" w:cs="Times New Roman"/>
                <w:b/>
                <w:bCs/>
                <w:color w:val="auto"/>
              </w:rPr>
              <w:t>主要原辅料一览表</w:t>
            </w:r>
          </w:p>
          <w:bookmarkEnd w:id="10"/>
          <w:tbl>
            <w:tblPr>
              <w:tblStyle w:val="42"/>
              <w:tblW w:w="7817" w:type="dxa"/>
              <w:tblInd w:w="5"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461"/>
              <w:gridCol w:w="846"/>
              <w:gridCol w:w="1034"/>
              <w:gridCol w:w="1131"/>
              <w:gridCol w:w="1231"/>
              <w:gridCol w:w="507"/>
              <w:gridCol w:w="869"/>
              <w:gridCol w:w="869"/>
              <w:gridCol w:w="869"/>
            </w:tblGrid>
            <w:tr w14:paraId="6A8AF02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44" w:hRule="atLeast"/>
              </w:trPr>
              <w:tc>
                <w:tcPr>
                  <w:tcW w:w="461" w:type="dxa"/>
                  <w:shd w:val="clear" w:color="auto" w:fill="auto"/>
                  <w:vAlign w:val="center"/>
                </w:tcPr>
                <w:p w14:paraId="3AB7232C">
                  <w:pPr>
                    <w:pStyle w:val="70"/>
                    <w:spacing w:line="240" w:lineRule="auto"/>
                    <w:rPr>
                      <w:rFonts w:hint="eastAsia" w:ascii="Times New Roman" w:hAnsi="Times New Roman" w:eastAsia="宋体" w:cs="Times New Roman"/>
                      <w:b/>
                      <w:color w:val="auto"/>
                      <w:sz w:val="21"/>
                      <w:szCs w:val="21"/>
                      <w:lang w:val="en-US" w:eastAsia="zh-CN"/>
                    </w:rPr>
                  </w:pPr>
                  <w:r>
                    <w:rPr>
                      <w:rFonts w:hint="eastAsia" w:ascii="Times New Roman" w:hAnsi="Times New Roman" w:eastAsia="宋体" w:cs="Times New Roman"/>
                      <w:b/>
                      <w:color w:val="auto"/>
                      <w:sz w:val="21"/>
                      <w:szCs w:val="21"/>
                      <w:lang w:val="en-US" w:eastAsia="zh-CN"/>
                    </w:rPr>
                    <w:t>序号</w:t>
                  </w:r>
                </w:p>
              </w:tc>
              <w:tc>
                <w:tcPr>
                  <w:tcW w:w="846" w:type="dxa"/>
                  <w:shd w:val="clear" w:color="auto" w:fill="auto"/>
                  <w:vAlign w:val="center"/>
                </w:tcPr>
                <w:p w14:paraId="337D0EC0">
                  <w:pPr>
                    <w:pStyle w:val="70"/>
                    <w:spacing w:line="240" w:lineRule="auto"/>
                    <w:rPr>
                      <w:rFonts w:hint="eastAsia" w:ascii="Times New Roman" w:hAnsi="Times New Roman" w:eastAsia="宋体" w:cs="Times New Roman"/>
                      <w:b/>
                      <w:color w:val="auto"/>
                      <w:sz w:val="21"/>
                      <w:szCs w:val="21"/>
                      <w:lang w:val="en-US" w:eastAsia="zh-CN"/>
                    </w:rPr>
                  </w:pPr>
                  <w:r>
                    <w:rPr>
                      <w:rFonts w:hint="eastAsia" w:ascii="Times New Roman" w:hAnsi="Times New Roman" w:eastAsia="宋体" w:cs="Times New Roman"/>
                      <w:b/>
                      <w:color w:val="auto"/>
                      <w:sz w:val="21"/>
                      <w:szCs w:val="21"/>
                      <w:lang w:val="en-US" w:eastAsia="zh-CN"/>
                    </w:rPr>
                    <w:t>名称</w:t>
                  </w:r>
                </w:p>
              </w:tc>
              <w:tc>
                <w:tcPr>
                  <w:tcW w:w="1034" w:type="dxa"/>
                  <w:shd w:val="clear" w:color="auto" w:fill="auto"/>
                  <w:vAlign w:val="center"/>
                </w:tcPr>
                <w:p w14:paraId="30B1BF1D">
                  <w:pPr>
                    <w:pStyle w:val="70"/>
                    <w:spacing w:line="240" w:lineRule="auto"/>
                    <w:rPr>
                      <w:rFonts w:hint="default" w:ascii="Times New Roman" w:hAnsi="Times New Roman" w:eastAsia="宋体" w:cs="Times New Roman"/>
                      <w:b/>
                      <w:color w:val="auto"/>
                      <w:sz w:val="21"/>
                      <w:szCs w:val="21"/>
                      <w:lang w:val="en-US" w:eastAsia="zh-CN"/>
                    </w:rPr>
                  </w:pPr>
                  <w:r>
                    <w:rPr>
                      <w:rFonts w:hint="eastAsia" w:ascii="Times New Roman" w:hAnsi="Times New Roman" w:eastAsia="宋体" w:cs="Times New Roman"/>
                      <w:b/>
                      <w:color w:val="auto"/>
                      <w:sz w:val="21"/>
                      <w:szCs w:val="21"/>
                      <w:lang w:val="en-US" w:eastAsia="zh-CN"/>
                    </w:rPr>
                    <w:t>主要成分</w:t>
                  </w:r>
                </w:p>
              </w:tc>
              <w:tc>
                <w:tcPr>
                  <w:tcW w:w="1131" w:type="dxa"/>
                  <w:shd w:val="clear" w:color="auto" w:fill="auto"/>
                  <w:vAlign w:val="center"/>
                </w:tcPr>
                <w:p w14:paraId="5B8C4CA7">
                  <w:pPr>
                    <w:pStyle w:val="70"/>
                    <w:spacing w:line="240" w:lineRule="auto"/>
                    <w:rPr>
                      <w:rFonts w:hint="default" w:ascii="Times New Roman" w:hAnsi="Times New Roman" w:eastAsia="宋体" w:cs="Times New Roman"/>
                      <w:b/>
                      <w:color w:val="auto"/>
                      <w:sz w:val="21"/>
                      <w:szCs w:val="21"/>
                      <w:lang w:val="en-US" w:eastAsia="zh-CN"/>
                    </w:rPr>
                  </w:pPr>
                  <w:r>
                    <w:rPr>
                      <w:rFonts w:hint="eastAsia" w:ascii="Times New Roman" w:hAnsi="Times New Roman" w:eastAsia="宋体" w:cs="Times New Roman"/>
                      <w:b/>
                      <w:color w:val="auto"/>
                      <w:sz w:val="21"/>
                      <w:szCs w:val="21"/>
                      <w:lang w:val="en-US" w:eastAsia="zh-CN"/>
                    </w:rPr>
                    <w:t>年使用量</w:t>
                  </w:r>
                </w:p>
              </w:tc>
              <w:tc>
                <w:tcPr>
                  <w:tcW w:w="1231" w:type="dxa"/>
                  <w:shd w:val="clear" w:color="auto" w:fill="auto"/>
                  <w:vAlign w:val="center"/>
                </w:tcPr>
                <w:p w14:paraId="78A519D6">
                  <w:pPr>
                    <w:pStyle w:val="70"/>
                    <w:spacing w:line="240" w:lineRule="auto"/>
                    <w:rPr>
                      <w:rFonts w:hint="default" w:ascii="Times New Roman" w:hAnsi="Times New Roman" w:eastAsia="宋体" w:cs="Times New Roman"/>
                      <w:b/>
                      <w:color w:val="auto"/>
                      <w:sz w:val="21"/>
                      <w:szCs w:val="21"/>
                      <w:lang w:val="en-US" w:eastAsia="zh-CN"/>
                    </w:rPr>
                  </w:pPr>
                  <w:r>
                    <w:rPr>
                      <w:rFonts w:hint="eastAsia" w:ascii="Times New Roman" w:hAnsi="Times New Roman" w:eastAsia="宋体" w:cs="Times New Roman"/>
                      <w:b/>
                      <w:color w:val="auto"/>
                      <w:sz w:val="21"/>
                      <w:szCs w:val="21"/>
                      <w:lang w:val="en-US" w:eastAsia="zh-CN"/>
                    </w:rPr>
                    <w:t>最大暂存量</w:t>
                  </w:r>
                </w:p>
              </w:tc>
              <w:tc>
                <w:tcPr>
                  <w:tcW w:w="507" w:type="dxa"/>
                  <w:shd w:val="clear" w:color="auto" w:fill="auto"/>
                  <w:vAlign w:val="center"/>
                </w:tcPr>
                <w:p w14:paraId="2FDFA5CA">
                  <w:pPr>
                    <w:pStyle w:val="70"/>
                    <w:spacing w:line="240" w:lineRule="auto"/>
                    <w:rPr>
                      <w:rFonts w:hint="default" w:ascii="Times New Roman" w:hAnsi="Times New Roman" w:eastAsia="宋体" w:cs="Times New Roman"/>
                      <w:b/>
                      <w:color w:val="auto"/>
                      <w:sz w:val="21"/>
                      <w:szCs w:val="21"/>
                      <w:lang w:val="en-US" w:eastAsia="zh-CN"/>
                    </w:rPr>
                  </w:pPr>
                  <w:r>
                    <w:rPr>
                      <w:rFonts w:hint="eastAsia" w:ascii="Times New Roman" w:hAnsi="Times New Roman" w:eastAsia="宋体" w:cs="Times New Roman"/>
                      <w:b/>
                      <w:color w:val="auto"/>
                      <w:sz w:val="21"/>
                      <w:szCs w:val="21"/>
                      <w:lang w:val="en-US" w:eastAsia="zh-CN"/>
                    </w:rPr>
                    <w:t>来源</w:t>
                  </w:r>
                </w:p>
              </w:tc>
              <w:tc>
                <w:tcPr>
                  <w:tcW w:w="869" w:type="dxa"/>
                  <w:shd w:val="clear" w:color="auto" w:fill="auto"/>
                  <w:vAlign w:val="center"/>
                </w:tcPr>
                <w:p w14:paraId="027EC270">
                  <w:pPr>
                    <w:pStyle w:val="70"/>
                    <w:spacing w:line="240" w:lineRule="auto"/>
                    <w:rPr>
                      <w:rFonts w:hint="default" w:ascii="Times New Roman" w:hAnsi="Times New Roman" w:eastAsia="宋体" w:cs="Times New Roman"/>
                      <w:b/>
                      <w:color w:val="auto"/>
                      <w:sz w:val="21"/>
                      <w:szCs w:val="21"/>
                      <w:lang w:val="en-US" w:eastAsia="zh-CN"/>
                    </w:rPr>
                  </w:pPr>
                  <w:r>
                    <w:rPr>
                      <w:rFonts w:hint="eastAsia" w:ascii="Times New Roman" w:hAnsi="Times New Roman" w:eastAsia="宋体" w:cs="Times New Roman"/>
                      <w:b/>
                      <w:color w:val="auto"/>
                      <w:sz w:val="21"/>
                      <w:szCs w:val="21"/>
                      <w:lang w:val="en-US" w:eastAsia="zh-CN"/>
                    </w:rPr>
                    <w:t>包装方式</w:t>
                  </w:r>
                </w:p>
              </w:tc>
              <w:tc>
                <w:tcPr>
                  <w:tcW w:w="869" w:type="dxa"/>
                  <w:shd w:val="clear" w:color="auto" w:fill="auto"/>
                  <w:vAlign w:val="center"/>
                </w:tcPr>
                <w:p w14:paraId="3D6602BE">
                  <w:pPr>
                    <w:pStyle w:val="70"/>
                    <w:spacing w:line="240" w:lineRule="auto"/>
                    <w:rPr>
                      <w:rFonts w:hint="default" w:ascii="Times New Roman" w:hAnsi="Times New Roman" w:eastAsia="宋体" w:cs="Times New Roman"/>
                      <w:b/>
                      <w:color w:val="auto"/>
                      <w:sz w:val="21"/>
                      <w:szCs w:val="21"/>
                      <w:lang w:val="en-US" w:eastAsia="zh-CN"/>
                    </w:rPr>
                  </w:pPr>
                  <w:r>
                    <w:rPr>
                      <w:rFonts w:hint="eastAsia" w:cs="Times New Roman"/>
                      <w:b/>
                      <w:color w:val="auto"/>
                      <w:sz w:val="21"/>
                      <w:szCs w:val="21"/>
                      <w:lang w:val="en-US" w:eastAsia="zh-CN"/>
                    </w:rPr>
                    <w:t>运输方式</w:t>
                  </w:r>
                </w:p>
              </w:tc>
              <w:tc>
                <w:tcPr>
                  <w:tcW w:w="869" w:type="dxa"/>
                  <w:shd w:val="clear" w:color="auto" w:fill="auto"/>
                  <w:vAlign w:val="center"/>
                </w:tcPr>
                <w:p w14:paraId="1FD711E0">
                  <w:pPr>
                    <w:pStyle w:val="70"/>
                    <w:spacing w:line="240" w:lineRule="auto"/>
                    <w:rPr>
                      <w:rFonts w:hint="default" w:ascii="Times New Roman" w:hAnsi="Times New Roman" w:eastAsia="宋体" w:cs="Times New Roman"/>
                      <w:b/>
                      <w:color w:val="auto"/>
                      <w:sz w:val="21"/>
                      <w:szCs w:val="21"/>
                      <w:lang w:val="en-US" w:eastAsia="zh-CN"/>
                    </w:rPr>
                  </w:pPr>
                  <w:r>
                    <w:rPr>
                      <w:rFonts w:hint="eastAsia" w:cs="Times New Roman"/>
                      <w:b/>
                      <w:color w:val="auto"/>
                      <w:sz w:val="21"/>
                      <w:szCs w:val="21"/>
                      <w:lang w:val="en-US" w:eastAsia="zh-CN"/>
                    </w:rPr>
                    <w:t>储存位置</w:t>
                  </w:r>
                </w:p>
              </w:tc>
            </w:tr>
            <w:tr w14:paraId="70F8DAA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3" w:hRule="atLeast"/>
              </w:trPr>
              <w:tc>
                <w:tcPr>
                  <w:tcW w:w="461" w:type="dxa"/>
                  <w:shd w:val="clear" w:color="auto" w:fill="auto"/>
                  <w:vAlign w:val="center"/>
                </w:tcPr>
                <w:p w14:paraId="2A64A19B">
                  <w:pPr>
                    <w:spacing w:line="240" w:lineRule="auto"/>
                    <w:jc w:val="center"/>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1</w:t>
                  </w:r>
                </w:p>
              </w:tc>
              <w:tc>
                <w:tcPr>
                  <w:tcW w:w="846" w:type="dxa"/>
                  <w:shd w:val="clear" w:color="auto" w:fill="auto"/>
                  <w:vAlign w:val="center"/>
                </w:tcPr>
                <w:p w14:paraId="54573775">
                  <w:pPr>
                    <w:pStyle w:val="70"/>
                    <w:spacing w:line="240" w:lineRule="auto"/>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正极材料</w:t>
                  </w:r>
                </w:p>
              </w:tc>
              <w:tc>
                <w:tcPr>
                  <w:tcW w:w="1034" w:type="dxa"/>
                  <w:shd w:val="clear" w:color="auto" w:fill="auto"/>
                  <w:vAlign w:val="center"/>
                </w:tcPr>
                <w:p w14:paraId="4B9F9547">
                  <w:pPr>
                    <w:pStyle w:val="70"/>
                    <w:spacing w:line="240" w:lineRule="auto"/>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磷酸铁锂</w:t>
                  </w:r>
                </w:p>
              </w:tc>
              <w:tc>
                <w:tcPr>
                  <w:tcW w:w="1131" w:type="dxa"/>
                  <w:shd w:val="clear" w:color="auto" w:fill="auto"/>
                  <w:vAlign w:val="center"/>
                </w:tcPr>
                <w:p w14:paraId="4E47EF17">
                  <w:pPr>
                    <w:pStyle w:val="70"/>
                    <w:spacing w:line="240" w:lineRule="auto"/>
                    <w:jc w:val="center"/>
                    <w:rPr>
                      <w:rFonts w:hint="eastAsia" w:ascii="Times New Roman" w:hAnsi="Times New Roman" w:eastAsia="宋体" w:cs="Times New Roman"/>
                      <w:color w:val="auto"/>
                      <w:sz w:val="21"/>
                      <w:szCs w:val="21"/>
                      <w:lang w:eastAsia="zh-CN"/>
                    </w:rPr>
                  </w:pPr>
                  <w:r>
                    <w:rPr>
                      <w:rFonts w:hint="eastAsia" w:ascii="Times New Roman" w:hAnsi="Times New Roman" w:eastAsia="宋体" w:cs="Times New Roman"/>
                      <w:color w:val="auto"/>
                      <w:sz w:val="21"/>
                      <w:szCs w:val="21"/>
                    </w:rPr>
                    <w:t>2051.</w:t>
                  </w:r>
                  <w:r>
                    <w:rPr>
                      <w:rFonts w:hint="eastAsia" w:cs="Times New Roman"/>
                      <w:color w:val="auto"/>
                      <w:sz w:val="21"/>
                      <w:szCs w:val="21"/>
                      <w:lang w:val="en-US" w:eastAsia="zh-CN"/>
                    </w:rPr>
                    <w:t>3</w:t>
                  </w:r>
                  <w:r>
                    <w:rPr>
                      <w:rFonts w:hint="eastAsia" w:ascii="Times New Roman" w:hAnsi="Times New Roman" w:eastAsia="宋体" w:cs="Times New Roman"/>
                      <w:color w:val="auto"/>
                      <w:sz w:val="21"/>
                      <w:szCs w:val="21"/>
                      <w:lang w:val="en-US" w:eastAsia="zh-CN"/>
                    </w:rPr>
                    <w:t>t</w:t>
                  </w:r>
                </w:p>
              </w:tc>
              <w:tc>
                <w:tcPr>
                  <w:tcW w:w="1231" w:type="dxa"/>
                  <w:shd w:val="clear" w:color="auto" w:fill="auto"/>
                  <w:vAlign w:val="center"/>
                </w:tcPr>
                <w:p w14:paraId="1FD62BED">
                  <w:pPr>
                    <w:pStyle w:val="70"/>
                    <w:spacing w:line="240" w:lineRule="auto"/>
                    <w:jc w:val="center"/>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84298</w:t>
                  </w:r>
                  <w:r>
                    <w:rPr>
                      <w:rFonts w:hint="eastAsia" w:ascii="Times New Roman" w:hAnsi="Times New Roman" w:eastAsia="宋体" w:cs="Times New Roman"/>
                      <w:color w:val="auto"/>
                      <w:sz w:val="21"/>
                      <w:szCs w:val="21"/>
                    </w:rPr>
                    <w:t>kg</w:t>
                  </w:r>
                  <w:r>
                    <w:rPr>
                      <w:rFonts w:hint="eastAsia" w:ascii="Times New Roman" w:hAnsi="Times New Roman" w:eastAsia="宋体" w:cs="Times New Roman"/>
                      <w:color w:val="auto"/>
                      <w:sz w:val="21"/>
                      <w:szCs w:val="21"/>
                      <w:lang w:val="en-US" w:eastAsia="zh-CN"/>
                    </w:rPr>
                    <w:t>/a</w:t>
                  </w:r>
                </w:p>
              </w:tc>
              <w:tc>
                <w:tcPr>
                  <w:tcW w:w="507" w:type="dxa"/>
                  <w:shd w:val="clear" w:color="auto" w:fill="auto"/>
                  <w:vAlign w:val="center"/>
                </w:tcPr>
                <w:p w14:paraId="3BFEF368">
                  <w:pPr>
                    <w:pStyle w:val="70"/>
                    <w:spacing w:line="240" w:lineRule="auto"/>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外购</w:t>
                  </w:r>
                </w:p>
              </w:tc>
              <w:tc>
                <w:tcPr>
                  <w:tcW w:w="869" w:type="dxa"/>
                  <w:shd w:val="clear" w:color="auto" w:fill="auto"/>
                  <w:vAlign w:val="center"/>
                </w:tcPr>
                <w:p w14:paraId="12B53C2B">
                  <w:pPr>
                    <w:pStyle w:val="70"/>
                    <w:spacing w:line="240" w:lineRule="auto"/>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袋装</w:t>
                  </w:r>
                </w:p>
              </w:tc>
              <w:tc>
                <w:tcPr>
                  <w:tcW w:w="869" w:type="dxa"/>
                  <w:shd w:val="clear" w:color="auto" w:fill="auto"/>
                  <w:vAlign w:val="center"/>
                </w:tcPr>
                <w:p w14:paraId="5D2F027A">
                  <w:pPr>
                    <w:pStyle w:val="70"/>
                    <w:spacing w:line="240" w:lineRule="auto"/>
                    <w:jc w:val="center"/>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汽运</w:t>
                  </w:r>
                </w:p>
              </w:tc>
              <w:tc>
                <w:tcPr>
                  <w:tcW w:w="869" w:type="dxa"/>
                  <w:shd w:val="clear" w:color="auto" w:fill="auto"/>
                  <w:vAlign w:val="center"/>
                </w:tcPr>
                <w:p w14:paraId="310F3055">
                  <w:pPr>
                    <w:pStyle w:val="70"/>
                    <w:spacing w:line="240" w:lineRule="auto"/>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电芯车间</w:t>
                  </w:r>
                </w:p>
              </w:tc>
            </w:tr>
            <w:tr w14:paraId="65E7B40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3" w:hRule="atLeast"/>
              </w:trPr>
              <w:tc>
                <w:tcPr>
                  <w:tcW w:w="461" w:type="dxa"/>
                  <w:shd w:val="clear" w:color="auto" w:fill="auto"/>
                  <w:vAlign w:val="center"/>
                </w:tcPr>
                <w:p w14:paraId="6A9DA53E">
                  <w:pPr>
                    <w:spacing w:line="240" w:lineRule="auto"/>
                    <w:jc w:val="center"/>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2</w:t>
                  </w:r>
                </w:p>
              </w:tc>
              <w:tc>
                <w:tcPr>
                  <w:tcW w:w="846" w:type="dxa"/>
                  <w:shd w:val="clear" w:color="auto" w:fill="auto"/>
                  <w:vAlign w:val="center"/>
                </w:tcPr>
                <w:p w14:paraId="6C131CDF">
                  <w:pPr>
                    <w:pStyle w:val="70"/>
                    <w:spacing w:line="240" w:lineRule="auto"/>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lang w:val="en-US" w:eastAsia="zh-CN"/>
                    </w:rPr>
                    <w:t>粘结剂1</w:t>
                  </w:r>
                </w:p>
              </w:tc>
              <w:tc>
                <w:tcPr>
                  <w:tcW w:w="1034" w:type="dxa"/>
                  <w:shd w:val="clear" w:color="auto" w:fill="auto"/>
                  <w:vAlign w:val="center"/>
                </w:tcPr>
                <w:p w14:paraId="5E4CB421">
                  <w:pPr>
                    <w:pStyle w:val="70"/>
                    <w:spacing w:line="240" w:lineRule="auto"/>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lang w:val="en-US" w:eastAsia="zh-CN"/>
                    </w:rPr>
                    <w:t>聚偏二氟乙烯</w:t>
                  </w:r>
                </w:p>
              </w:tc>
              <w:tc>
                <w:tcPr>
                  <w:tcW w:w="1131" w:type="dxa"/>
                  <w:shd w:val="clear" w:color="auto" w:fill="auto"/>
                  <w:vAlign w:val="center"/>
                </w:tcPr>
                <w:p w14:paraId="651AC398">
                  <w:pPr>
                    <w:pStyle w:val="70"/>
                    <w:spacing w:line="240" w:lineRule="auto"/>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lang w:val="en-US" w:eastAsia="zh-CN"/>
                    </w:rPr>
                    <w:t>49.4t</w:t>
                  </w:r>
                </w:p>
              </w:tc>
              <w:tc>
                <w:tcPr>
                  <w:tcW w:w="1231" w:type="dxa"/>
                  <w:shd w:val="clear" w:color="auto" w:fill="auto"/>
                  <w:vAlign w:val="center"/>
                </w:tcPr>
                <w:p w14:paraId="02A9CB26">
                  <w:pPr>
                    <w:pStyle w:val="70"/>
                    <w:spacing w:line="240" w:lineRule="auto"/>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lang w:val="en-US" w:eastAsia="zh-CN"/>
                    </w:rPr>
                    <w:t>2028kg/a</w:t>
                  </w:r>
                </w:p>
              </w:tc>
              <w:tc>
                <w:tcPr>
                  <w:tcW w:w="507" w:type="dxa"/>
                  <w:shd w:val="clear" w:color="auto" w:fill="auto"/>
                  <w:vAlign w:val="center"/>
                </w:tcPr>
                <w:p w14:paraId="6B9725F6">
                  <w:pPr>
                    <w:pStyle w:val="70"/>
                    <w:spacing w:line="240" w:lineRule="auto"/>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外购</w:t>
                  </w:r>
                </w:p>
              </w:tc>
              <w:tc>
                <w:tcPr>
                  <w:tcW w:w="869" w:type="dxa"/>
                  <w:shd w:val="clear" w:color="auto" w:fill="auto"/>
                  <w:vAlign w:val="center"/>
                </w:tcPr>
                <w:p w14:paraId="08C76D5E">
                  <w:pPr>
                    <w:pStyle w:val="70"/>
                    <w:spacing w:line="240" w:lineRule="auto"/>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袋装</w:t>
                  </w:r>
                </w:p>
              </w:tc>
              <w:tc>
                <w:tcPr>
                  <w:tcW w:w="869" w:type="dxa"/>
                  <w:shd w:val="clear" w:color="auto" w:fill="auto"/>
                  <w:vAlign w:val="center"/>
                </w:tcPr>
                <w:p w14:paraId="0D82A975">
                  <w:pPr>
                    <w:pStyle w:val="70"/>
                    <w:spacing w:line="240" w:lineRule="auto"/>
                    <w:jc w:val="center"/>
                    <w:rPr>
                      <w:rFonts w:hint="eastAsia" w:cs="Times New Roman"/>
                      <w:color w:val="auto"/>
                      <w:sz w:val="21"/>
                      <w:szCs w:val="21"/>
                      <w:lang w:val="en-US" w:eastAsia="zh-CN"/>
                    </w:rPr>
                  </w:pPr>
                  <w:r>
                    <w:rPr>
                      <w:rFonts w:hint="eastAsia" w:cs="Times New Roman"/>
                      <w:color w:val="auto"/>
                      <w:sz w:val="21"/>
                      <w:szCs w:val="21"/>
                      <w:lang w:val="en-US" w:eastAsia="zh-CN"/>
                    </w:rPr>
                    <w:t>汽运</w:t>
                  </w:r>
                </w:p>
              </w:tc>
              <w:tc>
                <w:tcPr>
                  <w:tcW w:w="869" w:type="dxa"/>
                  <w:shd w:val="clear" w:color="auto" w:fill="auto"/>
                  <w:vAlign w:val="center"/>
                </w:tcPr>
                <w:p w14:paraId="41607581">
                  <w:pPr>
                    <w:pStyle w:val="70"/>
                    <w:spacing w:line="240" w:lineRule="auto"/>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电芯车间</w:t>
                  </w:r>
                </w:p>
              </w:tc>
            </w:tr>
            <w:tr w14:paraId="3CC0A9E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3" w:hRule="atLeast"/>
              </w:trPr>
              <w:tc>
                <w:tcPr>
                  <w:tcW w:w="461" w:type="dxa"/>
                  <w:shd w:val="clear" w:color="auto" w:fill="auto"/>
                  <w:vAlign w:val="center"/>
                </w:tcPr>
                <w:p w14:paraId="4CFF9EB7">
                  <w:pPr>
                    <w:spacing w:line="240" w:lineRule="auto"/>
                    <w:jc w:val="center"/>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3</w:t>
                  </w:r>
                </w:p>
              </w:tc>
              <w:tc>
                <w:tcPr>
                  <w:tcW w:w="846" w:type="dxa"/>
                  <w:shd w:val="clear" w:color="auto" w:fill="auto"/>
                  <w:vAlign w:val="center"/>
                </w:tcPr>
                <w:p w14:paraId="285F0667">
                  <w:pPr>
                    <w:pStyle w:val="70"/>
                    <w:spacing w:line="240" w:lineRule="auto"/>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负极材料</w:t>
                  </w:r>
                </w:p>
              </w:tc>
              <w:tc>
                <w:tcPr>
                  <w:tcW w:w="1034" w:type="dxa"/>
                  <w:shd w:val="clear" w:color="auto" w:fill="auto"/>
                  <w:vAlign w:val="center"/>
                </w:tcPr>
                <w:p w14:paraId="253F1869">
                  <w:pPr>
                    <w:pStyle w:val="70"/>
                    <w:spacing w:line="240" w:lineRule="auto"/>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人造石墨</w:t>
                  </w:r>
                </w:p>
              </w:tc>
              <w:tc>
                <w:tcPr>
                  <w:tcW w:w="1131" w:type="dxa"/>
                  <w:shd w:val="clear" w:color="auto" w:fill="auto"/>
                  <w:vAlign w:val="center"/>
                </w:tcPr>
                <w:p w14:paraId="46C338C5">
                  <w:pPr>
                    <w:pStyle w:val="70"/>
                    <w:spacing w:line="240" w:lineRule="auto"/>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1018.9</w:t>
                  </w:r>
                  <w:r>
                    <w:rPr>
                      <w:rFonts w:hint="eastAsia" w:ascii="Times New Roman" w:hAnsi="Times New Roman" w:eastAsia="宋体" w:cs="Times New Roman"/>
                      <w:color w:val="auto"/>
                      <w:sz w:val="21"/>
                      <w:szCs w:val="21"/>
                      <w:lang w:val="en-US" w:eastAsia="zh-CN"/>
                    </w:rPr>
                    <w:t>t</w:t>
                  </w:r>
                </w:p>
              </w:tc>
              <w:tc>
                <w:tcPr>
                  <w:tcW w:w="1231" w:type="dxa"/>
                  <w:shd w:val="clear" w:color="auto" w:fill="auto"/>
                  <w:vAlign w:val="center"/>
                </w:tcPr>
                <w:p w14:paraId="212046AE">
                  <w:pPr>
                    <w:pStyle w:val="70"/>
                    <w:spacing w:line="240" w:lineRule="auto"/>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41872.5kg</w:t>
                  </w:r>
                  <w:r>
                    <w:rPr>
                      <w:rFonts w:hint="eastAsia" w:ascii="Times New Roman" w:hAnsi="Times New Roman" w:eastAsia="宋体" w:cs="Times New Roman"/>
                      <w:color w:val="auto"/>
                      <w:sz w:val="21"/>
                      <w:szCs w:val="21"/>
                      <w:lang w:val="en-US" w:eastAsia="zh-CN"/>
                    </w:rPr>
                    <w:t>/a</w:t>
                  </w:r>
                </w:p>
              </w:tc>
              <w:tc>
                <w:tcPr>
                  <w:tcW w:w="507" w:type="dxa"/>
                  <w:shd w:val="clear" w:color="auto" w:fill="auto"/>
                  <w:vAlign w:val="center"/>
                </w:tcPr>
                <w:p w14:paraId="6871C257">
                  <w:pPr>
                    <w:pStyle w:val="70"/>
                    <w:spacing w:line="240" w:lineRule="auto"/>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lang w:val="en-US" w:eastAsia="zh-CN"/>
                    </w:rPr>
                    <w:t>外购</w:t>
                  </w:r>
                </w:p>
              </w:tc>
              <w:tc>
                <w:tcPr>
                  <w:tcW w:w="869" w:type="dxa"/>
                  <w:shd w:val="clear" w:color="auto" w:fill="auto"/>
                  <w:vAlign w:val="center"/>
                </w:tcPr>
                <w:p w14:paraId="135536D5">
                  <w:pPr>
                    <w:pStyle w:val="70"/>
                    <w:spacing w:line="240" w:lineRule="auto"/>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袋装</w:t>
                  </w:r>
                </w:p>
              </w:tc>
              <w:tc>
                <w:tcPr>
                  <w:tcW w:w="869" w:type="dxa"/>
                  <w:shd w:val="clear" w:color="auto" w:fill="auto"/>
                  <w:vAlign w:val="center"/>
                </w:tcPr>
                <w:p w14:paraId="102EB6D8">
                  <w:pPr>
                    <w:spacing w:line="240" w:lineRule="auto"/>
                    <w:jc w:val="center"/>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汽运</w:t>
                  </w:r>
                </w:p>
              </w:tc>
              <w:tc>
                <w:tcPr>
                  <w:tcW w:w="869" w:type="dxa"/>
                  <w:shd w:val="clear" w:color="auto" w:fill="auto"/>
                  <w:vAlign w:val="center"/>
                </w:tcPr>
                <w:p w14:paraId="11650A22">
                  <w:pPr>
                    <w:pStyle w:val="70"/>
                    <w:spacing w:line="240" w:lineRule="auto"/>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电芯车间</w:t>
                  </w:r>
                </w:p>
              </w:tc>
            </w:tr>
            <w:tr w14:paraId="0524450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3" w:hRule="atLeast"/>
              </w:trPr>
              <w:tc>
                <w:tcPr>
                  <w:tcW w:w="461" w:type="dxa"/>
                  <w:shd w:val="clear" w:color="auto" w:fill="auto"/>
                  <w:vAlign w:val="center"/>
                </w:tcPr>
                <w:p w14:paraId="6607C840">
                  <w:pPr>
                    <w:spacing w:line="240" w:lineRule="auto"/>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4</w:t>
                  </w:r>
                </w:p>
              </w:tc>
              <w:tc>
                <w:tcPr>
                  <w:tcW w:w="846" w:type="dxa"/>
                  <w:shd w:val="clear" w:color="auto" w:fill="auto"/>
                  <w:vAlign w:val="center"/>
                </w:tcPr>
                <w:p w14:paraId="09B7A6DD">
                  <w:pPr>
                    <w:pStyle w:val="70"/>
                    <w:spacing w:line="240" w:lineRule="auto"/>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导电剂2</w:t>
                  </w:r>
                </w:p>
              </w:tc>
              <w:tc>
                <w:tcPr>
                  <w:tcW w:w="1034" w:type="dxa"/>
                  <w:shd w:val="clear" w:color="auto" w:fill="auto"/>
                  <w:vAlign w:val="center"/>
                </w:tcPr>
                <w:p w14:paraId="36A21A21">
                  <w:pPr>
                    <w:pStyle w:val="70"/>
                    <w:spacing w:line="240" w:lineRule="auto"/>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碳纳米管/NMP</w:t>
                  </w:r>
                </w:p>
              </w:tc>
              <w:tc>
                <w:tcPr>
                  <w:tcW w:w="1131" w:type="dxa"/>
                  <w:shd w:val="clear" w:color="auto" w:fill="auto"/>
                  <w:vAlign w:val="center"/>
                </w:tcPr>
                <w:p w14:paraId="71C38DE5">
                  <w:pPr>
                    <w:pStyle w:val="70"/>
                    <w:spacing w:line="240" w:lineRule="auto"/>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257.5t/a</w:t>
                  </w:r>
                </w:p>
              </w:tc>
              <w:tc>
                <w:tcPr>
                  <w:tcW w:w="1231" w:type="dxa"/>
                  <w:shd w:val="clear" w:color="auto" w:fill="auto"/>
                  <w:vAlign w:val="center"/>
                </w:tcPr>
                <w:p w14:paraId="0F6078C3">
                  <w:pPr>
                    <w:pStyle w:val="70"/>
                    <w:spacing w:line="240" w:lineRule="auto"/>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1000kg/a</w:t>
                  </w:r>
                </w:p>
              </w:tc>
              <w:tc>
                <w:tcPr>
                  <w:tcW w:w="507" w:type="dxa"/>
                  <w:shd w:val="clear" w:color="auto" w:fill="auto"/>
                  <w:vAlign w:val="center"/>
                </w:tcPr>
                <w:p w14:paraId="046677AD">
                  <w:pPr>
                    <w:pStyle w:val="70"/>
                    <w:spacing w:line="240" w:lineRule="auto"/>
                    <w:jc w:val="center"/>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外购</w:t>
                  </w:r>
                </w:p>
              </w:tc>
              <w:tc>
                <w:tcPr>
                  <w:tcW w:w="869" w:type="dxa"/>
                  <w:shd w:val="clear" w:color="auto" w:fill="auto"/>
                  <w:vAlign w:val="center"/>
                </w:tcPr>
                <w:p w14:paraId="5E3B3B04">
                  <w:pPr>
                    <w:pStyle w:val="70"/>
                    <w:spacing w:line="240" w:lineRule="auto"/>
                    <w:jc w:val="center"/>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桶装</w:t>
                  </w:r>
                </w:p>
              </w:tc>
              <w:tc>
                <w:tcPr>
                  <w:tcW w:w="869" w:type="dxa"/>
                  <w:shd w:val="clear" w:color="auto" w:fill="auto"/>
                  <w:vAlign w:val="center"/>
                </w:tcPr>
                <w:p w14:paraId="5969A0BE">
                  <w:pPr>
                    <w:spacing w:line="240" w:lineRule="auto"/>
                    <w:jc w:val="center"/>
                    <w:rPr>
                      <w:rFonts w:hint="default" w:cs="Times New Roman"/>
                      <w:color w:val="auto"/>
                      <w:sz w:val="21"/>
                      <w:szCs w:val="21"/>
                      <w:lang w:val="en-US" w:eastAsia="zh-CN"/>
                    </w:rPr>
                  </w:pPr>
                  <w:r>
                    <w:rPr>
                      <w:rFonts w:hint="eastAsia" w:cs="Times New Roman"/>
                      <w:color w:val="auto"/>
                      <w:sz w:val="21"/>
                      <w:szCs w:val="21"/>
                      <w:lang w:val="en-US" w:eastAsia="zh-CN"/>
                    </w:rPr>
                    <w:t>汽运</w:t>
                  </w:r>
                </w:p>
              </w:tc>
              <w:tc>
                <w:tcPr>
                  <w:tcW w:w="869" w:type="dxa"/>
                  <w:shd w:val="clear" w:color="auto" w:fill="auto"/>
                  <w:vAlign w:val="center"/>
                </w:tcPr>
                <w:p w14:paraId="0D6F2315">
                  <w:pPr>
                    <w:pStyle w:val="70"/>
                    <w:spacing w:line="240" w:lineRule="auto"/>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电芯车间</w:t>
                  </w:r>
                </w:p>
              </w:tc>
            </w:tr>
            <w:tr w14:paraId="30760DB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3" w:hRule="atLeast"/>
              </w:trPr>
              <w:tc>
                <w:tcPr>
                  <w:tcW w:w="461" w:type="dxa"/>
                  <w:shd w:val="clear" w:color="auto" w:fill="auto"/>
                  <w:vAlign w:val="center"/>
                </w:tcPr>
                <w:p w14:paraId="13BAE4D8">
                  <w:pPr>
                    <w:spacing w:line="240" w:lineRule="auto"/>
                    <w:jc w:val="center"/>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5</w:t>
                  </w:r>
                </w:p>
              </w:tc>
              <w:tc>
                <w:tcPr>
                  <w:tcW w:w="846" w:type="dxa"/>
                  <w:shd w:val="clear" w:color="auto" w:fill="auto"/>
                  <w:vAlign w:val="center"/>
                </w:tcPr>
                <w:p w14:paraId="350DC10B">
                  <w:pPr>
                    <w:pStyle w:val="70"/>
                    <w:spacing w:line="240" w:lineRule="auto"/>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隔膜</w:t>
                  </w:r>
                </w:p>
              </w:tc>
              <w:tc>
                <w:tcPr>
                  <w:tcW w:w="1034" w:type="dxa"/>
                  <w:shd w:val="clear" w:color="auto" w:fill="auto"/>
                  <w:vAlign w:val="center"/>
                </w:tcPr>
                <w:p w14:paraId="06C46B12">
                  <w:pPr>
                    <w:pStyle w:val="70"/>
                    <w:spacing w:line="240" w:lineRule="auto"/>
                    <w:jc w:val="center"/>
                    <w:rPr>
                      <w:rFonts w:hint="eastAsia" w:ascii="Times New Roman" w:hAnsi="Times New Roman" w:eastAsia="宋体" w:cs="Times New Roman"/>
                      <w:color w:val="auto"/>
                      <w:sz w:val="21"/>
                      <w:szCs w:val="21"/>
                      <w:lang w:eastAsia="zh-CN"/>
                    </w:rPr>
                  </w:pPr>
                  <w:r>
                    <w:rPr>
                      <w:rFonts w:hint="eastAsia" w:ascii="Times New Roman" w:hAnsi="Times New Roman" w:eastAsia="宋体" w:cs="Times New Roman"/>
                      <w:color w:val="auto"/>
                      <w:sz w:val="21"/>
                      <w:szCs w:val="21"/>
                      <w:lang w:val="en-US" w:eastAsia="zh-CN"/>
                    </w:rPr>
                    <w:t>/</w:t>
                  </w:r>
                </w:p>
              </w:tc>
              <w:tc>
                <w:tcPr>
                  <w:tcW w:w="1131" w:type="dxa"/>
                  <w:shd w:val="clear" w:color="auto" w:fill="auto"/>
                  <w:vAlign w:val="center"/>
                </w:tcPr>
                <w:p w14:paraId="6340403E">
                  <w:pPr>
                    <w:pStyle w:val="70"/>
                    <w:spacing w:line="240" w:lineRule="auto"/>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1617.3万m</w:t>
                  </w:r>
                  <w:r>
                    <w:rPr>
                      <w:rFonts w:hint="eastAsia" w:ascii="Times New Roman" w:hAnsi="Times New Roman" w:eastAsia="宋体" w:cs="Times New Roman"/>
                      <w:color w:val="auto"/>
                      <w:sz w:val="21"/>
                      <w:szCs w:val="21"/>
                      <w:vertAlign w:val="superscript"/>
                    </w:rPr>
                    <w:t>2</w:t>
                  </w:r>
                  <w:r>
                    <w:rPr>
                      <w:rFonts w:hint="eastAsia" w:cs="Times New Roman"/>
                      <w:color w:val="auto"/>
                      <w:sz w:val="21"/>
                      <w:szCs w:val="21"/>
                      <w:lang w:val="en-US" w:eastAsia="zh-CN"/>
                    </w:rPr>
                    <w:t>（约145.6t）</w:t>
                  </w:r>
                </w:p>
              </w:tc>
              <w:tc>
                <w:tcPr>
                  <w:tcW w:w="1231" w:type="dxa"/>
                  <w:shd w:val="clear" w:color="auto" w:fill="auto"/>
                  <w:vAlign w:val="center"/>
                </w:tcPr>
                <w:p w14:paraId="61F62FD0">
                  <w:pPr>
                    <w:pStyle w:val="70"/>
                    <w:spacing w:line="240" w:lineRule="auto"/>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66465</w:t>
                  </w:r>
                  <w:r>
                    <w:rPr>
                      <w:rFonts w:hint="default" w:ascii="Times New Roman" w:hAnsi="Times New Roman" w:eastAsia="宋体" w:cs="Times New Roman"/>
                      <w:color w:val="auto"/>
                      <w:sz w:val="21"/>
                      <w:szCs w:val="21"/>
                    </w:rPr>
                    <w:t>0</w:t>
                  </w:r>
                  <w:r>
                    <w:rPr>
                      <w:rFonts w:hint="eastAsia" w:ascii="Times New Roman" w:hAnsi="Times New Roman" w:eastAsia="宋体" w:cs="Times New Roman"/>
                      <w:color w:val="auto"/>
                      <w:sz w:val="21"/>
                      <w:szCs w:val="21"/>
                    </w:rPr>
                    <w:t>m</w:t>
                  </w:r>
                  <w:r>
                    <w:rPr>
                      <w:rFonts w:hint="eastAsia" w:ascii="Times New Roman" w:hAnsi="Times New Roman" w:eastAsia="宋体" w:cs="Times New Roman"/>
                      <w:color w:val="auto"/>
                      <w:sz w:val="21"/>
                      <w:szCs w:val="21"/>
                      <w:vertAlign w:val="superscript"/>
                    </w:rPr>
                    <w:t>2</w:t>
                  </w:r>
                  <w:r>
                    <w:rPr>
                      <w:rFonts w:hint="eastAsia" w:ascii="Times New Roman" w:hAnsi="Times New Roman" w:eastAsia="宋体" w:cs="Times New Roman"/>
                      <w:color w:val="auto"/>
                      <w:sz w:val="21"/>
                      <w:szCs w:val="21"/>
                    </w:rPr>
                    <w:t>/</w:t>
                  </w:r>
                  <w:r>
                    <w:rPr>
                      <w:rFonts w:hint="eastAsia" w:ascii="Times New Roman" w:hAnsi="Times New Roman" w:eastAsia="宋体" w:cs="Times New Roman"/>
                      <w:color w:val="auto"/>
                      <w:sz w:val="21"/>
                      <w:szCs w:val="21"/>
                      <w:lang w:val="en-US" w:eastAsia="zh-CN"/>
                    </w:rPr>
                    <w:t>a</w:t>
                  </w:r>
                </w:p>
              </w:tc>
              <w:tc>
                <w:tcPr>
                  <w:tcW w:w="507" w:type="dxa"/>
                  <w:shd w:val="clear" w:color="auto" w:fill="auto"/>
                  <w:vAlign w:val="center"/>
                </w:tcPr>
                <w:p w14:paraId="47D58C35">
                  <w:pPr>
                    <w:pStyle w:val="70"/>
                    <w:spacing w:line="240" w:lineRule="auto"/>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lang w:val="en-US" w:eastAsia="zh-CN"/>
                    </w:rPr>
                    <w:t>外购</w:t>
                  </w:r>
                </w:p>
              </w:tc>
              <w:tc>
                <w:tcPr>
                  <w:tcW w:w="869" w:type="dxa"/>
                  <w:shd w:val="clear" w:color="auto" w:fill="auto"/>
                  <w:vAlign w:val="center"/>
                </w:tcPr>
                <w:p w14:paraId="5A1E14A2">
                  <w:pPr>
                    <w:pStyle w:val="70"/>
                    <w:spacing w:line="240" w:lineRule="auto"/>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w:t>
                  </w:r>
                </w:p>
              </w:tc>
              <w:tc>
                <w:tcPr>
                  <w:tcW w:w="869" w:type="dxa"/>
                  <w:shd w:val="clear" w:color="auto" w:fill="auto"/>
                  <w:vAlign w:val="center"/>
                </w:tcPr>
                <w:p w14:paraId="3E305983">
                  <w:pPr>
                    <w:spacing w:line="240" w:lineRule="auto"/>
                    <w:jc w:val="center"/>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汽运</w:t>
                  </w:r>
                </w:p>
              </w:tc>
              <w:tc>
                <w:tcPr>
                  <w:tcW w:w="869" w:type="dxa"/>
                  <w:shd w:val="clear" w:color="auto" w:fill="auto"/>
                  <w:vAlign w:val="center"/>
                </w:tcPr>
                <w:p w14:paraId="4E95A47D">
                  <w:pPr>
                    <w:pStyle w:val="70"/>
                    <w:spacing w:line="240" w:lineRule="auto"/>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电芯车间</w:t>
                  </w:r>
                </w:p>
              </w:tc>
            </w:tr>
            <w:tr w14:paraId="7E4E1FA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070" w:hRule="atLeast"/>
              </w:trPr>
              <w:tc>
                <w:tcPr>
                  <w:tcW w:w="461" w:type="dxa"/>
                  <w:shd w:val="clear" w:color="auto" w:fill="auto"/>
                  <w:vAlign w:val="center"/>
                </w:tcPr>
                <w:p w14:paraId="5E8030F3">
                  <w:pPr>
                    <w:spacing w:line="240" w:lineRule="auto"/>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6</w:t>
                  </w:r>
                </w:p>
              </w:tc>
              <w:tc>
                <w:tcPr>
                  <w:tcW w:w="846" w:type="dxa"/>
                  <w:shd w:val="clear" w:color="auto" w:fill="auto"/>
                  <w:vAlign w:val="center"/>
                </w:tcPr>
                <w:p w14:paraId="6A0966BF">
                  <w:pPr>
                    <w:pStyle w:val="70"/>
                    <w:spacing w:line="240" w:lineRule="auto"/>
                    <w:jc w:val="center"/>
                    <w:rPr>
                      <w:rFonts w:hint="eastAsia"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电解液</w:t>
                  </w:r>
                </w:p>
              </w:tc>
              <w:tc>
                <w:tcPr>
                  <w:tcW w:w="1034" w:type="dxa"/>
                  <w:shd w:val="clear" w:color="auto" w:fill="auto"/>
                  <w:vAlign w:val="center"/>
                </w:tcPr>
                <w:p w14:paraId="59544565">
                  <w:pPr>
                    <w:pStyle w:val="70"/>
                    <w:spacing w:line="240" w:lineRule="auto"/>
                    <w:jc w:val="center"/>
                    <w:rPr>
                      <w:rFonts w:hint="eastAsia"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val="en-US" w:eastAsia="zh-CN"/>
                    </w:rPr>
                    <w:t>碳酸二甲酯、碳酸二乙酯等</w:t>
                  </w:r>
                </w:p>
              </w:tc>
              <w:tc>
                <w:tcPr>
                  <w:tcW w:w="1131" w:type="dxa"/>
                  <w:shd w:val="clear" w:color="auto" w:fill="auto"/>
                  <w:vAlign w:val="center"/>
                </w:tcPr>
                <w:p w14:paraId="6C699DE3">
                  <w:pPr>
                    <w:pStyle w:val="70"/>
                    <w:spacing w:line="240" w:lineRule="auto"/>
                    <w:jc w:val="center"/>
                    <w:rPr>
                      <w:rFonts w:hint="eastAsia"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1122.4</w:t>
                  </w:r>
                  <w:r>
                    <w:rPr>
                      <w:rFonts w:hint="eastAsia" w:ascii="Times New Roman" w:hAnsi="Times New Roman" w:eastAsia="宋体" w:cs="Times New Roman"/>
                      <w:color w:val="auto"/>
                      <w:sz w:val="21"/>
                      <w:szCs w:val="21"/>
                      <w:highlight w:val="none"/>
                      <w:lang w:val="en-US" w:eastAsia="zh-CN"/>
                    </w:rPr>
                    <w:t>t</w:t>
                  </w:r>
                </w:p>
              </w:tc>
              <w:tc>
                <w:tcPr>
                  <w:tcW w:w="1231" w:type="dxa"/>
                  <w:shd w:val="clear" w:color="auto" w:fill="auto"/>
                  <w:vAlign w:val="center"/>
                </w:tcPr>
                <w:p w14:paraId="225FE0A5">
                  <w:pPr>
                    <w:pStyle w:val="70"/>
                    <w:spacing w:line="240" w:lineRule="auto"/>
                    <w:jc w:val="center"/>
                    <w:rPr>
                      <w:rFonts w:hint="eastAsia" w:ascii="Times New Roman" w:hAnsi="Times New Roman" w:eastAsia="宋体" w:cs="Times New Roman"/>
                      <w:color w:val="auto"/>
                      <w:sz w:val="21"/>
                      <w:szCs w:val="21"/>
                      <w:highlight w:val="none"/>
                    </w:rPr>
                  </w:pPr>
                  <w:r>
                    <w:rPr>
                      <w:rFonts w:hint="eastAsia" w:cs="Times New Roman"/>
                      <w:color w:val="auto"/>
                      <w:sz w:val="21"/>
                      <w:szCs w:val="21"/>
                      <w:highlight w:val="none"/>
                      <w:lang w:val="en-US" w:eastAsia="zh-CN"/>
                    </w:rPr>
                    <w:t>12000</w:t>
                  </w:r>
                  <w:r>
                    <w:rPr>
                      <w:rFonts w:hint="eastAsia" w:ascii="Times New Roman" w:hAnsi="Times New Roman" w:eastAsia="宋体" w:cs="Times New Roman"/>
                      <w:color w:val="auto"/>
                      <w:sz w:val="21"/>
                      <w:szCs w:val="21"/>
                      <w:highlight w:val="none"/>
                    </w:rPr>
                    <w:t>kg/</w:t>
                  </w:r>
                  <w:r>
                    <w:rPr>
                      <w:rFonts w:hint="eastAsia" w:ascii="Times New Roman" w:hAnsi="Times New Roman" w:eastAsia="宋体" w:cs="Times New Roman"/>
                      <w:color w:val="auto"/>
                      <w:sz w:val="21"/>
                      <w:szCs w:val="21"/>
                      <w:highlight w:val="none"/>
                      <w:lang w:val="en-US" w:eastAsia="zh-CN"/>
                    </w:rPr>
                    <w:t>a</w:t>
                  </w:r>
                </w:p>
              </w:tc>
              <w:tc>
                <w:tcPr>
                  <w:tcW w:w="507" w:type="dxa"/>
                  <w:shd w:val="clear" w:color="auto" w:fill="auto"/>
                  <w:vAlign w:val="center"/>
                </w:tcPr>
                <w:p w14:paraId="7492AB19">
                  <w:pPr>
                    <w:pStyle w:val="70"/>
                    <w:spacing w:line="240" w:lineRule="auto"/>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lang w:val="en-US" w:eastAsia="zh-CN"/>
                    </w:rPr>
                    <w:t>外购</w:t>
                  </w:r>
                </w:p>
              </w:tc>
              <w:tc>
                <w:tcPr>
                  <w:tcW w:w="869" w:type="dxa"/>
                  <w:shd w:val="clear" w:color="auto" w:fill="auto"/>
                  <w:vAlign w:val="center"/>
                </w:tcPr>
                <w:p w14:paraId="19C13796">
                  <w:pPr>
                    <w:pStyle w:val="70"/>
                    <w:spacing w:line="240" w:lineRule="auto"/>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桶装</w:t>
                  </w:r>
                </w:p>
              </w:tc>
              <w:tc>
                <w:tcPr>
                  <w:tcW w:w="869" w:type="dxa"/>
                  <w:shd w:val="clear" w:color="auto" w:fill="auto"/>
                  <w:vAlign w:val="center"/>
                </w:tcPr>
                <w:p w14:paraId="42F12C37">
                  <w:pPr>
                    <w:spacing w:line="240" w:lineRule="auto"/>
                    <w:jc w:val="center"/>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汽运</w:t>
                  </w:r>
                </w:p>
              </w:tc>
              <w:tc>
                <w:tcPr>
                  <w:tcW w:w="869" w:type="dxa"/>
                  <w:shd w:val="clear" w:color="auto" w:fill="auto"/>
                  <w:vAlign w:val="center"/>
                </w:tcPr>
                <w:p w14:paraId="68E6F5F1">
                  <w:pPr>
                    <w:pStyle w:val="70"/>
                    <w:spacing w:line="240" w:lineRule="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低温电解液仓库</w:t>
                  </w:r>
                </w:p>
              </w:tc>
            </w:tr>
            <w:tr w14:paraId="43F4F8C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17" w:hRule="atLeast"/>
              </w:trPr>
              <w:tc>
                <w:tcPr>
                  <w:tcW w:w="461" w:type="dxa"/>
                  <w:shd w:val="clear" w:color="auto" w:fill="auto"/>
                  <w:vAlign w:val="center"/>
                </w:tcPr>
                <w:p w14:paraId="2096AD01">
                  <w:pPr>
                    <w:spacing w:line="240" w:lineRule="auto"/>
                    <w:jc w:val="center"/>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7</w:t>
                  </w:r>
                </w:p>
              </w:tc>
              <w:tc>
                <w:tcPr>
                  <w:tcW w:w="846" w:type="dxa"/>
                  <w:shd w:val="clear" w:color="auto" w:fill="auto"/>
                  <w:vAlign w:val="center"/>
                </w:tcPr>
                <w:p w14:paraId="00BF31CB">
                  <w:pPr>
                    <w:pStyle w:val="70"/>
                    <w:spacing w:line="240" w:lineRule="auto"/>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铝塑膜</w:t>
                  </w:r>
                </w:p>
              </w:tc>
              <w:tc>
                <w:tcPr>
                  <w:tcW w:w="1034" w:type="dxa"/>
                  <w:shd w:val="clear" w:color="auto" w:fill="auto"/>
                  <w:vAlign w:val="center"/>
                </w:tcPr>
                <w:p w14:paraId="0E352C30">
                  <w:pPr>
                    <w:pStyle w:val="70"/>
                    <w:spacing w:line="240" w:lineRule="auto"/>
                    <w:jc w:val="center"/>
                    <w:rPr>
                      <w:rFonts w:hint="eastAsia" w:ascii="Times New Roman" w:hAnsi="Times New Roman" w:eastAsia="宋体" w:cs="Times New Roman"/>
                      <w:color w:val="auto"/>
                      <w:sz w:val="21"/>
                      <w:szCs w:val="21"/>
                      <w:lang w:eastAsia="zh-CN"/>
                    </w:rPr>
                  </w:pPr>
                  <w:r>
                    <w:rPr>
                      <w:rFonts w:hint="eastAsia" w:cs="Times New Roman"/>
                      <w:color w:val="auto"/>
                      <w:sz w:val="21"/>
                      <w:szCs w:val="21"/>
                      <w:lang w:val="en-US" w:eastAsia="zh-CN"/>
                    </w:rPr>
                    <w:t>/</w:t>
                  </w:r>
                </w:p>
              </w:tc>
              <w:tc>
                <w:tcPr>
                  <w:tcW w:w="1131" w:type="dxa"/>
                  <w:shd w:val="clear" w:color="auto" w:fill="auto"/>
                  <w:vAlign w:val="center"/>
                </w:tcPr>
                <w:p w14:paraId="161F1E46">
                  <w:pPr>
                    <w:pStyle w:val="70"/>
                    <w:spacing w:line="240" w:lineRule="auto"/>
                    <w:jc w:val="center"/>
                    <w:rPr>
                      <w:rFonts w:hint="eastAsia" w:ascii="Times New Roman" w:hAnsi="Times New Roman" w:eastAsia="宋体" w:cs="Times New Roman"/>
                      <w:color w:val="auto"/>
                      <w:sz w:val="21"/>
                      <w:szCs w:val="21"/>
                      <w:lang w:eastAsia="zh-CN"/>
                    </w:rPr>
                  </w:pPr>
                  <w:r>
                    <w:rPr>
                      <w:rFonts w:hint="eastAsia" w:ascii="Times New Roman" w:hAnsi="Times New Roman" w:eastAsia="宋体" w:cs="Times New Roman"/>
                      <w:color w:val="auto"/>
                      <w:sz w:val="21"/>
                      <w:szCs w:val="21"/>
                      <w:lang w:val="en-US" w:eastAsia="zh-CN"/>
                    </w:rPr>
                    <w:t>62.68万m</w:t>
                  </w:r>
                  <w:r>
                    <w:rPr>
                      <w:rFonts w:hint="eastAsia" w:ascii="Times New Roman" w:hAnsi="Times New Roman" w:eastAsia="宋体" w:cs="Times New Roman"/>
                      <w:color w:val="auto"/>
                      <w:sz w:val="21"/>
                      <w:szCs w:val="21"/>
                      <w:vertAlign w:val="superscript"/>
                      <w:lang w:val="en-US" w:eastAsia="zh-CN"/>
                    </w:rPr>
                    <w:t>2</w:t>
                  </w:r>
                  <w:r>
                    <w:rPr>
                      <w:rFonts w:hint="eastAsia" w:cs="Times New Roman"/>
                      <w:color w:val="auto"/>
                      <w:sz w:val="21"/>
                      <w:szCs w:val="21"/>
                      <w:lang w:val="en-US" w:eastAsia="zh-CN"/>
                    </w:rPr>
                    <w:t>（约144.8t/a）</w:t>
                  </w:r>
                </w:p>
              </w:tc>
              <w:tc>
                <w:tcPr>
                  <w:tcW w:w="1231" w:type="dxa"/>
                  <w:shd w:val="clear" w:color="auto" w:fill="auto"/>
                  <w:vAlign w:val="center"/>
                </w:tcPr>
                <w:p w14:paraId="078DB869">
                  <w:pPr>
                    <w:pStyle w:val="70"/>
                    <w:spacing w:line="240" w:lineRule="auto"/>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lang w:val="en-US" w:eastAsia="zh-CN"/>
                    </w:rPr>
                    <w:t>25758m</w:t>
                  </w:r>
                  <w:r>
                    <w:rPr>
                      <w:rFonts w:hint="eastAsia" w:ascii="Times New Roman" w:hAnsi="Times New Roman" w:eastAsia="宋体" w:cs="Times New Roman"/>
                      <w:color w:val="auto"/>
                      <w:sz w:val="21"/>
                      <w:szCs w:val="21"/>
                      <w:vertAlign w:val="superscript"/>
                      <w:lang w:val="en-US" w:eastAsia="zh-CN"/>
                    </w:rPr>
                    <w:t>2</w:t>
                  </w:r>
                  <w:r>
                    <w:rPr>
                      <w:rFonts w:hint="eastAsia" w:ascii="Times New Roman" w:hAnsi="Times New Roman" w:eastAsia="宋体" w:cs="Times New Roman"/>
                      <w:color w:val="auto"/>
                      <w:sz w:val="21"/>
                      <w:szCs w:val="21"/>
                      <w:lang w:val="en-US" w:eastAsia="zh-CN"/>
                    </w:rPr>
                    <w:t>/a</w:t>
                  </w:r>
                </w:p>
              </w:tc>
              <w:tc>
                <w:tcPr>
                  <w:tcW w:w="507" w:type="dxa"/>
                  <w:shd w:val="clear" w:color="auto" w:fill="auto"/>
                  <w:vAlign w:val="center"/>
                </w:tcPr>
                <w:p w14:paraId="18B174F3">
                  <w:pPr>
                    <w:pStyle w:val="70"/>
                    <w:spacing w:line="240" w:lineRule="auto"/>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lang w:val="en-US" w:eastAsia="zh-CN"/>
                    </w:rPr>
                    <w:t>外购</w:t>
                  </w:r>
                </w:p>
              </w:tc>
              <w:tc>
                <w:tcPr>
                  <w:tcW w:w="869" w:type="dxa"/>
                  <w:shd w:val="clear" w:color="auto" w:fill="auto"/>
                  <w:vAlign w:val="center"/>
                </w:tcPr>
                <w:p w14:paraId="6CEAF467">
                  <w:pPr>
                    <w:spacing w:line="240" w:lineRule="auto"/>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纸箱装</w:t>
                  </w:r>
                </w:p>
              </w:tc>
              <w:tc>
                <w:tcPr>
                  <w:tcW w:w="869" w:type="dxa"/>
                  <w:shd w:val="clear" w:color="auto" w:fill="auto"/>
                  <w:vAlign w:val="center"/>
                </w:tcPr>
                <w:p w14:paraId="246CBB4A">
                  <w:pPr>
                    <w:spacing w:line="240" w:lineRule="auto"/>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汽运</w:t>
                  </w:r>
                </w:p>
              </w:tc>
              <w:tc>
                <w:tcPr>
                  <w:tcW w:w="869" w:type="dxa"/>
                  <w:shd w:val="clear" w:color="auto" w:fill="auto"/>
                  <w:vAlign w:val="center"/>
                </w:tcPr>
                <w:p w14:paraId="0C978CE5">
                  <w:pPr>
                    <w:spacing w:line="240" w:lineRule="auto"/>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电芯车间</w:t>
                  </w:r>
                </w:p>
              </w:tc>
            </w:tr>
            <w:tr w14:paraId="110BDF1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61" w:type="dxa"/>
                  <w:shd w:val="clear" w:color="auto" w:fill="auto"/>
                  <w:vAlign w:val="center"/>
                </w:tcPr>
                <w:p w14:paraId="4902D7B3">
                  <w:pPr>
                    <w:spacing w:line="240" w:lineRule="auto"/>
                    <w:jc w:val="center"/>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8</w:t>
                  </w:r>
                </w:p>
              </w:tc>
              <w:tc>
                <w:tcPr>
                  <w:tcW w:w="846" w:type="dxa"/>
                  <w:shd w:val="clear" w:color="auto" w:fill="auto"/>
                  <w:vAlign w:val="center"/>
                </w:tcPr>
                <w:p w14:paraId="4EEB7278">
                  <w:pPr>
                    <w:spacing w:line="240" w:lineRule="auto"/>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正极耳</w:t>
                  </w:r>
                </w:p>
              </w:tc>
              <w:tc>
                <w:tcPr>
                  <w:tcW w:w="1034" w:type="dxa"/>
                  <w:shd w:val="clear" w:color="auto" w:fill="auto"/>
                  <w:vAlign w:val="center"/>
                </w:tcPr>
                <w:p w14:paraId="225C016A">
                  <w:pPr>
                    <w:spacing w:line="240" w:lineRule="auto"/>
                    <w:jc w:val="center"/>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w:t>
                  </w:r>
                </w:p>
              </w:tc>
              <w:tc>
                <w:tcPr>
                  <w:tcW w:w="1131" w:type="dxa"/>
                  <w:shd w:val="clear" w:color="auto" w:fill="auto"/>
                  <w:vAlign w:val="center"/>
                </w:tcPr>
                <w:p w14:paraId="7CCE7727">
                  <w:pPr>
                    <w:spacing w:line="240" w:lineRule="auto"/>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547.5万片</w:t>
                  </w:r>
                  <w:r>
                    <w:rPr>
                      <w:rFonts w:hint="eastAsia" w:cs="Times New Roman"/>
                      <w:color w:val="auto"/>
                      <w:sz w:val="21"/>
                      <w:szCs w:val="21"/>
                      <w:lang w:val="en-US" w:eastAsia="zh-CN"/>
                    </w:rPr>
                    <w:t>（约20.5t）</w:t>
                  </w:r>
                </w:p>
              </w:tc>
              <w:tc>
                <w:tcPr>
                  <w:tcW w:w="1231" w:type="dxa"/>
                  <w:shd w:val="clear" w:color="auto" w:fill="auto"/>
                  <w:vAlign w:val="center"/>
                </w:tcPr>
                <w:p w14:paraId="097AC125">
                  <w:pPr>
                    <w:spacing w:line="240" w:lineRule="auto"/>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225000片/a</w:t>
                  </w:r>
                </w:p>
              </w:tc>
              <w:tc>
                <w:tcPr>
                  <w:tcW w:w="507" w:type="dxa"/>
                  <w:shd w:val="clear" w:color="auto" w:fill="auto"/>
                  <w:vAlign w:val="center"/>
                </w:tcPr>
                <w:p w14:paraId="5F20BCD0">
                  <w:pPr>
                    <w:spacing w:line="240" w:lineRule="auto"/>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外购</w:t>
                  </w:r>
                </w:p>
              </w:tc>
              <w:tc>
                <w:tcPr>
                  <w:tcW w:w="869" w:type="dxa"/>
                  <w:shd w:val="clear" w:color="auto" w:fill="auto"/>
                  <w:vAlign w:val="center"/>
                </w:tcPr>
                <w:p w14:paraId="3B2275D5">
                  <w:pPr>
                    <w:spacing w:line="240" w:lineRule="auto"/>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纸箱装</w:t>
                  </w:r>
                </w:p>
              </w:tc>
              <w:tc>
                <w:tcPr>
                  <w:tcW w:w="869" w:type="dxa"/>
                  <w:shd w:val="clear" w:color="auto" w:fill="auto"/>
                  <w:vAlign w:val="center"/>
                </w:tcPr>
                <w:p w14:paraId="4674716A">
                  <w:pPr>
                    <w:spacing w:line="240" w:lineRule="auto"/>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汽运</w:t>
                  </w:r>
                </w:p>
              </w:tc>
              <w:tc>
                <w:tcPr>
                  <w:tcW w:w="869" w:type="dxa"/>
                  <w:shd w:val="clear" w:color="auto" w:fill="auto"/>
                  <w:vAlign w:val="center"/>
                </w:tcPr>
                <w:p w14:paraId="4977A878">
                  <w:pPr>
                    <w:spacing w:line="240" w:lineRule="auto"/>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电芯车间</w:t>
                  </w:r>
                </w:p>
              </w:tc>
            </w:tr>
            <w:tr w14:paraId="5BF39FD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17" w:hRule="atLeast"/>
              </w:trPr>
              <w:tc>
                <w:tcPr>
                  <w:tcW w:w="461" w:type="dxa"/>
                  <w:shd w:val="clear" w:color="auto" w:fill="auto"/>
                  <w:vAlign w:val="center"/>
                </w:tcPr>
                <w:p w14:paraId="67E8E3BB">
                  <w:pPr>
                    <w:spacing w:line="240" w:lineRule="auto"/>
                    <w:jc w:val="center"/>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9</w:t>
                  </w:r>
                </w:p>
              </w:tc>
              <w:tc>
                <w:tcPr>
                  <w:tcW w:w="846" w:type="dxa"/>
                  <w:shd w:val="clear" w:color="auto" w:fill="auto"/>
                  <w:vAlign w:val="center"/>
                </w:tcPr>
                <w:p w14:paraId="3A24DE24">
                  <w:pPr>
                    <w:spacing w:line="240" w:lineRule="auto"/>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负极耳</w:t>
                  </w:r>
                </w:p>
              </w:tc>
              <w:tc>
                <w:tcPr>
                  <w:tcW w:w="1034" w:type="dxa"/>
                  <w:shd w:val="clear" w:color="auto" w:fill="auto"/>
                  <w:vAlign w:val="center"/>
                </w:tcPr>
                <w:p w14:paraId="0EA15FA9">
                  <w:pPr>
                    <w:spacing w:line="240" w:lineRule="auto"/>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w:t>
                  </w:r>
                </w:p>
              </w:tc>
              <w:tc>
                <w:tcPr>
                  <w:tcW w:w="1131" w:type="dxa"/>
                  <w:shd w:val="clear" w:color="auto" w:fill="auto"/>
                  <w:vAlign w:val="center"/>
                </w:tcPr>
                <w:p w14:paraId="061B47E2">
                  <w:pPr>
                    <w:spacing w:line="240" w:lineRule="auto"/>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547.5万片</w:t>
                  </w:r>
                  <w:r>
                    <w:rPr>
                      <w:rFonts w:hint="eastAsia" w:cs="Times New Roman"/>
                      <w:color w:val="auto"/>
                      <w:sz w:val="21"/>
                      <w:szCs w:val="21"/>
                      <w:lang w:val="en-US" w:eastAsia="zh-CN"/>
                    </w:rPr>
                    <w:t>（约16.4t）</w:t>
                  </w:r>
                </w:p>
              </w:tc>
              <w:tc>
                <w:tcPr>
                  <w:tcW w:w="1231" w:type="dxa"/>
                  <w:shd w:val="clear" w:color="auto" w:fill="auto"/>
                  <w:vAlign w:val="center"/>
                </w:tcPr>
                <w:p w14:paraId="47C2BFBA">
                  <w:pPr>
                    <w:spacing w:line="240" w:lineRule="auto"/>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225000片/a</w:t>
                  </w:r>
                </w:p>
              </w:tc>
              <w:tc>
                <w:tcPr>
                  <w:tcW w:w="507" w:type="dxa"/>
                  <w:shd w:val="clear" w:color="auto" w:fill="auto"/>
                  <w:vAlign w:val="center"/>
                </w:tcPr>
                <w:p w14:paraId="2013902B">
                  <w:pPr>
                    <w:spacing w:line="240" w:lineRule="auto"/>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外购</w:t>
                  </w:r>
                </w:p>
              </w:tc>
              <w:tc>
                <w:tcPr>
                  <w:tcW w:w="869" w:type="dxa"/>
                  <w:shd w:val="clear" w:color="auto" w:fill="auto"/>
                  <w:vAlign w:val="center"/>
                </w:tcPr>
                <w:p w14:paraId="14180607">
                  <w:pPr>
                    <w:spacing w:line="240" w:lineRule="auto"/>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纸箱装</w:t>
                  </w:r>
                </w:p>
              </w:tc>
              <w:tc>
                <w:tcPr>
                  <w:tcW w:w="869" w:type="dxa"/>
                  <w:shd w:val="clear" w:color="auto" w:fill="auto"/>
                  <w:vAlign w:val="center"/>
                </w:tcPr>
                <w:p w14:paraId="4944AB80">
                  <w:pPr>
                    <w:spacing w:line="240" w:lineRule="auto"/>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汽运</w:t>
                  </w:r>
                </w:p>
              </w:tc>
              <w:tc>
                <w:tcPr>
                  <w:tcW w:w="869" w:type="dxa"/>
                  <w:shd w:val="clear" w:color="auto" w:fill="auto"/>
                  <w:vAlign w:val="center"/>
                </w:tcPr>
                <w:p w14:paraId="765C1E3D">
                  <w:pPr>
                    <w:spacing w:line="240" w:lineRule="auto"/>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电芯车间</w:t>
                  </w:r>
                </w:p>
              </w:tc>
            </w:tr>
            <w:tr w14:paraId="5737FBB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17" w:hRule="atLeast"/>
              </w:trPr>
              <w:tc>
                <w:tcPr>
                  <w:tcW w:w="461" w:type="dxa"/>
                  <w:shd w:val="clear" w:color="auto" w:fill="auto"/>
                  <w:vAlign w:val="center"/>
                </w:tcPr>
                <w:p w14:paraId="4FD975FD">
                  <w:pPr>
                    <w:spacing w:line="240" w:lineRule="auto"/>
                    <w:jc w:val="center"/>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10</w:t>
                  </w:r>
                </w:p>
              </w:tc>
              <w:tc>
                <w:tcPr>
                  <w:tcW w:w="846" w:type="dxa"/>
                  <w:shd w:val="clear" w:color="auto" w:fill="auto"/>
                  <w:vAlign w:val="center"/>
                </w:tcPr>
                <w:p w14:paraId="11250595">
                  <w:pPr>
                    <w:spacing w:line="240" w:lineRule="auto"/>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数字胶带</w:t>
                  </w:r>
                </w:p>
              </w:tc>
              <w:tc>
                <w:tcPr>
                  <w:tcW w:w="1034" w:type="dxa"/>
                  <w:shd w:val="clear" w:color="auto" w:fill="auto"/>
                  <w:vAlign w:val="center"/>
                </w:tcPr>
                <w:p w14:paraId="2723FA36">
                  <w:pPr>
                    <w:spacing w:line="240" w:lineRule="auto"/>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w:t>
                  </w:r>
                </w:p>
              </w:tc>
              <w:tc>
                <w:tcPr>
                  <w:tcW w:w="1131" w:type="dxa"/>
                  <w:shd w:val="clear" w:color="auto" w:fill="auto"/>
                  <w:vAlign w:val="center"/>
                </w:tcPr>
                <w:p w14:paraId="1D73C1C3">
                  <w:pPr>
                    <w:spacing w:line="240" w:lineRule="auto"/>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180.57万m</w:t>
                  </w:r>
                </w:p>
              </w:tc>
              <w:tc>
                <w:tcPr>
                  <w:tcW w:w="1231" w:type="dxa"/>
                  <w:shd w:val="clear" w:color="auto" w:fill="auto"/>
                  <w:vAlign w:val="center"/>
                </w:tcPr>
                <w:p w14:paraId="6A76D77A">
                  <w:pPr>
                    <w:spacing w:line="240" w:lineRule="auto"/>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74206m/a</w:t>
                  </w:r>
                </w:p>
              </w:tc>
              <w:tc>
                <w:tcPr>
                  <w:tcW w:w="507" w:type="dxa"/>
                  <w:shd w:val="clear" w:color="auto" w:fill="auto"/>
                  <w:vAlign w:val="center"/>
                </w:tcPr>
                <w:p w14:paraId="25F58F2B">
                  <w:pPr>
                    <w:spacing w:line="240" w:lineRule="auto"/>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外购</w:t>
                  </w:r>
                </w:p>
              </w:tc>
              <w:tc>
                <w:tcPr>
                  <w:tcW w:w="869" w:type="dxa"/>
                  <w:shd w:val="clear" w:color="auto" w:fill="auto"/>
                  <w:vAlign w:val="center"/>
                </w:tcPr>
                <w:p w14:paraId="4BA04FC7">
                  <w:pPr>
                    <w:spacing w:line="240" w:lineRule="auto"/>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纸箱装</w:t>
                  </w:r>
                </w:p>
              </w:tc>
              <w:tc>
                <w:tcPr>
                  <w:tcW w:w="869" w:type="dxa"/>
                  <w:shd w:val="clear" w:color="auto" w:fill="auto"/>
                  <w:vAlign w:val="center"/>
                </w:tcPr>
                <w:p w14:paraId="55A25035">
                  <w:pPr>
                    <w:spacing w:line="240" w:lineRule="auto"/>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汽运</w:t>
                  </w:r>
                </w:p>
              </w:tc>
              <w:tc>
                <w:tcPr>
                  <w:tcW w:w="869" w:type="dxa"/>
                  <w:shd w:val="clear" w:color="auto" w:fill="auto"/>
                  <w:vAlign w:val="center"/>
                </w:tcPr>
                <w:p w14:paraId="5F8BF4AA">
                  <w:pPr>
                    <w:spacing w:line="240" w:lineRule="auto"/>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电芯车间</w:t>
                  </w:r>
                </w:p>
              </w:tc>
            </w:tr>
            <w:tr w14:paraId="63404E9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17" w:hRule="atLeast"/>
              </w:trPr>
              <w:tc>
                <w:tcPr>
                  <w:tcW w:w="461" w:type="dxa"/>
                  <w:shd w:val="clear" w:color="auto" w:fill="auto"/>
                  <w:vAlign w:val="center"/>
                </w:tcPr>
                <w:p w14:paraId="0872178B">
                  <w:pPr>
                    <w:spacing w:line="240" w:lineRule="auto"/>
                    <w:jc w:val="center"/>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11</w:t>
                  </w:r>
                </w:p>
              </w:tc>
              <w:tc>
                <w:tcPr>
                  <w:tcW w:w="846" w:type="dxa"/>
                  <w:shd w:val="clear" w:color="auto" w:fill="auto"/>
                  <w:vAlign w:val="center"/>
                </w:tcPr>
                <w:p w14:paraId="78F40731">
                  <w:pPr>
                    <w:spacing w:line="240" w:lineRule="auto"/>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焊接保护胶带</w:t>
                  </w:r>
                </w:p>
              </w:tc>
              <w:tc>
                <w:tcPr>
                  <w:tcW w:w="1034" w:type="dxa"/>
                  <w:shd w:val="clear" w:color="auto" w:fill="auto"/>
                  <w:vAlign w:val="center"/>
                </w:tcPr>
                <w:p w14:paraId="12251039">
                  <w:pPr>
                    <w:spacing w:line="240" w:lineRule="auto"/>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w:t>
                  </w:r>
                </w:p>
              </w:tc>
              <w:tc>
                <w:tcPr>
                  <w:tcW w:w="1131" w:type="dxa"/>
                  <w:shd w:val="clear" w:color="auto" w:fill="auto"/>
                  <w:vAlign w:val="center"/>
                </w:tcPr>
                <w:p w14:paraId="6A0351E6">
                  <w:pPr>
                    <w:spacing w:line="240" w:lineRule="auto"/>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153.3万m</w:t>
                  </w:r>
                </w:p>
              </w:tc>
              <w:tc>
                <w:tcPr>
                  <w:tcW w:w="1231" w:type="dxa"/>
                  <w:shd w:val="clear" w:color="auto" w:fill="auto"/>
                  <w:vAlign w:val="center"/>
                </w:tcPr>
                <w:p w14:paraId="0C6CC096">
                  <w:pPr>
                    <w:spacing w:line="240" w:lineRule="auto"/>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63000m/a</w:t>
                  </w:r>
                </w:p>
              </w:tc>
              <w:tc>
                <w:tcPr>
                  <w:tcW w:w="507" w:type="dxa"/>
                  <w:shd w:val="clear" w:color="auto" w:fill="auto"/>
                  <w:vAlign w:val="center"/>
                </w:tcPr>
                <w:p w14:paraId="7E209438">
                  <w:pPr>
                    <w:spacing w:line="240" w:lineRule="auto"/>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外购</w:t>
                  </w:r>
                </w:p>
              </w:tc>
              <w:tc>
                <w:tcPr>
                  <w:tcW w:w="869" w:type="dxa"/>
                  <w:shd w:val="clear" w:color="auto" w:fill="auto"/>
                  <w:vAlign w:val="center"/>
                </w:tcPr>
                <w:p w14:paraId="3DC91018">
                  <w:pPr>
                    <w:spacing w:line="240" w:lineRule="auto"/>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纸箱装</w:t>
                  </w:r>
                </w:p>
              </w:tc>
              <w:tc>
                <w:tcPr>
                  <w:tcW w:w="869" w:type="dxa"/>
                  <w:shd w:val="clear" w:color="auto" w:fill="auto"/>
                  <w:vAlign w:val="center"/>
                </w:tcPr>
                <w:p w14:paraId="735B1FA8">
                  <w:pPr>
                    <w:spacing w:line="240" w:lineRule="auto"/>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汽运</w:t>
                  </w:r>
                </w:p>
              </w:tc>
              <w:tc>
                <w:tcPr>
                  <w:tcW w:w="869" w:type="dxa"/>
                  <w:shd w:val="clear" w:color="auto" w:fill="auto"/>
                  <w:vAlign w:val="center"/>
                </w:tcPr>
                <w:p w14:paraId="258BE6AE">
                  <w:pPr>
                    <w:spacing w:line="240" w:lineRule="auto"/>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电芯车间</w:t>
                  </w:r>
                </w:p>
              </w:tc>
            </w:tr>
            <w:tr w14:paraId="66C0BDF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17" w:hRule="atLeast"/>
              </w:trPr>
              <w:tc>
                <w:tcPr>
                  <w:tcW w:w="461" w:type="dxa"/>
                  <w:shd w:val="clear" w:color="auto" w:fill="auto"/>
                  <w:vAlign w:val="center"/>
                </w:tcPr>
                <w:p w14:paraId="25B41A6C">
                  <w:pPr>
                    <w:spacing w:line="240" w:lineRule="auto"/>
                    <w:jc w:val="center"/>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12</w:t>
                  </w:r>
                </w:p>
              </w:tc>
              <w:tc>
                <w:tcPr>
                  <w:tcW w:w="846" w:type="dxa"/>
                  <w:shd w:val="clear" w:color="auto" w:fill="auto"/>
                  <w:vAlign w:val="center"/>
                </w:tcPr>
                <w:p w14:paraId="0015E762">
                  <w:pPr>
                    <w:spacing w:line="240" w:lineRule="auto"/>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保护膜</w:t>
                  </w:r>
                </w:p>
              </w:tc>
              <w:tc>
                <w:tcPr>
                  <w:tcW w:w="1034" w:type="dxa"/>
                  <w:shd w:val="clear" w:color="auto" w:fill="auto"/>
                  <w:vAlign w:val="center"/>
                </w:tcPr>
                <w:p w14:paraId="129C1772">
                  <w:pPr>
                    <w:spacing w:line="240" w:lineRule="auto"/>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w:t>
                  </w:r>
                </w:p>
              </w:tc>
              <w:tc>
                <w:tcPr>
                  <w:tcW w:w="1131" w:type="dxa"/>
                  <w:shd w:val="clear" w:color="auto" w:fill="auto"/>
                  <w:vAlign w:val="center"/>
                </w:tcPr>
                <w:p w14:paraId="171B32F7">
                  <w:pPr>
                    <w:spacing w:line="240" w:lineRule="auto"/>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244.86万m</w:t>
                  </w:r>
                </w:p>
              </w:tc>
              <w:tc>
                <w:tcPr>
                  <w:tcW w:w="1231" w:type="dxa"/>
                  <w:shd w:val="clear" w:color="auto" w:fill="auto"/>
                  <w:vAlign w:val="center"/>
                </w:tcPr>
                <w:p w14:paraId="2924CE94">
                  <w:pPr>
                    <w:spacing w:line="240" w:lineRule="auto"/>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100626m/a</w:t>
                  </w:r>
                </w:p>
              </w:tc>
              <w:tc>
                <w:tcPr>
                  <w:tcW w:w="507" w:type="dxa"/>
                  <w:shd w:val="clear" w:color="auto" w:fill="auto"/>
                  <w:vAlign w:val="center"/>
                </w:tcPr>
                <w:p w14:paraId="29648C27">
                  <w:pPr>
                    <w:spacing w:line="240" w:lineRule="auto"/>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外购</w:t>
                  </w:r>
                </w:p>
              </w:tc>
              <w:tc>
                <w:tcPr>
                  <w:tcW w:w="869" w:type="dxa"/>
                  <w:shd w:val="clear" w:color="auto" w:fill="auto"/>
                  <w:vAlign w:val="center"/>
                </w:tcPr>
                <w:p w14:paraId="2361B5C9">
                  <w:pPr>
                    <w:spacing w:line="240" w:lineRule="auto"/>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纸箱装</w:t>
                  </w:r>
                </w:p>
              </w:tc>
              <w:tc>
                <w:tcPr>
                  <w:tcW w:w="869" w:type="dxa"/>
                  <w:shd w:val="clear" w:color="auto" w:fill="auto"/>
                  <w:vAlign w:val="center"/>
                </w:tcPr>
                <w:p w14:paraId="3E9BA594">
                  <w:pPr>
                    <w:spacing w:line="240" w:lineRule="auto"/>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汽运</w:t>
                  </w:r>
                </w:p>
              </w:tc>
              <w:tc>
                <w:tcPr>
                  <w:tcW w:w="869" w:type="dxa"/>
                  <w:shd w:val="clear" w:color="auto" w:fill="auto"/>
                  <w:vAlign w:val="center"/>
                </w:tcPr>
                <w:p w14:paraId="7195CA03">
                  <w:pPr>
                    <w:spacing w:line="240" w:lineRule="auto"/>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电芯车间</w:t>
                  </w:r>
                </w:p>
              </w:tc>
            </w:tr>
            <w:tr w14:paraId="54A645E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17" w:hRule="atLeast"/>
              </w:trPr>
              <w:tc>
                <w:tcPr>
                  <w:tcW w:w="461" w:type="dxa"/>
                  <w:shd w:val="clear" w:color="auto" w:fill="auto"/>
                  <w:vAlign w:val="center"/>
                </w:tcPr>
                <w:p w14:paraId="3F774D03">
                  <w:pPr>
                    <w:spacing w:line="240" w:lineRule="auto"/>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13</w:t>
                  </w:r>
                </w:p>
              </w:tc>
              <w:tc>
                <w:tcPr>
                  <w:tcW w:w="846" w:type="dxa"/>
                  <w:shd w:val="clear" w:color="auto" w:fill="auto"/>
                  <w:vAlign w:val="center"/>
                </w:tcPr>
                <w:p w14:paraId="67A73600">
                  <w:pPr>
                    <w:pStyle w:val="70"/>
                    <w:spacing w:line="240" w:lineRule="auto"/>
                    <w:jc w:val="center"/>
                    <w:rPr>
                      <w:rFonts w:hint="eastAsia"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溶剂</w:t>
                  </w:r>
                </w:p>
              </w:tc>
              <w:tc>
                <w:tcPr>
                  <w:tcW w:w="1034" w:type="dxa"/>
                  <w:shd w:val="clear" w:color="auto" w:fill="auto"/>
                  <w:vAlign w:val="center"/>
                </w:tcPr>
                <w:p w14:paraId="188733B1">
                  <w:pPr>
                    <w:pStyle w:val="70"/>
                    <w:spacing w:line="240" w:lineRule="auto"/>
                    <w:jc w:val="center"/>
                    <w:rPr>
                      <w:rFonts w:hint="eastAsia"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N-甲基吡咯烷酮</w:t>
                  </w:r>
                </w:p>
              </w:tc>
              <w:tc>
                <w:tcPr>
                  <w:tcW w:w="1131" w:type="dxa"/>
                  <w:shd w:val="clear" w:color="auto" w:fill="auto"/>
                  <w:vAlign w:val="center"/>
                </w:tcPr>
                <w:p w14:paraId="2A140A1F">
                  <w:pPr>
                    <w:pStyle w:val="70"/>
                    <w:spacing w:line="240" w:lineRule="auto"/>
                    <w:jc w:val="center"/>
                    <w:rPr>
                      <w:rFonts w:hint="eastAsia" w:ascii="Times New Roman" w:hAnsi="Times New Roman" w:eastAsia="宋体" w:cs="Times New Roman"/>
                      <w:color w:val="auto"/>
                      <w:sz w:val="21"/>
                      <w:szCs w:val="21"/>
                      <w:highlight w:val="none"/>
                    </w:rPr>
                  </w:pPr>
                  <w:r>
                    <w:rPr>
                      <w:rFonts w:hint="eastAsia" w:cs="Times New Roman"/>
                      <w:color w:val="auto"/>
                      <w:sz w:val="21"/>
                      <w:szCs w:val="21"/>
                      <w:highlight w:val="none"/>
                      <w:lang w:val="en-US" w:eastAsia="zh-CN"/>
                    </w:rPr>
                    <w:t>1070.5</w:t>
                  </w:r>
                  <w:r>
                    <w:rPr>
                      <w:rFonts w:hint="eastAsia" w:ascii="Times New Roman" w:hAnsi="Times New Roman" w:eastAsia="宋体" w:cs="Times New Roman"/>
                      <w:color w:val="auto"/>
                      <w:sz w:val="21"/>
                      <w:szCs w:val="21"/>
                      <w:highlight w:val="none"/>
                      <w:lang w:val="en-US" w:eastAsia="zh-CN"/>
                    </w:rPr>
                    <w:t>t</w:t>
                  </w:r>
                </w:p>
              </w:tc>
              <w:tc>
                <w:tcPr>
                  <w:tcW w:w="1231" w:type="dxa"/>
                  <w:shd w:val="clear" w:color="auto" w:fill="auto"/>
                  <w:vAlign w:val="center"/>
                </w:tcPr>
                <w:p w14:paraId="5331198C">
                  <w:pPr>
                    <w:pStyle w:val="70"/>
                    <w:spacing w:line="240" w:lineRule="auto"/>
                    <w:jc w:val="center"/>
                    <w:rPr>
                      <w:rFonts w:hint="eastAsia" w:ascii="Times New Roman" w:hAnsi="Times New Roman" w:eastAsia="宋体" w:cs="Times New Roman"/>
                      <w:color w:val="auto"/>
                      <w:sz w:val="21"/>
                      <w:szCs w:val="21"/>
                      <w:highlight w:val="none"/>
                    </w:rPr>
                  </w:pPr>
                  <w:r>
                    <w:rPr>
                      <w:rFonts w:hint="eastAsia" w:cs="Times New Roman"/>
                      <w:color w:val="auto"/>
                      <w:sz w:val="21"/>
                      <w:szCs w:val="21"/>
                      <w:highlight w:val="none"/>
                      <w:lang w:val="en-US" w:eastAsia="zh-CN"/>
                    </w:rPr>
                    <w:t>15000</w:t>
                  </w:r>
                  <w:r>
                    <w:rPr>
                      <w:rFonts w:hint="eastAsia" w:ascii="Times New Roman" w:hAnsi="Times New Roman" w:eastAsia="宋体" w:cs="Times New Roman"/>
                      <w:color w:val="auto"/>
                      <w:sz w:val="21"/>
                      <w:szCs w:val="21"/>
                      <w:highlight w:val="none"/>
                    </w:rPr>
                    <w:t>kg/</w:t>
                  </w:r>
                  <w:r>
                    <w:rPr>
                      <w:rFonts w:hint="eastAsia" w:ascii="Times New Roman" w:hAnsi="Times New Roman" w:eastAsia="宋体" w:cs="Times New Roman"/>
                      <w:color w:val="auto"/>
                      <w:sz w:val="21"/>
                      <w:szCs w:val="21"/>
                      <w:highlight w:val="none"/>
                      <w:lang w:val="en-US" w:eastAsia="zh-CN"/>
                    </w:rPr>
                    <w:t>a</w:t>
                  </w:r>
                </w:p>
              </w:tc>
              <w:tc>
                <w:tcPr>
                  <w:tcW w:w="507" w:type="dxa"/>
                  <w:shd w:val="clear" w:color="auto" w:fill="auto"/>
                  <w:vAlign w:val="center"/>
                </w:tcPr>
                <w:p w14:paraId="263B71A7">
                  <w:pPr>
                    <w:pStyle w:val="70"/>
                    <w:spacing w:line="240" w:lineRule="auto"/>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lang w:val="en-US" w:eastAsia="zh-CN"/>
                    </w:rPr>
                    <w:t>外购</w:t>
                  </w:r>
                </w:p>
              </w:tc>
              <w:tc>
                <w:tcPr>
                  <w:tcW w:w="869" w:type="dxa"/>
                  <w:shd w:val="clear" w:color="auto" w:fill="auto"/>
                  <w:vAlign w:val="center"/>
                </w:tcPr>
                <w:p w14:paraId="2EF2EDF8">
                  <w:pPr>
                    <w:pStyle w:val="70"/>
                    <w:spacing w:line="240" w:lineRule="auto"/>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桶装</w:t>
                  </w:r>
                </w:p>
              </w:tc>
              <w:tc>
                <w:tcPr>
                  <w:tcW w:w="869" w:type="dxa"/>
                  <w:shd w:val="clear" w:color="auto" w:fill="auto"/>
                  <w:vAlign w:val="center"/>
                </w:tcPr>
                <w:p w14:paraId="3999DEA7">
                  <w:pPr>
                    <w:spacing w:line="240" w:lineRule="auto"/>
                    <w:jc w:val="center"/>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汽运</w:t>
                  </w:r>
                </w:p>
              </w:tc>
              <w:tc>
                <w:tcPr>
                  <w:tcW w:w="869" w:type="dxa"/>
                  <w:shd w:val="clear" w:color="auto" w:fill="auto"/>
                  <w:vAlign w:val="center"/>
                </w:tcPr>
                <w:p w14:paraId="0C518095">
                  <w:pPr>
                    <w:pStyle w:val="70"/>
                    <w:spacing w:line="240" w:lineRule="auto"/>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电芯车间</w:t>
                  </w:r>
                </w:p>
              </w:tc>
            </w:tr>
            <w:tr w14:paraId="3D76455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17" w:hRule="atLeast"/>
              </w:trPr>
              <w:tc>
                <w:tcPr>
                  <w:tcW w:w="461" w:type="dxa"/>
                  <w:shd w:val="clear" w:color="auto" w:fill="auto"/>
                  <w:vAlign w:val="center"/>
                </w:tcPr>
                <w:p w14:paraId="02F7DA23">
                  <w:pPr>
                    <w:spacing w:line="240" w:lineRule="auto"/>
                    <w:jc w:val="center"/>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14</w:t>
                  </w:r>
                </w:p>
              </w:tc>
              <w:tc>
                <w:tcPr>
                  <w:tcW w:w="846" w:type="dxa"/>
                  <w:shd w:val="clear" w:color="auto" w:fill="auto"/>
                  <w:vAlign w:val="center"/>
                </w:tcPr>
                <w:p w14:paraId="180AB3B0">
                  <w:pPr>
                    <w:pStyle w:val="70"/>
                    <w:spacing w:line="240" w:lineRule="auto"/>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陶瓷材料</w:t>
                  </w:r>
                </w:p>
              </w:tc>
              <w:tc>
                <w:tcPr>
                  <w:tcW w:w="1034" w:type="dxa"/>
                  <w:shd w:val="clear" w:color="auto" w:fill="auto"/>
                  <w:vAlign w:val="center"/>
                </w:tcPr>
                <w:p w14:paraId="754DBCF8">
                  <w:pPr>
                    <w:pStyle w:val="70"/>
                    <w:spacing w:line="240" w:lineRule="auto"/>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勃姆石</w:t>
                  </w:r>
                </w:p>
              </w:tc>
              <w:tc>
                <w:tcPr>
                  <w:tcW w:w="1131" w:type="dxa"/>
                  <w:shd w:val="clear" w:color="auto" w:fill="auto"/>
                  <w:vAlign w:val="center"/>
                </w:tcPr>
                <w:p w14:paraId="60EC6025">
                  <w:pPr>
                    <w:pStyle w:val="70"/>
                    <w:spacing w:line="240" w:lineRule="auto"/>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4.8t</w:t>
                  </w:r>
                </w:p>
              </w:tc>
              <w:tc>
                <w:tcPr>
                  <w:tcW w:w="1231" w:type="dxa"/>
                  <w:shd w:val="clear" w:color="auto" w:fill="auto"/>
                  <w:vAlign w:val="center"/>
                </w:tcPr>
                <w:p w14:paraId="07B12B43">
                  <w:pPr>
                    <w:pStyle w:val="70"/>
                    <w:spacing w:line="240" w:lineRule="auto"/>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195kg/a</w:t>
                  </w:r>
                </w:p>
              </w:tc>
              <w:tc>
                <w:tcPr>
                  <w:tcW w:w="507" w:type="dxa"/>
                  <w:shd w:val="clear" w:color="auto" w:fill="auto"/>
                  <w:vAlign w:val="center"/>
                </w:tcPr>
                <w:p w14:paraId="634DBCF1">
                  <w:pPr>
                    <w:pStyle w:val="70"/>
                    <w:spacing w:line="240" w:lineRule="auto"/>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外购</w:t>
                  </w:r>
                </w:p>
              </w:tc>
              <w:tc>
                <w:tcPr>
                  <w:tcW w:w="869" w:type="dxa"/>
                  <w:shd w:val="clear" w:color="auto" w:fill="auto"/>
                  <w:vAlign w:val="center"/>
                </w:tcPr>
                <w:p w14:paraId="6616B840">
                  <w:pPr>
                    <w:pStyle w:val="70"/>
                    <w:spacing w:line="240" w:lineRule="auto"/>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袋装</w:t>
                  </w:r>
                </w:p>
              </w:tc>
              <w:tc>
                <w:tcPr>
                  <w:tcW w:w="869" w:type="dxa"/>
                  <w:shd w:val="clear" w:color="auto" w:fill="auto"/>
                  <w:vAlign w:val="center"/>
                </w:tcPr>
                <w:p w14:paraId="4139BFCA">
                  <w:pPr>
                    <w:pStyle w:val="70"/>
                    <w:spacing w:line="240" w:lineRule="auto"/>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汽运</w:t>
                  </w:r>
                </w:p>
              </w:tc>
              <w:tc>
                <w:tcPr>
                  <w:tcW w:w="869" w:type="dxa"/>
                  <w:shd w:val="clear" w:color="auto" w:fill="auto"/>
                  <w:vAlign w:val="center"/>
                </w:tcPr>
                <w:p w14:paraId="0B417479">
                  <w:pPr>
                    <w:pStyle w:val="70"/>
                    <w:spacing w:line="240" w:lineRule="auto"/>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电芯车间</w:t>
                  </w:r>
                </w:p>
              </w:tc>
            </w:tr>
            <w:tr w14:paraId="4B596EB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17" w:hRule="atLeast"/>
              </w:trPr>
              <w:tc>
                <w:tcPr>
                  <w:tcW w:w="461" w:type="dxa"/>
                  <w:shd w:val="clear" w:color="auto" w:fill="auto"/>
                  <w:vAlign w:val="center"/>
                </w:tcPr>
                <w:p w14:paraId="70A58F2B">
                  <w:pPr>
                    <w:spacing w:line="240" w:lineRule="auto"/>
                    <w:jc w:val="center"/>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15</w:t>
                  </w:r>
                </w:p>
              </w:tc>
              <w:tc>
                <w:tcPr>
                  <w:tcW w:w="846" w:type="dxa"/>
                  <w:shd w:val="clear" w:color="auto" w:fill="auto"/>
                  <w:vAlign w:val="center"/>
                </w:tcPr>
                <w:p w14:paraId="5C34F4EC">
                  <w:pPr>
                    <w:pStyle w:val="70"/>
                    <w:spacing w:line="240" w:lineRule="auto"/>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rPr>
                    <w:t>导电剂</w:t>
                  </w:r>
                  <w:r>
                    <w:rPr>
                      <w:rFonts w:hint="eastAsia" w:cs="Times New Roman"/>
                      <w:color w:val="auto"/>
                      <w:sz w:val="21"/>
                      <w:szCs w:val="21"/>
                      <w:lang w:val="en-US" w:eastAsia="zh-CN"/>
                    </w:rPr>
                    <w:t>1</w:t>
                  </w:r>
                </w:p>
              </w:tc>
              <w:tc>
                <w:tcPr>
                  <w:tcW w:w="1034" w:type="dxa"/>
                  <w:shd w:val="clear" w:color="auto" w:fill="auto"/>
                  <w:vAlign w:val="center"/>
                </w:tcPr>
                <w:p w14:paraId="6DACC496">
                  <w:pPr>
                    <w:pStyle w:val="70"/>
                    <w:spacing w:line="240" w:lineRule="auto"/>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rPr>
                    <w:t>碳黑</w:t>
                  </w:r>
                </w:p>
              </w:tc>
              <w:tc>
                <w:tcPr>
                  <w:tcW w:w="1131" w:type="dxa"/>
                  <w:shd w:val="clear" w:color="auto" w:fill="auto"/>
                  <w:vAlign w:val="center"/>
                </w:tcPr>
                <w:p w14:paraId="7807C80E">
                  <w:pPr>
                    <w:pStyle w:val="70"/>
                    <w:spacing w:line="240" w:lineRule="auto"/>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lang w:val="en-US" w:eastAsia="zh-CN"/>
                    </w:rPr>
                    <w:t>43.1t</w:t>
                  </w:r>
                </w:p>
              </w:tc>
              <w:tc>
                <w:tcPr>
                  <w:tcW w:w="1231" w:type="dxa"/>
                  <w:shd w:val="clear" w:color="auto" w:fill="auto"/>
                  <w:vAlign w:val="center"/>
                </w:tcPr>
                <w:p w14:paraId="62AA1171">
                  <w:pPr>
                    <w:pStyle w:val="70"/>
                    <w:spacing w:line="240" w:lineRule="auto"/>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lang w:val="en-US" w:eastAsia="zh-CN"/>
                    </w:rPr>
                    <w:t>1773kg/a</w:t>
                  </w:r>
                </w:p>
              </w:tc>
              <w:tc>
                <w:tcPr>
                  <w:tcW w:w="507" w:type="dxa"/>
                  <w:shd w:val="clear" w:color="auto" w:fill="auto"/>
                  <w:vAlign w:val="center"/>
                </w:tcPr>
                <w:p w14:paraId="752D017B">
                  <w:pPr>
                    <w:pStyle w:val="70"/>
                    <w:spacing w:line="240" w:lineRule="auto"/>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lang w:val="en-US" w:eastAsia="zh-CN"/>
                    </w:rPr>
                    <w:t>外购</w:t>
                  </w:r>
                </w:p>
              </w:tc>
              <w:tc>
                <w:tcPr>
                  <w:tcW w:w="869" w:type="dxa"/>
                  <w:shd w:val="clear" w:color="auto" w:fill="auto"/>
                  <w:vAlign w:val="center"/>
                </w:tcPr>
                <w:p w14:paraId="47B5A161">
                  <w:pPr>
                    <w:pStyle w:val="70"/>
                    <w:spacing w:line="240" w:lineRule="auto"/>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袋装</w:t>
                  </w:r>
                </w:p>
              </w:tc>
              <w:tc>
                <w:tcPr>
                  <w:tcW w:w="869" w:type="dxa"/>
                  <w:shd w:val="clear" w:color="auto" w:fill="auto"/>
                  <w:vAlign w:val="center"/>
                </w:tcPr>
                <w:p w14:paraId="35D023FC">
                  <w:pPr>
                    <w:spacing w:line="240" w:lineRule="auto"/>
                    <w:jc w:val="center"/>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汽运</w:t>
                  </w:r>
                </w:p>
              </w:tc>
              <w:tc>
                <w:tcPr>
                  <w:tcW w:w="869" w:type="dxa"/>
                  <w:shd w:val="clear" w:color="auto" w:fill="auto"/>
                  <w:vAlign w:val="center"/>
                </w:tcPr>
                <w:p w14:paraId="3ED5310D">
                  <w:pPr>
                    <w:pStyle w:val="70"/>
                    <w:spacing w:line="240" w:lineRule="auto"/>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电芯车间</w:t>
                  </w:r>
                </w:p>
              </w:tc>
            </w:tr>
            <w:tr w14:paraId="3362EC7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17" w:hRule="atLeast"/>
              </w:trPr>
              <w:tc>
                <w:tcPr>
                  <w:tcW w:w="461" w:type="dxa"/>
                  <w:shd w:val="clear" w:color="auto" w:fill="auto"/>
                  <w:vAlign w:val="center"/>
                </w:tcPr>
                <w:p w14:paraId="2E9EE1EB">
                  <w:pPr>
                    <w:spacing w:line="240" w:lineRule="auto"/>
                    <w:jc w:val="center"/>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16</w:t>
                  </w:r>
                </w:p>
              </w:tc>
              <w:tc>
                <w:tcPr>
                  <w:tcW w:w="846" w:type="dxa"/>
                  <w:shd w:val="clear" w:color="auto" w:fill="auto"/>
                  <w:vAlign w:val="center"/>
                </w:tcPr>
                <w:p w14:paraId="3F94D0C4">
                  <w:pPr>
                    <w:spacing w:line="240" w:lineRule="auto"/>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增稠剂</w:t>
                  </w:r>
                </w:p>
              </w:tc>
              <w:tc>
                <w:tcPr>
                  <w:tcW w:w="1034" w:type="dxa"/>
                  <w:shd w:val="clear" w:color="auto" w:fill="auto"/>
                  <w:vAlign w:val="center"/>
                </w:tcPr>
                <w:p w14:paraId="324FAC14">
                  <w:pPr>
                    <w:spacing w:line="240" w:lineRule="auto"/>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羧甲基纤维素</w:t>
                  </w:r>
                </w:p>
              </w:tc>
              <w:tc>
                <w:tcPr>
                  <w:tcW w:w="1131" w:type="dxa"/>
                  <w:shd w:val="clear" w:color="auto" w:fill="auto"/>
                  <w:vAlign w:val="center"/>
                </w:tcPr>
                <w:p w14:paraId="33BFE650">
                  <w:pPr>
                    <w:spacing w:line="240" w:lineRule="auto"/>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14.5t</w:t>
                  </w:r>
                </w:p>
              </w:tc>
              <w:tc>
                <w:tcPr>
                  <w:tcW w:w="1231" w:type="dxa"/>
                  <w:shd w:val="clear" w:color="auto" w:fill="auto"/>
                  <w:vAlign w:val="center"/>
                </w:tcPr>
                <w:p w14:paraId="29DFCAA7">
                  <w:pPr>
                    <w:spacing w:line="240" w:lineRule="auto"/>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594kg/a</w:t>
                  </w:r>
                </w:p>
              </w:tc>
              <w:tc>
                <w:tcPr>
                  <w:tcW w:w="507" w:type="dxa"/>
                  <w:shd w:val="clear" w:color="auto" w:fill="auto"/>
                  <w:vAlign w:val="center"/>
                </w:tcPr>
                <w:p w14:paraId="095FE34A">
                  <w:pPr>
                    <w:spacing w:line="240" w:lineRule="auto"/>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外购</w:t>
                  </w:r>
                </w:p>
              </w:tc>
              <w:tc>
                <w:tcPr>
                  <w:tcW w:w="869" w:type="dxa"/>
                  <w:shd w:val="clear" w:color="auto" w:fill="auto"/>
                  <w:vAlign w:val="center"/>
                </w:tcPr>
                <w:p w14:paraId="3D5B4A02">
                  <w:pPr>
                    <w:spacing w:line="240" w:lineRule="auto"/>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袋装</w:t>
                  </w:r>
                </w:p>
              </w:tc>
              <w:tc>
                <w:tcPr>
                  <w:tcW w:w="869" w:type="dxa"/>
                  <w:shd w:val="clear" w:color="auto" w:fill="auto"/>
                  <w:vAlign w:val="center"/>
                </w:tcPr>
                <w:p w14:paraId="06BC6975">
                  <w:pPr>
                    <w:spacing w:line="240" w:lineRule="auto"/>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汽运</w:t>
                  </w:r>
                </w:p>
              </w:tc>
              <w:tc>
                <w:tcPr>
                  <w:tcW w:w="869" w:type="dxa"/>
                  <w:shd w:val="clear" w:color="auto" w:fill="auto"/>
                  <w:vAlign w:val="center"/>
                </w:tcPr>
                <w:p w14:paraId="175EF2E7">
                  <w:pPr>
                    <w:spacing w:line="240" w:lineRule="auto"/>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电芯车间</w:t>
                  </w:r>
                </w:p>
              </w:tc>
            </w:tr>
            <w:tr w14:paraId="0CD7617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17" w:hRule="atLeast"/>
              </w:trPr>
              <w:tc>
                <w:tcPr>
                  <w:tcW w:w="461" w:type="dxa"/>
                  <w:vMerge w:val="restart"/>
                  <w:shd w:val="clear" w:color="auto" w:fill="auto"/>
                  <w:vAlign w:val="center"/>
                </w:tcPr>
                <w:p w14:paraId="57D091A7">
                  <w:pPr>
                    <w:spacing w:line="240" w:lineRule="auto"/>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17</w:t>
                  </w:r>
                </w:p>
              </w:tc>
              <w:tc>
                <w:tcPr>
                  <w:tcW w:w="846" w:type="dxa"/>
                  <w:vMerge w:val="restart"/>
                  <w:shd w:val="clear" w:color="auto" w:fill="auto"/>
                  <w:vAlign w:val="center"/>
                </w:tcPr>
                <w:p w14:paraId="526C3CB2">
                  <w:pPr>
                    <w:spacing w:line="240" w:lineRule="auto"/>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粘结剂2~3</w:t>
                  </w:r>
                </w:p>
              </w:tc>
              <w:tc>
                <w:tcPr>
                  <w:tcW w:w="1034" w:type="dxa"/>
                  <w:shd w:val="clear" w:color="auto" w:fill="auto"/>
                  <w:vAlign w:val="center"/>
                </w:tcPr>
                <w:p w14:paraId="112845C5">
                  <w:pPr>
                    <w:spacing w:line="240" w:lineRule="auto"/>
                    <w:jc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聚酰亚胺</w:t>
                  </w:r>
                </w:p>
              </w:tc>
              <w:tc>
                <w:tcPr>
                  <w:tcW w:w="1131" w:type="dxa"/>
                  <w:shd w:val="clear" w:color="auto" w:fill="auto"/>
                  <w:vAlign w:val="center"/>
                </w:tcPr>
                <w:p w14:paraId="55C0AF5E">
                  <w:pPr>
                    <w:spacing w:line="240" w:lineRule="auto"/>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14.9t</w:t>
                  </w:r>
                </w:p>
              </w:tc>
              <w:tc>
                <w:tcPr>
                  <w:tcW w:w="1231" w:type="dxa"/>
                  <w:shd w:val="clear" w:color="auto" w:fill="auto"/>
                  <w:vAlign w:val="center"/>
                </w:tcPr>
                <w:p w14:paraId="2E8947D4">
                  <w:pPr>
                    <w:spacing w:line="240" w:lineRule="auto"/>
                    <w:jc w:val="center"/>
                    <w:rPr>
                      <w:rFonts w:hint="eastAsia"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435kg</w:t>
                  </w:r>
                  <w:r>
                    <w:rPr>
                      <w:rFonts w:hint="eastAsia" w:ascii="Times New Roman" w:hAnsi="Times New Roman" w:eastAsia="宋体" w:cs="Times New Roman"/>
                      <w:color w:val="auto"/>
                      <w:sz w:val="21"/>
                      <w:szCs w:val="21"/>
                      <w:highlight w:val="none"/>
                      <w:lang w:val="en-US" w:eastAsia="zh-CN"/>
                    </w:rPr>
                    <w:t>/a</w:t>
                  </w:r>
                </w:p>
              </w:tc>
              <w:tc>
                <w:tcPr>
                  <w:tcW w:w="507" w:type="dxa"/>
                  <w:shd w:val="clear" w:color="auto" w:fill="auto"/>
                  <w:vAlign w:val="center"/>
                </w:tcPr>
                <w:p w14:paraId="168185B7">
                  <w:pPr>
                    <w:spacing w:line="240" w:lineRule="auto"/>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外购</w:t>
                  </w:r>
                </w:p>
              </w:tc>
              <w:tc>
                <w:tcPr>
                  <w:tcW w:w="869" w:type="dxa"/>
                  <w:shd w:val="clear" w:color="auto" w:fill="auto"/>
                  <w:vAlign w:val="center"/>
                </w:tcPr>
                <w:p w14:paraId="0B5ECF42">
                  <w:pPr>
                    <w:spacing w:line="240" w:lineRule="auto"/>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桶装</w:t>
                  </w:r>
                </w:p>
              </w:tc>
              <w:tc>
                <w:tcPr>
                  <w:tcW w:w="869" w:type="dxa"/>
                  <w:shd w:val="clear" w:color="auto" w:fill="auto"/>
                  <w:vAlign w:val="center"/>
                </w:tcPr>
                <w:p w14:paraId="17B5F94F">
                  <w:pPr>
                    <w:spacing w:line="240" w:lineRule="auto"/>
                    <w:jc w:val="center"/>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汽运</w:t>
                  </w:r>
                </w:p>
              </w:tc>
              <w:tc>
                <w:tcPr>
                  <w:tcW w:w="869" w:type="dxa"/>
                  <w:shd w:val="clear" w:color="auto" w:fill="auto"/>
                  <w:vAlign w:val="center"/>
                </w:tcPr>
                <w:p w14:paraId="5B2625F0">
                  <w:pPr>
                    <w:pStyle w:val="70"/>
                    <w:spacing w:line="240" w:lineRule="auto"/>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电芯车间</w:t>
                  </w:r>
                </w:p>
              </w:tc>
            </w:tr>
            <w:tr w14:paraId="05ED5B7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3" w:hRule="atLeast"/>
              </w:trPr>
              <w:tc>
                <w:tcPr>
                  <w:tcW w:w="461" w:type="dxa"/>
                  <w:vMerge w:val="continue"/>
                  <w:shd w:val="clear" w:color="auto" w:fill="auto"/>
                  <w:vAlign w:val="center"/>
                </w:tcPr>
                <w:p w14:paraId="4855C5F0">
                  <w:pPr>
                    <w:spacing w:line="240" w:lineRule="auto"/>
                    <w:jc w:val="center"/>
                    <w:rPr>
                      <w:rFonts w:hint="eastAsia" w:ascii="Times New Roman" w:hAnsi="Times New Roman" w:eastAsia="宋体" w:cs="Times New Roman"/>
                      <w:color w:val="auto"/>
                      <w:sz w:val="21"/>
                      <w:szCs w:val="21"/>
                      <w:lang w:val="en-US" w:eastAsia="zh-CN"/>
                    </w:rPr>
                  </w:pPr>
                </w:p>
              </w:tc>
              <w:tc>
                <w:tcPr>
                  <w:tcW w:w="846" w:type="dxa"/>
                  <w:vMerge w:val="continue"/>
                  <w:shd w:val="clear" w:color="auto" w:fill="auto"/>
                  <w:vAlign w:val="center"/>
                </w:tcPr>
                <w:p w14:paraId="2092BE82">
                  <w:pPr>
                    <w:pStyle w:val="70"/>
                    <w:spacing w:line="240" w:lineRule="auto"/>
                    <w:jc w:val="center"/>
                    <w:rPr>
                      <w:rFonts w:hint="eastAsia" w:ascii="Times New Roman" w:hAnsi="Times New Roman" w:eastAsia="宋体" w:cs="Times New Roman"/>
                      <w:color w:val="auto"/>
                      <w:sz w:val="21"/>
                      <w:szCs w:val="21"/>
                    </w:rPr>
                  </w:pPr>
                </w:p>
              </w:tc>
              <w:tc>
                <w:tcPr>
                  <w:tcW w:w="1034" w:type="dxa"/>
                  <w:shd w:val="clear" w:color="auto" w:fill="auto"/>
                  <w:vAlign w:val="center"/>
                </w:tcPr>
                <w:p w14:paraId="49A412E8">
                  <w:pPr>
                    <w:spacing w:line="240" w:lineRule="auto"/>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丁苯橡胶</w:t>
                  </w:r>
                </w:p>
              </w:tc>
              <w:tc>
                <w:tcPr>
                  <w:tcW w:w="1131" w:type="dxa"/>
                  <w:shd w:val="clear" w:color="auto" w:fill="auto"/>
                  <w:vAlign w:val="center"/>
                </w:tcPr>
                <w:p w14:paraId="191072B8">
                  <w:pPr>
                    <w:spacing w:line="240" w:lineRule="auto"/>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40.4t</w:t>
                  </w:r>
                </w:p>
              </w:tc>
              <w:tc>
                <w:tcPr>
                  <w:tcW w:w="1231" w:type="dxa"/>
                  <w:shd w:val="clear" w:color="auto" w:fill="auto"/>
                  <w:vAlign w:val="center"/>
                </w:tcPr>
                <w:p w14:paraId="253111C4">
                  <w:pPr>
                    <w:spacing w:line="240" w:lineRule="auto"/>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1661kg/a</w:t>
                  </w:r>
                </w:p>
              </w:tc>
              <w:tc>
                <w:tcPr>
                  <w:tcW w:w="507" w:type="dxa"/>
                  <w:shd w:val="clear" w:color="auto" w:fill="auto"/>
                  <w:vAlign w:val="center"/>
                </w:tcPr>
                <w:p w14:paraId="1F594E26">
                  <w:pPr>
                    <w:spacing w:line="240" w:lineRule="auto"/>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外购</w:t>
                  </w:r>
                </w:p>
              </w:tc>
              <w:tc>
                <w:tcPr>
                  <w:tcW w:w="869" w:type="dxa"/>
                  <w:shd w:val="clear" w:color="auto" w:fill="auto"/>
                  <w:vAlign w:val="center"/>
                </w:tcPr>
                <w:p w14:paraId="30FF7248">
                  <w:pPr>
                    <w:spacing w:line="240" w:lineRule="auto"/>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桶装</w:t>
                  </w:r>
                </w:p>
              </w:tc>
              <w:tc>
                <w:tcPr>
                  <w:tcW w:w="869" w:type="dxa"/>
                  <w:shd w:val="clear" w:color="auto" w:fill="auto"/>
                  <w:vAlign w:val="center"/>
                </w:tcPr>
                <w:p w14:paraId="765B6BCE">
                  <w:pPr>
                    <w:spacing w:line="240" w:lineRule="auto"/>
                    <w:jc w:val="center"/>
                    <w:rPr>
                      <w:rFonts w:hint="eastAsia" w:cs="Times New Roman"/>
                      <w:color w:val="auto"/>
                      <w:sz w:val="21"/>
                      <w:szCs w:val="21"/>
                      <w:lang w:val="en-US" w:eastAsia="zh-CN"/>
                    </w:rPr>
                  </w:pPr>
                  <w:r>
                    <w:rPr>
                      <w:rFonts w:hint="eastAsia" w:cs="Times New Roman"/>
                      <w:color w:val="auto"/>
                      <w:sz w:val="21"/>
                      <w:szCs w:val="21"/>
                      <w:lang w:val="en-US" w:eastAsia="zh-CN"/>
                    </w:rPr>
                    <w:t>汽运</w:t>
                  </w:r>
                </w:p>
              </w:tc>
              <w:tc>
                <w:tcPr>
                  <w:tcW w:w="869" w:type="dxa"/>
                  <w:shd w:val="clear" w:color="auto" w:fill="auto"/>
                  <w:vAlign w:val="center"/>
                </w:tcPr>
                <w:p w14:paraId="62A077B7">
                  <w:pPr>
                    <w:pStyle w:val="70"/>
                    <w:spacing w:line="240" w:lineRule="auto"/>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电芯车间</w:t>
                  </w:r>
                </w:p>
              </w:tc>
            </w:tr>
            <w:tr w14:paraId="765D9D3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3" w:hRule="atLeast"/>
              </w:trPr>
              <w:tc>
                <w:tcPr>
                  <w:tcW w:w="461" w:type="dxa"/>
                  <w:shd w:val="clear" w:color="auto" w:fill="auto"/>
                  <w:vAlign w:val="center"/>
                </w:tcPr>
                <w:p w14:paraId="3C645EE0">
                  <w:pPr>
                    <w:spacing w:line="240" w:lineRule="auto"/>
                    <w:jc w:val="center"/>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18</w:t>
                  </w:r>
                </w:p>
              </w:tc>
              <w:tc>
                <w:tcPr>
                  <w:tcW w:w="846" w:type="dxa"/>
                  <w:shd w:val="clear" w:color="auto" w:fill="auto"/>
                  <w:vAlign w:val="center"/>
                </w:tcPr>
                <w:p w14:paraId="10DFD76B">
                  <w:pPr>
                    <w:spacing w:line="240" w:lineRule="auto"/>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铜箔</w:t>
                  </w:r>
                </w:p>
              </w:tc>
              <w:tc>
                <w:tcPr>
                  <w:tcW w:w="1034" w:type="dxa"/>
                  <w:shd w:val="clear" w:color="auto" w:fill="auto"/>
                  <w:vAlign w:val="center"/>
                </w:tcPr>
                <w:p w14:paraId="52E4DC42">
                  <w:pPr>
                    <w:spacing w:line="240" w:lineRule="auto"/>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w:t>
                  </w:r>
                </w:p>
              </w:tc>
              <w:tc>
                <w:tcPr>
                  <w:tcW w:w="1131" w:type="dxa"/>
                  <w:shd w:val="clear" w:color="auto" w:fill="auto"/>
                  <w:vAlign w:val="center"/>
                </w:tcPr>
                <w:p w14:paraId="208907A4">
                  <w:pPr>
                    <w:spacing w:line="240" w:lineRule="auto"/>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434.8t</w:t>
                  </w:r>
                </w:p>
              </w:tc>
              <w:tc>
                <w:tcPr>
                  <w:tcW w:w="1231" w:type="dxa"/>
                  <w:shd w:val="clear" w:color="auto" w:fill="auto"/>
                  <w:vAlign w:val="center"/>
                </w:tcPr>
                <w:p w14:paraId="6DDEDCD2">
                  <w:pPr>
                    <w:spacing w:line="240" w:lineRule="auto"/>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17867kg/a</w:t>
                  </w:r>
                </w:p>
              </w:tc>
              <w:tc>
                <w:tcPr>
                  <w:tcW w:w="507" w:type="dxa"/>
                  <w:shd w:val="clear" w:color="auto" w:fill="auto"/>
                  <w:vAlign w:val="center"/>
                </w:tcPr>
                <w:p w14:paraId="7313EADF">
                  <w:pPr>
                    <w:spacing w:line="240" w:lineRule="auto"/>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外购</w:t>
                  </w:r>
                </w:p>
              </w:tc>
              <w:tc>
                <w:tcPr>
                  <w:tcW w:w="869" w:type="dxa"/>
                  <w:shd w:val="clear" w:color="auto" w:fill="auto"/>
                  <w:vAlign w:val="center"/>
                </w:tcPr>
                <w:p w14:paraId="268176A9">
                  <w:pPr>
                    <w:spacing w:line="240" w:lineRule="auto"/>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木箱装</w:t>
                  </w:r>
                </w:p>
              </w:tc>
              <w:tc>
                <w:tcPr>
                  <w:tcW w:w="869" w:type="dxa"/>
                  <w:shd w:val="clear" w:color="auto" w:fill="auto"/>
                  <w:vAlign w:val="center"/>
                </w:tcPr>
                <w:p w14:paraId="76781E94">
                  <w:pPr>
                    <w:spacing w:line="240" w:lineRule="auto"/>
                    <w:jc w:val="center"/>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汽运</w:t>
                  </w:r>
                </w:p>
              </w:tc>
              <w:tc>
                <w:tcPr>
                  <w:tcW w:w="869" w:type="dxa"/>
                  <w:shd w:val="clear" w:color="auto" w:fill="auto"/>
                  <w:vAlign w:val="center"/>
                </w:tcPr>
                <w:p w14:paraId="7FF11922">
                  <w:pPr>
                    <w:pStyle w:val="70"/>
                    <w:spacing w:line="240" w:lineRule="auto"/>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电芯车间</w:t>
                  </w:r>
                </w:p>
              </w:tc>
            </w:tr>
            <w:tr w14:paraId="145E1A2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3" w:hRule="atLeast"/>
              </w:trPr>
              <w:tc>
                <w:tcPr>
                  <w:tcW w:w="461" w:type="dxa"/>
                  <w:shd w:val="clear" w:color="auto" w:fill="auto"/>
                  <w:vAlign w:val="center"/>
                </w:tcPr>
                <w:p w14:paraId="2C610AB0">
                  <w:pPr>
                    <w:spacing w:line="240" w:lineRule="auto"/>
                    <w:jc w:val="center"/>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19</w:t>
                  </w:r>
                </w:p>
              </w:tc>
              <w:tc>
                <w:tcPr>
                  <w:tcW w:w="846" w:type="dxa"/>
                  <w:shd w:val="clear" w:color="auto" w:fill="auto"/>
                  <w:vAlign w:val="center"/>
                </w:tcPr>
                <w:p w14:paraId="183492F0">
                  <w:pPr>
                    <w:spacing w:line="240" w:lineRule="auto"/>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铝箔</w:t>
                  </w:r>
                </w:p>
              </w:tc>
              <w:tc>
                <w:tcPr>
                  <w:tcW w:w="1034" w:type="dxa"/>
                  <w:shd w:val="clear" w:color="auto" w:fill="auto"/>
                  <w:vAlign w:val="center"/>
                </w:tcPr>
                <w:p w14:paraId="7629910F">
                  <w:pPr>
                    <w:spacing w:line="240" w:lineRule="auto"/>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w:t>
                  </w:r>
                </w:p>
              </w:tc>
              <w:tc>
                <w:tcPr>
                  <w:tcW w:w="1131" w:type="dxa"/>
                  <w:shd w:val="clear" w:color="auto" w:fill="auto"/>
                  <w:vAlign w:val="center"/>
                </w:tcPr>
                <w:p w14:paraId="371E740C">
                  <w:pPr>
                    <w:spacing w:line="240" w:lineRule="auto"/>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277.4t</w:t>
                  </w:r>
                </w:p>
              </w:tc>
              <w:tc>
                <w:tcPr>
                  <w:tcW w:w="1231" w:type="dxa"/>
                  <w:shd w:val="clear" w:color="auto" w:fill="auto"/>
                  <w:vAlign w:val="center"/>
                </w:tcPr>
                <w:p w14:paraId="573B7FEB">
                  <w:pPr>
                    <w:spacing w:line="240" w:lineRule="auto"/>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11400kg/a</w:t>
                  </w:r>
                </w:p>
              </w:tc>
              <w:tc>
                <w:tcPr>
                  <w:tcW w:w="507" w:type="dxa"/>
                  <w:shd w:val="clear" w:color="auto" w:fill="auto"/>
                  <w:vAlign w:val="center"/>
                </w:tcPr>
                <w:p w14:paraId="4F27D62C">
                  <w:pPr>
                    <w:spacing w:line="240" w:lineRule="auto"/>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外购</w:t>
                  </w:r>
                </w:p>
              </w:tc>
              <w:tc>
                <w:tcPr>
                  <w:tcW w:w="869" w:type="dxa"/>
                  <w:shd w:val="clear" w:color="auto" w:fill="auto"/>
                  <w:vAlign w:val="center"/>
                </w:tcPr>
                <w:p w14:paraId="3715F052">
                  <w:pPr>
                    <w:spacing w:line="240" w:lineRule="auto"/>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木箱装</w:t>
                  </w:r>
                </w:p>
              </w:tc>
              <w:tc>
                <w:tcPr>
                  <w:tcW w:w="869" w:type="dxa"/>
                  <w:shd w:val="clear" w:color="auto" w:fill="auto"/>
                  <w:vAlign w:val="center"/>
                </w:tcPr>
                <w:p w14:paraId="207D517E">
                  <w:pPr>
                    <w:spacing w:line="240" w:lineRule="auto"/>
                    <w:jc w:val="center"/>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汽运</w:t>
                  </w:r>
                </w:p>
              </w:tc>
              <w:tc>
                <w:tcPr>
                  <w:tcW w:w="869" w:type="dxa"/>
                  <w:shd w:val="clear" w:color="auto" w:fill="auto"/>
                  <w:vAlign w:val="center"/>
                </w:tcPr>
                <w:p w14:paraId="68D6A6A5">
                  <w:pPr>
                    <w:pStyle w:val="70"/>
                    <w:spacing w:line="240" w:lineRule="auto"/>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电芯车间</w:t>
                  </w:r>
                </w:p>
              </w:tc>
            </w:tr>
            <w:tr w14:paraId="553E096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3" w:hRule="atLeast"/>
              </w:trPr>
              <w:tc>
                <w:tcPr>
                  <w:tcW w:w="461" w:type="dxa"/>
                  <w:shd w:val="clear" w:color="auto" w:fill="auto"/>
                  <w:vAlign w:val="center"/>
                </w:tcPr>
                <w:p w14:paraId="384A35D3">
                  <w:pPr>
                    <w:pStyle w:val="70"/>
                    <w:spacing w:line="240" w:lineRule="auto"/>
                    <w:jc w:val="center"/>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20</w:t>
                  </w:r>
                </w:p>
              </w:tc>
              <w:tc>
                <w:tcPr>
                  <w:tcW w:w="846" w:type="dxa"/>
                  <w:shd w:val="clear" w:color="auto" w:fill="auto"/>
                  <w:vAlign w:val="center"/>
                </w:tcPr>
                <w:p w14:paraId="33EAC37E">
                  <w:pPr>
                    <w:pStyle w:val="70"/>
                    <w:spacing w:line="240" w:lineRule="auto"/>
                    <w:jc w:val="center"/>
                    <w:rPr>
                      <w:rFonts w:hint="eastAsia"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压缩空气</w:t>
                  </w:r>
                </w:p>
              </w:tc>
              <w:tc>
                <w:tcPr>
                  <w:tcW w:w="1034" w:type="dxa"/>
                  <w:shd w:val="clear" w:color="auto" w:fill="auto"/>
                  <w:vAlign w:val="center"/>
                </w:tcPr>
                <w:p w14:paraId="6845D771">
                  <w:pPr>
                    <w:pStyle w:val="70"/>
                    <w:spacing w:line="240" w:lineRule="auto"/>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w:t>
                  </w:r>
                </w:p>
              </w:tc>
              <w:tc>
                <w:tcPr>
                  <w:tcW w:w="1131" w:type="dxa"/>
                  <w:shd w:val="clear" w:color="auto" w:fill="auto"/>
                  <w:vAlign w:val="center"/>
                </w:tcPr>
                <w:p w14:paraId="3AB84D36">
                  <w:pPr>
                    <w:pStyle w:val="70"/>
                    <w:spacing w:line="240" w:lineRule="auto"/>
                    <w:jc w:val="center"/>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1600万</w:t>
                  </w:r>
                  <w:r>
                    <w:rPr>
                      <w:rFonts w:hint="eastAsia" w:ascii="Times New Roman" w:hAnsi="Times New Roman" w:eastAsia="宋体" w:cs="Times New Roman"/>
                      <w:color w:val="auto"/>
                      <w:sz w:val="21"/>
                      <w:szCs w:val="21"/>
                      <w:lang w:val="en-US" w:eastAsia="zh-CN"/>
                    </w:rPr>
                    <w:t>m</w:t>
                  </w:r>
                  <w:r>
                    <w:rPr>
                      <w:rFonts w:hint="eastAsia" w:ascii="Times New Roman" w:hAnsi="Times New Roman" w:eastAsia="宋体" w:cs="Times New Roman"/>
                      <w:color w:val="auto"/>
                      <w:sz w:val="21"/>
                      <w:szCs w:val="21"/>
                      <w:vertAlign w:val="superscript"/>
                      <w:lang w:val="en-US" w:eastAsia="zh-CN"/>
                    </w:rPr>
                    <w:t>3</w:t>
                  </w:r>
                </w:p>
              </w:tc>
              <w:tc>
                <w:tcPr>
                  <w:tcW w:w="1231" w:type="dxa"/>
                  <w:shd w:val="clear" w:color="auto" w:fill="auto"/>
                  <w:vAlign w:val="center"/>
                </w:tcPr>
                <w:p w14:paraId="64945D7B">
                  <w:pPr>
                    <w:pStyle w:val="70"/>
                    <w:spacing w:line="240" w:lineRule="auto"/>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w:t>
                  </w:r>
                </w:p>
              </w:tc>
              <w:tc>
                <w:tcPr>
                  <w:tcW w:w="507" w:type="dxa"/>
                  <w:shd w:val="clear" w:color="auto" w:fill="auto"/>
                  <w:vAlign w:val="center"/>
                </w:tcPr>
                <w:p w14:paraId="45AA7333">
                  <w:pPr>
                    <w:pStyle w:val="70"/>
                    <w:spacing w:line="240" w:lineRule="auto"/>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自制</w:t>
                  </w:r>
                </w:p>
              </w:tc>
              <w:tc>
                <w:tcPr>
                  <w:tcW w:w="869" w:type="dxa"/>
                  <w:shd w:val="clear" w:color="auto" w:fill="auto"/>
                  <w:vAlign w:val="center"/>
                </w:tcPr>
                <w:p w14:paraId="082AD3AD">
                  <w:pPr>
                    <w:pStyle w:val="70"/>
                    <w:spacing w:line="240" w:lineRule="auto"/>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w:t>
                  </w:r>
                </w:p>
              </w:tc>
              <w:tc>
                <w:tcPr>
                  <w:tcW w:w="869" w:type="dxa"/>
                  <w:shd w:val="clear" w:color="auto" w:fill="auto"/>
                  <w:vAlign w:val="center"/>
                </w:tcPr>
                <w:p w14:paraId="3D133534">
                  <w:pPr>
                    <w:pStyle w:val="70"/>
                    <w:spacing w:line="240" w:lineRule="auto"/>
                    <w:jc w:val="center"/>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w:t>
                  </w:r>
                </w:p>
              </w:tc>
              <w:tc>
                <w:tcPr>
                  <w:tcW w:w="869" w:type="dxa"/>
                  <w:shd w:val="clear" w:color="auto" w:fill="auto"/>
                  <w:vAlign w:val="center"/>
                </w:tcPr>
                <w:p w14:paraId="6D10369F">
                  <w:pPr>
                    <w:pStyle w:val="70"/>
                    <w:spacing w:line="240" w:lineRule="auto"/>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电芯车间</w:t>
                  </w:r>
                </w:p>
              </w:tc>
            </w:tr>
            <w:tr w14:paraId="23E3A72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3" w:hRule="atLeast"/>
              </w:trPr>
              <w:tc>
                <w:tcPr>
                  <w:tcW w:w="461" w:type="dxa"/>
                  <w:shd w:val="clear" w:color="auto" w:fill="auto"/>
                  <w:vAlign w:val="center"/>
                </w:tcPr>
                <w:p w14:paraId="2E09B1C7">
                  <w:pPr>
                    <w:pStyle w:val="70"/>
                    <w:spacing w:line="240" w:lineRule="auto"/>
                    <w:jc w:val="center"/>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21</w:t>
                  </w:r>
                </w:p>
              </w:tc>
              <w:tc>
                <w:tcPr>
                  <w:tcW w:w="846" w:type="dxa"/>
                  <w:shd w:val="clear" w:color="auto" w:fill="auto"/>
                  <w:vAlign w:val="center"/>
                </w:tcPr>
                <w:p w14:paraId="1072F1CD">
                  <w:pPr>
                    <w:pStyle w:val="70"/>
                    <w:spacing w:line="240" w:lineRule="auto"/>
                    <w:jc w:val="center"/>
                    <w:rPr>
                      <w:rFonts w:hint="eastAsia"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氮气</w:t>
                  </w:r>
                </w:p>
              </w:tc>
              <w:tc>
                <w:tcPr>
                  <w:tcW w:w="1034" w:type="dxa"/>
                  <w:shd w:val="clear" w:color="auto" w:fill="auto"/>
                  <w:vAlign w:val="center"/>
                </w:tcPr>
                <w:p w14:paraId="5006331C">
                  <w:pPr>
                    <w:pStyle w:val="70"/>
                    <w:spacing w:line="240" w:lineRule="auto"/>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w:t>
                  </w:r>
                </w:p>
              </w:tc>
              <w:tc>
                <w:tcPr>
                  <w:tcW w:w="1131" w:type="dxa"/>
                  <w:shd w:val="clear" w:color="auto" w:fill="auto"/>
                  <w:vAlign w:val="center"/>
                </w:tcPr>
                <w:p w14:paraId="31C13BFB">
                  <w:pPr>
                    <w:pStyle w:val="70"/>
                    <w:spacing w:line="240" w:lineRule="auto"/>
                    <w:jc w:val="center"/>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20万</w:t>
                  </w:r>
                  <w:r>
                    <w:rPr>
                      <w:rFonts w:hint="eastAsia" w:ascii="Times New Roman" w:hAnsi="Times New Roman" w:eastAsia="宋体" w:cs="Times New Roman"/>
                      <w:color w:val="auto"/>
                      <w:sz w:val="21"/>
                      <w:szCs w:val="21"/>
                      <w:lang w:val="en-US" w:eastAsia="zh-CN"/>
                    </w:rPr>
                    <w:t>m</w:t>
                  </w:r>
                  <w:r>
                    <w:rPr>
                      <w:rFonts w:hint="eastAsia" w:ascii="Times New Roman" w:hAnsi="Times New Roman" w:eastAsia="宋体" w:cs="Times New Roman"/>
                      <w:color w:val="auto"/>
                      <w:sz w:val="21"/>
                      <w:szCs w:val="21"/>
                      <w:vertAlign w:val="superscript"/>
                      <w:lang w:val="en-US" w:eastAsia="zh-CN"/>
                    </w:rPr>
                    <w:t>3</w:t>
                  </w:r>
                </w:p>
              </w:tc>
              <w:tc>
                <w:tcPr>
                  <w:tcW w:w="1231" w:type="dxa"/>
                  <w:shd w:val="clear" w:color="auto" w:fill="auto"/>
                  <w:vAlign w:val="center"/>
                </w:tcPr>
                <w:p w14:paraId="2D2F3E07">
                  <w:pPr>
                    <w:pStyle w:val="70"/>
                    <w:spacing w:line="240" w:lineRule="auto"/>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w:t>
                  </w:r>
                </w:p>
              </w:tc>
              <w:tc>
                <w:tcPr>
                  <w:tcW w:w="507" w:type="dxa"/>
                  <w:shd w:val="clear" w:color="auto" w:fill="auto"/>
                  <w:vAlign w:val="center"/>
                </w:tcPr>
                <w:p w14:paraId="09DAFC3E">
                  <w:pPr>
                    <w:pStyle w:val="70"/>
                    <w:spacing w:line="240" w:lineRule="auto"/>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自制</w:t>
                  </w:r>
                </w:p>
              </w:tc>
              <w:tc>
                <w:tcPr>
                  <w:tcW w:w="869" w:type="dxa"/>
                  <w:shd w:val="clear" w:color="auto" w:fill="auto"/>
                  <w:vAlign w:val="center"/>
                </w:tcPr>
                <w:p w14:paraId="6FAE8FDA">
                  <w:pPr>
                    <w:pStyle w:val="70"/>
                    <w:spacing w:line="240" w:lineRule="auto"/>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w:t>
                  </w:r>
                </w:p>
              </w:tc>
              <w:tc>
                <w:tcPr>
                  <w:tcW w:w="869" w:type="dxa"/>
                  <w:shd w:val="clear" w:color="auto" w:fill="auto"/>
                  <w:vAlign w:val="center"/>
                </w:tcPr>
                <w:p w14:paraId="20AF5153">
                  <w:pPr>
                    <w:pStyle w:val="70"/>
                    <w:spacing w:line="240" w:lineRule="auto"/>
                    <w:jc w:val="center"/>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w:t>
                  </w:r>
                </w:p>
              </w:tc>
              <w:tc>
                <w:tcPr>
                  <w:tcW w:w="869" w:type="dxa"/>
                  <w:shd w:val="clear" w:color="auto" w:fill="auto"/>
                  <w:vAlign w:val="center"/>
                </w:tcPr>
                <w:p w14:paraId="0E06FED2">
                  <w:pPr>
                    <w:pStyle w:val="70"/>
                    <w:spacing w:line="240" w:lineRule="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电芯车间</w:t>
                  </w:r>
                </w:p>
              </w:tc>
            </w:tr>
            <w:tr w14:paraId="2CDE643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3" w:hRule="atLeast"/>
              </w:trPr>
              <w:tc>
                <w:tcPr>
                  <w:tcW w:w="461" w:type="dxa"/>
                  <w:shd w:val="clear" w:color="auto" w:fill="auto"/>
                  <w:vAlign w:val="center"/>
                </w:tcPr>
                <w:p w14:paraId="22475035">
                  <w:pPr>
                    <w:pStyle w:val="70"/>
                    <w:spacing w:line="240" w:lineRule="auto"/>
                    <w:jc w:val="center"/>
                    <w:rPr>
                      <w:rFonts w:hint="default" w:cs="Times New Roman"/>
                      <w:color w:val="auto"/>
                      <w:sz w:val="21"/>
                      <w:szCs w:val="21"/>
                      <w:lang w:val="en-US" w:eastAsia="zh-CN"/>
                    </w:rPr>
                  </w:pPr>
                  <w:r>
                    <w:rPr>
                      <w:rFonts w:hint="eastAsia" w:cs="Times New Roman"/>
                      <w:color w:val="auto"/>
                      <w:sz w:val="21"/>
                      <w:szCs w:val="21"/>
                      <w:lang w:val="en-US" w:eastAsia="zh-CN"/>
                    </w:rPr>
                    <w:t>22</w:t>
                  </w:r>
                </w:p>
              </w:tc>
              <w:tc>
                <w:tcPr>
                  <w:tcW w:w="846" w:type="dxa"/>
                  <w:shd w:val="clear" w:color="auto" w:fill="auto"/>
                  <w:vAlign w:val="center"/>
                </w:tcPr>
                <w:p w14:paraId="4C6319F7">
                  <w:pPr>
                    <w:pStyle w:val="70"/>
                    <w:spacing w:line="240" w:lineRule="auto"/>
                    <w:jc w:val="center"/>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铝板</w:t>
                  </w:r>
                </w:p>
              </w:tc>
              <w:tc>
                <w:tcPr>
                  <w:tcW w:w="1034" w:type="dxa"/>
                  <w:shd w:val="clear" w:color="auto" w:fill="auto"/>
                  <w:vAlign w:val="center"/>
                </w:tcPr>
                <w:p w14:paraId="706B8291">
                  <w:pPr>
                    <w:pStyle w:val="70"/>
                    <w:spacing w:line="240" w:lineRule="auto"/>
                    <w:jc w:val="center"/>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w:t>
                  </w:r>
                </w:p>
              </w:tc>
              <w:tc>
                <w:tcPr>
                  <w:tcW w:w="1131" w:type="dxa"/>
                  <w:shd w:val="clear" w:color="auto" w:fill="auto"/>
                  <w:vAlign w:val="center"/>
                </w:tcPr>
                <w:p w14:paraId="5D6335DF">
                  <w:pPr>
                    <w:pStyle w:val="70"/>
                    <w:spacing w:line="240" w:lineRule="auto"/>
                    <w:jc w:val="center"/>
                    <w:rPr>
                      <w:rFonts w:hint="default" w:cs="Times New Roman"/>
                      <w:color w:val="auto"/>
                      <w:sz w:val="21"/>
                      <w:szCs w:val="21"/>
                      <w:lang w:val="en-US" w:eastAsia="zh-CN"/>
                    </w:rPr>
                  </w:pPr>
                  <w:r>
                    <w:rPr>
                      <w:rFonts w:hint="eastAsia" w:cs="Times New Roman"/>
                      <w:color w:val="auto"/>
                      <w:sz w:val="21"/>
                      <w:szCs w:val="21"/>
                      <w:lang w:val="en-US" w:eastAsia="zh-CN"/>
                    </w:rPr>
                    <w:t>40万套</w:t>
                  </w:r>
                </w:p>
              </w:tc>
              <w:tc>
                <w:tcPr>
                  <w:tcW w:w="1231" w:type="dxa"/>
                  <w:shd w:val="clear" w:color="auto" w:fill="auto"/>
                  <w:vAlign w:val="center"/>
                </w:tcPr>
                <w:p w14:paraId="1651CED4">
                  <w:pPr>
                    <w:pStyle w:val="70"/>
                    <w:spacing w:line="240" w:lineRule="auto"/>
                    <w:jc w:val="center"/>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1万套</w:t>
                  </w:r>
                </w:p>
              </w:tc>
              <w:tc>
                <w:tcPr>
                  <w:tcW w:w="507" w:type="dxa"/>
                  <w:shd w:val="clear" w:color="auto" w:fill="auto"/>
                  <w:vAlign w:val="center"/>
                </w:tcPr>
                <w:p w14:paraId="6CA93EE4">
                  <w:pPr>
                    <w:pStyle w:val="70"/>
                    <w:spacing w:line="240" w:lineRule="auto"/>
                    <w:jc w:val="center"/>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外购</w:t>
                  </w:r>
                </w:p>
              </w:tc>
              <w:tc>
                <w:tcPr>
                  <w:tcW w:w="869" w:type="dxa"/>
                  <w:shd w:val="clear" w:color="auto" w:fill="auto"/>
                  <w:vAlign w:val="center"/>
                </w:tcPr>
                <w:p w14:paraId="6B8437D5">
                  <w:pPr>
                    <w:pStyle w:val="70"/>
                    <w:spacing w:line="240" w:lineRule="auto"/>
                    <w:jc w:val="center"/>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w:t>
                  </w:r>
                </w:p>
              </w:tc>
              <w:tc>
                <w:tcPr>
                  <w:tcW w:w="869" w:type="dxa"/>
                  <w:shd w:val="clear" w:color="auto" w:fill="auto"/>
                  <w:vAlign w:val="center"/>
                </w:tcPr>
                <w:p w14:paraId="10A6667E">
                  <w:pPr>
                    <w:pStyle w:val="70"/>
                    <w:spacing w:line="240" w:lineRule="auto"/>
                    <w:jc w:val="center"/>
                    <w:rPr>
                      <w:rFonts w:hint="default" w:cs="Times New Roman"/>
                      <w:color w:val="auto"/>
                      <w:sz w:val="21"/>
                      <w:szCs w:val="21"/>
                      <w:lang w:val="en-US" w:eastAsia="zh-CN"/>
                    </w:rPr>
                  </w:pPr>
                  <w:r>
                    <w:rPr>
                      <w:rFonts w:hint="eastAsia" w:cs="Times New Roman"/>
                      <w:color w:val="auto"/>
                      <w:sz w:val="21"/>
                      <w:szCs w:val="21"/>
                      <w:lang w:val="en-US" w:eastAsia="zh-CN"/>
                    </w:rPr>
                    <w:t>/</w:t>
                  </w:r>
                </w:p>
              </w:tc>
              <w:tc>
                <w:tcPr>
                  <w:tcW w:w="869" w:type="dxa"/>
                  <w:shd w:val="clear" w:color="auto" w:fill="auto"/>
                  <w:vAlign w:val="center"/>
                </w:tcPr>
                <w:p w14:paraId="5D7F6697">
                  <w:pPr>
                    <w:pStyle w:val="70"/>
                    <w:spacing w:line="240" w:lineRule="auto"/>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集成车间</w:t>
                  </w:r>
                </w:p>
              </w:tc>
            </w:tr>
            <w:tr w14:paraId="3D59314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3" w:hRule="atLeast"/>
              </w:trPr>
              <w:tc>
                <w:tcPr>
                  <w:tcW w:w="461" w:type="dxa"/>
                  <w:shd w:val="clear" w:color="auto" w:fill="auto"/>
                  <w:vAlign w:val="center"/>
                </w:tcPr>
                <w:p w14:paraId="763C4A0F">
                  <w:pPr>
                    <w:pStyle w:val="70"/>
                    <w:spacing w:line="240" w:lineRule="auto"/>
                    <w:jc w:val="center"/>
                    <w:rPr>
                      <w:rFonts w:hint="default" w:cs="Times New Roman"/>
                      <w:color w:val="auto"/>
                      <w:sz w:val="21"/>
                      <w:szCs w:val="21"/>
                      <w:lang w:val="en-US" w:eastAsia="zh-CN"/>
                    </w:rPr>
                  </w:pPr>
                  <w:r>
                    <w:rPr>
                      <w:rFonts w:hint="eastAsia" w:cs="Times New Roman"/>
                      <w:color w:val="auto"/>
                      <w:sz w:val="21"/>
                      <w:szCs w:val="21"/>
                      <w:lang w:val="en-US" w:eastAsia="zh-CN"/>
                    </w:rPr>
                    <w:t>23</w:t>
                  </w:r>
                </w:p>
              </w:tc>
              <w:tc>
                <w:tcPr>
                  <w:tcW w:w="846" w:type="dxa"/>
                  <w:shd w:val="clear" w:color="auto" w:fill="auto"/>
                  <w:vAlign w:val="center"/>
                </w:tcPr>
                <w:p w14:paraId="3CF9FA65">
                  <w:pPr>
                    <w:pStyle w:val="70"/>
                    <w:spacing w:line="240" w:lineRule="auto"/>
                    <w:jc w:val="center"/>
                    <w:rPr>
                      <w:rFonts w:hint="default" w:cs="Times New Roman"/>
                      <w:color w:val="auto"/>
                      <w:sz w:val="21"/>
                      <w:szCs w:val="21"/>
                      <w:lang w:val="en-US" w:eastAsia="zh-CN"/>
                    </w:rPr>
                  </w:pPr>
                  <w:r>
                    <w:rPr>
                      <w:rFonts w:hint="eastAsia" w:cs="Times New Roman"/>
                      <w:color w:val="auto"/>
                      <w:sz w:val="21"/>
                      <w:szCs w:val="21"/>
                      <w:lang w:val="en-US" w:eastAsia="zh-CN"/>
                    </w:rPr>
                    <w:t>电池箱</w:t>
                  </w:r>
                </w:p>
              </w:tc>
              <w:tc>
                <w:tcPr>
                  <w:tcW w:w="1034" w:type="dxa"/>
                  <w:shd w:val="clear" w:color="auto" w:fill="auto"/>
                  <w:vAlign w:val="center"/>
                </w:tcPr>
                <w:p w14:paraId="293FAD4A">
                  <w:pPr>
                    <w:pStyle w:val="70"/>
                    <w:spacing w:line="240" w:lineRule="auto"/>
                    <w:jc w:val="center"/>
                    <w:rPr>
                      <w:rFonts w:hint="default" w:cs="Times New Roman"/>
                      <w:color w:val="auto"/>
                      <w:sz w:val="21"/>
                      <w:szCs w:val="21"/>
                      <w:lang w:val="en-US" w:eastAsia="zh-CN"/>
                    </w:rPr>
                  </w:pPr>
                  <w:r>
                    <w:rPr>
                      <w:rFonts w:hint="eastAsia" w:cs="Times New Roman"/>
                      <w:color w:val="auto"/>
                      <w:sz w:val="21"/>
                      <w:szCs w:val="21"/>
                      <w:lang w:val="en-US" w:eastAsia="zh-CN"/>
                    </w:rPr>
                    <w:t>/</w:t>
                  </w:r>
                </w:p>
              </w:tc>
              <w:tc>
                <w:tcPr>
                  <w:tcW w:w="1131" w:type="dxa"/>
                  <w:shd w:val="clear" w:color="auto" w:fill="auto"/>
                  <w:vAlign w:val="center"/>
                </w:tcPr>
                <w:p w14:paraId="546ACA09">
                  <w:pPr>
                    <w:pStyle w:val="70"/>
                    <w:spacing w:line="240" w:lineRule="auto"/>
                    <w:jc w:val="center"/>
                    <w:rPr>
                      <w:rFonts w:hint="default" w:cs="Times New Roman"/>
                      <w:color w:val="auto"/>
                      <w:sz w:val="21"/>
                      <w:szCs w:val="21"/>
                      <w:lang w:val="en-US" w:eastAsia="zh-CN"/>
                    </w:rPr>
                  </w:pPr>
                  <w:r>
                    <w:rPr>
                      <w:rFonts w:hint="eastAsia" w:cs="Times New Roman"/>
                      <w:color w:val="auto"/>
                      <w:sz w:val="21"/>
                      <w:szCs w:val="21"/>
                      <w:lang w:val="en-US" w:eastAsia="zh-CN"/>
                    </w:rPr>
                    <w:t>20万套</w:t>
                  </w:r>
                </w:p>
              </w:tc>
              <w:tc>
                <w:tcPr>
                  <w:tcW w:w="1231" w:type="dxa"/>
                  <w:shd w:val="clear" w:color="auto" w:fill="auto"/>
                  <w:vAlign w:val="center"/>
                </w:tcPr>
                <w:p w14:paraId="19011F04">
                  <w:pPr>
                    <w:pStyle w:val="70"/>
                    <w:spacing w:line="240" w:lineRule="auto"/>
                    <w:jc w:val="center"/>
                    <w:rPr>
                      <w:rFonts w:hint="default" w:cs="Times New Roman"/>
                      <w:color w:val="auto"/>
                      <w:sz w:val="21"/>
                      <w:szCs w:val="21"/>
                      <w:lang w:val="en-US" w:eastAsia="zh-CN"/>
                    </w:rPr>
                  </w:pPr>
                  <w:r>
                    <w:rPr>
                      <w:rFonts w:hint="eastAsia" w:cs="Times New Roman"/>
                      <w:color w:val="auto"/>
                      <w:sz w:val="21"/>
                      <w:szCs w:val="21"/>
                      <w:lang w:val="en-US" w:eastAsia="zh-CN"/>
                    </w:rPr>
                    <w:t>1万套</w:t>
                  </w:r>
                </w:p>
              </w:tc>
              <w:tc>
                <w:tcPr>
                  <w:tcW w:w="507" w:type="dxa"/>
                  <w:shd w:val="clear" w:color="auto" w:fill="auto"/>
                  <w:vAlign w:val="center"/>
                </w:tcPr>
                <w:p w14:paraId="646C2476">
                  <w:pPr>
                    <w:pStyle w:val="70"/>
                    <w:spacing w:line="240" w:lineRule="auto"/>
                    <w:jc w:val="center"/>
                    <w:rPr>
                      <w:rFonts w:hint="default" w:cs="Times New Roman"/>
                      <w:color w:val="auto"/>
                      <w:sz w:val="21"/>
                      <w:szCs w:val="21"/>
                      <w:lang w:val="en-US" w:eastAsia="zh-CN"/>
                    </w:rPr>
                  </w:pPr>
                  <w:r>
                    <w:rPr>
                      <w:rFonts w:hint="eastAsia" w:cs="Times New Roman"/>
                      <w:color w:val="auto"/>
                      <w:sz w:val="21"/>
                      <w:szCs w:val="21"/>
                      <w:lang w:val="en-US" w:eastAsia="zh-CN"/>
                    </w:rPr>
                    <w:t>外购</w:t>
                  </w:r>
                </w:p>
              </w:tc>
              <w:tc>
                <w:tcPr>
                  <w:tcW w:w="869" w:type="dxa"/>
                  <w:shd w:val="clear" w:color="auto" w:fill="auto"/>
                  <w:vAlign w:val="center"/>
                </w:tcPr>
                <w:p w14:paraId="22A95B30">
                  <w:pPr>
                    <w:pStyle w:val="70"/>
                    <w:spacing w:line="240" w:lineRule="auto"/>
                    <w:jc w:val="center"/>
                    <w:rPr>
                      <w:rFonts w:hint="default" w:cs="Times New Roman"/>
                      <w:color w:val="auto"/>
                      <w:sz w:val="21"/>
                      <w:szCs w:val="21"/>
                      <w:lang w:val="en-US" w:eastAsia="zh-CN"/>
                    </w:rPr>
                  </w:pPr>
                  <w:r>
                    <w:rPr>
                      <w:rFonts w:hint="eastAsia" w:cs="Times New Roman"/>
                      <w:color w:val="auto"/>
                      <w:sz w:val="21"/>
                      <w:szCs w:val="21"/>
                      <w:lang w:val="en-US" w:eastAsia="zh-CN"/>
                    </w:rPr>
                    <w:t>/</w:t>
                  </w:r>
                </w:p>
              </w:tc>
              <w:tc>
                <w:tcPr>
                  <w:tcW w:w="869" w:type="dxa"/>
                  <w:shd w:val="clear" w:color="auto" w:fill="auto"/>
                  <w:vAlign w:val="center"/>
                </w:tcPr>
                <w:p w14:paraId="75E8A3EA">
                  <w:pPr>
                    <w:pStyle w:val="70"/>
                    <w:spacing w:line="240" w:lineRule="auto"/>
                    <w:jc w:val="center"/>
                    <w:rPr>
                      <w:rFonts w:hint="default" w:cs="Times New Roman"/>
                      <w:color w:val="auto"/>
                      <w:sz w:val="21"/>
                      <w:szCs w:val="21"/>
                      <w:lang w:val="en-US" w:eastAsia="zh-CN"/>
                    </w:rPr>
                  </w:pPr>
                  <w:r>
                    <w:rPr>
                      <w:rFonts w:hint="eastAsia" w:cs="Times New Roman"/>
                      <w:color w:val="auto"/>
                      <w:sz w:val="21"/>
                      <w:szCs w:val="21"/>
                      <w:lang w:val="en-US" w:eastAsia="zh-CN"/>
                    </w:rPr>
                    <w:t>/</w:t>
                  </w:r>
                </w:p>
              </w:tc>
              <w:tc>
                <w:tcPr>
                  <w:tcW w:w="869" w:type="dxa"/>
                  <w:shd w:val="clear" w:color="auto" w:fill="auto"/>
                  <w:vAlign w:val="center"/>
                </w:tcPr>
                <w:p w14:paraId="1A39E8FA">
                  <w:pPr>
                    <w:pStyle w:val="70"/>
                    <w:spacing w:line="240" w:lineRule="auto"/>
                    <w:rPr>
                      <w:rFonts w:hint="default" w:cs="Times New Roman"/>
                      <w:color w:val="auto"/>
                      <w:sz w:val="21"/>
                      <w:szCs w:val="21"/>
                      <w:lang w:val="en-US" w:eastAsia="zh-CN"/>
                    </w:rPr>
                  </w:pPr>
                  <w:r>
                    <w:rPr>
                      <w:rFonts w:hint="eastAsia" w:cs="Times New Roman"/>
                      <w:color w:val="auto"/>
                      <w:sz w:val="21"/>
                      <w:szCs w:val="21"/>
                      <w:lang w:val="en-US" w:eastAsia="zh-CN"/>
                    </w:rPr>
                    <w:t>集成车间</w:t>
                  </w:r>
                </w:p>
              </w:tc>
            </w:tr>
            <w:tr w14:paraId="7BE77F8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17" w:hRule="atLeast"/>
              </w:trPr>
              <w:tc>
                <w:tcPr>
                  <w:tcW w:w="461" w:type="dxa"/>
                  <w:shd w:val="clear" w:color="auto" w:fill="auto"/>
                  <w:vAlign w:val="center"/>
                </w:tcPr>
                <w:p w14:paraId="5ACEC2D6">
                  <w:pPr>
                    <w:pStyle w:val="70"/>
                    <w:spacing w:line="240" w:lineRule="auto"/>
                    <w:jc w:val="center"/>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24</w:t>
                  </w:r>
                </w:p>
              </w:tc>
              <w:tc>
                <w:tcPr>
                  <w:tcW w:w="846" w:type="dxa"/>
                  <w:shd w:val="clear" w:color="auto" w:fill="auto"/>
                  <w:vAlign w:val="center"/>
                </w:tcPr>
                <w:p w14:paraId="515003CB">
                  <w:pPr>
                    <w:pStyle w:val="70"/>
                    <w:spacing w:line="240" w:lineRule="auto"/>
                    <w:jc w:val="center"/>
                    <w:rPr>
                      <w:rFonts w:hint="eastAsia"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新鲜水</w:t>
                  </w:r>
                </w:p>
              </w:tc>
              <w:tc>
                <w:tcPr>
                  <w:tcW w:w="1034" w:type="dxa"/>
                  <w:shd w:val="clear" w:color="auto" w:fill="auto"/>
                  <w:vAlign w:val="center"/>
                </w:tcPr>
                <w:p w14:paraId="1E39B35E">
                  <w:pPr>
                    <w:pStyle w:val="70"/>
                    <w:spacing w:line="240" w:lineRule="auto"/>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w:t>
                  </w:r>
                </w:p>
              </w:tc>
              <w:tc>
                <w:tcPr>
                  <w:tcW w:w="1131" w:type="dxa"/>
                  <w:shd w:val="clear" w:color="auto" w:fill="auto"/>
                  <w:vAlign w:val="center"/>
                </w:tcPr>
                <w:p w14:paraId="146CABDE">
                  <w:pPr>
                    <w:pStyle w:val="70"/>
                    <w:spacing w:line="240" w:lineRule="auto"/>
                    <w:jc w:val="center"/>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8796</w:t>
                  </w:r>
                  <w:r>
                    <w:rPr>
                      <w:rFonts w:hint="eastAsia" w:ascii="Times New Roman" w:hAnsi="Times New Roman" w:eastAsia="宋体" w:cs="Times New Roman"/>
                      <w:color w:val="auto"/>
                      <w:sz w:val="21"/>
                      <w:szCs w:val="21"/>
                      <w:lang w:val="en-US" w:eastAsia="zh-CN"/>
                    </w:rPr>
                    <w:t>m</w:t>
                  </w:r>
                  <w:r>
                    <w:rPr>
                      <w:rFonts w:hint="eastAsia" w:ascii="Times New Roman" w:hAnsi="Times New Roman" w:eastAsia="宋体" w:cs="Times New Roman"/>
                      <w:color w:val="auto"/>
                      <w:sz w:val="21"/>
                      <w:szCs w:val="21"/>
                      <w:vertAlign w:val="superscript"/>
                      <w:lang w:val="en-US" w:eastAsia="zh-CN"/>
                    </w:rPr>
                    <w:t>3</w:t>
                  </w:r>
                </w:p>
              </w:tc>
              <w:tc>
                <w:tcPr>
                  <w:tcW w:w="1231" w:type="dxa"/>
                  <w:shd w:val="clear" w:color="auto" w:fill="auto"/>
                  <w:vAlign w:val="center"/>
                </w:tcPr>
                <w:p w14:paraId="76DFB0AD">
                  <w:pPr>
                    <w:pStyle w:val="70"/>
                    <w:spacing w:line="240" w:lineRule="auto"/>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w:t>
                  </w:r>
                </w:p>
              </w:tc>
              <w:tc>
                <w:tcPr>
                  <w:tcW w:w="507" w:type="dxa"/>
                  <w:shd w:val="clear" w:color="auto" w:fill="auto"/>
                  <w:vAlign w:val="center"/>
                </w:tcPr>
                <w:p w14:paraId="5FDAC07C">
                  <w:pPr>
                    <w:pStyle w:val="70"/>
                    <w:spacing w:line="240" w:lineRule="auto"/>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园区供水管网</w:t>
                  </w:r>
                </w:p>
              </w:tc>
              <w:tc>
                <w:tcPr>
                  <w:tcW w:w="869" w:type="dxa"/>
                  <w:shd w:val="clear" w:color="auto" w:fill="auto"/>
                  <w:vAlign w:val="center"/>
                </w:tcPr>
                <w:p w14:paraId="689E16F3">
                  <w:pPr>
                    <w:pStyle w:val="70"/>
                    <w:spacing w:line="240" w:lineRule="auto"/>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w:t>
                  </w:r>
                </w:p>
              </w:tc>
              <w:tc>
                <w:tcPr>
                  <w:tcW w:w="869" w:type="dxa"/>
                  <w:shd w:val="clear" w:color="auto" w:fill="auto"/>
                  <w:vAlign w:val="center"/>
                </w:tcPr>
                <w:p w14:paraId="324200A3">
                  <w:pPr>
                    <w:pStyle w:val="70"/>
                    <w:spacing w:line="240" w:lineRule="auto"/>
                    <w:jc w:val="center"/>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w:t>
                  </w:r>
                </w:p>
              </w:tc>
              <w:tc>
                <w:tcPr>
                  <w:tcW w:w="869" w:type="dxa"/>
                  <w:shd w:val="clear" w:color="auto" w:fill="auto"/>
                  <w:vAlign w:val="center"/>
                </w:tcPr>
                <w:p w14:paraId="2BDA5D99">
                  <w:pPr>
                    <w:pStyle w:val="70"/>
                    <w:spacing w:line="240" w:lineRule="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w:t>
                  </w:r>
                </w:p>
              </w:tc>
            </w:tr>
            <w:tr w14:paraId="4586773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9" w:hRule="atLeast"/>
              </w:trPr>
              <w:tc>
                <w:tcPr>
                  <w:tcW w:w="461" w:type="dxa"/>
                  <w:shd w:val="clear" w:color="auto" w:fill="auto"/>
                  <w:vAlign w:val="center"/>
                </w:tcPr>
                <w:p w14:paraId="57B30D46">
                  <w:pPr>
                    <w:pStyle w:val="70"/>
                    <w:spacing w:line="240" w:lineRule="auto"/>
                    <w:jc w:val="center"/>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25</w:t>
                  </w:r>
                </w:p>
              </w:tc>
              <w:tc>
                <w:tcPr>
                  <w:tcW w:w="846" w:type="dxa"/>
                  <w:shd w:val="clear" w:color="auto" w:fill="auto"/>
                  <w:vAlign w:val="center"/>
                </w:tcPr>
                <w:p w14:paraId="3B64673F">
                  <w:pPr>
                    <w:pStyle w:val="70"/>
                    <w:spacing w:line="240" w:lineRule="auto"/>
                    <w:jc w:val="center"/>
                    <w:rPr>
                      <w:rFonts w:hint="eastAsia"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电</w:t>
                  </w:r>
                </w:p>
              </w:tc>
              <w:tc>
                <w:tcPr>
                  <w:tcW w:w="1034" w:type="dxa"/>
                  <w:shd w:val="clear" w:color="auto" w:fill="auto"/>
                  <w:vAlign w:val="center"/>
                </w:tcPr>
                <w:p w14:paraId="4B7C71B7">
                  <w:pPr>
                    <w:pStyle w:val="70"/>
                    <w:spacing w:line="240" w:lineRule="auto"/>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w:t>
                  </w:r>
                </w:p>
              </w:tc>
              <w:tc>
                <w:tcPr>
                  <w:tcW w:w="1131" w:type="dxa"/>
                  <w:shd w:val="clear" w:color="auto" w:fill="auto"/>
                  <w:vAlign w:val="center"/>
                </w:tcPr>
                <w:p w14:paraId="7ADC290E">
                  <w:pPr>
                    <w:pStyle w:val="70"/>
                    <w:spacing w:line="240" w:lineRule="auto"/>
                    <w:jc w:val="center"/>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5400</w:t>
                  </w:r>
                  <w:r>
                    <w:rPr>
                      <w:rFonts w:hint="default" w:ascii="Times New Roman" w:hAnsi="Times New Roman" w:eastAsia="宋体" w:cs="Times New Roman"/>
                      <w:color w:val="auto"/>
                      <w:sz w:val="21"/>
                      <w:szCs w:val="21"/>
                      <w:lang w:val="en-US" w:eastAsia="zh-CN"/>
                    </w:rPr>
                    <w:t>万kW·h</w:t>
                  </w:r>
                </w:p>
              </w:tc>
              <w:tc>
                <w:tcPr>
                  <w:tcW w:w="1231" w:type="dxa"/>
                  <w:shd w:val="clear" w:color="auto" w:fill="auto"/>
                  <w:vAlign w:val="center"/>
                </w:tcPr>
                <w:p w14:paraId="17AD48B4">
                  <w:pPr>
                    <w:pStyle w:val="70"/>
                    <w:spacing w:line="240" w:lineRule="auto"/>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w:t>
                  </w:r>
                </w:p>
              </w:tc>
              <w:tc>
                <w:tcPr>
                  <w:tcW w:w="507" w:type="dxa"/>
                  <w:shd w:val="clear" w:color="auto" w:fill="auto"/>
                  <w:vAlign w:val="center"/>
                </w:tcPr>
                <w:p w14:paraId="33BCD2AB">
                  <w:pPr>
                    <w:pStyle w:val="70"/>
                    <w:spacing w:line="240" w:lineRule="auto"/>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园区供电管网</w:t>
                  </w:r>
                </w:p>
              </w:tc>
              <w:tc>
                <w:tcPr>
                  <w:tcW w:w="869" w:type="dxa"/>
                  <w:shd w:val="clear" w:color="auto" w:fill="auto"/>
                  <w:vAlign w:val="center"/>
                </w:tcPr>
                <w:p w14:paraId="45A65556">
                  <w:pPr>
                    <w:pStyle w:val="70"/>
                    <w:spacing w:line="240" w:lineRule="auto"/>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w:t>
                  </w:r>
                </w:p>
              </w:tc>
              <w:tc>
                <w:tcPr>
                  <w:tcW w:w="869" w:type="dxa"/>
                  <w:shd w:val="clear" w:color="auto" w:fill="auto"/>
                  <w:vAlign w:val="center"/>
                </w:tcPr>
                <w:p w14:paraId="12C2C150">
                  <w:pPr>
                    <w:pStyle w:val="70"/>
                    <w:spacing w:line="240" w:lineRule="auto"/>
                    <w:jc w:val="center"/>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w:t>
                  </w:r>
                </w:p>
              </w:tc>
              <w:tc>
                <w:tcPr>
                  <w:tcW w:w="869" w:type="dxa"/>
                  <w:shd w:val="clear" w:color="auto" w:fill="auto"/>
                  <w:vAlign w:val="center"/>
                </w:tcPr>
                <w:p w14:paraId="7EA7FBFD">
                  <w:pPr>
                    <w:pStyle w:val="70"/>
                    <w:spacing w:line="240" w:lineRule="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w:t>
                  </w:r>
                </w:p>
              </w:tc>
            </w:tr>
          </w:tbl>
          <w:p w14:paraId="0794078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本项目主要化学品物料理化性质及毒理危险性见下表。</w:t>
            </w:r>
          </w:p>
          <w:p w14:paraId="09BEA091">
            <w:pPr>
              <w:pStyle w:val="68"/>
              <w:spacing w:line="240" w:lineRule="auto"/>
              <w:rPr>
                <w:rFonts w:hint="eastAsia" w:ascii="Times New Roman" w:hAnsi="Times New Roman" w:eastAsia="宋体" w:cs="Times New Roman"/>
                <w:b/>
                <w:bCs/>
                <w:color w:val="auto"/>
              </w:rPr>
            </w:pPr>
            <w:r>
              <w:rPr>
                <w:rFonts w:hint="eastAsia" w:ascii="Times New Roman" w:hAnsi="Times New Roman" w:eastAsia="宋体" w:cs="Times New Roman"/>
                <w:b/>
                <w:bCs/>
                <w:color w:val="auto"/>
              </w:rPr>
              <w:t>表2-</w:t>
            </w:r>
            <w:r>
              <w:rPr>
                <w:rFonts w:hint="eastAsia" w:eastAsia="宋体" w:cs="Times New Roman"/>
                <w:b/>
                <w:bCs/>
                <w:color w:val="auto"/>
                <w:lang w:val="en-US" w:eastAsia="zh-CN"/>
              </w:rPr>
              <w:t>5</w:t>
            </w:r>
            <w:r>
              <w:rPr>
                <w:rFonts w:hint="eastAsia" w:ascii="Times New Roman" w:hAnsi="Times New Roman" w:eastAsia="宋体" w:cs="Times New Roman"/>
                <w:b/>
                <w:bCs/>
                <w:color w:val="auto"/>
              </w:rPr>
              <w:t xml:space="preserve">  </w:t>
            </w:r>
            <w:r>
              <w:rPr>
                <w:rFonts w:hint="eastAsia" w:ascii="Times New Roman" w:hAnsi="Times New Roman" w:eastAsia="宋体" w:cs="Times New Roman"/>
                <w:b/>
                <w:bCs/>
                <w:color w:val="auto"/>
                <w:lang w:val="en-US" w:eastAsia="zh-CN"/>
              </w:rPr>
              <w:t>项目涉及的主要化学品物料理化性质及</w:t>
            </w:r>
            <w:r>
              <w:rPr>
                <w:rFonts w:hint="eastAsia" w:eastAsia="宋体" w:cs="Times New Roman"/>
                <w:b/>
                <w:bCs/>
                <w:color w:val="auto"/>
                <w:lang w:val="en-US" w:eastAsia="zh-CN"/>
              </w:rPr>
              <w:t>其危害性</w:t>
            </w:r>
            <w:r>
              <w:rPr>
                <w:rFonts w:hint="eastAsia" w:ascii="Times New Roman" w:hAnsi="Times New Roman" w:eastAsia="宋体" w:cs="Times New Roman"/>
                <w:b/>
                <w:bCs/>
                <w:color w:val="auto"/>
                <w:lang w:val="en-US" w:eastAsia="zh-CN"/>
              </w:rPr>
              <w:t>一览</w:t>
            </w:r>
            <w:r>
              <w:rPr>
                <w:rFonts w:hint="eastAsia" w:ascii="Times New Roman" w:hAnsi="Times New Roman" w:eastAsia="宋体" w:cs="Times New Roman"/>
                <w:b/>
                <w:bCs/>
                <w:color w:val="auto"/>
              </w:rPr>
              <w:t>表</w:t>
            </w:r>
          </w:p>
          <w:tbl>
            <w:tblPr>
              <w:tblStyle w:val="42"/>
              <w:tblW w:w="7760" w:type="dxa"/>
              <w:tblInd w:w="5"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379"/>
              <w:gridCol w:w="1320"/>
              <w:gridCol w:w="3825"/>
              <w:gridCol w:w="2236"/>
            </w:tblGrid>
            <w:tr w14:paraId="6890BED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379" w:type="dxa"/>
                  <w:vAlign w:val="center"/>
                </w:tcPr>
                <w:p w14:paraId="4AEF0D84">
                  <w:pPr>
                    <w:pStyle w:val="70"/>
                    <w:spacing w:line="240" w:lineRule="auto"/>
                    <w:jc w:val="center"/>
                    <w:rPr>
                      <w:rFonts w:hint="eastAsia" w:ascii="Times New Roman" w:hAnsi="Times New Roman" w:eastAsia="宋体" w:cs="Times New Roman"/>
                      <w:b/>
                      <w:bCs/>
                      <w:color w:val="auto"/>
                      <w:sz w:val="21"/>
                      <w:szCs w:val="21"/>
                      <w:lang w:val="en-US" w:eastAsia="zh-CN"/>
                    </w:rPr>
                  </w:pPr>
                  <w:r>
                    <w:rPr>
                      <w:rFonts w:hint="eastAsia" w:ascii="Times New Roman" w:hAnsi="Times New Roman" w:eastAsia="宋体" w:cs="Times New Roman"/>
                      <w:b/>
                      <w:bCs/>
                      <w:color w:val="auto"/>
                      <w:sz w:val="21"/>
                      <w:szCs w:val="21"/>
                      <w:lang w:val="en-US" w:eastAsia="zh-CN"/>
                    </w:rPr>
                    <w:t>序号</w:t>
                  </w:r>
                </w:p>
              </w:tc>
              <w:tc>
                <w:tcPr>
                  <w:tcW w:w="1320" w:type="dxa"/>
                  <w:vAlign w:val="center"/>
                </w:tcPr>
                <w:p w14:paraId="2AC86C77">
                  <w:pPr>
                    <w:pStyle w:val="70"/>
                    <w:spacing w:line="240" w:lineRule="auto"/>
                    <w:jc w:val="center"/>
                    <w:rPr>
                      <w:rFonts w:hint="eastAsia" w:ascii="Times New Roman" w:hAnsi="Times New Roman" w:eastAsia="宋体" w:cs="Times New Roman"/>
                      <w:b/>
                      <w:bCs/>
                      <w:color w:val="auto"/>
                      <w:sz w:val="21"/>
                      <w:szCs w:val="21"/>
                      <w:lang w:val="en-US" w:eastAsia="zh-CN"/>
                    </w:rPr>
                  </w:pPr>
                  <w:r>
                    <w:rPr>
                      <w:rFonts w:hint="eastAsia" w:ascii="Times New Roman" w:hAnsi="Times New Roman" w:eastAsia="宋体" w:cs="Times New Roman"/>
                      <w:b/>
                      <w:bCs/>
                      <w:color w:val="auto"/>
                      <w:sz w:val="21"/>
                      <w:szCs w:val="21"/>
                      <w:lang w:val="en-US" w:eastAsia="zh-CN"/>
                    </w:rPr>
                    <w:t>名称</w:t>
                  </w:r>
                </w:p>
              </w:tc>
              <w:tc>
                <w:tcPr>
                  <w:tcW w:w="3825" w:type="dxa"/>
                  <w:vAlign w:val="center"/>
                </w:tcPr>
                <w:p w14:paraId="20035A33">
                  <w:pPr>
                    <w:pStyle w:val="70"/>
                    <w:spacing w:line="240" w:lineRule="auto"/>
                    <w:jc w:val="center"/>
                    <w:rPr>
                      <w:rFonts w:hint="default" w:ascii="Times New Roman" w:hAnsi="Times New Roman" w:eastAsia="宋体" w:cs="Times New Roman"/>
                      <w:b/>
                      <w:bCs/>
                      <w:color w:val="auto"/>
                      <w:sz w:val="21"/>
                      <w:szCs w:val="21"/>
                      <w:lang w:val="en-US" w:eastAsia="zh-CN"/>
                    </w:rPr>
                  </w:pPr>
                  <w:r>
                    <w:rPr>
                      <w:rFonts w:hint="default" w:ascii="Times New Roman" w:hAnsi="Times New Roman" w:eastAsia="宋体" w:cs="Times New Roman"/>
                      <w:b/>
                      <w:bCs/>
                      <w:color w:val="auto"/>
                      <w:sz w:val="21"/>
                      <w:szCs w:val="21"/>
                      <w:lang w:val="en-US" w:eastAsia="zh-CN"/>
                    </w:rPr>
                    <w:t>理化特性</w:t>
                  </w:r>
                </w:p>
              </w:tc>
              <w:tc>
                <w:tcPr>
                  <w:tcW w:w="2236" w:type="dxa"/>
                  <w:vAlign w:val="center"/>
                </w:tcPr>
                <w:p w14:paraId="193A238E">
                  <w:pPr>
                    <w:pStyle w:val="70"/>
                    <w:spacing w:line="240" w:lineRule="auto"/>
                    <w:jc w:val="center"/>
                    <w:rPr>
                      <w:rFonts w:hint="default" w:ascii="Times New Roman" w:hAnsi="Times New Roman" w:eastAsia="宋体" w:cs="Times New Roman"/>
                      <w:b/>
                      <w:bCs/>
                      <w:color w:val="auto"/>
                      <w:sz w:val="21"/>
                      <w:szCs w:val="21"/>
                      <w:lang w:val="en-US" w:eastAsia="zh-CN"/>
                    </w:rPr>
                  </w:pPr>
                  <w:r>
                    <w:rPr>
                      <w:rFonts w:hint="eastAsia" w:ascii="Times New Roman" w:hAnsi="Times New Roman" w:eastAsia="宋体" w:cs="Times New Roman"/>
                      <w:b/>
                      <w:bCs/>
                      <w:color w:val="auto"/>
                      <w:sz w:val="21"/>
                      <w:szCs w:val="21"/>
                      <w:lang w:val="en-US" w:eastAsia="zh-CN"/>
                    </w:rPr>
                    <w:t>危害性</w:t>
                  </w:r>
                </w:p>
              </w:tc>
            </w:tr>
            <w:tr w14:paraId="2B65C7D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379" w:type="dxa"/>
                  <w:vAlign w:val="center"/>
                </w:tcPr>
                <w:p w14:paraId="03C81FFE">
                  <w:pPr>
                    <w:pStyle w:val="70"/>
                    <w:spacing w:line="240" w:lineRule="auto"/>
                    <w:jc w:val="center"/>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1</w:t>
                  </w:r>
                </w:p>
              </w:tc>
              <w:tc>
                <w:tcPr>
                  <w:tcW w:w="1320" w:type="dxa"/>
                  <w:vAlign w:val="center"/>
                </w:tcPr>
                <w:p w14:paraId="609CEAB5">
                  <w:pPr>
                    <w:pStyle w:val="70"/>
                    <w:spacing w:line="240" w:lineRule="auto"/>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rPr>
                    <w:t>磷酸铁锂</w:t>
                  </w:r>
                </w:p>
              </w:tc>
              <w:tc>
                <w:tcPr>
                  <w:tcW w:w="3825" w:type="dxa"/>
                  <w:vAlign w:val="center"/>
                </w:tcPr>
                <w:p w14:paraId="1B21A065">
                  <w:pPr>
                    <w:pStyle w:val="70"/>
                    <w:spacing w:line="240" w:lineRule="auto"/>
                    <w:jc w:val="center"/>
                    <w:rPr>
                      <w:rFonts w:hint="eastAsia" w:ascii="Times New Roman" w:hAnsi="Times New Roman" w:eastAsia="宋体" w:cs="Times New Roman"/>
                      <w:color w:val="auto"/>
                      <w:sz w:val="21"/>
                      <w:szCs w:val="21"/>
                      <w:lang w:val="en-US" w:eastAsia="zh-CN"/>
                    </w:rPr>
                  </w:pPr>
                  <w:r>
                    <w:rPr>
                      <w:rFonts w:ascii="Helvetica" w:hAnsi="Helvetica" w:eastAsia="Helvetica" w:cs="Helvetica"/>
                      <w:i w:val="0"/>
                      <w:iCs w:val="0"/>
                      <w:caps w:val="0"/>
                      <w:color w:val="auto"/>
                      <w:spacing w:val="0"/>
                      <w:sz w:val="21"/>
                      <w:szCs w:val="21"/>
                      <w:shd w:val="clear" w:fill="FFFFFF"/>
                    </w:rPr>
                    <w:t>是一种具有橄榄石结构的新型锂离子电池正极材料，</w:t>
                  </w:r>
                  <w:r>
                    <w:rPr>
                      <w:rFonts w:hint="eastAsia" w:ascii="Times New Roman" w:hAnsi="Times New Roman" w:eastAsia="宋体" w:cs="Times New Roman"/>
                      <w:color w:val="auto"/>
                      <w:sz w:val="21"/>
                      <w:szCs w:val="21"/>
                      <w:lang w:val="en-US" w:eastAsia="zh-CN"/>
                    </w:rPr>
                    <w:t>CAS号15365-14-7，分子式FeLiO</w:t>
                  </w:r>
                  <w:r>
                    <w:rPr>
                      <w:rFonts w:hint="eastAsia" w:ascii="Times New Roman" w:hAnsi="Times New Roman" w:eastAsia="宋体" w:cs="Times New Roman"/>
                      <w:color w:val="auto"/>
                      <w:sz w:val="21"/>
                      <w:szCs w:val="21"/>
                      <w:vertAlign w:val="subscript"/>
                      <w:lang w:val="en-US" w:eastAsia="zh-CN"/>
                    </w:rPr>
                    <w:t>4</w:t>
                  </w:r>
                  <w:r>
                    <w:rPr>
                      <w:rFonts w:hint="eastAsia" w:ascii="Times New Roman" w:hAnsi="Times New Roman" w:eastAsia="宋体" w:cs="Times New Roman"/>
                      <w:color w:val="auto"/>
                      <w:sz w:val="21"/>
                      <w:szCs w:val="21"/>
                      <w:lang w:val="en-US" w:eastAsia="zh-CN"/>
                    </w:rPr>
                    <w:t>P，熔点＞300</w:t>
                  </w:r>
                  <w:r>
                    <w:rPr>
                      <w:rFonts w:hint="default" w:ascii="Times New Roman" w:hAnsi="Times New Roman" w:eastAsia="宋体" w:cs="Times New Roman"/>
                      <w:color w:val="auto"/>
                      <w:sz w:val="21"/>
                      <w:szCs w:val="21"/>
                      <w:lang w:val="en-US" w:eastAsia="zh-CN"/>
                    </w:rPr>
                    <w:t>℃</w:t>
                  </w:r>
                  <w:r>
                    <w:rPr>
                      <w:rFonts w:hint="eastAsia" w:ascii="Times New Roman" w:hAnsi="Times New Roman" w:eastAsia="宋体" w:cs="Times New Roman"/>
                      <w:color w:val="auto"/>
                      <w:sz w:val="21"/>
                      <w:szCs w:val="21"/>
                      <w:lang w:val="en-US" w:eastAsia="zh-CN"/>
                    </w:rPr>
                    <w:t>。</w:t>
                  </w:r>
                </w:p>
              </w:tc>
              <w:tc>
                <w:tcPr>
                  <w:tcW w:w="2236" w:type="dxa"/>
                  <w:vAlign w:val="center"/>
                </w:tcPr>
                <w:p w14:paraId="0F5CF8CE">
                  <w:pPr>
                    <w:pStyle w:val="70"/>
                    <w:spacing w:line="240" w:lineRule="auto"/>
                    <w:jc w:val="center"/>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w:t>
                  </w:r>
                </w:p>
              </w:tc>
            </w:tr>
            <w:tr w14:paraId="02915F7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379" w:type="dxa"/>
                  <w:vAlign w:val="center"/>
                </w:tcPr>
                <w:p w14:paraId="08699F7F">
                  <w:pPr>
                    <w:pStyle w:val="70"/>
                    <w:spacing w:line="240" w:lineRule="auto"/>
                    <w:jc w:val="center"/>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2</w:t>
                  </w:r>
                </w:p>
              </w:tc>
              <w:tc>
                <w:tcPr>
                  <w:tcW w:w="1320" w:type="dxa"/>
                  <w:vAlign w:val="center"/>
                </w:tcPr>
                <w:p w14:paraId="32CE1332">
                  <w:pPr>
                    <w:pStyle w:val="70"/>
                    <w:spacing w:line="240" w:lineRule="auto"/>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rPr>
                    <w:t>人造石墨</w:t>
                  </w:r>
                </w:p>
              </w:tc>
              <w:tc>
                <w:tcPr>
                  <w:tcW w:w="3825" w:type="dxa"/>
                  <w:vAlign w:val="center"/>
                </w:tcPr>
                <w:p w14:paraId="5700584E">
                  <w:pPr>
                    <w:pStyle w:val="70"/>
                    <w:spacing w:line="240" w:lineRule="auto"/>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rPr>
                    <w:t>是以杂质含量较低的炭质原料（如石油焦）为骨料、煤沥青为粘结剂，经配料、混捏、成型、炭化和</w:t>
                  </w:r>
                  <w:r>
                    <w:rPr>
                      <w:rFonts w:hint="default" w:ascii="Times New Roman" w:hAnsi="Times New Roman" w:eastAsia="宋体" w:cs="Times New Roman"/>
                      <w:color w:val="auto"/>
                      <w:sz w:val="21"/>
                      <w:szCs w:val="21"/>
                    </w:rPr>
                    <w:t>2500～3000℃</w:t>
                  </w:r>
                  <w:r>
                    <w:rPr>
                      <w:rFonts w:hint="eastAsia" w:ascii="Times New Roman" w:hAnsi="Times New Roman" w:eastAsia="宋体" w:cs="Times New Roman"/>
                      <w:color w:val="auto"/>
                      <w:sz w:val="21"/>
                      <w:szCs w:val="21"/>
                    </w:rPr>
                    <w:t>石墨化处理制成的高温材料。</w:t>
                  </w:r>
                </w:p>
              </w:tc>
              <w:tc>
                <w:tcPr>
                  <w:tcW w:w="2236" w:type="dxa"/>
                  <w:vAlign w:val="center"/>
                </w:tcPr>
                <w:p w14:paraId="06C4BEFD">
                  <w:pPr>
                    <w:pStyle w:val="70"/>
                    <w:spacing w:line="240" w:lineRule="auto"/>
                    <w:jc w:val="center"/>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w:t>
                  </w:r>
                </w:p>
              </w:tc>
            </w:tr>
            <w:tr w14:paraId="41534E0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379" w:type="dxa"/>
                  <w:vAlign w:val="center"/>
                </w:tcPr>
                <w:p w14:paraId="282848BF">
                  <w:pPr>
                    <w:pStyle w:val="70"/>
                    <w:spacing w:line="240" w:lineRule="auto"/>
                    <w:jc w:val="center"/>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3</w:t>
                  </w:r>
                </w:p>
              </w:tc>
              <w:tc>
                <w:tcPr>
                  <w:tcW w:w="1320" w:type="dxa"/>
                  <w:vAlign w:val="center"/>
                </w:tcPr>
                <w:p w14:paraId="621F64F0">
                  <w:pPr>
                    <w:pStyle w:val="70"/>
                    <w:spacing w:line="240" w:lineRule="auto"/>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聚偏氟乙烯（PVDF）</w:t>
                  </w:r>
                </w:p>
              </w:tc>
              <w:tc>
                <w:tcPr>
                  <w:tcW w:w="3825" w:type="dxa"/>
                  <w:vAlign w:val="center"/>
                </w:tcPr>
                <w:p w14:paraId="05D5926D">
                  <w:pPr>
                    <w:pStyle w:val="70"/>
                    <w:spacing w:line="240" w:lineRule="auto"/>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白色粉末状结晶性聚合物，具有优良的耐化学腐蚀性、耐高温色变性和耐氧化性、耐磨性、柔韧性、很高的抗</w:t>
                  </w:r>
                  <w:r>
                    <w:rPr>
                      <w:rFonts w:hint="eastAsia" w:cs="Times New Roman"/>
                      <w:color w:val="auto"/>
                      <w:sz w:val="21"/>
                      <w:szCs w:val="21"/>
                      <w:lang w:val="en-US" w:eastAsia="zh-CN"/>
                    </w:rPr>
                    <w:t>胀</w:t>
                  </w:r>
                  <w:r>
                    <w:rPr>
                      <w:rFonts w:hint="default" w:ascii="Times New Roman" w:hAnsi="Times New Roman" w:eastAsia="宋体" w:cs="Times New Roman"/>
                      <w:color w:val="auto"/>
                      <w:sz w:val="21"/>
                      <w:szCs w:val="21"/>
                      <w:lang w:val="en-US" w:eastAsia="zh-CN"/>
                    </w:rPr>
                    <w:t>强度和耐冲击性强度。密度1.7-1.8g/c</w:t>
                  </w:r>
                  <w:r>
                    <w:rPr>
                      <w:rFonts w:hint="eastAsia" w:ascii="Times New Roman" w:hAnsi="Times New Roman" w:eastAsia="宋体" w:cs="Times New Roman"/>
                      <w:color w:val="auto"/>
                      <w:sz w:val="21"/>
                      <w:szCs w:val="21"/>
                      <w:lang w:val="en-US" w:eastAsia="zh-CN"/>
                    </w:rPr>
                    <w:t>m</w:t>
                  </w:r>
                  <w:r>
                    <w:rPr>
                      <w:rFonts w:hint="eastAsia" w:ascii="Times New Roman" w:hAnsi="Times New Roman" w:eastAsia="宋体" w:cs="Times New Roman"/>
                      <w:color w:val="auto"/>
                      <w:sz w:val="21"/>
                      <w:szCs w:val="21"/>
                      <w:vertAlign w:val="superscript"/>
                      <w:lang w:val="en-US" w:eastAsia="zh-CN"/>
                    </w:rPr>
                    <w:t>3</w:t>
                  </w:r>
                  <w:r>
                    <w:rPr>
                      <w:rFonts w:hint="eastAsia" w:ascii="Times New Roman" w:hAnsi="Times New Roman" w:eastAsia="宋体" w:cs="Times New Roman"/>
                      <w:color w:val="auto"/>
                      <w:sz w:val="21"/>
                      <w:szCs w:val="21"/>
                      <w:lang w:val="en-US" w:eastAsia="zh-CN"/>
                    </w:rPr>
                    <w:t>，不溶于水，分解温度为270℃，熔点为155-172℃</w:t>
                  </w:r>
                </w:p>
              </w:tc>
              <w:tc>
                <w:tcPr>
                  <w:tcW w:w="2236" w:type="dxa"/>
                  <w:vAlign w:val="center"/>
                </w:tcPr>
                <w:p w14:paraId="0EAC2A46">
                  <w:pPr>
                    <w:pStyle w:val="70"/>
                    <w:spacing w:line="240" w:lineRule="auto"/>
                    <w:jc w:val="center"/>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w:t>
                  </w:r>
                </w:p>
              </w:tc>
            </w:tr>
            <w:tr w14:paraId="5342117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379" w:type="dxa"/>
                  <w:vAlign w:val="center"/>
                </w:tcPr>
                <w:p w14:paraId="6581BF29">
                  <w:pPr>
                    <w:pStyle w:val="70"/>
                    <w:spacing w:line="240" w:lineRule="auto"/>
                    <w:jc w:val="center"/>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4</w:t>
                  </w:r>
                </w:p>
              </w:tc>
              <w:tc>
                <w:tcPr>
                  <w:tcW w:w="1320" w:type="dxa"/>
                  <w:vAlign w:val="center"/>
                </w:tcPr>
                <w:p w14:paraId="7DD3A597">
                  <w:pPr>
                    <w:pStyle w:val="70"/>
                    <w:spacing w:line="240" w:lineRule="auto"/>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N-甲基吡咯烷酮（NMP）</w:t>
                  </w:r>
                </w:p>
              </w:tc>
              <w:tc>
                <w:tcPr>
                  <w:tcW w:w="3825" w:type="dxa"/>
                  <w:vAlign w:val="center"/>
                </w:tcPr>
                <w:p w14:paraId="68DDC958">
                  <w:pPr>
                    <w:pStyle w:val="70"/>
                    <w:spacing w:line="240" w:lineRule="auto"/>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CAS号872-50-4</w:t>
                  </w:r>
                  <w:r>
                    <w:rPr>
                      <w:rFonts w:hint="eastAsia" w:ascii="Times New Roman" w:hAnsi="Times New Roman" w:eastAsia="宋体" w:cs="Times New Roman"/>
                      <w:color w:val="auto"/>
                      <w:sz w:val="21"/>
                      <w:szCs w:val="21"/>
                      <w:lang w:val="en-US" w:eastAsia="zh-CN"/>
                    </w:rPr>
                    <w:t>，分子式C</w:t>
                  </w:r>
                  <w:r>
                    <w:rPr>
                      <w:rFonts w:hint="eastAsia" w:ascii="Times New Roman" w:hAnsi="Times New Roman" w:eastAsia="宋体" w:cs="Times New Roman"/>
                      <w:color w:val="auto"/>
                      <w:sz w:val="21"/>
                      <w:szCs w:val="21"/>
                      <w:vertAlign w:val="subscript"/>
                      <w:lang w:val="en-US" w:eastAsia="zh-CN"/>
                    </w:rPr>
                    <w:t>5</w:t>
                  </w:r>
                  <w:r>
                    <w:rPr>
                      <w:rFonts w:hint="eastAsia" w:ascii="Times New Roman" w:hAnsi="Times New Roman" w:eastAsia="宋体" w:cs="Times New Roman"/>
                      <w:color w:val="auto"/>
                      <w:sz w:val="21"/>
                      <w:szCs w:val="21"/>
                      <w:lang w:val="en-US" w:eastAsia="zh-CN"/>
                    </w:rPr>
                    <w:t>H</w:t>
                  </w:r>
                  <w:r>
                    <w:rPr>
                      <w:rFonts w:hint="eastAsia" w:ascii="Times New Roman" w:hAnsi="Times New Roman" w:eastAsia="宋体" w:cs="Times New Roman"/>
                      <w:color w:val="auto"/>
                      <w:sz w:val="21"/>
                      <w:szCs w:val="21"/>
                      <w:vertAlign w:val="subscript"/>
                      <w:lang w:val="en-US" w:eastAsia="zh-CN"/>
                    </w:rPr>
                    <w:t>9</w:t>
                  </w:r>
                  <w:r>
                    <w:rPr>
                      <w:rFonts w:hint="eastAsia" w:ascii="Times New Roman" w:hAnsi="Times New Roman" w:eastAsia="宋体" w:cs="Times New Roman"/>
                      <w:color w:val="auto"/>
                      <w:sz w:val="21"/>
                      <w:szCs w:val="21"/>
                      <w:lang w:val="en-US" w:eastAsia="zh-CN"/>
                    </w:rPr>
                    <w:t>NO，分子量99.13，</w:t>
                  </w:r>
                  <w:r>
                    <w:rPr>
                      <w:rFonts w:hint="default" w:ascii="Times New Roman" w:hAnsi="Times New Roman" w:eastAsia="宋体" w:cs="Times New Roman"/>
                      <w:color w:val="auto"/>
                      <w:sz w:val="21"/>
                      <w:szCs w:val="21"/>
                      <w:lang w:val="en-US" w:eastAsia="zh-CN"/>
                    </w:rPr>
                    <w:t>无色</w:t>
                  </w:r>
                  <w:r>
                    <w:rPr>
                      <w:rFonts w:hint="eastAsia" w:ascii="Times New Roman" w:hAnsi="Times New Roman" w:eastAsia="宋体" w:cs="Times New Roman"/>
                      <w:color w:val="auto"/>
                      <w:sz w:val="21"/>
                      <w:szCs w:val="21"/>
                      <w:lang w:val="en-US" w:eastAsia="zh-CN"/>
                    </w:rPr>
                    <w:t>或淡黄色透明液体，</w:t>
                  </w:r>
                  <w:r>
                    <w:rPr>
                      <w:rFonts w:hint="default" w:ascii="Times New Roman" w:hAnsi="Times New Roman" w:eastAsia="宋体" w:cs="Times New Roman"/>
                      <w:color w:val="auto"/>
                      <w:sz w:val="21"/>
                      <w:szCs w:val="21"/>
                      <w:lang w:val="en-US" w:eastAsia="zh-CN"/>
                    </w:rPr>
                    <w:t>相对密度</w:t>
                  </w:r>
                  <w:r>
                    <w:rPr>
                      <w:rFonts w:hint="eastAsia" w:cs="Times New Roman"/>
                      <w:color w:val="auto"/>
                      <w:sz w:val="21"/>
                      <w:szCs w:val="21"/>
                      <w:lang w:val="en-US" w:eastAsia="zh-CN"/>
                    </w:rPr>
                    <w:t>1.03g</w:t>
                  </w:r>
                  <w:r>
                    <w:rPr>
                      <w:rFonts w:hint="eastAsia" w:ascii="Times New Roman" w:hAnsi="Times New Roman" w:eastAsia="宋体" w:cs="Times New Roman"/>
                      <w:color w:val="auto"/>
                      <w:sz w:val="21"/>
                      <w:szCs w:val="21"/>
                      <w:lang w:val="en-US" w:eastAsia="zh-CN"/>
                    </w:rPr>
                    <w:t>/cm</w:t>
                  </w:r>
                  <w:r>
                    <w:rPr>
                      <w:rFonts w:hint="eastAsia" w:ascii="Times New Roman" w:hAnsi="Times New Roman" w:eastAsia="宋体" w:cs="Times New Roman"/>
                      <w:color w:val="auto"/>
                      <w:sz w:val="21"/>
                      <w:szCs w:val="21"/>
                      <w:vertAlign w:val="superscript"/>
                      <w:lang w:val="en-US" w:eastAsia="zh-CN"/>
                    </w:rPr>
                    <w:t>3</w:t>
                  </w:r>
                  <w:r>
                    <w:rPr>
                      <w:rFonts w:hint="eastAsia" w:ascii="Times New Roman" w:hAnsi="Times New Roman" w:eastAsia="宋体" w:cs="Times New Roman"/>
                      <w:color w:val="auto"/>
                      <w:sz w:val="21"/>
                      <w:szCs w:val="21"/>
                      <w:lang w:val="en-US" w:eastAsia="zh-CN"/>
                    </w:rPr>
                    <w:t>，熔点-24（-11°F），</w:t>
                  </w:r>
                  <w:r>
                    <w:rPr>
                      <w:rFonts w:hint="default" w:ascii="Times New Roman" w:hAnsi="Times New Roman" w:eastAsia="宋体" w:cs="Times New Roman"/>
                      <w:color w:val="auto"/>
                      <w:sz w:val="21"/>
                      <w:szCs w:val="21"/>
                      <w:lang w:val="en-US" w:eastAsia="zh-CN"/>
                    </w:rPr>
                    <w:t>稍有氨味，具有</w:t>
                  </w:r>
                  <w:r>
                    <w:rPr>
                      <w:rFonts w:hint="eastAsia" w:cs="Times New Roman"/>
                      <w:color w:val="auto"/>
                      <w:sz w:val="21"/>
                      <w:szCs w:val="21"/>
                      <w:lang w:val="en-US" w:eastAsia="zh-CN"/>
                    </w:rPr>
                    <w:t>黏度</w:t>
                  </w:r>
                  <w:r>
                    <w:rPr>
                      <w:rFonts w:hint="default" w:ascii="Times New Roman" w:hAnsi="Times New Roman" w:eastAsia="宋体" w:cs="Times New Roman"/>
                      <w:color w:val="auto"/>
                      <w:sz w:val="21"/>
                      <w:szCs w:val="21"/>
                      <w:lang w:val="en-US" w:eastAsia="zh-CN"/>
                    </w:rPr>
                    <w:t>低，能与水混溶，溶于乙醚，丙酮及各种有机溶剂无限混溶，化学性能稳定和热稳定性好，具有极性高，挥发性低等优点。对碳钢、铝不腐蚀，对铜稍有腐蚀性。其用作正极材料的浆料溶剂。</w:t>
                  </w:r>
                </w:p>
              </w:tc>
              <w:tc>
                <w:tcPr>
                  <w:tcW w:w="2236" w:type="dxa"/>
                  <w:vAlign w:val="center"/>
                </w:tcPr>
                <w:p w14:paraId="7C5C731E">
                  <w:pPr>
                    <w:pStyle w:val="70"/>
                    <w:spacing w:line="240" w:lineRule="auto"/>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易燃液体；遇明火、高温、强氧化剂可燃。LD50口</w:t>
                  </w:r>
                  <w:r>
                    <w:rPr>
                      <w:rFonts w:hint="eastAsia" w:ascii="宋体" w:hAnsi="宋体" w:eastAsia="宋体" w:cs="宋体"/>
                      <w:color w:val="auto"/>
                      <w:sz w:val="21"/>
                      <w:szCs w:val="21"/>
                    </w:rPr>
                    <w:t>服</w:t>
                  </w:r>
                  <w:r>
                    <w:rPr>
                      <w:rFonts w:hint="eastAsia" w:ascii="宋体" w:hAnsi="宋体" w:cs="宋体"/>
                      <w:color w:val="auto"/>
                      <w:sz w:val="21"/>
                      <w:szCs w:val="21"/>
                      <w:lang w:eastAsia="zh-CN"/>
                    </w:rPr>
                    <w:t>（</w:t>
                  </w:r>
                  <w:r>
                    <w:rPr>
                      <w:rFonts w:hint="eastAsia" w:ascii="宋体" w:hAnsi="宋体" w:eastAsia="宋体" w:cs="宋体"/>
                      <w:color w:val="auto"/>
                      <w:sz w:val="21"/>
                      <w:szCs w:val="21"/>
                    </w:rPr>
                    <w:t>鼠</w:t>
                  </w:r>
                  <w:r>
                    <w:rPr>
                      <w:rFonts w:hint="eastAsia" w:ascii="宋体" w:hAnsi="宋体" w:cs="宋体"/>
                      <w:color w:val="auto"/>
                      <w:sz w:val="21"/>
                      <w:szCs w:val="21"/>
                      <w:lang w:eastAsia="zh-CN"/>
                    </w:rPr>
                    <w:t>）</w:t>
                  </w:r>
                  <w:r>
                    <w:rPr>
                      <w:rFonts w:hint="eastAsia" w:ascii="宋体" w:hAnsi="宋体" w:eastAsia="宋体" w:cs="宋体"/>
                      <w:color w:val="auto"/>
                      <w:sz w:val="21"/>
                      <w:szCs w:val="21"/>
                      <w:lang w:eastAsia="zh-CN"/>
                    </w:rPr>
                    <w:t>：</w:t>
                  </w:r>
                  <w:r>
                    <w:rPr>
                      <w:rFonts w:hint="default" w:ascii="Times New Roman" w:hAnsi="Times New Roman" w:cs="Times New Roman"/>
                      <w:color w:val="auto"/>
                      <w:sz w:val="21"/>
                      <w:szCs w:val="21"/>
                    </w:rPr>
                    <w:t>3914mg/kg</w:t>
                  </w:r>
                </w:p>
                <w:p w14:paraId="3C3F432E">
                  <w:pPr>
                    <w:pStyle w:val="70"/>
                    <w:spacing w:line="240" w:lineRule="auto"/>
                    <w:jc w:val="center"/>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rPr>
                    <w:t>LD50皮</w:t>
                  </w:r>
                  <w:r>
                    <w:rPr>
                      <w:rFonts w:hint="eastAsia" w:ascii="宋体" w:hAnsi="宋体" w:eastAsia="宋体" w:cs="宋体"/>
                      <w:color w:val="auto"/>
                      <w:sz w:val="21"/>
                      <w:szCs w:val="21"/>
                    </w:rPr>
                    <w:t>肤</w:t>
                  </w:r>
                  <w:r>
                    <w:rPr>
                      <w:rFonts w:hint="eastAsia" w:ascii="宋体" w:hAnsi="宋体" w:cs="宋体"/>
                      <w:color w:val="auto"/>
                      <w:sz w:val="21"/>
                      <w:szCs w:val="21"/>
                      <w:lang w:eastAsia="zh-CN"/>
                    </w:rPr>
                    <w:t>（</w:t>
                  </w:r>
                  <w:r>
                    <w:rPr>
                      <w:rFonts w:hint="eastAsia" w:ascii="宋体" w:hAnsi="宋体" w:eastAsia="宋体" w:cs="宋体"/>
                      <w:color w:val="auto"/>
                      <w:sz w:val="21"/>
                      <w:szCs w:val="21"/>
                    </w:rPr>
                    <w:t>兔</w:t>
                  </w:r>
                  <w:r>
                    <w:rPr>
                      <w:rFonts w:hint="eastAsia" w:ascii="宋体" w:hAnsi="宋体" w:cs="宋体"/>
                      <w:color w:val="auto"/>
                      <w:sz w:val="21"/>
                      <w:szCs w:val="21"/>
                      <w:lang w:eastAsia="zh-CN"/>
                    </w:rPr>
                    <w:t>）</w:t>
                  </w:r>
                  <w:r>
                    <w:rPr>
                      <w:rFonts w:hint="eastAsia" w:ascii="Times New Roman" w:hAnsi="Times New Roman" w:eastAsia="宋体" w:cs="Times New Roman"/>
                      <w:color w:val="auto"/>
                      <w:sz w:val="21"/>
                      <w:szCs w:val="21"/>
                      <w:lang w:eastAsia="zh-CN"/>
                    </w:rPr>
                    <w:t>：</w:t>
                  </w:r>
                  <w:r>
                    <w:rPr>
                      <w:rFonts w:hint="default" w:ascii="Times New Roman" w:hAnsi="Times New Roman" w:cs="Times New Roman"/>
                      <w:color w:val="auto"/>
                      <w:sz w:val="21"/>
                      <w:szCs w:val="21"/>
                    </w:rPr>
                    <w:t>8000mg/kg</w:t>
                  </w:r>
                </w:p>
              </w:tc>
            </w:tr>
            <w:tr w14:paraId="49B04E2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379" w:type="dxa"/>
                  <w:vAlign w:val="center"/>
                </w:tcPr>
                <w:p w14:paraId="0520576E">
                  <w:pPr>
                    <w:pStyle w:val="70"/>
                    <w:spacing w:line="240" w:lineRule="auto"/>
                    <w:jc w:val="center"/>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5</w:t>
                  </w:r>
                </w:p>
              </w:tc>
              <w:tc>
                <w:tcPr>
                  <w:tcW w:w="1320" w:type="dxa"/>
                  <w:vAlign w:val="center"/>
                </w:tcPr>
                <w:p w14:paraId="06816829">
                  <w:pPr>
                    <w:pStyle w:val="70"/>
                    <w:spacing w:line="240" w:lineRule="auto"/>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rPr>
                    <w:t>碳黑</w:t>
                  </w:r>
                </w:p>
              </w:tc>
              <w:tc>
                <w:tcPr>
                  <w:tcW w:w="3825" w:type="dxa"/>
                  <w:vAlign w:val="center"/>
                </w:tcPr>
                <w:p w14:paraId="3C812866">
                  <w:pPr>
                    <w:pStyle w:val="70"/>
                    <w:spacing w:line="240" w:lineRule="auto"/>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CAS号1333-86-4，黑色粉末状或颗粒状，密度为1.8-2.0g/cm</w:t>
                  </w:r>
                  <w:r>
                    <w:rPr>
                      <w:rFonts w:hint="eastAsia" w:ascii="Times New Roman" w:hAnsi="Times New Roman" w:eastAsia="宋体" w:cs="Times New Roman"/>
                      <w:color w:val="auto"/>
                      <w:sz w:val="21"/>
                      <w:szCs w:val="21"/>
                      <w:vertAlign w:val="superscript"/>
                      <w:lang w:val="en-US" w:eastAsia="zh-CN"/>
                    </w:rPr>
                    <w:t>3</w:t>
                  </w:r>
                  <w:r>
                    <w:rPr>
                      <w:rFonts w:hint="eastAsia" w:ascii="Times New Roman" w:hAnsi="Times New Roman" w:eastAsia="宋体" w:cs="Times New Roman"/>
                      <w:color w:val="auto"/>
                      <w:sz w:val="21"/>
                      <w:szCs w:val="21"/>
                      <w:lang w:val="en-US" w:eastAsia="zh-CN"/>
                    </w:rPr>
                    <w:t>，不溶于水，分解温度为400</w:t>
                  </w:r>
                  <w:r>
                    <w:rPr>
                      <w:rFonts w:hint="default" w:ascii="Times New Roman" w:hAnsi="Times New Roman" w:eastAsia="宋体" w:cs="Times New Roman"/>
                      <w:color w:val="auto"/>
                      <w:sz w:val="21"/>
                      <w:szCs w:val="21"/>
                      <w:lang w:val="en-US" w:eastAsia="zh-CN"/>
                    </w:rPr>
                    <w:t>℃</w:t>
                  </w:r>
                  <w:r>
                    <w:rPr>
                      <w:rFonts w:hint="eastAsia" w:ascii="Times New Roman" w:hAnsi="Times New Roman" w:eastAsia="宋体" w:cs="Times New Roman"/>
                      <w:color w:val="auto"/>
                      <w:sz w:val="21"/>
                      <w:szCs w:val="21"/>
                      <w:lang w:val="en-US" w:eastAsia="zh-CN"/>
                    </w:rPr>
                    <w:t>。</w:t>
                  </w:r>
                </w:p>
              </w:tc>
              <w:tc>
                <w:tcPr>
                  <w:tcW w:w="2236" w:type="dxa"/>
                  <w:vAlign w:val="center"/>
                </w:tcPr>
                <w:p w14:paraId="4B0A67A4">
                  <w:pPr>
                    <w:pStyle w:val="70"/>
                    <w:spacing w:line="240" w:lineRule="auto"/>
                    <w:jc w:val="center"/>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w:t>
                  </w:r>
                </w:p>
              </w:tc>
            </w:tr>
            <w:tr w14:paraId="3111254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379" w:type="dxa"/>
                  <w:vAlign w:val="center"/>
                </w:tcPr>
                <w:p w14:paraId="0BD070E5">
                  <w:pPr>
                    <w:pStyle w:val="70"/>
                    <w:spacing w:line="240" w:lineRule="auto"/>
                    <w:jc w:val="center"/>
                    <w:rPr>
                      <w:rFonts w:hint="default" w:cs="Times New Roman"/>
                      <w:color w:val="auto"/>
                      <w:sz w:val="21"/>
                      <w:szCs w:val="21"/>
                      <w:lang w:val="en-US" w:eastAsia="zh-CN"/>
                    </w:rPr>
                  </w:pPr>
                  <w:r>
                    <w:rPr>
                      <w:rFonts w:hint="eastAsia" w:cs="Times New Roman"/>
                      <w:color w:val="auto"/>
                      <w:sz w:val="21"/>
                      <w:szCs w:val="21"/>
                      <w:lang w:val="en-US" w:eastAsia="zh-CN"/>
                    </w:rPr>
                    <w:t>6</w:t>
                  </w:r>
                </w:p>
              </w:tc>
              <w:tc>
                <w:tcPr>
                  <w:tcW w:w="1320" w:type="dxa"/>
                  <w:vAlign w:val="center"/>
                </w:tcPr>
                <w:p w14:paraId="5BE0A5F5">
                  <w:pPr>
                    <w:pStyle w:val="70"/>
                    <w:spacing w:line="240" w:lineRule="auto"/>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lang w:val="en-US" w:eastAsia="zh-CN"/>
                    </w:rPr>
                    <w:t>勃姆石</w:t>
                  </w:r>
                </w:p>
              </w:tc>
              <w:tc>
                <w:tcPr>
                  <w:tcW w:w="3825" w:type="dxa"/>
                  <w:vAlign w:val="center"/>
                </w:tcPr>
                <w:p w14:paraId="4B619E0B">
                  <w:pPr>
                    <w:pStyle w:val="70"/>
                    <w:spacing w:line="240" w:lineRule="auto"/>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化学式为Al</w:t>
                  </w:r>
                  <w:r>
                    <w:rPr>
                      <w:rFonts w:hint="eastAsia" w:ascii="Times New Roman" w:hAnsi="Times New Roman" w:eastAsia="宋体" w:cs="Times New Roman"/>
                      <w:color w:val="auto"/>
                      <w:sz w:val="21"/>
                      <w:szCs w:val="21"/>
                      <w:vertAlign w:val="subscript"/>
                      <w:lang w:val="en-US" w:eastAsia="zh-CN"/>
                    </w:rPr>
                    <w:t>2</w:t>
                  </w:r>
                  <w:r>
                    <w:rPr>
                      <w:rFonts w:hint="eastAsia" w:ascii="Times New Roman" w:hAnsi="Times New Roman" w:eastAsia="宋体" w:cs="Times New Roman"/>
                      <w:color w:val="auto"/>
                      <w:sz w:val="21"/>
                      <w:szCs w:val="21"/>
                      <w:lang w:val="en-US" w:eastAsia="zh-CN"/>
                    </w:rPr>
                    <w:t>O</w:t>
                  </w:r>
                  <w:r>
                    <w:rPr>
                      <w:rFonts w:hint="eastAsia" w:ascii="Times New Roman" w:hAnsi="Times New Roman" w:eastAsia="宋体" w:cs="Times New Roman"/>
                      <w:color w:val="auto"/>
                      <w:sz w:val="21"/>
                      <w:szCs w:val="21"/>
                      <w:vertAlign w:val="subscript"/>
                      <w:lang w:val="en-US" w:eastAsia="zh-CN"/>
                    </w:rPr>
                    <w:t>3</w:t>
                  </w:r>
                  <w:r>
                    <w:rPr>
                      <w:rFonts w:hint="eastAsia" w:ascii="Times New Roman" w:hAnsi="Times New Roman" w:eastAsia="宋体" w:cs="Times New Roman"/>
                      <w:color w:val="auto"/>
                      <w:sz w:val="21"/>
                      <w:szCs w:val="21"/>
                      <w:lang w:val="en-US" w:eastAsia="zh-CN"/>
                    </w:rPr>
                    <w:t>·H</w:t>
                  </w:r>
                  <w:r>
                    <w:rPr>
                      <w:rFonts w:hint="eastAsia" w:ascii="Times New Roman" w:hAnsi="Times New Roman" w:eastAsia="宋体" w:cs="Times New Roman"/>
                      <w:color w:val="auto"/>
                      <w:sz w:val="21"/>
                      <w:szCs w:val="21"/>
                      <w:vertAlign w:val="subscript"/>
                      <w:lang w:val="en-US" w:eastAsia="zh-CN"/>
                    </w:rPr>
                    <w:t>2</w:t>
                  </w:r>
                  <w:r>
                    <w:rPr>
                      <w:rFonts w:hint="eastAsia" w:ascii="Times New Roman" w:hAnsi="Times New Roman" w:eastAsia="宋体" w:cs="Times New Roman"/>
                      <w:color w:val="auto"/>
                      <w:sz w:val="21"/>
                      <w:szCs w:val="21"/>
                      <w:lang w:val="en-US" w:eastAsia="zh-CN"/>
                    </w:rPr>
                    <w:t>O，结构式为AlO</w:t>
                  </w:r>
                  <w:r>
                    <w:rPr>
                      <w:rFonts w:hint="eastAsia" w:ascii="宋体" w:hAnsi="宋体" w:cs="宋体"/>
                      <w:color w:val="auto"/>
                      <w:sz w:val="21"/>
                      <w:szCs w:val="21"/>
                      <w:lang w:val="en-US" w:eastAsia="zh-CN"/>
                    </w:rPr>
                    <w:t>（</w:t>
                  </w:r>
                  <w:r>
                    <w:rPr>
                      <w:rFonts w:hint="eastAsia" w:ascii="Times New Roman" w:hAnsi="Times New Roman" w:eastAsia="宋体" w:cs="Times New Roman"/>
                      <w:color w:val="auto"/>
                      <w:sz w:val="21"/>
                      <w:szCs w:val="21"/>
                      <w:lang w:val="en-US" w:eastAsia="zh-CN"/>
                    </w:rPr>
                    <w:t>OH</w:t>
                  </w:r>
                  <w:r>
                    <w:rPr>
                      <w:rFonts w:hint="eastAsia" w:cs="Times New Roman"/>
                      <w:color w:val="auto"/>
                      <w:sz w:val="21"/>
                      <w:szCs w:val="21"/>
                      <w:lang w:val="en-US" w:eastAsia="zh-CN"/>
                    </w:rPr>
                    <w:t>）</w:t>
                  </w:r>
                  <w:r>
                    <w:rPr>
                      <w:rFonts w:hint="eastAsia" w:ascii="宋体" w:hAnsi="宋体" w:eastAsia="宋体" w:cs="宋体"/>
                      <w:color w:val="auto"/>
                      <w:sz w:val="21"/>
                      <w:szCs w:val="21"/>
                      <w:lang w:val="en-US" w:eastAsia="zh-CN"/>
                    </w:rPr>
                    <w:t>，晶体</w:t>
                  </w:r>
                  <w:r>
                    <w:rPr>
                      <w:rFonts w:hint="eastAsia" w:ascii="Times New Roman" w:hAnsi="Times New Roman" w:eastAsia="宋体" w:cs="Times New Roman"/>
                      <w:color w:val="auto"/>
                      <w:sz w:val="21"/>
                      <w:szCs w:val="21"/>
                      <w:lang w:val="en-US" w:eastAsia="zh-CN"/>
                    </w:rPr>
                    <w:t>属</w:t>
                  </w:r>
                  <w:r>
                    <w:rPr>
                      <w:rFonts w:hint="default" w:ascii="Times New Roman" w:hAnsi="Times New Roman" w:eastAsia="宋体" w:cs="Times New Roman"/>
                      <w:color w:val="auto"/>
                      <w:sz w:val="21"/>
                      <w:szCs w:val="21"/>
                      <w:lang w:val="en-US" w:eastAsia="zh-CN"/>
                    </w:rPr>
                    <w:fldChar w:fldCharType="begin"/>
                  </w:r>
                  <w:r>
                    <w:rPr>
                      <w:rFonts w:hint="default" w:ascii="Times New Roman" w:hAnsi="Times New Roman" w:eastAsia="宋体" w:cs="Times New Roman"/>
                      <w:color w:val="auto"/>
                      <w:sz w:val="21"/>
                      <w:szCs w:val="21"/>
                      <w:lang w:val="en-US" w:eastAsia="zh-CN"/>
                    </w:rPr>
                    <w:instrText xml:space="preserve"> HYPERLINK "https://baike.baidu.com/item/%E6%96%9C%E6%96%B9%E6%99%B6%E7%B3%BB/9647432?fromModule=lemma_inlink" \t "https://baike.baidu.com/item/%E5%81%8F%E6%B0%A2%E6%B0%A7%E5%8C%96%E9%93%9D/_blank" </w:instrText>
                  </w:r>
                  <w:r>
                    <w:rPr>
                      <w:rFonts w:hint="default" w:ascii="Times New Roman" w:hAnsi="Times New Roman" w:eastAsia="宋体" w:cs="Times New Roman"/>
                      <w:color w:val="auto"/>
                      <w:sz w:val="21"/>
                      <w:szCs w:val="21"/>
                      <w:lang w:val="en-US" w:eastAsia="zh-CN"/>
                    </w:rPr>
                    <w:fldChar w:fldCharType="separate"/>
                  </w:r>
                  <w:r>
                    <w:rPr>
                      <w:rFonts w:hint="default" w:ascii="Times New Roman" w:hAnsi="Times New Roman" w:eastAsia="宋体" w:cs="Times New Roman"/>
                      <w:color w:val="auto"/>
                      <w:sz w:val="21"/>
                      <w:szCs w:val="21"/>
                      <w:lang w:val="en-US" w:eastAsia="zh-CN"/>
                    </w:rPr>
                    <w:t>斜方晶系</w:t>
                  </w:r>
                  <w:r>
                    <w:rPr>
                      <w:rFonts w:hint="default" w:ascii="Times New Roman" w:hAnsi="Times New Roman" w:eastAsia="宋体" w:cs="Times New Roman"/>
                      <w:color w:val="auto"/>
                      <w:sz w:val="21"/>
                      <w:szCs w:val="21"/>
                      <w:lang w:val="en-US" w:eastAsia="zh-CN"/>
                    </w:rPr>
                    <w:fldChar w:fldCharType="end"/>
                  </w:r>
                  <w:r>
                    <w:rPr>
                      <w:rFonts w:hint="default" w:ascii="Times New Roman" w:hAnsi="Times New Roman" w:eastAsia="宋体" w:cs="Times New Roman"/>
                      <w:color w:val="auto"/>
                      <w:sz w:val="21"/>
                      <w:szCs w:val="21"/>
                      <w:lang w:val="en-US" w:eastAsia="zh-CN"/>
                    </w:rPr>
                    <w:t>，常见菱形体、针状或纤维状形态。其常含Fe</w:t>
                  </w:r>
                  <w:r>
                    <w:rPr>
                      <w:rFonts w:hint="eastAsia" w:ascii="Times New Roman" w:hAnsi="Times New Roman" w:eastAsia="宋体" w:cs="Times New Roman"/>
                      <w:color w:val="auto"/>
                      <w:sz w:val="21"/>
                      <w:szCs w:val="21"/>
                      <w:vertAlign w:val="subscript"/>
                      <w:lang w:val="en-US" w:eastAsia="zh-CN"/>
                    </w:rPr>
                    <w:t>2</w:t>
                  </w:r>
                  <w:r>
                    <w:rPr>
                      <w:rFonts w:hint="default" w:ascii="Times New Roman" w:hAnsi="Times New Roman" w:eastAsia="宋体" w:cs="Times New Roman"/>
                      <w:color w:val="auto"/>
                      <w:sz w:val="21"/>
                      <w:szCs w:val="21"/>
                      <w:lang w:val="en-US" w:eastAsia="zh-CN"/>
                    </w:rPr>
                    <w:t>O</w:t>
                  </w:r>
                  <w:r>
                    <w:rPr>
                      <w:rFonts w:hint="eastAsia" w:ascii="Times New Roman" w:hAnsi="Times New Roman" w:eastAsia="宋体" w:cs="Times New Roman"/>
                      <w:color w:val="auto"/>
                      <w:sz w:val="21"/>
                      <w:szCs w:val="21"/>
                      <w:vertAlign w:val="subscript"/>
                      <w:lang w:val="en-US" w:eastAsia="zh-CN"/>
                    </w:rPr>
                    <w:t>3</w:t>
                  </w:r>
                  <w:r>
                    <w:rPr>
                      <w:rFonts w:hint="default" w:ascii="Times New Roman" w:hAnsi="Times New Roman" w:eastAsia="宋体" w:cs="Times New Roman"/>
                      <w:color w:val="auto"/>
                      <w:sz w:val="21"/>
                      <w:szCs w:val="21"/>
                      <w:lang w:val="en-US" w:eastAsia="zh-CN"/>
                    </w:rPr>
                    <w:t>、TiO</w:t>
                  </w:r>
                  <w:r>
                    <w:rPr>
                      <w:rFonts w:hint="eastAsia" w:ascii="Times New Roman" w:hAnsi="Times New Roman" w:eastAsia="宋体" w:cs="Times New Roman"/>
                      <w:color w:val="auto"/>
                      <w:sz w:val="21"/>
                      <w:szCs w:val="21"/>
                      <w:vertAlign w:val="subscript"/>
                      <w:lang w:val="en-US" w:eastAsia="zh-CN"/>
                    </w:rPr>
                    <w:t>2</w:t>
                  </w:r>
                  <w:r>
                    <w:rPr>
                      <w:rFonts w:hint="default" w:ascii="Times New Roman" w:hAnsi="Times New Roman" w:eastAsia="宋体" w:cs="Times New Roman"/>
                      <w:color w:val="auto"/>
                      <w:sz w:val="21"/>
                      <w:szCs w:val="21"/>
                      <w:lang w:val="en-US" w:eastAsia="zh-CN"/>
                    </w:rPr>
                    <w:t>等类质同象成分，可溶于酸碱，主要赋存于沉积铝土矿中，与</w:t>
                  </w:r>
                  <w:r>
                    <w:rPr>
                      <w:rFonts w:hint="default" w:ascii="Times New Roman" w:hAnsi="Times New Roman" w:eastAsia="宋体" w:cs="Times New Roman"/>
                      <w:color w:val="auto"/>
                      <w:sz w:val="21"/>
                      <w:szCs w:val="21"/>
                      <w:lang w:val="en-US" w:eastAsia="zh-CN"/>
                    </w:rPr>
                    <w:fldChar w:fldCharType="begin"/>
                  </w:r>
                  <w:r>
                    <w:rPr>
                      <w:rFonts w:hint="default" w:ascii="Times New Roman" w:hAnsi="Times New Roman" w:eastAsia="宋体" w:cs="Times New Roman"/>
                      <w:color w:val="auto"/>
                      <w:sz w:val="21"/>
                      <w:szCs w:val="21"/>
                      <w:lang w:val="en-US" w:eastAsia="zh-CN"/>
                    </w:rPr>
                    <w:instrText xml:space="preserve"> HYPERLINK "https://baike.baidu.com/item/%E8%8F%B1%E9%93%81%E7%9F%BF/442347?fromModule=lemma_inlink" \t "https://baike.baidu.com/item/%E5%81%8F%E6%B0%A2%E6%B0%A7%E5%8C%96%E9%93%9D/_blank" </w:instrText>
                  </w:r>
                  <w:r>
                    <w:rPr>
                      <w:rFonts w:hint="default" w:ascii="Times New Roman" w:hAnsi="Times New Roman" w:eastAsia="宋体" w:cs="Times New Roman"/>
                      <w:color w:val="auto"/>
                      <w:sz w:val="21"/>
                      <w:szCs w:val="21"/>
                      <w:lang w:val="en-US" w:eastAsia="zh-CN"/>
                    </w:rPr>
                    <w:fldChar w:fldCharType="separate"/>
                  </w:r>
                  <w:r>
                    <w:rPr>
                      <w:rFonts w:hint="default" w:ascii="Times New Roman" w:hAnsi="Times New Roman" w:eastAsia="宋体" w:cs="Times New Roman"/>
                      <w:color w:val="auto"/>
                      <w:sz w:val="21"/>
                      <w:szCs w:val="21"/>
                      <w:lang w:val="en-US" w:eastAsia="zh-CN"/>
                    </w:rPr>
                    <w:t>菱铁矿</w:t>
                  </w:r>
                  <w:r>
                    <w:rPr>
                      <w:rFonts w:hint="default" w:ascii="Times New Roman" w:hAnsi="Times New Roman" w:eastAsia="宋体" w:cs="Times New Roman"/>
                      <w:color w:val="auto"/>
                      <w:sz w:val="21"/>
                      <w:szCs w:val="21"/>
                      <w:lang w:val="en-US" w:eastAsia="zh-CN"/>
                    </w:rPr>
                    <w:fldChar w:fldCharType="end"/>
                  </w:r>
                  <w:r>
                    <w:rPr>
                      <w:rFonts w:hint="default" w:ascii="Times New Roman" w:hAnsi="Times New Roman" w:eastAsia="宋体" w:cs="Times New Roman"/>
                      <w:color w:val="auto"/>
                      <w:sz w:val="21"/>
                      <w:szCs w:val="21"/>
                      <w:lang w:val="en-US" w:eastAsia="zh-CN"/>
                    </w:rPr>
                    <w:t>共生。</w:t>
                  </w:r>
                </w:p>
              </w:tc>
              <w:tc>
                <w:tcPr>
                  <w:tcW w:w="2236" w:type="dxa"/>
                  <w:vAlign w:val="center"/>
                </w:tcPr>
                <w:p w14:paraId="62AEAB58">
                  <w:pPr>
                    <w:pStyle w:val="70"/>
                    <w:spacing w:line="240" w:lineRule="auto"/>
                    <w:jc w:val="center"/>
                    <w:rPr>
                      <w:rFonts w:hint="default" w:cs="Times New Roman"/>
                      <w:color w:val="auto"/>
                      <w:sz w:val="21"/>
                      <w:szCs w:val="21"/>
                      <w:lang w:val="en-US" w:eastAsia="zh-CN"/>
                    </w:rPr>
                  </w:pPr>
                  <w:r>
                    <w:rPr>
                      <w:rFonts w:hint="eastAsia" w:cs="Times New Roman"/>
                      <w:color w:val="auto"/>
                      <w:sz w:val="21"/>
                      <w:szCs w:val="21"/>
                      <w:lang w:val="en-US" w:eastAsia="zh-CN"/>
                    </w:rPr>
                    <w:t>/</w:t>
                  </w:r>
                </w:p>
              </w:tc>
            </w:tr>
            <w:tr w14:paraId="1E45E80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413" w:hRule="atLeast"/>
              </w:trPr>
              <w:tc>
                <w:tcPr>
                  <w:tcW w:w="379" w:type="dxa"/>
                  <w:vAlign w:val="center"/>
                </w:tcPr>
                <w:p w14:paraId="390AF660">
                  <w:pPr>
                    <w:pStyle w:val="70"/>
                    <w:spacing w:line="240" w:lineRule="auto"/>
                    <w:jc w:val="center"/>
                    <w:rPr>
                      <w:rFonts w:hint="default" w:cs="Times New Roman"/>
                      <w:color w:val="auto"/>
                      <w:sz w:val="21"/>
                      <w:szCs w:val="21"/>
                      <w:lang w:val="en-US" w:eastAsia="zh-CN"/>
                    </w:rPr>
                  </w:pPr>
                  <w:r>
                    <w:rPr>
                      <w:rFonts w:hint="eastAsia" w:cs="Times New Roman"/>
                      <w:color w:val="auto"/>
                      <w:sz w:val="21"/>
                      <w:szCs w:val="21"/>
                      <w:lang w:val="en-US" w:eastAsia="zh-CN"/>
                    </w:rPr>
                    <w:t>7</w:t>
                  </w:r>
                </w:p>
              </w:tc>
              <w:tc>
                <w:tcPr>
                  <w:tcW w:w="1320" w:type="dxa"/>
                  <w:vAlign w:val="center"/>
                </w:tcPr>
                <w:p w14:paraId="512AD75D">
                  <w:pPr>
                    <w:pStyle w:val="70"/>
                    <w:spacing w:line="240" w:lineRule="auto"/>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聚酰亚胺</w:t>
                  </w:r>
                </w:p>
              </w:tc>
              <w:tc>
                <w:tcPr>
                  <w:tcW w:w="3825" w:type="dxa"/>
                  <w:vAlign w:val="center"/>
                </w:tcPr>
                <w:p w14:paraId="7499E08F">
                  <w:pPr>
                    <w:pStyle w:val="70"/>
                    <w:spacing w:line="240" w:lineRule="auto"/>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是一类主链中含有酰亚胺环（-CO-NR-CO-）结构单元的高性能有机高分子材料，通常由芳香族二酐与二胺单体通过缩聚反应制得</w:t>
                  </w:r>
                  <w:r>
                    <w:rPr>
                      <w:rFonts w:hint="default" w:ascii="Times New Roman" w:hAnsi="Times New Roman" w:eastAsia="宋体" w:cs="Times New Roman"/>
                      <w:color w:val="auto"/>
                      <w:sz w:val="21"/>
                      <w:szCs w:val="21"/>
                      <w:lang w:val="en-US" w:eastAsia="zh-CN"/>
                    </w:rPr>
                    <w:t>。聚酰亚胺具有优异的热稳定性和化学稳定性，是目前耐热性能最突出的工程塑料之一，在较宽温度范围内仍能保持良好的力学性能和电绝缘性能，因此被广泛应用于高端材料领域。</w:t>
                  </w:r>
                  <w:r>
                    <w:rPr>
                      <w:rFonts w:hint="eastAsia" w:ascii="Times New Roman" w:hAnsi="Times New Roman" w:eastAsia="宋体" w:cs="Times New Roman"/>
                      <w:color w:val="auto"/>
                      <w:sz w:val="21"/>
                      <w:szCs w:val="21"/>
                      <w:lang w:val="en-US" w:eastAsia="zh-CN"/>
                    </w:rPr>
                    <w:t>其浆料包含9</w:t>
                  </w:r>
                  <w:r>
                    <w:rPr>
                      <w:rFonts w:hint="eastAsia" w:cs="Times New Roman"/>
                      <w:color w:val="auto"/>
                      <w:sz w:val="21"/>
                      <w:szCs w:val="21"/>
                      <w:lang w:val="en-US" w:eastAsia="zh-CN"/>
                    </w:rPr>
                    <w:t>2</w:t>
                  </w:r>
                  <w:r>
                    <w:rPr>
                      <w:rFonts w:hint="eastAsia" w:ascii="Times New Roman" w:hAnsi="Times New Roman" w:eastAsia="宋体" w:cs="Times New Roman"/>
                      <w:color w:val="auto"/>
                      <w:sz w:val="21"/>
                      <w:szCs w:val="21"/>
                      <w:lang w:val="en-US" w:eastAsia="zh-CN"/>
                    </w:rPr>
                    <w:t>%NMP，其余为聚酰亚胺。</w:t>
                  </w:r>
                </w:p>
              </w:tc>
              <w:tc>
                <w:tcPr>
                  <w:tcW w:w="2236" w:type="dxa"/>
                  <w:vAlign w:val="center"/>
                </w:tcPr>
                <w:p w14:paraId="02FD75A1">
                  <w:pPr>
                    <w:pStyle w:val="70"/>
                    <w:spacing w:line="240" w:lineRule="auto"/>
                    <w:jc w:val="center"/>
                    <w:rPr>
                      <w:rFonts w:hint="default" w:cs="Times New Roman"/>
                      <w:color w:val="auto"/>
                      <w:sz w:val="21"/>
                      <w:szCs w:val="21"/>
                      <w:lang w:val="en-US" w:eastAsia="zh-CN"/>
                    </w:rPr>
                  </w:pPr>
                  <w:r>
                    <w:rPr>
                      <w:rFonts w:hint="eastAsia" w:cs="Times New Roman"/>
                      <w:color w:val="auto"/>
                      <w:sz w:val="21"/>
                      <w:szCs w:val="21"/>
                      <w:lang w:val="en-US" w:eastAsia="zh-CN"/>
                    </w:rPr>
                    <w:t>/</w:t>
                  </w:r>
                </w:p>
              </w:tc>
            </w:tr>
            <w:tr w14:paraId="262E033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503" w:hRule="atLeast"/>
              </w:trPr>
              <w:tc>
                <w:tcPr>
                  <w:tcW w:w="379" w:type="dxa"/>
                  <w:vAlign w:val="center"/>
                </w:tcPr>
                <w:p w14:paraId="42A4B07B">
                  <w:pPr>
                    <w:pStyle w:val="70"/>
                    <w:spacing w:line="240" w:lineRule="auto"/>
                    <w:jc w:val="center"/>
                    <w:rPr>
                      <w:rFonts w:hint="default" w:cs="Times New Roman"/>
                      <w:color w:val="auto"/>
                      <w:sz w:val="21"/>
                      <w:szCs w:val="21"/>
                      <w:lang w:val="en-US" w:eastAsia="zh-CN"/>
                    </w:rPr>
                  </w:pPr>
                  <w:r>
                    <w:rPr>
                      <w:rFonts w:hint="eastAsia" w:cs="Times New Roman"/>
                      <w:color w:val="auto"/>
                      <w:sz w:val="21"/>
                      <w:szCs w:val="21"/>
                      <w:lang w:val="en-US" w:eastAsia="zh-CN"/>
                    </w:rPr>
                    <w:t>8</w:t>
                  </w:r>
                </w:p>
              </w:tc>
              <w:tc>
                <w:tcPr>
                  <w:tcW w:w="1320" w:type="dxa"/>
                  <w:vAlign w:val="center"/>
                </w:tcPr>
                <w:p w14:paraId="01974D2A">
                  <w:pPr>
                    <w:pStyle w:val="70"/>
                    <w:spacing w:line="240" w:lineRule="auto"/>
                    <w:jc w:val="center"/>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碳纳米管（CNT）</w:t>
                  </w:r>
                </w:p>
              </w:tc>
              <w:tc>
                <w:tcPr>
                  <w:tcW w:w="3825" w:type="dxa"/>
                  <w:vAlign w:val="center"/>
                </w:tcPr>
                <w:p w14:paraId="0B1FAF76">
                  <w:pPr>
                    <w:pStyle w:val="70"/>
                    <w:spacing w:line="240" w:lineRule="auto"/>
                    <w:jc w:val="center"/>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在锂离子电池生产中，CNT因其优异的导电性、力学强度和独特的一维结构，被广泛应用于提升电极性能、增强电池能量密度和循环寿命。可替代或与炭黑（SP）复配，构建高效三维导电网络，降低电极内阻。</w:t>
                  </w:r>
                  <w:r>
                    <w:rPr>
                      <w:rFonts w:hint="eastAsia" w:ascii="Times New Roman" w:hAnsi="Times New Roman" w:eastAsia="宋体" w:cs="Times New Roman"/>
                      <w:color w:val="auto"/>
                      <w:sz w:val="21"/>
                      <w:szCs w:val="21"/>
                      <w:lang w:val="en-US" w:eastAsia="zh-CN"/>
                    </w:rPr>
                    <w:t>其浆料包含95%NMP，其余为碳纳米管。</w:t>
                  </w:r>
                </w:p>
              </w:tc>
              <w:tc>
                <w:tcPr>
                  <w:tcW w:w="2236" w:type="dxa"/>
                  <w:vAlign w:val="center"/>
                </w:tcPr>
                <w:p w14:paraId="4787B867">
                  <w:pPr>
                    <w:pStyle w:val="70"/>
                    <w:spacing w:line="240" w:lineRule="auto"/>
                    <w:jc w:val="center"/>
                    <w:rPr>
                      <w:rFonts w:hint="eastAsia" w:cs="Times New Roman"/>
                      <w:color w:val="auto"/>
                      <w:sz w:val="21"/>
                      <w:szCs w:val="21"/>
                      <w:lang w:val="en-US" w:eastAsia="zh-CN"/>
                    </w:rPr>
                  </w:pPr>
                  <w:r>
                    <w:rPr>
                      <w:rFonts w:hint="eastAsia" w:cs="Times New Roman"/>
                      <w:color w:val="auto"/>
                      <w:sz w:val="21"/>
                      <w:szCs w:val="21"/>
                      <w:lang w:val="en-US" w:eastAsia="zh-CN"/>
                    </w:rPr>
                    <w:t>/</w:t>
                  </w:r>
                </w:p>
              </w:tc>
            </w:tr>
            <w:tr w14:paraId="1BDCBD2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379" w:type="dxa"/>
                  <w:vAlign w:val="center"/>
                </w:tcPr>
                <w:p w14:paraId="0D339005">
                  <w:pPr>
                    <w:pStyle w:val="70"/>
                    <w:spacing w:line="240" w:lineRule="auto"/>
                    <w:jc w:val="center"/>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9</w:t>
                  </w:r>
                </w:p>
              </w:tc>
              <w:tc>
                <w:tcPr>
                  <w:tcW w:w="1320" w:type="dxa"/>
                  <w:vAlign w:val="center"/>
                </w:tcPr>
                <w:p w14:paraId="665E2C22">
                  <w:pPr>
                    <w:pStyle w:val="70"/>
                    <w:spacing w:line="240" w:lineRule="auto"/>
                    <w:jc w:val="center"/>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丁苯橡胶（SBR）</w:t>
                  </w:r>
                </w:p>
              </w:tc>
              <w:tc>
                <w:tcPr>
                  <w:tcW w:w="3825" w:type="dxa"/>
                  <w:vAlign w:val="center"/>
                </w:tcPr>
                <w:p w14:paraId="2D69B815">
                  <w:pPr>
                    <w:pStyle w:val="70"/>
                    <w:spacing w:line="240" w:lineRule="auto"/>
                    <w:jc w:val="center"/>
                    <w:rPr>
                      <w:rFonts w:hint="eastAsia"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rPr>
                    <w:t>又称聚苯乙烯丁二烯共聚物</w:t>
                  </w:r>
                  <w:r>
                    <w:rPr>
                      <w:rFonts w:hint="eastAsia" w:ascii="宋体" w:hAnsi="宋体" w:eastAsia="宋体"/>
                      <w:color w:val="auto"/>
                      <w:sz w:val="21"/>
                      <w:szCs w:val="21"/>
                      <w:lang w:eastAsia="zh-CN"/>
                    </w:rPr>
                    <w:t>，</w:t>
                  </w:r>
                  <w:r>
                    <w:rPr>
                      <w:rFonts w:hint="eastAsia" w:ascii="宋体" w:hAnsi="宋体" w:eastAsia="宋体"/>
                      <w:color w:val="auto"/>
                      <w:sz w:val="21"/>
                      <w:szCs w:val="21"/>
                      <w:lang w:val="en-US" w:eastAsia="zh-CN"/>
                    </w:rPr>
                    <w:t>化学式为</w:t>
                  </w:r>
                  <w:r>
                    <w:rPr>
                      <w:rFonts w:hint="default" w:ascii="Times New Roman" w:hAnsi="Times New Roman" w:eastAsia="宋体" w:cs="Times New Roman"/>
                      <w:color w:val="auto"/>
                      <w:sz w:val="21"/>
                      <w:szCs w:val="21"/>
                      <w:lang w:val="en-US" w:eastAsia="zh-CN"/>
                    </w:rPr>
                    <w:t>C</w:t>
                  </w:r>
                  <w:r>
                    <w:rPr>
                      <w:rFonts w:hint="default" w:ascii="Times New Roman" w:hAnsi="Times New Roman" w:eastAsia="宋体" w:cs="Times New Roman"/>
                      <w:color w:val="auto"/>
                      <w:sz w:val="21"/>
                      <w:szCs w:val="21"/>
                      <w:vertAlign w:val="subscript"/>
                      <w:lang w:val="en-US" w:eastAsia="zh-CN"/>
                    </w:rPr>
                    <w:t>12</w:t>
                  </w:r>
                  <w:r>
                    <w:rPr>
                      <w:rFonts w:hint="default" w:ascii="Times New Roman" w:hAnsi="Times New Roman" w:eastAsia="宋体" w:cs="Times New Roman"/>
                      <w:color w:val="auto"/>
                      <w:sz w:val="21"/>
                      <w:szCs w:val="21"/>
                      <w:lang w:val="en-US" w:eastAsia="zh-CN"/>
                    </w:rPr>
                    <w:t>H</w:t>
                  </w:r>
                  <w:r>
                    <w:rPr>
                      <w:rFonts w:hint="default" w:ascii="Times New Roman" w:hAnsi="Times New Roman" w:eastAsia="宋体" w:cs="Times New Roman"/>
                      <w:color w:val="auto"/>
                      <w:sz w:val="21"/>
                      <w:szCs w:val="21"/>
                      <w:vertAlign w:val="subscript"/>
                      <w:lang w:val="en-US" w:eastAsia="zh-CN"/>
                    </w:rPr>
                    <w:t>14</w:t>
                  </w:r>
                  <w:r>
                    <w:rPr>
                      <w:rFonts w:hint="eastAsia" w:ascii="Times New Roman" w:hAnsi="Times New Roman" w:eastAsia="宋体" w:cs="Times New Roman"/>
                      <w:color w:val="auto"/>
                      <w:sz w:val="21"/>
                      <w:szCs w:val="21"/>
                      <w:vertAlign w:val="baseline"/>
                      <w:lang w:val="en-US" w:eastAsia="zh-CN"/>
                    </w:rPr>
                    <w:t>，CAS号9003-55-8，密度</w:t>
                  </w:r>
                  <w:r>
                    <w:rPr>
                      <w:rFonts w:hint="eastAsia" w:ascii="宋体" w:hAnsi="宋体" w:eastAsia="宋体" w:cs="Times New Roman"/>
                      <w:color w:val="auto"/>
                      <w:sz w:val="21"/>
                      <w:szCs w:val="21"/>
                      <w:lang w:val="en-US" w:eastAsia="zh-CN"/>
                    </w:rPr>
                    <w:t>为</w:t>
                  </w:r>
                  <w:r>
                    <w:rPr>
                      <w:rFonts w:hint="default" w:ascii="Times New Roman" w:hAnsi="Times New Roman" w:eastAsia="宋体" w:cs="Times New Roman"/>
                      <w:color w:val="auto"/>
                      <w:sz w:val="21"/>
                      <w:szCs w:val="21"/>
                      <w:lang w:val="en-US" w:eastAsia="zh-CN"/>
                    </w:rPr>
                    <w:t>1.04g/mL</w:t>
                  </w:r>
                  <w:r>
                    <w:rPr>
                      <w:rFonts w:hint="eastAsia" w:ascii="Times New Roman" w:hAnsi="Times New Roman" w:eastAsia="宋体" w:cs="Times New Roman"/>
                      <w:color w:val="auto"/>
                      <w:sz w:val="21"/>
                      <w:szCs w:val="21"/>
                      <w:lang w:val="en-US" w:eastAsia="zh-CN"/>
                    </w:rPr>
                    <w:t>，</w:t>
                  </w:r>
                  <w:r>
                    <w:rPr>
                      <w:rFonts w:hint="default" w:ascii="Times New Roman" w:hAnsi="Times New Roman" w:cs="Times New Roman"/>
                      <w:color w:val="auto"/>
                      <w:sz w:val="21"/>
                      <w:szCs w:val="21"/>
                      <w:lang w:eastAsia="zh-CN"/>
                    </w:rPr>
                    <w:t>，</w:t>
                  </w:r>
                  <w:r>
                    <w:rPr>
                      <w:rFonts w:hint="default" w:ascii="Times New Roman" w:hAnsi="Times New Roman" w:cs="Times New Roman"/>
                      <w:color w:val="auto"/>
                      <w:sz w:val="21"/>
                      <w:szCs w:val="21"/>
                    </w:rPr>
                    <w:t>热分解温度</w:t>
                  </w:r>
                  <w:r>
                    <w:rPr>
                      <w:rFonts w:hint="default" w:ascii="Times New Roman" w:hAnsi="Times New Roman" w:cs="Times New Roman"/>
                      <w:color w:val="auto"/>
                      <w:sz w:val="21"/>
                      <w:szCs w:val="21"/>
                      <w:lang w:val="en-US" w:eastAsia="zh-CN"/>
                    </w:rPr>
                    <w:t>18</w:t>
                  </w:r>
                  <w:r>
                    <w:rPr>
                      <w:rFonts w:hint="default" w:ascii="Times New Roman" w:hAnsi="Times New Roman" w:cs="Times New Roman"/>
                      <w:color w:val="auto"/>
                      <w:sz w:val="21"/>
                      <w:szCs w:val="21"/>
                    </w:rPr>
                    <w:t>0℃左右，有液体状胶乳和固体状橡胶两种。</w:t>
                  </w:r>
                </w:p>
              </w:tc>
              <w:tc>
                <w:tcPr>
                  <w:tcW w:w="2236" w:type="dxa"/>
                  <w:vAlign w:val="center"/>
                </w:tcPr>
                <w:p w14:paraId="72DAD50D">
                  <w:pPr>
                    <w:pStyle w:val="70"/>
                    <w:spacing w:line="240" w:lineRule="auto"/>
                    <w:jc w:val="center"/>
                    <w:rPr>
                      <w:rFonts w:hint="default" w:cs="Times New Roman"/>
                      <w:color w:val="auto"/>
                      <w:sz w:val="21"/>
                      <w:szCs w:val="21"/>
                      <w:lang w:val="en-US" w:eastAsia="zh-CN"/>
                    </w:rPr>
                  </w:pPr>
                  <w:r>
                    <w:rPr>
                      <w:rFonts w:hint="eastAsia" w:cs="Times New Roman"/>
                      <w:color w:val="auto"/>
                      <w:sz w:val="21"/>
                      <w:szCs w:val="21"/>
                      <w:lang w:val="en-US" w:eastAsia="zh-CN"/>
                    </w:rPr>
                    <w:t>/</w:t>
                  </w:r>
                </w:p>
              </w:tc>
            </w:tr>
            <w:tr w14:paraId="68D491D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379" w:type="dxa"/>
                  <w:vAlign w:val="center"/>
                </w:tcPr>
                <w:p w14:paraId="7EECB872">
                  <w:pPr>
                    <w:pStyle w:val="70"/>
                    <w:spacing w:line="240" w:lineRule="auto"/>
                    <w:jc w:val="center"/>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10</w:t>
                  </w:r>
                </w:p>
              </w:tc>
              <w:tc>
                <w:tcPr>
                  <w:tcW w:w="1320" w:type="dxa"/>
                  <w:vAlign w:val="center"/>
                </w:tcPr>
                <w:p w14:paraId="33BDBD53">
                  <w:pPr>
                    <w:pStyle w:val="70"/>
                    <w:spacing w:line="240" w:lineRule="auto"/>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羧甲基纤维素钠（CMC）</w:t>
                  </w:r>
                </w:p>
              </w:tc>
              <w:tc>
                <w:tcPr>
                  <w:tcW w:w="3825" w:type="dxa"/>
                  <w:vAlign w:val="center"/>
                </w:tcPr>
                <w:p w14:paraId="5B0EC185">
                  <w:pPr>
                    <w:pStyle w:val="70"/>
                    <w:spacing w:line="240" w:lineRule="auto"/>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CMC属阴离子型纤维素醚，为白色粉末，</w:t>
                  </w:r>
                  <w:r>
                    <w:rPr>
                      <w:rFonts w:hint="eastAsia" w:ascii="Times New Roman" w:hAnsi="Times New Roman" w:eastAsia="宋体" w:cs="Times New Roman"/>
                      <w:color w:val="auto"/>
                      <w:sz w:val="21"/>
                      <w:szCs w:val="21"/>
                      <w:lang w:val="en-US" w:eastAsia="zh-CN"/>
                    </w:rPr>
                    <w:t>比重</w:t>
                  </w:r>
                  <w:r>
                    <w:rPr>
                      <w:rFonts w:hint="default" w:ascii="Times New Roman" w:hAnsi="Times New Roman" w:eastAsia="宋体" w:cs="Times New Roman"/>
                      <w:color w:val="auto"/>
                      <w:sz w:val="21"/>
                      <w:szCs w:val="21"/>
                      <w:lang w:val="en-US" w:eastAsia="zh-CN"/>
                    </w:rPr>
                    <w:t>0.</w:t>
                  </w:r>
                  <w:r>
                    <w:rPr>
                      <w:rFonts w:hint="eastAsia" w:ascii="Times New Roman" w:hAnsi="Times New Roman" w:eastAsia="宋体" w:cs="Times New Roman"/>
                      <w:color w:val="auto"/>
                      <w:sz w:val="21"/>
                      <w:szCs w:val="21"/>
                      <w:lang w:val="en-US" w:eastAsia="zh-CN"/>
                    </w:rPr>
                    <w:t>3</w:t>
                  </w:r>
                  <w:r>
                    <w:rPr>
                      <w:rFonts w:hint="default" w:ascii="Times New Roman" w:hAnsi="Times New Roman" w:eastAsia="宋体" w:cs="Times New Roman"/>
                      <w:color w:val="auto"/>
                      <w:sz w:val="21"/>
                      <w:szCs w:val="21"/>
                      <w:lang w:val="en-US" w:eastAsia="zh-CN"/>
                    </w:rPr>
                    <w:t>-0.</w:t>
                  </w:r>
                  <w:r>
                    <w:rPr>
                      <w:rFonts w:hint="eastAsia" w:ascii="Times New Roman" w:hAnsi="Times New Roman" w:eastAsia="宋体" w:cs="Times New Roman"/>
                      <w:color w:val="auto"/>
                      <w:sz w:val="21"/>
                      <w:szCs w:val="21"/>
                      <w:lang w:val="en-US" w:eastAsia="zh-CN"/>
                    </w:rPr>
                    <w:t>8</w:t>
                  </w:r>
                  <w:r>
                    <w:rPr>
                      <w:rFonts w:hint="default" w:ascii="Times New Roman" w:hAnsi="Times New Roman" w:eastAsia="宋体" w:cs="Times New Roman"/>
                      <w:color w:val="auto"/>
                      <w:sz w:val="21"/>
                      <w:szCs w:val="21"/>
                      <w:lang w:val="en-US" w:eastAsia="zh-CN"/>
                    </w:rPr>
                    <w:t>，几乎无臭、无味，具吸湿性</w:t>
                  </w:r>
                  <w:r>
                    <w:rPr>
                      <w:rFonts w:hint="eastAsia" w:ascii="Times New Roman" w:hAnsi="Times New Roman" w:eastAsia="宋体" w:cs="Times New Roman"/>
                      <w:color w:val="auto"/>
                      <w:sz w:val="21"/>
                      <w:szCs w:val="21"/>
                      <w:lang w:val="en-US" w:eastAsia="zh-CN"/>
                    </w:rPr>
                    <w:t>，易溶于水，不</w:t>
                  </w:r>
                  <w:r>
                    <w:rPr>
                      <w:rFonts w:hint="eastAsia" w:cs="Times New Roman"/>
                      <w:color w:val="auto"/>
                      <w:sz w:val="21"/>
                      <w:szCs w:val="21"/>
                      <w:lang w:val="en-US" w:eastAsia="zh-CN"/>
                    </w:rPr>
                    <w:t>溶于</w:t>
                  </w:r>
                  <w:r>
                    <w:rPr>
                      <w:rFonts w:hint="eastAsia" w:ascii="Times New Roman" w:hAnsi="Times New Roman" w:eastAsia="宋体" w:cs="Times New Roman"/>
                      <w:color w:val="auto"/>
                      <w:sz w:val="21"/>
                      <w:szCs w:val="21"/>
                      <w:lang w:val="en-US" w:eastAsia="zh-CN"/>
                    </w:rPr>
                    <w:t>有机溶剂，</w:t>
                  </w:r>
                  <w:r>
                    <w:rPr>
                      <w:rFonts w:hint="default" w:ascii="Times New Roman" w:hAnsi="Times New Roman" w:eastAsia="宋体" w:cs="Times New Roman"/>
                      <w:color w:val="auto"/>
                      <w:sz w:val="21"/>
                      <w:szCs w:val="21"/>
                      <w:lang w:val="en-US" w:eastAsia="zh-CN"/>
                    </w:rPr>
                    <w:t>1%水溶液pH为6.5～</w:t>
                  </w:r>
                  <w:r>
                    <w:rPr>
                      <w:rFonts w:hint="eastAsia" w:ascii="Times New Roman" w:hAnsi="Times New Roman" w:eastAsia="宋体" w:cs="Times New Roman"/>
                      <w:color w:val="auto"/>
                      <w:sz w:val="21"/>
                      <w:szCs w:val="21"/>
                      <w:lang w:val="en-US" w:eastAsia="zh-CN"/>
                    </w:rPr>
                    <w:t>7.</w:t>
                  </w:r>
                  <w:r>
                    <w:rPr>
                      <w:rFonts w:hint="default" w:ascii="Times New Roman" w:hAnsi="Times New Roman" w:eastAsia="宋体" w:cs="Times New Roman"/>
                      <w:color w:val="auto"/>
                      <w:sz w:val="21"/>
                      <w:szCs w:val="21"/>
                      <w:lang w:val="en-US" w:eastAsia="zh-CN"/>
                    </w:rPr>
                    <w:t>5。</w:t>
                  </w:r>
                </w:p>
              </w:tc>
              <w:tc>
                <w:tcPr>
                  <w:tcW w:w="2236" w:type="dxa"/>
                  <w:vAlign w:val="center"/>
                </w:tcPr>
                <w:p w14:paraId="020DE4E8">
                  <w:pPr>
                    <w:pStyle w:val="70"/>
                    <w:spacing w:line="240" w:lineRule="auto"/>
                    <w:jc w:val="center"/>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w:t>
                  </w:r>
                </w:p>
              </w:tc>
            </w:tr>
            <w:tr w14:paraId="6620037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379" w:type="dxa"/>
                  <w:vAlign w:val="center"/>
                </w:tcPr>
                <w:p w14:paraId="0AFDE9BA">
                  <w:pPr>
                    <w:pStyle w:val="70"/>
                    <w:spacing w:line="240" w:lineRule="auto"/>
                    <w:jc w:val="center"/>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11</w:t>
                  </w:r>
                </w:p>
              </w:tc>
              <w:tc>
                <w:tcPr>
                  <w:tcW w:w="1320" w:type="dxa"/>
                  <w:vAlign w:val="center"/>
                </w:tcPr>
                <w:p w14:paraId="5A50328C">
                  <w:pPr>
                    <w:pStyle w:val="70"/>
                    <w:spacing w:line="240" w:lineRule="auto"/>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电解液</w:t>
                  </w:r>
                </w:p>
              </w:tc>
              <w:tc>
                <w:tcPr>
                  <w:tcW w:w="3825" w:type="dxa"/>
                  <w:vAlign w:val="center"/>
                </w:tcPr>
                <w:p w14:paraId="4F459415">
                  <w:pPr>
                    <w:pStyle w:val="70"/>
                    <w:spacing w:line="240" w:lineRule="auto"/>
                    <w:jc w:val="both"/>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液体，主要成分为</w:t>
                  </w:r>
                  <w:r>
                    <w:rPr>
                      <w:rFonts w:hint="eastAsia" w:ascii="Times New Roman" w:hAnsi="Times New Roman" w:eastAsia="宋体" w:cs="Times New Roman"/>
                      <w:color w:val="auto"/>
                      <w:sz w:val="21"/>
                      <w:szCs w:val="21"/>
                      <w:lang w:val="en-US" w:eastAsia="zh-CN"/>
                    </w:rPr>
                    <w:t>碳酸二甲酯（0-80%）、碳酸二乙酯（0-80%）、碳酸甲乙酯（0-80%）、丙酸乙酯（0-80%）、丙酸丙酯（0-80%）、碳酸乙烯酯（0-50%）、碳酸丙烯酯（0-50%）、六氟磷酸锂（0-30%）、其他添加剂（0-20%）</w:t>
                  </w:r>
                  <w:r>
                    <w:rPr>
                      <w:rFonts w:hint="default" w:ascii="Times New Roman" w:hAnsi="Times New Roman" w:eastAsia="宋体" w:cs="Times New Roman"/>
                      <w:color w:val="auto"/>
                      <w:sz w:val="21"/>
                      <w:szCs w:val="21"/>
                      <w:lang w:val="en-US" w:eastAsia="zh-CN"/>
                    </w:rPr>
                    <w:t>，闪点</w:t>
                  </w:r>
                  <w:r>
                    <w:rPr>
                      <w:rFonts w:hint="eastAsia" w:ascii="Times New Roman" w:hAnsi="Times New Roman" w:eastAsia="宋体" w:cs="Times New Roman"/>
                      <w:color w:val="auto"/>
                      <w:sz w:val="21"/>
                      <w:szCs w:val="21"/>
                      <w:lang w:val="en-US" w:eastAsia="zh-CN"/>
                    </w:rPr>
                    <w:t>21.6</w:t>
                  </w:r>
                  <w:r>
                    <w:rPr>
                      <w:rFonts w:hint="default" w:ascii="Times New Roman" w:hAnsi="Times New Roman" w:eastAsia="宋体" w:cs="Times New Roman"/>
                      <w:color w:val="auto"/>
                      <w:sz w:val="21"/>
                      <w:szCs w:val="21"/>
                      <w:lang w:val="en-US" w:eastAsia="zh-CN"/>
                    </w:rPr>
                    <w:t>℃</w:t>
                  </w:r>
                  <w:r>
                    <w:rPr>
                      <w:rFonts w:hint="eastAsia" w:ascii="Times New Roman" w:hAnsi="Times New Roman" w:eastAsia="宋体" w:cs="Times New Roman"/>
                      <w:color w:val="auto"/>
                      <w:sz w:val="21"/>
                      <w:szCs w:val="21"/>
                      <w:lang w:val="en-US" w:eastAsia="zh-CN"/>
                    </w:rPr>
                    <w:t>，</w:t>
                  </w:r>
                  <w:r>
                    <w:rPr>
                      <w:rFonts w:hint="default" w:ascii="Times New Roman" w:hAnsi="Times New Roman" w:eastAsia="宋体" w:cs="Times New Roman"/>
                      <w:color w:val="auto"/>
                      <w:sz w:val="21"/>
                      <w:szCs w:val="21"/>
                      <w:lang w:val="en-US" w:eastAsia="zh-CN"/>
                    </w:rPr>
                    <w:t>密度</w:t>
                  </w:r>
                  <w:r>
                    <w:rPr>
                      <w:rFonts w:hint="eastAsia" w:ascii="Times New Roman" w:hAnsi="Times New Roman" w:eastAsia="宋体" w:cs="Times New Roman"/>
                      <w:color w:val="auto"/>
                      <w:sz w:val="21"/>
                      <w:szCs w:val="21"/>
                      <w:lang w:val="en-US" w:eastAsia="zh-CN"/>
                    </w:rPr>
                    <w:t>1.2</w:t>
                  </w:r>
                  <w:r>
                    <w:rPr>
                      <w:rFonts w:hint="default" w:ascii="Times New Roman" w:hAnsi="Times New Roman" w:eastAsia="宋体" w:cs="Times New Roman"/>
                      <w:color w:val="auto"/>
                      <w:sz w:val="21"/>
                      <w:szCs w:val="21"/>
                      <w:lang w:val="en-US" w:eastAsia="zh-CN"/>
                    </w:rPr>
                    <w:t>g/c</w:t>
                  </w:r>
                  <w:r>
                    <w:rPr>
                      <w:rFonts w:hint="eastAsia" w:ascii="Times New Roman" w:hAnsi="Times New Roman" w:eastAsia="宋体" w:cs="Times New Roman"/>
                      <w:color w:val="auto"/>
                      <w:sz w:val="21"/>
                      <w:szCs w:val="21"/>
                      <w:lang w:val="en-US" w:eastAsia="zh-CN"/>
                    </w:rPr>
                    <w:t>m</w:t>
                  </w:r>
                  <w:r>
                    <w:rPr>
                      <w:rFonts w:hint="eastAsia" w:ascii="Times New Roman" w:hAnsi="Times New Roman" w:eastAsia="宋体" w:cs="Times New Roman"/>
                      <w:color w:val="auto"/>
                      <w:sz w:val="21"/>
                      <w:szCs w:val="21"/>
                      <w:vertAlign w:val="superscript"/>
                      <w:lang w:val="en-US" w:eastAsia="zh-CN"/>
                    </w:rPr>
                    <w:t>3</w:t>
                  </w:r>
                  <w:r>
                    <w:rPr>
                      <w:rFonts w:hint="eastAsia" w:ascii="Times New Roman" w:hAnsi="Times New Roman" w:eastAsia="宋体" w:cs="Times New Roman"/>
                      <w:color w:val="auto"/>
                      <w:sz w:val="21"/>
                      <w:szCs w:val="21"/>
                      <w:vertAlign w:val="baseline"/>
                      <w:lang w:val="en-US" w:eastAsia="zh-CN"/>
                    </w:rPr>
                    <w:t>。</w:t>
                  </w:r>
                </w:p>
              </w:tc>
              <w:tc>
                <w:tcPr>
                  <w:tcW w:w="2236" w:type="dxa"/>
                  <w:vAlign w:val="center"/>
                </w:tcPr>
                <w:p w14:paraId="3B3CA4AF">
                  <w:pPr>
                    <w:pStyle w:val="70"/>
                    <w:spacing w:line="240" w:lineRule="auto"/>
                    <w:jc w:val="both"/>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易燃，遇明火易发生燃烧或爆炸。吸入后，可能引起呼吸道刺激、导致恶心、呕吐、腹泻等。</w:t>
                  </w:r>
                </w:p>
              </w:tc>
            </w:tr>
            <w:tr w14:paraId="1C07936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379" w:type="dxa"/>
                  <w:vMerge w:val="restart"/>
                  <w:vAlign w:val="center"/>
                </w:tcPr>
                <w:p w14:paraId="7A783649">
                  <w:pPr>
                    <w:pStyle w:val="70"/>
                    <w:spacing w:line="240" w:lineRule="auto"/>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电解液主要成分</w:t>
                  </w:r>
                </w:p>
              </w:tc>
              <w:tc>
                <w:tcPr>
                  <w:tcW w:w="1320" w:type="dxa"/>
                  <w:vAlign w:val="center"/>
                </w:tcPr>
                <w:p w14:paraId="0C0990F2">
                  <w:pPr>
                    <w:pStyle w:val="70"/>
                    <w:spacing w:line="240" w:lineRule="auto"/>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碳酸二甲酯（DMC）</w:t>
                  </w:r>
                </w:p>
              </w:tc>
              <w:tc>
                <w:tcPr>
                  <w:tcW w:w="3825" w:type="dxa"/>
                  <w:vAlign w:val="center"/>
                </w:tcPr>
                <w:p w14:paraId="038B40E3">
                  <w:pPr>
                    <w:pStyle w:val="70"/>
                    <w:spacing w:line="240" w:lineRule="auto"/>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CAS号616-38-6，</w:t>
                  </w:r>
                  <w:r>
                    <w:rPr>
                      <w:rFonts w:hint="default" w:ascii="Times New Roman" w:hAnsi="Times New Roman" w:eastAsia="宋体" w:cs="Times New Roman"/>
                      <w:color w:val="auto"/>
                      <w:sz w:val="21"/>
                      <w:szCs w:val="21"/>
                      <w:lang w:val="en-US" w:eastAsia="zh-CN"/>
                    </w:rPr>
                    <w:t>化学C</w:t>
                  </w:r>
                  <w:r>
                    <w:rPr>
                      <w:rFonts w:hint="default" w:ascii="Times New Roman" w:hAnsi="Times New Roman" w:eastAsia="宋体" w:cs="Times New Roman"/>
                      <w:color w:val="auto"/>
                      <w:sz w:val="21"/>
                      <w:szCs w:val="21"/>
                      <w:vertAlign w:val="subscript"/>
                      <w:lang w:val="en-US" w:eastAsia="zh-CN"/>
                    </w:rPr>
                    <w:t>3</w:t>
                  </w:r>
                  <w:r>
                    <w:rPr>
                      <w:rFonts w:hint="default" w:ascii="Times New Roman" w:hAnsi="Times New Roman" w:eastAsia="宋体" w:cs="Times New Roman"/>
                      <w:color w:val="auto"/>
                      <w:sz w:val="21"/>
                      <w:szCs w:val="21"/>
                      <w:lang w:val="en-US" w:eastAsia="zh-CN"/>
                    </w:rPr>
                    <w:t>H</w:t>
                  </w:r>
                  <w:r>
                    <w:rPr>
                      <w:rFonts w:hint="default" w:ascii="Times New Roman" w:hAnsi="Times New Roman" w:eastAsia="宋体" w:cs="Times New Roman"/>
                      <w:color w:val="auto"/>
                      <w:sz w:val="21"/>
                      <w:szCs w:val="21"/>
                      <w:vertAlign w:val="subscript"/>
                      <w:lang w:val="en-US" w:eastAsia="zh-CN"/>
                    </w:rPr>
                    <w:t>6</w:t>
                  </w:r>
                  <w:r>
                    <w:rPr>
                      <w:rFonts w:hint="default" w:ascii="Times New Roman" w:hAnsi="Times New Roman" w:eastAsia="宋体" w:cs="Times New Roman"/>
                      <w:color w:val="auto"/>
                      <w:sz w:val="21"/>
                      <w:szCs w:val="21"/>
                      <w:lang w:val="en-US" w:eastAsia="zh-CN"/>
                    </w:rPr>
                    <w:t>O</w:t>
                  </w:r>
                  <w:r>
                    <w:rPr>
                      <w:rFonts w:hint="default" w:ascii="Times New Roman" w:hAnsi="Times New Roman" w:eastAsia="宋体" w:cs="Times New Roman"/>
                      <w:color w:val="auto"/>
                      <w:sz w:val="21"/>
                      <w:szCs w:val="21"/>
                      <w:vertAlign w:val="subscript"/>
                      <w:lang w:val="en-US" w:eastAsia="zh-CN"/>
                    </w:rPr>
                    <w:t>3</w:t>
                  </w:r>
                  <w:r>
                    <w:rPr>
                      <w:rFonts w:hint="default" w:ascii="Times New Roman" w:hAnsi="Times New Roman" w:eastAsia="宋体" w:cs="Times New Roman"/>
                      <w:color w:val="auto"/>
                      <w:sz w:val="21"/>
                      <w:szCs w:val="21"/>
                      <w:lang w:val="en-US" w:eastAsia="zh-CN"/>
                    </w:rPr>
                    <w:t>，分子量为90.08，常温下为透明液体，略带香味</w:t>
                  </w:r>
                  <w:r>
                    <w:rPr>
                      <w:rFonts w:hint="eastAsia" w:ascii="Times New Roman" w:hAnsi="Times New Roman" w:eastAsia="宋体" w:cs="Times New Roman"/>
                      <w:color w:val="auto"/>
                      <w:sz w:val="21"/>
                      <w:szCs w:val="21"/>
                      <w:lang w:val="en-US" w:eastAsia="zh-CN"/>
                    </w:rPr>
                    <w:t>，密度为1.07</w:t>
                  </w:r>
                  <w:r>
                    <w:rPr>
                      <w:rFonts w:hint="default" w:ascii="Times New Roman" w:hAnsi="Times New Roman" w:eastAsia="宋体" w:cs="Times New Roman"/>
                      <w:color w:val="auto"/>
                      <w:sz w:val="21"/>
                      <w:szCs w:val="21"/>
                      <w:lang w:val="en-US" w:eastAsia="zh-CN"/>
                    </w:rPr>
                    <w:t>g/c</w:t>
                  </w:r>
                  <w:r>
                    <w:rPr>
                      <w:rFonts w:hint="eastAsia" w:ascii="Times New Roman" w:hAnsi="Times New Roman" w:eastAsia="宋体" w:cs="Times New Roman"/>
                      <w:color w:val="auto"/>
                      <w:sz w:val="21"/>
                      <w:szCs w:val="21"/>
                      <w:lang w:val="en-US" w:eastAsia="zh-CN"/>
                    </w:rPr>
                    <w:t>m</w:t>
                  </w:r>
                  <w:r>
                    <w:rPr>
                      <w:rFonts w:hint="eastAsia" w:ascii="Times New Roman" w:hAnsi="Times New Roman" w:eastAsia="宋体" w:cs="Times New Roman"/>
                      <w:color w:val="auto"/>
                      <w:sz w:val="21"/>
                      <w:szCs w:val="21"/>
                      <w:vertAlign w:val="superscript"/>
                      <w:lang w:val="en-US" w:eastAsia="zh-CN"/>
                    </w:rPr>
                    <w:t>3</w:t>
                  </w:r>
                  <w:r>
                    <w:rPr>
                      <w:rFonts w:hint="default" w:ascii="Times New Roman" w:hAnsi="Times New Roman" w:eastAsia="宋体" w:cs="Times New Roman"/>
                      <w:color w:val="auto"/>
                      <w:sz w:val="21"/>
                      <w:szCs w:val="21"/>
                      <w:lang w:val="en-US" w:eastAsia="zh-CN"/>
                    </w:rPr>
                    <w:t>。难溶于水，但能与醇、酮、酯等任意比混溶。DMC是一种重要的有机合成中间体，DMC分子中含有羰基、甲基、甲氧基等基团，具有良好的反应性能，可代替剧毒的光气、硫酸二甲酯、氯甲烷等作为羰基化剂、甲基化剂和甲氧基化剂，在生产中</w:t>
                  </w:r>
                  <w:r>
                    <w:rPr>
                      <w:rFonts w:hint="eastAsia" w:ascii="宋体" w:hAnsi="宋体" w:eastAsia="宋体" w:cs="宋体"/>
                      <w:color w:val="auto"/>
                      <w:sz w:val="21"/>
                      <w:szCs w:val="21"/>
                      <w:lang w:val="en-US" w:eastAsia="zh-CN"/>
                    </w:rPr>
                    <w:t>具有使用安全、方便、污染少、容易运输等特点，被称为“</w:t>
                  </w:r>
                  <w:r>
                    <w:rPr>
                      <w:rFonts w:hint="default" w:ascii="Times New Roman" w:hAnsi="Times New Roman" w:eastAsia="宋体" w:cs="Times New Roman"/>
                      <w:color w:val="auto"/>
                      <w:sz w:val="21"/>
                      <w:szCs w:val="21"/>
                      <w:lang w:val="en-US" w:eastAsia="zh-CN"/>
                    </w:rPr>
                    <w:t>21世纪有机合成领域的新基块</w:t>
                  </w:r>
                  <w:r>
                    <w:rPr>
                      <w:rFonts w:hint="eastAsia" w:ascii="宋体" w:hAnsi="宋体" w:eastAsia="宋体" w:cs="宋体"/>
                      <w:color w:val="auto"/>
                      <w:sz w:val="21"/>
                      <w:szCs w:val="21"/>
                      <w:lang w:val="en-US" w:eastAsia="zh-CN"/>
                    </w:rPr>
                    <w:t>”。</w:t>
                  </w:r>
                </w:p>
              </w:tc>
              <w:tc>
                <w:tcPr>
                  <w:tcW w:w="2236" w:type="dxa"/>
                  <w:vAlign w:val="center"/>
                </w:tcPr>
                <w:p w14:paraId="28B40C99">
                  <w:pPr>
                    <w:pStyle w:val="70"/>
                    <w:spacing w:line="240" w:lineRule="auto"/>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易燃，</w:t>
                  </w:r>
                  <w:r>
                    <w:rPr>
                      <w:rFonts w:ascii="Helvetica" w:hAnsi="Helvetica" w:eastAsia="Helvetica" w:cs="Helvetica"/>
                      <w:i w:val="0"/>
                      <w:iCs w:val="0"/>
                      <w:caps w:val="0"/>
                      <w:color w:val="auto"/>
                      <w:spacing w:val="0"/>
                      <w:sz w:val="21"/>
                      <w:szCs w:val="21"/>
                      <w:shd w:val="clear" w:fill="FFFFFF"/>
                    </w:rPr>
                    <w:t>吸入、口服或经皮肤吸收对身体有害。本品对皮肤有刺激性。其蒸气或雾对眼睛、粘膜和上呼吸道有刺激性。</w:t>
                  </w:r>
                </w:p>
              </w:tc>
            </w:tr>
            <w:tr w14:paraId="5A3C5CB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379" w:type="dxa"/>
                  <w:vMerge w:val="continue"/>
                  <w:vAlign w:val="center"/>
                </w:tcPr>
                <w:p w14:paraId="36A95F77">
                  <w:pPr>
                    <w:pStyle w:val="70"/>
                    <w:spacing w:line="240" w:lineRule="auto"/>
                    <w:jc w:val="center"/>
                    <w:rPr>
                      <w:rFonts w:hint="default" w:ascii="Times New Roman" w:hAnsi="Times New Roman" w:eastAsia="宋体" w:cs="Times New Roman"/>
                      <w:color w:val="auto"/>
                      <w:sz w:val="21"/>
                      <w:szCs w:val="21"/>
                      <w:lang w:val="en-US" w:eastAsia="zh-CN"/>
                    </w:rPr>
                  </w:pPr>
                </w:p>
              </w:tc>
              <w:tc>
                <w:tcPr>
                  <w:tcW w:w="1320" w:type="dxa"/>
                  <w:vAlign w:val="center"/>
                </w:tcPr>
                <w:p w14:paraId="3B0376C5">
                  <w:pPr>
                    <w:pStyle w:val="70"/>
                    <w:spacing w:line="240" w:lineRule="auto"/>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碳酸二乙酯（DEC）</w:t>
                  </w:r>
                </w:p>
              </w:tc>
              <w:tc>
                <w:tcPr>
                  <w:tcW w:w="3825" w:type="dxa"/>
                  <w:vAlign w:val="center"/>
                </w:tcPr>
                <w:p w14:paraId="0990BC08">
                  <w:pPr>
                    <w:pStyle w:val="70"/>
                    <w:spacing w:line="240" w:lineRule="auto"/>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CAS号1</w:t>
                  </w:r>
                  <w:r>
                    <w:rPr>
                      <w:rFonts w:hint="default" w:ascii="Times New Roman" w:hAnsi="Times New Roman" w:eastAsia="宋体" w:cs="Times New Roman"/>
                      <w:color w:val="auto"/>
                      <w:sz w:val="21"/>
                      <w:szCs w:val="21"/>
                      <w:lang w:val="en-US" w:eastAsia="zh-CN"/>
                    </w:rPr>
                    <w:t>05-58-8，</w:t>
                  </w:r>
                  <w:r>
                    <w:rPr>
                      <w:rFonts w:hint="eastAsia" w:ascii="Times New Roman" w:hAnsi="Times New Roman" w:eastAsia="宋体" w:cs="Times New Roman"/>
                      <w:color w:val="auto"/>
                      <w:sz w:val="21"/>
                      <w:szCs w:val="21"/>
                      <w:lang w:val="en-US" w:eastAsia="zh-CN"/>
                    </w:rPr>
                    <w:t>密度为0.98</w:t>
                  </w:r>
                  <w:r>
                    <w:rPr>
                      <w:rFonts w:hint="default" w:ascii="Times New Roman" w:hAnsi="Times New Roman" w:eastAsia="宋体" w:cs="Times New Roman"/>
                      <w:color w:val="auto"/>
                      <w:sz w:val="21"/>
                      <w:szCs w:val="21"/>
                      <w:lang w:val="en-US" w:eastAsia="zh-CN"/>
                    </w:rPr>
                    <w:t>g/c</w:t>
                  </w:r>
                  <w:r>
                    <w:rPr>
                      <w:rFonts w:hint="eastAsia" w:ascii="Times New Roman" w:hAnsi="Times New Roman" w:eastAsia="宋体" w:cs="Times New Roman"/>
                      <w:color w:val="auto"/>
                      <w:sz w:val="21"/>
                      <w:szCs w:val="21"/>
                      <w:lang w:val="en-US" w:eastAsia="zh-CN"/>
                    </w:rPr>
                    <w:t>m</w:t>
                  </w:r>
                  <w:r>
                    <w:rPr>
                      <w:rFonts w:hint="eastAsia" w:ascii="Times New Roman" w:hAnsi="Times New Roman" w:eastAsia="宋体" w:cs="Times New Roman"/>
                      <w:color w:val="auto"/>
                      <w:sz w:val="21"/>
                      <w:szCs w:val="21"/>
                      <w:vertAlign w:val="superscript"/>
                      <w:lang w:val="en-US" w:eastAsia="zh-CN"/>
                    </w:rPr>
                    <w:t>3</w:t>
                  </w:r>
                  <w:r>
                    <w:rPr>
                      <w:rFonts w:hint="eastAsia" w:ascii="Times New Roman" w:hAnsi="Times New Roman" w:eastAsia="宋体" w:cs="Times New Roman"/>
                      <w:color w:val="auto"/>
                      <w:sz w:val="21"/>
                      <w:szCs w:val="21"/>
                      <w:lang w:val="en-US" w:eastAsia="zh-CN"/>
                    </w:rPr>
                    <w:t>，</w:t>
                  </w:r>
                  <w:r>
                    <w:rPr>
                      <w:rFonts w:hint="default" w:ascii="Times New Roman" w:hAnsi="Times New Roman" w:eastAsia="Helvetica" w:cs="Times New Roman"/>
                      <w:i w:val="0"/>
                      <w:iCs w:val="0"/>
                      <w:caps w:val="0"/>
                      <w:color w:val="auto"/>
                      <w:spacing w:val="0"/>
                      <w:sz w:val="21"/>
                      <w:szCs w:val="21"/>
                      <w:shd w:val="clear" w:fill="FFFFFF"/>
                    </w:rPr>
                    <w:t>是一种有机化合物，化学式为C</w:t>
                  </w:r>
                  <w:r>
                    <w:rPr>
                      <w:rFonts w:hint="default" w:ascii="Times New Roman" w:hAnsi="Times New Roman" w:eastAsia="Helvetica" w:cs="Times New Roman"/>
                      <w:i w:val="0"/>
                      <w:iCs w:val="0"/>
                      <w:caps w:val="0"/>
                      <w:color w:val="auto"/>
                      <w:spacing w:val="0"/>
                      <w:sz w:val="21"/>
                      <w:szCs w:val="21"/>
                      <w:shd w:val="clear" w:fill="FFFFFF"/>
                      <w:vertAlign w:val="subscript"/>
                    </w:rPr>
                    <w:t>5</w:t>
                  </w:r>
                  <w:r>
                    <w:rPr>
                      <w:rFonts w:hint="default" w:ascii="Times New Roman" w:hAnsi="Times New Roman" w:eastAsia="Helvetica" w:cs="Times New Roman"/>
                      <w:i w:val="0"/>
                      <w:iCs w:val="0"/>
                      <w:caps w:val="0"/>
                      <w:color w:val="auto"/>
                      <w:spacing w:val="0"/>
                      <w:sz w:val="21"/>
                      <w:szCs w:val="21"/>
                      <w:shd w:val="clear" w:fill="FFFFFF"/>
                    </w:rPr>
                    <w:t>H</w:t>
                  </w:r>
                  <w:r>
                    <w:rPr>
                      <w:rFonts w:hint="default" w:ascii="Times New Roman" w:hAnsi="Times New Roman" w:eastAsia="Helvetica" w:cs="Times New Roman"/>
                      <w:i w:val="0"/>
                      <w:iCs w:val="0"/>
                      <w:caps w:val="0"/>
                      <w:color w:val="auto"/>
                      <w:spacing w:val="0"/>
                      <w:sz w:val="21"/>
                      <w:szCs w:val="21"/>
                      <w:shd w:val="clear" w:fill="FFFFFF"/>
                      <w:vertAlign w:val="subscript"/>
                    </w:rPr>
                    <w:t>10</w:t>
                  </w:r>
                  <w:r>
                    <w:rPr>
                      <w:rFonts w:hint="default" w:ascii="Times New Roman" w:hAnsi="Times New Roman" w:eastAsia="Helvetica" w:cs="Times New Roman"/>
                      <w:i w:val="0"/>
                      <w:iCs w:val="0"/>
                      <w:caps w:val="0"/>
                      <w:color w:val="auto"/>
                      <w:spacing w:val="0"/>
                      <w:sz w:val="21"/>
                      <w:szCs w:val="21"/>
                      <w:shd w:val="clear" w:fill="FFFFFF"/>
                    </w:rPr>
                    <w:t>O</w:t>
                  </w:r>
                  <w:r>
                    <w:rPr>
                      <w:rFonts w:hint="default" w:ascii="Times New Roman" w:hAnsi="Times New Roman" w:eastAsia="Helvetica" w:cs="Times New Roman"/>
                      <w:i w:val="0"/>
                      <w:iCs w:val="0"/>
                      <w:caps w:val="0"/>
                      <w:color w:val="auto"/>
                      <w:spacing w:val="0"/>
                      <w:sz w:val="21"/>
                      <w:szCs w:val="21"/>
                      <w:shd w:val="clear" w:fill="FFFFFF"/>
                      <w:vertAlign w:val="subscript"/>
                    </w:rPr>
                    <w:t>3</w:t>
                  </w:r>
                  <w:r>
                    <w:rPr>
                      <w:rFonts w:hint="default" w:ascii="Times New Roman" w:hAnsi="Times New Roman" w:eastAsia="Helvetica" w:cs="Times New Roman"/>
                      <w:i w:val="0"/>
                      <w:iCs w:val="0"/>
                      <w:caps w:val="0"/>
                      <w:color w:val="auto"/>
                      <w:spacing w:val="0"/>
                      <w:sz w:val="21"/>
                      <w:szCs w:val="21"/>
                      <w:shd w:val="clear" w:fill="FFFFFF"/>
                    </w:rPr>
                    <w:t>，为无色液体，不溶于水，可混溶于醇类、酮类、酯类、芳烃等多数有机溶剂，主要用作有机</w:t>
                  </w:r>
                  <w:r>
                    <w:rPr>
                      <w:rFonts w:hint="default" w:ascii="Times New Roman" w:hAnsi="Times New Roman" w:eastAsia="宋体" w:cs="Times New Roman"/>
                      <w:color w:val="auto"/>
                      <w:sz w:val="21"/>
                      <w:szCs w:val="21"/>
                      <w:lang w:val="en-US" w:eastAsia="zh-CN"/>
                    </w:rPr>
                    <w:t>合成、药物合成中间体，也可用作树脂、油类、硝化纤维以及纤维素醚等的溶剂。</w:t>
                  </w:r>
                </w:p>
              </w:tc>
              <w:tc>
                <w:tcPr>
                  <w:tcW w:w="2236" w:type="dxa"/>
                  <w:vAlign w:val="center"/>
                </w:tcPr>
                <w:p w14:paraId="03951211">
                  <w:pPr>
                    <w:pStyle w:val="70"/>
                    <w:spacing w:line="240" w:lineRule="auto"/>
                    <w:jc w:val="center"/>
                    <w:rPr>
                      <w:rFonts w:hint="default" w:ascii="Times New Roman" w:hAnsi="Times New Roman" w:eastAsia="宋体" w:cs="Times New Roman"/>
                      <w:color w:val="auto"/>
                      <w:sz w:val="21"/>
                      <w:szCs w:val="21"/>
                      <w:lang w:val="en-US" w:eastAsia="zh-CN"/>
                    </w:rPr>
                  </w:pPr>
                  <w:r>
                    <w:rPr>
                      <w:rFonts w:ascii="Helvetica" w:hAnsi="Helvetica" w:eastAsia="Helvetica" w:cs="Helvetica"/>
                      <w:i w:val="0"/>
                      <w:iCs w:val="0"/>
                      <w:caps w:val="0"/>
                      <w:color w:val="auto"/>
                      <w:spacing w:val="0"/>
                      <w:sz w:val="21"/>
                      <w:szCs w:val="21"/>
                      <w:shd w:val="clear" w:fill="FFFFFF"/>
                    </w:rPr>
                    <w:t>易燃，遇高热、明火有引起燃烧的危险。其蒸气比空气重，能在较低处扩散到相当远的地方，遇火源会着火回燃。</w:t>
                  </w:r>
                </w:p>
              </w:tc>
            </w:tr>
            <w:tr w14:paraId="5057CE2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379" w:type="dxa"/>
                  <w:vMerge w:val="continue"/>
                  <w:vAlign w:val="center"/>
                </w:tcPr>
                <w:p w14:paraId="2F1073F6">
                  <w:pPr>
                    <w:pStyle w:val="70"/>
                    <w:spacing w:line="240" w:lineRule="auto"/>
                    <w:jc w:val="center"/>
                    <w:rPr>
                      <w:rFonts w:hint="default" w:ascii="Times New Roman" w:hAnsi="Times New Roman" w:eastAsia="宋体" w:cs="Times New Roman"/>
                      <w:color w:val="auto"/>
                      <w:sz w:val="21"/>
                      <w:szCs w:val="21"/>
                      <w:lang w:val="en-US" w:eastAsia="zh-CN"/>
                    </w:rPr>
                  </w:pPr>
                </w:p>
              </w:tc>
              <w:tc>
                <w:tcPr>
                  <w:tcW w:w="1320" w:type="dxa"/>
                  <w:vAlign w:val="center"/>
                </w:tcPr>
                <w:p w14:paraId="53FCE46E">
                  <w:pPr>
                    <w:pStyle w:val="70"/>
                    <w:spacing w:line="240" w:lineRule="auto"/>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碳酸甲乙酯（EMC）</w:t>
                  </w:r>
                </w:p>
              </w:tc>
              <w:tc>
                <w:tcPr>
                  <w:tcW w:w="3825" w:type="dxa"/>
                  <w:vAlign w:val="center"/>
                </w:tcPr>
                <w:p w14:paraId="5F5EF61F">
                  <w:pPr>
                    <w:pStyle w:val="70"/>
                    <w:spacing w:line="240" w:lineRule="auto"/>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CAS号623-53-0</w:t>
                  </w:r>
                  <w:r>
                    <w:rPr>
                      <w:rFonts w:hint="default" w:ascii="Times New Roman" w:hAnsi="Times New Roman" w:eastAsia="宋体" w:cs="Times New Roman"/>
                      <w:color w:val="auto"/>
                      <w:sz w:val="21"/>
                      <w:szCs w:val="21"/>
                      <w:lang w:val="en-US" w:eastAsia="zh-CN"/>
                    </w:rPr>
                    <w:t>，</w:t>
                  </w:r>
                  <w:r>
                    <w:rPr>
                      <w:rFonts w:hint="eastAsia" w:ascii="Times New Roman" w:hAnsi="Times New Roman" w:eastAsia="宋体" w:cs="Times New Roman"/>
                      <w:color w:val="auto"/>
                      <w:sz w:val="21"/>
                      <w:szCs w:val="21"/>
                      <w:lang w:val="en-US" w:eastAsia="zh-CN"/>
                    </w:rPr>
                    <w:t>密度为1.01</w:t>
                  </w:r>
                  <w:r>
                    <w:rPr>
                      <w:rFonts w:hint="default" w:ascii="Times New Roman" w:hAnsi="Times New Roman" w:eastAsia="宋体" w:cs="Times New Roman"/>
                      <w:color w:val="auto"/>
                      <w:sz w:val="21"/>
                      <w:szCs w:val="21"/>
                      <w:lang w:val="en-US" w:eastAsia="zh-CN"/>
                    </w:rPr>
                    <w:t>g/c</w:t>
                  </w:r>
                  <w:r>
                    <w:rPr>
                      <w:rFonts w:hint="eastAsia" w:ascii="Times New Roman" w:hAnsi="Times New Roman" w:eastAsia="宋体" w:cs="Times New Roman"/>
                      <w:color w:val="auto"/>
                      <w:sz w:val="21"/>
                      <w:szCs w:val="21"/>
                      <w:lang w:val="en-US" w:eastAsia="zh-CN"/>
                    </w:rPr>
                    <w:t>m</w:t>
                  </w:r>
                  <w:r>
                    <w:rPr>
                      <w:rFonts w:hint="eastAsia" w:ascii="Times New Roman" w:hAnsi="Times New Roman" w:eastAsia="宋体" w:cs="Times New Roman"/>
                      <w:color w:val="auto"/>
                      <w:sz w:val="21"/>
                      <w:szCs w:val="21"/>
                      <w:vertAlign w:val="superscript"/>
                      <w:lang w:val="en-US" w:eastAsia="zh-CN"/>
                    </w:rPr>
                    <w:t>3</w:t>
                  </w:r>
                  <w:r>
                    <w:rPr>
                      <w:rFonts w:hint="eastAsia" w:ascii="Times New Roman" w:hAnsi="Times New Roman" w:eastAsia="宋体" w:cs="Times New Roman"/>
                      <w:color w:val="auto"/>
                      <w:sz w:val="21"/>
                      <w:szCs w:val="21"/>
                      <w:lang w:val="en-US" w:eastAsia="zh-CN"/>
                    </w:rPr>
                    <w:t>，</w:t>
                  </w:r>
                  <w:r>
                    <w:rPr>
                      <w:rFonts w:ascii="Helvetica" w:hAnsi="Helvetica" w:eastAsia="Helvetica" w:cs="Helvetica"/>
                      <w:i w:val="0"/>
                      <w:iCs w:val="0"/>
                      <w:caps w:val="0"/>
                      <w:color w:val="auto"/>
                      <w:spacing w:val="0"/>
                      <w:sz w:val="21"/>
                      <w:szCs w:val="21"/>
                      <w:shd w:val="clear" w:fill="FFFFFF"/>
                    </w:rPr>
                    <w:t>是一种有机化合物，分子式</w:t>
                  </w:r>
                  <w:r>
                    <w:rPr>
                      <w:rFonts w:hint="default" w:ascii="Times New Roman" w:hAnsi="Times New Roman" w:eastAsia="Helvetica" w:cs="Times New Roman"/>
                      <w:i w:val="0"/>
                      <w:iCs w:val="0"/>
                      <w:caps w:val="0"/>
                      <w:color w:val="auto"/>
                      <w:spacing w:val="0"/>
                      <w:sz w:val="21"/>
                      <w:szCs w:val="21"/>
                      <w:shd w:val="clear" w:fill="FFFFFF"/>
                    </w:rPr>
                    <w:t>为C</w:t>
                  </w:r>
                  <w:r>
                    <w:rPr>
                      <w:rFonts w:hint="default" w:ascii="Times New Roman" w:hAnsi="Times New Roman" w:eastAsia="Helvetica" w:cs="Times New Roman"/>
                      <w:i w:val="0"/>
                      <w:iCs w:val="0"/>
                      <w:caps w:val="0"/>
                      <w:color w:val="auto"/>
                      <w:spacing w:val="0"/>
                      <w:sz w:val="21"/>
                      <w:szCs w:val="21"/>
                      <w:shd w:val="clear" w:fill="FFFFFF"/>
                      <w:vertAlign w:val="subscript"/>
                    </w:rPr>
                    <w:t>4</w:t>
                  </w:r>
                  <w:r>
                    <w:rPr>
                      <w:rFonts w:hint="default" w:ascii="Times New Roman" w:hAnsi="Times New Roman" w:eastAsia="Helvetica" w:cs="Times New Roman"/>
                      <w:i w:val="0"/>
                      <w:iCs w:val="0"/>
                      <w:caps w:val="0"/>
                      <w:color w:val="auto"/>
                      <w:spacing w:val="0"/>
                      <w:sz w:val="21"/>
                      <w:szCs w:val="21"/>
                      <w:shd w:val="clear" w:fill="FFFFFF"/>
                    </w:rPr>
                    <w:t>H</w:t>
                  </w:r>
                  <w:r>
                    <w:rPr>
                      <w:rFonts w:hint="default" w:ascii="Times New Roman" w:hAnsi="Times New Roman" w:eastAsia="Helvetica" w:cs="Times New Roman"/>
                      <w:i w:val="0"/>
                      <w:iCs w:val="0"/>
                      <w:caps w:val="0"/>
                      <w:color w:val="auto"/>
                      <w:spacing w:val="0"/>
                      <w:sz w:val="21"/>
                      <w:szCs w:val="21"/>
                      <w:shd w:val="clear" w:fill="FFFFFF"/>
                      <w:vertAlign w:val="subscript"/>
                    </w:rPr>
                    <w:t>8</w:t>
                  </w:r>
                  <w:r>
                    <w:rPr>
                      <w:rFonts w:hint="default" w:ascii="Times New Roman" w:hAnsi="Times New Roman" w:eastAsia="Helvetica" w:cs="Times New Roman"/>
                      <w:i w:val="0"/>
                      <w:iCs w:val="0"/>
                      <w:caps w:val="0"/>
                      <w:color w:val="auto"/>
                      <w:spacing w:val="0"/>
                      <w:sz w:val="21"/>
                      <w:szCs w:val="21"/>
                      <w:shd w:val="clear" w:fill="FFFFFF"/>
                    </w:rPr>
                    <w:t>O</w:t>
                  </w:r>
                  <w:r>
                    <w:rPr>
                      <w:rFonts w:hint="default" w:ascii="Times New Roman" w:hAnsi="Times New Roman" w:eastAsia="Helvetica" w:cs="Times New Roman"/>
                      <w:i w:val="0"/>
                      <w:iCs w:val="0"/>
                      <w:caps w:val="0"/>
                      <w:color w:val="auto"/>
                      <w:spacing w:val="0"/>
                      <w:sz w:val="21"/>
                      <w:szCs w:val="21"/>
                      <w:shd w:val="clear" w:fill="FFFFFF"/>
                      <w:vertAlign w:val="subscript"/>
                    </w:rPr>
                    <w:t>3</w:t>
                  </w:r>
                  <w:r>
                    <w:rPr>
                      <w:rFonts w:hint="default" w:ascii="Times New Roman" w:hAnsi="Times New Roman" w:eastAsia="Helvetica" w:cs="Times New Roman"/>
                      <w:i w:val="0"/>
                      <w:iCs w:val="0"/>
                      <w:caps w:val="0"/>
                      <w:color w:val="auto"/>
                      <w:spacing w:val="0"/>
                      <w:sz w:val="21"/>
                      <w:szCs w:val="21"/>
                      <w:shd w:val="clear" w:fill="FFFFFF"/>
                    </w:rPr>
                    <w:t>，</w:t>
                  </w:r>
                  <w:r>
                    <w:rPr>
                      <w:rFonts w:hint="default" w:ascii="Helvetica" w:hAnsi="Helvetica" w:eastAsia="Helvetica" w:cs="Helvetica"/>
                      <w:i w:val="0"/>
                      <w:iCs w:val="0"/>
                      <w:caps w:val="0"/>
                      <w:color w:val="auto"/>
                      <w:spacing w:val="0"/>
                      <w:sz w:val="21"/>
                      <w:szCs w:val="21"/>
                      <w:shd w:val="clear" w:fill="FFFFFF"/>
                    </w:rPr>
                    <w:t>为无色透明液体，不溶于水，可用于有机合成，是一种优良的</w:t>
                  </w:r>
                  <w:r>
                    <w:rPr>
                      <w:rFonts w:hint="default" w:ascii="Helvetica" w:hAnsi="Helvetica" w:eastAsia="Helvetica" w:cs="Helvetica"/>
                      <w:i w:val="0"/>
                      <w:iCs w:val="0"/>
                      <w:caps w:val="0"/>
                      <w:color w:val="auto"/>
                      <w:spacing w:val="0"/>
                      <w:sz w:val="21"/>
                      <w:szCs w:val="21"/>
                      <w:shd w:val="clear" w:fill="FFFFFF"/>
                    </w:rPr>
                    <w:fldChar w:fldCharType="begin"/>
                  </w:r>
                  <w:r>
                    <w:rPr>
                      <w:rFonts w:hint="default" w:ascii="Helvetica" w:hAnsi="Helvetica" w:eastAsia="Helvetica" w:cs="Helvetica"/>
                      <w:i w:val="0"/>
                      <w:iCs w:val="0"/>
                      <w:caps w:val="0"/>
                      <w:color w:val="auto"/>
                      <w:spacing w:val="0"/>
                      <w:sz w:val="21"/>
                      <w:szCs w:val="21"/>
                      <w:shd w:val="clear" w:fill="FFFFFF"/>
                    </w:rPr>
                    <w:instrText xml:space="preserve"> HYPERLINK "https://baike.baidu.com/item/%E9%94%82%E7%A6%BB%E5%AD%90%E7%94%B5%E6%B1%A0/253491?fromModule=lemma_inlink" \t "https://baike.baidu.com/item/%E7%A2%B3%E9%85%B8%E7%94%B2%E4%B9%99%E9%85%AF/_blank" </w:instrText>
                  </w:r>
                  <w:r>
                    <w:rPr>
                      <w:rFonts w:hint="default" w:ascii="Helvetica" w:hAnsi="Helvetica" w:eastAsia="Helvetica" w:cs="Helvetica"/>
                      <w:i w:val="0"/>
                      <w:iCs w:val="0"/>
                      <w:caps w:val="0"/>
                      <w:color w:val="auto"/>
                      <w:spacing w:val="0"/>
                      <w:sz w:val="21"/>
                      <w:szCs w:val="21"/>
                      <w:shd w:val="clear" w:fill="FFFFFF"/>
                    </w:rPr>
                    <w:fldChar w:fldCharType="separate"/>
                  </w:r>
                  <w:r>
                    <w:rPr>
                      <w:rFonts w:hint="default" w:ascii="Helvetica" w:hAnsi="Helvetica" w:eastAsia="Helvetica" w:cs="Helvetica"/>
                      <w:i w:val="0"/>
                      <w:iCs w:val="0"/>
                      <w:caps w:val="0"/>
                      <w:color w:val="auto"/>
                      <w:spacing w:val="0"/>
                      <w:sz w:val="21"/>
                      <w:szCs w:val="21"/>
                      <w:shd w:val="clear" w:fill="FFFFFF"/>
                    </w:rPr>
                    <w:t>锂离子电池</w:t>
                  </w:r>
                  <w:r>
                    <w:rPr>
                      <w:rFonts w:hint="default" w:ascii="Helvetica" w:hAnsi="Helvetica" w:eastAsia="Helvetica" w:cs="Helvetica"/>
                      <w:i w:val="0"/>
                      <w:iCs w:val="0"/>
                      <w:caps w:val="0"/>
                      <w:color w:val="auto"/>
                      <w:spacing w:val="0"/>
                      <w:sz w:val="21"/>
                      <w:szCs w:val="21"/>
                      <w:shd w:val="clear" w:fill="FFFFFF"/>
                    </w:rPr>
                    <w:fldChar w:fldCharType="end"/>
                  </w:r>
                  <w:r>
                    <w:rPr>
                      <w:rFonts w:hint="default" w:ascii="Helvetica" w:hAnsi="Helvetica" w:eastAsia="Helvetica" w:cs="Helvetica"/>
                      <w:i w:val="0"/>
                      <w:iCs w:val="0"/>
                      <w:caps w:val="0"/>
                      <w:color w:val="auto"/>
                      <w:spacing w:val="0"/>
                      <w:sz w:val="21"/>
                      <w:szCs w:val="21"/>
                      <w:shd w:val="clear" w:fill="FFFFFF"/>
                    </w:rPr>
                    <w:t>电解液的溶剂。</w:t>
                  </w:r>
                </w:p>
              </w:tc>
              <w:tc>
                <w:tcPr>
                  <w:tcW w:w="2236" w:type="dxa"/>
                  <w:vAlign w:val="center"/>
                </w:tcPr>
                <w:p w14:paraId="58951B27">
                  <w:pPr>
                    <w:pStyle w:val="70"/>
                    <w:spacing w:line="240" w:lineRule="auto"/>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易燃，遇明火、高热能引起燃烧爆炸。微毒，为轻度刺激和麻醉。吸入后引起头疼、头昏、虚弱、恶心等，液体或高浓度蒸汽对眼有刺激性。</w:t>
                  </w:r>
                </w:p>
              </w:tc>
            </w:tr>
            <w:tr w14:paraId="10CFBDE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379" w:type="dxa"/>
                  <w:vMerge w:val="continue"/>
                  <w:vAlign w:val="center"/>
                </w:tcPr>
                <w:p w14:paraId="269C4BC1">
                  <w:pPr>
                    <w:pStyle w:val="70"/>
                    <w:spacing w:line="240" w:lineRule="auto"/>
                    <w:jc w:val="center"/>
                    <w:rPr>
                      <w:rFonts w:hint="default" w:ascii="Times New Roman" w:hAnsi="Times New Roman" w:eastAsia="宋体" w:cs="Times New Roman"/>
                      <w:color w:val="auto"/>
                      <w:sz w:val="21"/>
                      <w:szCs w:val="21"/>
                      <w:lang w:val="en-US" w:eastAsia="zh-CN"/>
                    </w:rPr>
                  </w:pPr>
                </w:p>
              </w:tc>
              <w:tc>
                <w:tcPr>
                  <w:tcW w:w="1320" w:type="dxa"/>
                  <w:vAlign w:val="center"/>
                </w:tcPr>
                <w:p w14:paraId="19CA5E78">
                  <w:pPr>
                    <w:pStyle w:val="70"/>
                    <w:spacing w:line="240" w:lineRule="auto"/>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丙酸乙酯（EP）</w:t>
                  </w:r>
                </w:p>
              </w:tc>
              <w:tc>
                <w:tcPr>
                  <w:tcW w:w="3825" w:type="dxa"/>
                  <w:vAlign w:val="center"/>
                </w:tcPr>
                <w:p w14:paraId="59700304">
                  <w:pPr>
                    <w:pStyle w:val="70"/>
                    <w:spacing w:line="240" w:lineRule="auto"/>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CAS号105-37-7</w:t>
                  </w:r>
                  <w:r>
                    <w:rPr>
                      <w:rFonts w:hint="default" w:ascii="Times New Roman" w:hAnsi="Times New Roman" w:eastAsia="宋体" w:cs="Times New Roman"/>
                      <w:color w:val="auto"/>
                      <w:sz w:val="21"/>
                      <w:szCs w:val="21"/>
                      <w:lang w:val="en-US" w:eastAsia="zh-CN"/>
                    </w:rPr>
                    <w:t>，</w:t>
                  </w:r>
                  <w:r>
                    <w:rPr>
                      <w:rFonts w:hint="eastAsia" w:ascii="Times New Roman" w:hAnsi="Times New Roman" w:eastAsia="宋体" w:cs="Times New Roman"/>
                      <w:color w:val="auto"/>
                      <w:sz w:val="21"/>
                      <w:szCs w:val="21"/>
                      <w:lang w:val="en-US" w:eastAsia="zh-CN"/>
                    </w:rPr>
                    <w:t>密度为0.89</w:t>
                  </w:r>
                  <w:r>
                    <w:rPr>
                      <w:rFonts w:hint="default" w:ascii="Times New Roman" w:hAnsi="Times New Roman" w:eastAsia="宋体" w:cs="Times New Roman"/>
                      <w:color w:val="auto"/>
                      <w:sz w:val="21"/>
                      <w:szCs w:val="21"/>
                      <w:lang w:val="en-US" w:eastAsia="zh-CN"/>
                    </w:rPr>
                    <w:t>g/c</w:t>
                  </w:r>
                  <w:r>
                    <w:rPr>
                      <w:rFonts w:hint="eastAsia" w:ascii="Times New Roman" w:hAnsi="Times New Roman" w:eastAsia="宋体" w:cs="Times New Roman"/>
                      <w:color w:val="auto"/>
                      <w:sz w:val="21"/>
                      <w:szCs w:val="21"/>
                      <w:lang w:val="en-US" w:eastAsia="zh-CN"/>
                    </w:rPr>
                    <w:t>m</w:t>
                  </w:r>
                  <w:r>
                    <w:rPr>
                      <w:rFonts w:hint="eastAsia" w:ascii="Times New Roman" w:hAnsi="Times New Roman" w:eastAsia="宋体" w:cs="Times New Roman"/>
                      <w:color w:val="auto"/>
                      <w:sz w:val="21"/>
                      <w:szCs w:val="21"/>
                      <w:vertAlign w:val="superscript"/>
                      <w:lang w:val="en-US" w:eastAsia="zh-CN"/>
                    </w:rPr>
                    <w:t>3</w:t>
                  </w:r>
                  <w:r>
                    <w:rPr>
                      <w:rFonts w:hint="eastAsia" w:ascii="Times New Roman" w:hAnsi="Times New Roman" w:eastAsia="宋体" w:cs="Times New Roman"/>
                      <w:color w:val="auto"/>
                      <w:sz w:val="21"/>
                      <w:szCs w:val="21"/>
                      <w:lang w:val="en-US" w:eastAsia="zh-CN"/>
                    </w:rPr>
                    <w:t>，化学式为CH</w:t>
                  </w:r>
                  <w:r>
                    <w:rPr>
                      <w:rFonts w:hint="default" w:ascii="Times New Roman" w:hAnsi="Times New Roman" w:eastAsia="宋体" w:cs="Times New Roman"/>
                      <w:color w:val="auto"/>
                      <w:sz w:val="21"/>
                      <w:szCs w:val="21"/>
                      <w:vertAlign w:val="subscript"/>
                      <w:lang w:val="en-US" w:eastAsia="zh-CN"/>
                    </w:rPr>
                    <w:t>3</w:t>
                  </w:r>
                  <w:r>
                    <w:rPr>
                      <w:rFonts w:hint="default" w:ascii="Times New Roman" w:hAnsi="Times New Roman" w:eastAsia="宋体" w:cs="Times New Roman"/>
                      <w:color w:val="auto"/>
                      <w:sz w:val="21"/>
                      <w:szCs w:val="21"/>
                      <w:lang w:val="en-US" w:eastAsia="zh-CN"/>
                    </w:rPr>
                    <w:t>CH</w:t>
                  </w:r>
                  <w:r>
                    <w:rPr>
                      <w:rFonts w:hint="default" w:ascii="Times New Roman" w:hAnsi="Times New Roman" w:eastAsia="宋体" w:cs="Times New Roman"/>
                      <w:color w:val="auto"/>
                      <w:sz w:val="21"/>
                      <w:szCs w:val="21"/>
                      <w:vertAlign w:val="subscript"/>
                      <w:lang w:val="en-US" w:eastAsia="zh-CN"/>
                    </w:rPr>
                    <w:t>2</w:t>
                  </w:r>
                  <w:r>
                    <w:rPr>
                      <w:rFonts w:hint="default" w:ascii="Times New Roman" w:hAnsi="Times New Roman" w:eastAsia="宋体" w:cs="Times New Roman"/>
                      <w:color w:val="auto"/>
                      <w:sz w:val="21"/>
                      <w:szCs w:val="21"/>
                      <w:lang w:val="en-US" w:eastAsia="zh-CN"/>
                    </w:rPr>
                    <w:t>COOCH</w:t>
                  </w:r>
                  <w:r>
                    <w:rPr>
                      <w:rFonts w:hint="default" w:ascii="Times New Roman" w:hAnsi="Times New Roman" w:eastAsia="宋体" w:cs="Times New Roman"/>
                      <w:color w:val="auto"/>
                      <w:sz w:val="21"/>
                      <w:szCs w:val="21"/>
                      <w:vertAlign w:val="subscript"/>
                      <w:lang w:val="en-US" w:eastAsia="zh-CN"/>
                    </w:rPr>
                    <w:t>2</w:t>
                  </w:r>
                  <w:r>
                    <w:rPr>
                      <w:rFonts w:hint="default" w:ascii="Times New Roman" w:hAnsi="Times New Roman" w:eastAsia="宋体" w:cs="Times New Roman"/>
                      <w:color w:val="auto"/>
                      <w:sz w:val="21"/>
                      <w:szCs w:val="21"/>
                      <w:lang w:val="en-US" w:eastAsia="zh-CN"/>
                    </w:rPr>
                    <w:t>CH</w:t>
                  </w:r>
                  <w:r>
                    <w:rPr>
                      <w:rFonts w:hint="default" w:ascii="Times New Roman" w:hAnsi="Times New Roman" w:eastAsia="宋体" w:cs="Times New Roman"/>
                      <w:color w:val="auto"/>
                      <w:sz w:val="21"/>
                      <w:szCs w:val="21"/>
                      <w:vertAlign w:val="subscript"/>
                      <w:lang w:val="en-US" w:eastAsia="zh-CN"/>
                    </w:rPr>
                    <w:t>3</w:t>
                  </w:r>
                  <w:r>
                    <w:rPr>
                      <w:rFonts w:hint="default" w:ascii="Times New Roman" w:hAnsi="Times New Roman" w:eastAsia="宋体" w:cs="Times New Roman"/>
                      <w:color w:val="auto"/>
                      <w:sz w:val="21"/>
                      <w:szCs w:val="21"/>
                      <w:lang w:val="en-US" w:eastAsia="zh-CN"/>
                    </w:rPr>
                    <w:t>，为无色液体，有菠萝香味，不溶于水，混溶</w:t>
                  </w:r>
                  <w:r>
                    <w:rPr>
                      <w:rFonts w:hint="default" w:ascii="Helvetica" w:hAnsi="Helvetica" w:eastAsia="Helvetica" w:cs="Helvetica"/>
                      <w:i w:val="0"/>
                      <w:iCs w:val="0"/>
                      <w:caps w:val="0"/>
                      <w:color w:val="auto"/>
                      <w:spacing w:val="0"/>
                      <w:sz w:val="21"/>
                      <w:szCs w:val="21"/>
                      <w:shd w:val="clear" w:fill="FFFFFF"/>
                    </w:rPr>
                    <w:t>于乙醇、乙醚、丙二醇等多数有机溶剂。</w:t>
                  </w:r>
                </w:p>
              </w:tc>
              <w:tc>
                <w:tcPr>
                  <w:tcW w:w="2236" w:type="dxa"/>
                  <w:vAlign w:val="center"/>
                </w:tcPr>
                <w:p w14:paraId="5B17C614">
                  <w:pPr>
                    <w:pStyle w:val="70"/>
                    <w:spacing w:line="240" w:lineRule="auto"/>
                    <w:jc w:val="center"/>
                    <w:rPr>
                      <w:rFonts w:hint="eastAsia" w:ascii="Times New Roman" w:hAnsi="Times New Roman" w:eastAsia="宋体" w:cs="Times New Roman"/>
                      <w:color w:val="auto"/>
                      <w:sz w:val="21"/>
                      <w:szCs w:val="21"/>
                      <w:lang w:val="en-US" w:eastAsia="zh-CN"/>
                    </w:rPr>
                  </w:pPr>
                  <w:r>
                    <w:rPr>
                      <w:rFonts w:ascii="Helvetica" w:hAnsi="Helvetica" w:eastAsia="Helvetica" w:cs="Helvetica"/>
                      <w:i w:val="0"/>
                      <w:iCs w:val="0"/>
                      <w:caps w:val="0"/>
                      <w:color w:val="auto"/>
                      <w:spacing w:val="0"/>
                      <w:sz w:val="21"/>
                      <w:szCs w:val="21"/>
                      <w:shd w:val="clear" w:fill="FFFFFF"/>
                    </w:rPr>
                    <w:t>易燃，其蒸气与空气可形成爆炸性混合物。遇明火、高热能引起燃烧爆炸。与氧化剂能发生强烈反应</w:t>
                  </w:r>
                  <w:r>
                    <w:rPr>
                      <w:rFonts w:hint="eastAsia" w:ascii="Helvetica" w:hAnsi="Helvetica" w:eastAsia="宋体" w:cs="Helvetica"/>
                      <w:i w:val="0"/>
                      <w:iCs w:val="0"/>
                      <w:caps w:val="0"/>
                      <w:color w:val="auto"/>
                      <w:spacing w:val="0"/>
                      <w:sz w:val="21"/>
                      <w:szCs w:val="21"/>
                      <w:shd w:val="clear" w:fill="FFFFFF"/>
                      <w:lang w:eastAsia="zh-CN"/>
                    </w:rPr>
                    <w:t>，</w:t>
                  </w:r>
                  <w:r>
                    <w:rPr>
                      <w:rFonts w:ascii="Helvetica" w:hAnsi="Helvetica" w:eastAsia="Helvetica" w:cs="Helvetica"/>
                      <w:i w:val="0"/>
                      <w:iCs w:val="0"/>
                      <w:caps w:val="0"/>
                      <w:color w:val="auto"/>
                      <w:spacing w:val="0"/>
                      <w:sz w:val="21"/>
                      <w:szCs w:val="21"/>
                      <w:shd w:val="clear" w:fill="FFFFFF"/>
                    </w:rPr>
                    <w:t>高浓度蒸气有刺激性，引起眼、鼻、咽喉刺痛，可有恶心、呕吐</w:t>
                  </w:r>
                  <w:r>
                    <w:rPr>
                      <w:rFonts w:hint="eastAsia" w:ascii="Helvetica" w:hAnsi="Helvetica" w:eastAsia="宋体" w:cs="Helvetica"/>
                      <w:i w:val="0"/>
                      <w:iCs w:val="0"/>
                      <w:caps w:val="0"/>
                      <w:color w:val="auto"/>
                      <w:spacing w:val="0"/>
                      <w:sz w:val="21"/>
                      <w:szCs w:val="21"/>
                      <w:shd w:val="clear" w:fill="FFFFFF"/>
                      <w:lang w:eastAsia="zh-CN"/>
                    </w:rPr>
                    <w:t>。</w:t>
                  </w:r>
                </w:p>
              </w:tc>
            </w:tr>
            <w:tr w14:paraId="1718F96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379" w:type="dxa"/>
                  <w:vMerge w:val="continue"/>
                  <w:vAlign w:val="center"/>
                </w:tcPr>
                <w:p w14:paraId="1D37D6EE">
                  <w:pPr>
                    <w:pStyle w:val="70"/>
                    <w:spacing w:line="240" w:lineRule="auto"/>
                    <w:jc w:val="center"/>
                    <w:rPr>
                      <w:rFonts w:hint="default" w:ascii="Times New Roman" w:hAnsi="Times New Roman" w:eastAsia="宋体" w:cs="Times New Roman"/>
                      <w:color w:val="auto"/>
                      <w:sz w:val="21"/>
                      <w:szCs w:val="21"/>
                      <w:lang w:val="en-US" w:eastAsia="zh-CN"/>
                    </w:rPr>
                  </w:pPr>
                </w:p>
              </w:tc>
              <w:tc>
                <w:tcPr>
                  <w:tcW w:w="1320" w:type="dxa"/>
                  <w:vAlign w:val="center"/>
                </w:tcPr>
                <w:p w14:paraId="0D2378F5">
                  <w:pPr>
                    <w:pStyle w:val="70"/>
                    <w:spacing w:line="240" w:lineRule="auto"/>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丙酸丙酯（PP）</w:t>
                  </w:r>
                </w:p>
              </w:tc>
              <w:tc>
                <w:tcPr>
                  <w:tcW w:w="3825" w:type="dxa"/>
                  <w:vAlign w:val="center"/>
                </w:tcPr>
                <w:p w14:paraId="39D162EA">
                  <w:pPr>
                    <w:pStyle w:val="70"/>
                    <w:spacing w:line="240" w:lineRule="auto"/>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CAS号10</w:t>
                  </w:r>
                  <w:r>
                    <w:rPr>
                      <w:rFonts w:hint="eastAsia" w:cs="Times New Roman"/>
                      <w:color w:val="auto"/>
                      <w:sz w:val="21"/>
                      <w:szCs w:val="21"/>
                      <w:lang w:val="en-US" w:eastAsia="zh-CN"/>
                    </w:rPr>
                    <w:t>6</w:t>
                  </w:r>
                  <w:r>
                    <w:rPr>
                      <w:rFonts w:hint="eastAsia" w:ascii="Times New Roman" w:hAnsi="Times New Roman" w:eastAsia="宋体" w:cs="Times New Roman"/>
                      <w:color w:val="auto"/>
                      <w:sz w:val="21"/>
                      <w:szCs w:val="21"/>
                      <w:lang w:val="en-US" w:eastAsia="zh-CN"/>
                    </w:rPr>
                    <w:t>-</w:t>
                  </w:r>
                  <w:r>
                    <w:rPr>
                      <w:rFonts w:hint="eastAsia" w:cs="Times New Roman"/>
                      <w:color w:val="auto"/>
                      <w:sz w:val="21"/>
                      <w:szCs w:val="21"/>
                      <w:lang w:val="en-US" w:eastAsia="zh-CN"/>
                    </w:rPr>
                    <w:t>36</w:t>
                  </w:r>
                  <w:r>
                    <w:rPr>
                      <w:rFonts w:hint="eastAsia" w:ascii="Times New Roman" w:hAnsi="Times New Roman" w:eastAsia="宋体" w:cs="Times New Roman"/>
                      <w:color w:val="auto"/>
                      <w:sz w:val="21"/>
                      <w:szCs w:val="21"/>
                      <w:lang w:val="en-US" w:eastAsia="zh-CN"/>
                    </w:rPr>
                    <w:t>-</w:t>
                  </w:r>
                  <w:r>
                    <w:rPr>
                      <w:rFonts w:hint="eastAsia" w:cs="Times New Roman"/>
                      <w:color w:val="auto"/>
                      <w:sz w:val="21"/>
                      <w:szCs w:val="21"/>
                      <w:lang w:val="en-US" w:eastAsia="zh-CN"/>
                    </w:rPr>
                    <w:t>5</w:t>
                  </w:r>
                  <w:r>
                    <w:rPr>
                      <w:rFonts w:hint="default" w:ascii="Times New Roman" w:hAnsi="Times New Roman" w:eastAsia="宋体" w:cs="Times New Roman"/>
                      <w:color w:val="auto"/>
                      <w:sz w:val="21"/>
                      <w:szCs w:val="21"/>
                      <w:lang w:val="en-US" w:eastAsia="zh-CN"/>
                    </w:rPr>
                    <w:t>，</w:t>
                  </w:r>
                  <w:r>
                    <w:rPr>
                      <w:rFonts w:hint="eastAsia" w:ascii="Times New Roman" w:hAnsi="Times New Roman" w:eastAsia="宋体" w:cs="Times New Roman"/>
                      <w:color w:val="auto"/>
                      <w:sz w:val="21"/>
                      <w:szCs w:val="21"/>
                      <w:lang w:val="en-US" w:eastAsia="zh-CN"/>
                    </w:rPr>
                    <w:t>密度为</w:t>
                  </w:r>
                  <w:r>
                    <w:rPr>
                      <w:rFonts w:hint="eastAsia" w:cs="Times New Roman"/>
                      <w:color w:val="auto"/>
                      <w:sz w:val="21"/>
                      <w:szCs w:val="21"/>
                      <w:lang w:val="en-US" w:eastAsia="zh-CN"/>
                    </w:rPr>
                    <w:t>0.9±0.1</w:t>
                  </w:r>
                  <w:r>
                    <w:rPr>
                      <w:rFonts w:hint="default" w:ascii="Times New Roman" w:hAnsi="Times New Roman" w:eastAsia="宋体" w:cs="Times New Roman"/>
                      <w:color w:val="auto"/>
                      <w:sz w:val="21"/>
                      <w:szCs w:val="21"/>
                      <w:lang w:val="en-US" w:eastAsia="zh-CN"/>
                    </w:rPr>
                    <w:t>g/c</w:t>
                  </w:r>
                  <w:r>
                    <w:rPr>
                      <w:rFonts w:hint="eastAsia" w:ascii="Times New Roman" w:hAnsi="Times New Roman" w:eastAsia="宋体" w:cs="Times New Roman"/>
                      <w:color w:val="auto"/>
                      <w:sz w:val="21"/>
                      <w:szCs w:val="21"/>
                      <w:lang w:val="en-US" w:eastAsia="zh-CN"/>
                    </w:rPr>
                    <w:t>m</w:t>
                  </w:r>
                  <w:r>
                    <w:rPr>
                      <w:rFonts w:hint="eastAsia" w:ascii="Times New Roman" w:hAnsi="Times New Roman" w:eastAsia="宋体" w:cs="Times New Roman"/>
                      <w:color w:val="auto"/>
                      <w:sz w:val="21"/>
                      <w:szCs w:val="21"/>
                      <w:vertAlign w:val="superscript"/>
                      <w:lang w:val="en-US" w:eastAsia="zh-CN"/>
                    </w:rPr>
                    <w:t>3</w:t>
                  </w:r>
                  <w:r>
                    <w:rPr>
                      <w:rFonts w:hint="eastAsia" w:ascii="Times New Roman" w:hAnsi="Times New Roman" w:eastAsia="宋体" w:cs="Times New Roman"/>
                      <w:color w:val="auto"/>
                      <w:sz w:val="21"/>
                      <w:szCs w:val="21"/>
                      <w:lang w:val="en-US" w:eastAsia="zh-CN"/>
                    </w:rPr>
                    <w:t>，</w:t>
                  </w:r>
                  <w:r>
                    <w:rPr>
                      <w:rFonts w:hint="default" w:ascii="Times New Roman" w:hAnsi="Times New Roman" w:eastAsia="宋体" w:cs="Times New Roman"/>
                      <w:color w:val="auto"/>
                      <w:sz w:val="21"/>
                      <w:szCs w:val="21"/>
                      <w:lang w:val="en-US" w:eastAsia="zh-CN"/>
                    </w:rPr>
                    <w:t>丙酸丙酯是一种</w:t>
                  </w:r>
                  <w:r>
                    <w:rPr>
                      <w:rFonts w:hint="eastAsia" w:cs="Times New Roman"/>
                      <w:color w:val="auto"/>
                      <w:sz w:val="21"/>
                      <w:szCs w:val="21"/>
                      <w:lang w:val="en-US" w:eastAsia="zh-CN"/>
                    </w:rPr>
                    <w:t>无色</w:t>
                  </w:r>
                  <w:r>
                    <w:rPr>
                      <w:rFonts w:hint="default" w:ascii="Times New Roman" w:hAnsi="Times New Roman" w:eastAsia="宋体" w:cs="Times New Roman"/>
                      <w:color w:val="auto"/>
                      <w:sz w:val="21"/>
                      <w:szCs w:val="21"/>
                      <w:lang w:val="en-US" w:eastAsia="zh-CN"/>
                    </w:rPr>
                    <w:t>透明液体，具有特殊的水果香气</w:t>
                  </w:r>
                  <w:r>
                    <w:rPr>
                      <w:rFonts w:hint="eastAsia" w:cs="Times New Roman"/>
                      <w:color w:val="auto"/>
                      <w:sz w:val="21"/>
                      <w:szCs w:val="21"/>
                      <w:lang w:val="en-US" w:eastAsia="zh-CN"/>
                    </w:rPr>
                    <w:t>，化学</w:t>
                  </w:r>
                  <w:r>
                    <w:rPr>
                      <w:rFonts w:hint="default" w:ascii="Times New Roman" w:hAnsi="Times New Roman" w:eastAsia="宋体" w:cs="Times New Roman"/>
                      <w:color w:val="auto"/>
                      <w:sz w:val="21"/>
                      <w:szCs w:val="21"/>
                      <w:lang w:val="en-US" w:eastAsia="zh-CN"/>
                    </w:rPr>
                    <w:t>分子式为C</w:t>
                  </w:r>
                  <w:r>
                    <w:rPr>
                      <w:rFonts w:hint="default" w:ascii="Times New Roman" w:hAnsi="Times New Roman" w:eastAsia="宋体" w:cs="Times New Roman"/>
                      <w:color w:val="auto"/>
                      <w:sz w:val="21"/>
                      <w:szCs w:val="21"/>
                      <w:vertAlign w:val="subscript"/>
                      <w:lang w:val="en-US" w:eastAsia="zh-CN"/>
                    </w:rPr>
                    <w:t>6</w:t>
                  </w:r>
                  <w:r>
                    <w:rPr>
                      <w:rFonts w:hint="default" w:ascii="Times New Roman" w:hAnsi="Times New Roman" w:eastAsia="宋体" w:cs="Times New Roman"/>
                      <w:color w:val="auto"/>
                      <w:sz w:val="21"/>
                      <w:szCs w:val="21"/>
                      <w:lang w:val="en-US" w:eastAsia="zh-CN"/>
                    </w:rPr>
                    <w:t>H</w:t>
                  </w:r>
                  <w:r>
                    <w:rPr>
                      <w:rFonts w:hint="default" w:ascii="Times New Roman" w:hAnsi="Times New Roman" w:eastAsia="宋体" w:cs="Times New Roman"/>
                      <w:color w:val="auto"/>
                      <w:sz w:val="21"/>
                      <w:szCs w:val="21"/>
                      <w:vertAlign w:val="subscript"/>
                      <w:lang w:val="en-US" w:eastAsia="zh-CN"/>
                    </w:rPr>
                    <w:t>12</w:t>
                  </w:r>
                  <w:r>
                    <w:rPr>
                      <w:rFonts w:hint="default" w:ascii="Times New Roman" w:hAnsi="Times New Roman" w:eastAsia="宋体" w:cs="Times New Roman"/>
                      <w:color w:val="auto"/>
                      <w:sz w:val="21"/>
                      <w:szCs w:val="21"/>
                      <w:lang w:val="en-US" w:eastAsia="zh-CN"/>
                    </w:rPr>
                    <w:t>O</w:t>
                  </w:r>
                  <w:r>
                    <w:rPr>
                      <w:rFonts w:hint="default" w:ascii="Times New Roman" w:hAnsi="Times New Roman" w:eastAsia="宋体" w:cs="Times New Roman"/>
                      <w:color w:val="auto"/>
                      <w:sz w:val="21"/>
                      <w:szCs w:val="21"/>
                      <w:vertAlign w:val="subscript"/>
                      <w:lang w:val="en-US" w:eastAsia="zh-CN"/>
                    </w:rPr>
                    <w:t>2</w:t>
                  </w:r>
                  <w:r>
                    <w:rPr>
                      <w:rFonts w:hint="default" w:ascii="Times New Roman" w:hAnsi="Times New Roman" w:eastAsia="宋体" w:cs="Times New Roman"/>
                      <w:color w:val="auto"/>
                      <w:sz w:val="21"/>
                      <w:szCs w:val="21"/>
                      <w:lang w:val="en-US" w:eastAsia="zh-CN"/>
                    </w:rPr>
                    <w:t>，相对分子质量约为116.16。这种化合物具有良好的溶解性能，能与多种有机溶剂混溶。</w:t>
                  </w:r>
                </w:p>
              </w:tc>
              <w:tc>
                <w:tcPr>
                  <w:tcW w:w="2236" w:type="dxa"/>
                  <w:vAlign w:val="center"/>
                </w:tcPr>
                <w:p w14:paraId="700F1FD8">
                  <w:pPr>
                    <w:pStyle w:val="70"/>
                    <w:spacing w:line="240" w:lineRule="auto"/>
                    <w:jc w:val="center"/>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易燃，遇明火、高热易燃烧爆炸。</w:t>
                  </w:r>
                </w:p>
              </w:tc>
            </w:tr>
            <w:tr w14:paraId="44A7ADB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379" w:type="dxa"/>
                  <w:vMerge w:val="continue"/>
                  <w:vAlign w:val="center"/>
                </w:tcPr>
                <w:p w14:paraId="18830A2D">
                  <w:pPr>
                    <w:pStyle w:val="70"/>
                    <w:spacing w:line="240" w:lineRule="auto"/>
                    <w:jc w:val="center"/>
                    <w:rPr>
                      <w:rFonts w:hint="default" w:ascii="Times New Roman" w:hAnsi="Times New Roman" w:eastAsia="宋体" w:cs="Times New Roman"/>
                      <w:color w:val="auto"/>
                      <w:sz w:val="21"/>
                      <w:szCs w:val="21"/>
                      <w:lang w:val="en-US" w:eastAsia="zh-CN"/>
                    </w:rPr>
                  </w:pPr>
                </w:p>
              </w:tc>
              <w:tc>
                <w:tcPr>
                  <w:tcW w:w="1320" w:type="dxa"/>
                  <w:vAlign w:val="center"/>
                </w:tcPr>
                <w:p w14:paraId="38025EA7">
                  <w:pPr>
                    <w:pStyle w:val="70"/>
                    <w:spacing w:line="240" w:lineRule="auto"/>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碳酸乙烯酯（EC）</w:t>
                  </w:r>
                </w:p>
              </w:tc>
              <w:tc>
                <w:tcPr>
                  <w:tcW w:w="3825" w:type="dxa"/>
                  <w:vAlign w:val="center"/>
                </w:tcPr>
                <w:p w14:paraId="71C923E7">
                  <w:pPr>
                    <w:pStyle w:val="70"/>
                    <w:spacing w:line="240" w:lineRule="auto"/>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又称碳酸亚乙酯、</w:t>
                  </w:r>
                  <w:r>
                    <w:rPr>
                      <w:rFonts w:hint="default" w:ascii="Times New Roman" w:hAnsi="Times New Roman" w:eastAsia="宋体" w:cs="Times New Roman"/>
                      <w:color w:val="auto"/>
                      <w:sz w:val="21"/>
                      <w:szCs w:val="21"/>
                      <w:lang w:val="en-US" w:eastAsia="zh-CN"/>
                    </w:rPr>
                    <w:fldChar w:fldCharType="begin"/>
                  </w:r>
                  <w:r>
                    <w:rPr>
                      <w:rFonts w:hint="default" w:ascii="Times New Roman" w:hAnsi="Times New Roman" w:eastAsia="宋体" w:cs="Times New Roman"/>
                      <w:color w:val="auto"/>
                      <w:sz w:val="21"/>
                      <w:szCs w:val="21"/>
                      <w:lang w:val="en-US" w:eastAsia="zh-CN"/>
                    </w:rPr>
                    <w:instrText xml:space="preserve"> HYPERLINK "https://baike.baidu.com/item/%E4%B9%99%E4%BA%8C%E9%86%87%E7%A2%B3%E9%85%B8%E9%85%AF/4304783?fromModule=lemma_inlink" \t "https://baike.baidu.com/item/%E7%A2%B3%E9%85%B8%E4%B9%99%E7%83%AF%E9%85%AF/_blank" </w:instrText>
                  </w:r>
                  <w:r>
                    <w:rPr>
                      <w:rFonts w:hint="default" w:ascii="Times New Roman" w:hAnsi="Times New Roman" w:eastAsia="宋体" w:cs="Times New Roman"/>
                      <w:color w:val="auto"/>
                      <w:sz w:val="21"/>
                      <w:szCs w:val="21"/>
                      <w:lang w:val="en-US" w:eastAsia="zh-CN"/>
                    </w:rPr>
                    <w:fldChar w:fldCharType="separate"/>
                  </w:r>
                  <w:r>
                    <w:rPr>
                      <w:rFonts w:hint="default" w:ascii="Times New Roman" w:hAnsi="Times New Roman" w:eastAsia="宋体" w:cs="Times New Roman"/>
                      <w:color w:val="auto"/>
                      <w:sz w:val="21"/>
                      <w:szCs w:val="21"/>
                      <w:lang w:val="en-US" w:eastAsia="zh-CN"/>
                    </w:rPr>
                    <w:t>乙二醇碳酸酯</w:t>
                  </w:r>
                  <w:r>
                    <w:rPr>
                      <w:rFonts w:hint="default" w:ascii="Times New Roman" w:hAnsi="Times New Roman" w:eastAsia="宋体" w:cs="Times New Roman"/>
                      <w:color w:val="auto"/>
                      <w:sz w:val="21"/>
                      <w:szCs w:val="21"/>
                      <w:lang w:val="en-US" w:eastAsia="zh-CN"/>
                    </w:rPr>
                    <w:fldChar w:fldCharType="end"/>
                  </w:r>
                  <w:r>
                    <w:rPr>
                      <w:rFonts w:hint="default" w:ascii="Times New Roman" w:hAnsi="Times New Roman" w:eastAsia="宋体" w:cs="Times New Roman"/>
                      <w:color w:val="auto"/>
                      <w:sz w:val="21"/>
                      <w:szCs w:val="21"/>
                      <w:lang w:val="en-US" w:eastAsia="zh-CN"/>
                    </w:rPr>
                    <w:t>，化学式C</w:t>
                  </w:r>
                  <w:r>
                    <w:rPr>
                      <w:rFonts w:hint="default" w:ascii="Times New Roman" w:hAnsi="Times New Roman" w:eastAsia="宋体" w:cs="Times New Roman"/>
                      <w:color w:val="auto"/>
                      <w:sz w:val="21"/>
                      <w:szCs w:val="21"/>
                      <w:vertAlign w:val="subscript"/>
                      <w:lang w:val="en-US" w:eastAsia="zh-CN"/>
                    </w:rPr>
                    <w:t>3</w:t>
                  </w:r>
                  <w:r>
                    <w:rPr>
                      <w:rFonts w:hint="default" w:ascii="Times New Roman" w:hAnsi="Times New Roman" w:eastAsia="宋体" w:cs="Times New Roman"/>
                      <w:color w:val="auto"/>
                      <w:sz w:val="21"/>
                      <w:szCs w:val="21"/>
                      <w:lang w:val="en-US" w:eastAsia="zh-CN"/>
                    </w:rPr>
                    <w:t>H</w:t>
                  </w:r>
                  <w:r>
                    <w:rPr>
                      <w:rFonts w:hint="default" w:ascii="Times New Roman" w:hAnsi="Times New Roman" w:eastAsia="宋体" w:cs="Times New Roman"/>
                      <w:color w:val="auto"/>
                      <w:sz w:val="21"/>
                      <w:szCs w:val="21"/>
                      <w:vertAlign w:val="subscript"/>
                      <w:lang w:val="en-US" w:eastAsia="zh-CN"/>
                    </w:rPr>
                    <w:t>4</w:t>
                  </w:r>
                  <w:r>
                    <w:rPr>
                      <w:rFonts w:hint="default" w:ascii="Times New Roman" w:hAnsi="Times New Roman" w:eastAsia="宋体" w:cs="Times New Roman"/>
                      <w:color w:val="auto"/>
                      <w:sz w:val="21"/>
                      <w:szCs w:val="21"/>
                      <w:lang w:val="en-US" w:eastAsia="zh-CN"/>
                    </w:rPr>
                    <w:t>O</w:t>
                  </w:r>
                  <w:r>
                    <w:rPr>
                      <w:rFonts w:hint="default" w:ascii="Times New Roman" w:hAnsi="Times New Roman" w:eastAsia="宋体" w:cs="Times New Roman"/>
                      <w:color w:val="auto"/>
                      <w:sz w:val="21"/>
                      <w:szCs w:val="21"/>
                      <w:vertAlign w:val="subscript"/>
                      <w:lang w:val="en-US" w:eastAsia="zh-CN"/>
                    </w:rPr>
                    <w:t>3</w:t>
                  </w:r>
                  <w:r>
                    <w:rPr>
                      <w:rFonts w:hint="default" w:ascii="Times New Roman" w:hAnsi="Times New Roman" w:eastAsia="宋体" w:cs="Times New Roman"/>
                      <w:color w:val="auto"/>
                      <w:sz w:val="21"/>
                      <w:szCs w:val="21"/>
                      <w:lang w:val="en-US" w:eastAsia="zh-CN"/>
                    </w:rPr>
                    <w:t>，CAS号96-49-1，</w:t>
                  </w:r>
                  <w:r>
                    <w:rPr>
                      <w:rFonts w:hint="eastAsia" w:cs="Times New Roman"/>
                      <w:color w:val="auto"/>
                      <w:sz w:val="21"/>
                      <w:szCs w:val="21"/>
                      <w:lang w:val="en-US" w:eastAsia="zh-CN"/>
                    </w:rPr>
                    <w:t>密度为1.3±0.1</w:t>
                  </w:r>
                  <w:r>
                    <w:rPr>
                      <w:rFonts w:hint="default" w:ascii="Times New Roman" w:hAnsi="Times New Roman" w:eastAsia="宋体" w:cs="Times New Roman"/>
                      <w:color w:val="auto"/>
                      <w:sz w:val="21"/>
                      <w:szCs w:val="21"/>
                      <w:lang w:val="en-US" w:eastAsia="zh-CN"/>
                    </w:rPr>
                    <w:t>g/c</w:t>
                  </w:r>
                  <w:r>
                    <w:rPr>
                      <w:rFonts w:hint="eastAsia" w:ascii="Times New Roman" w:hAnsi="Times New Roman" w:eastAsia="宋体" w:cs="Times New Roman"/>
                      <w:color w:val="auto"/>
                      <w:sz w:val="21"/>
                      <w:szCs w:val="21"/>
                      <w:lang w:val="en-US" w:eastAsia="zh-CN"/>
                    </w:rPr>
                    <w:t>m</w:t>
                  </w:r>
                  <w:r>
                    <w:rPr>
                      <w:rFonts w:hint="eastAsia" w:ascii="Times New Roman" w:hAnsi="Times New Roman" w:eastAsia="宋体" w:cs="Times New Roman"/>
                      <w:color w:val="auto"/>
                      <w:sz w:val="21"/>
                      <w:szCs w:val="21"/>
                      <w:vertAlign w:val="superscript"/>
                      <w:lang w:val="en-US" w:eastAsia="zh-CN"/>
                    </w:rPr>
                    <w:t>3</w:t>
                  </w:r>
                  <w:r>
                    <w:rPr>
                      <w:rFonts w:hint="eastAsia" w:cs="Times New Roman"/>
                      <w:color w:val="auto"/>
                      <w:sz w:val="21"/>
                      <w:szCs w:val="21"/>
                      <w:lang w:val="en-US" w:eastAsia="zh-CN"/>
                    </w:rPr>
                    <w:t>，</w:t>
                  </w:r>
                  <w:r>
                    <w:rPr>
                      <w:rFonts w:hint="default" w:ascii="Times New Roman" w:hAnsi="Times New Roman" w:eastAsia="宋体" w:cs="Times New Roman"/>
                      <w:color w:val="auto"/>
                      <w:sz w:val="21"/>
                      <w:szCs w:val="21"/>
                      <w:lang w:val="en-US" w:eastAsia="zh-CN"/>
                    </w:rPr>
                    <w:t>是一种性能优良的有机溶剂，可溶解多种聚合物；另可作为有机中间体，可替代环氧乙烷用于二氧基化反应，并是酯交换法生产</w:t>
                  </w:r>
                  <w:r>
                    <w:rPr>
                      <w:rFonts w:hint="default" w:ascii="Times New Roman" w:hAnsi="Times New Roman" w:eastAsia="宋体" w:cs="Times New Roman"/>
                      <w:color w:val="auto"/>
                      <w:sz w:val="21"/>
                      <w:szCs w:val="21"/>
                      <w:lang w:val="en-US" w:eastAsia="zh-CN"/>
                    </w:rPr>
                    <w:fldChar w:fldCharType="begin"/>
                  </w:r>
                  <w:r>
                    <w:rPr>
                      <w:rFonts w:hint="default" w:ascii="Times New Roman" w:hAnsi="Times New Roman" w:eastAsia="宋体" w:cs="Times New Roman"/>
                      <w:color w:val="auto"/>
                      <w:sz w:val="21"/>
                      <w:szCs w:val="21"/>
                      <w:lang w:val="en-US" w:eastAsia="zh-CN"/>
                    </w:rPr>
                    <w:instrText xml:space="preserve"> HYPERLINK "https://baike.baidu.com/item/%E7%A2%B3%E9%85%B8%E4%BA%8C%E7%94%B2%E9%85%AF/245187?fromModule=lemma_inlink" \t "https://baike.baidu.com/item/%E7%A2%B3%E9%85%B8%E4%B9%99%E7%83%AF%E9%85%AF/_blank" </w:instrText>
                  </w:r>
                  <w:r>
                    <w:rPr>
                      <w:rFonts w:hint="default" w:ascii="Times New Roman" w:hAnsi="Times New Roman" w:eastAsia="宋体" w:cs="Times New Roman"/>
                      <w:color w:val="auto"/>
                      <w:sz w:val="21"/>
                      <w:szCs w:val="21"/>
                      <w:lang w:val="en-US" w:eastAsia="zh-CN"/>
                    </w:rPr>
                    <w:fldChar w:fldCharType="separate"/>
                  </w:r>
                  <w:r>
                    <w:rPr>
                      <w:rFonts w:hint="default" w:ascii="Times New Roman" w:hAnsi="Times New Roman" w:eastAsia="宋体" w:cs="Times New Roman"/>
                      <w:color w:val="auto"/>
                      <w:sz w:val="21"/>
                      <w:szCs w:val="21"/>
                      <w:lang w:val="en-US" w:eastAsia="zh-CN"/>
                    </w:rPr>
                    <w:t>碳酸二甲酯</w:t>
                  </w:r>
                  <w:r>
                    <w:rPr>
                      <w:rFonts w:hint="default" w:ascii="Times New Roman" w:hAnsi="Times New Roman" w:eastAsia="宋体" w:cs="Times New Roman"/>
                      <w:color w:val="auto"/>
                      <w:sz w:val="21"/>
                      <w:szCs w:val="21"/>
                      <w:lang w:val="en-US" w:eastAsia="zh-CN"/>
                    </w:rPr>
                    <w:fldChar w:fldCharType="end"/>
                  </w:r>
                  <w:r>
                    <w:rPr>
                      <w:rFonts w:hint="default" w:ascii="Times New Roman" w:hAnsi="Times New Roman" w:eastAsia="宋体" w:cs="Times New Roman"/>
                      <w:color w:val="auto"/>
                      <w:sz w:val="21"/>
                      <w:szCs w:val="21"/>
                      <w:lang w:val="en-US" w:eastAsia="zh-CN"/>
                    </w:rPr>
                    <w:t>的主要原料；还可用作合成呋喃唑酮的原料、水玻璃系浆料、纤维整理剂等。该化合物广泛应用于</w:t>
                  </w:r>
                  <w:r>
                    <w:rPr>
                      <w:rFonts w:hint="default" w:ascii="Times New Roman" w:hAnsi="Times New Roman" w:eastAsia="宋体" w:cs="Times New Roman"/>
                      <w:color w:val="auto"/>
                      <w:sz w:val="21"/>
                      <w:szCs w:val="21"/>
                      <w:lang w:val="en-US" w:eastAsia="zh-CN"/>
                    </w:rPr>
                    <w:fldChar w:fldCharType="begin"/>
                  </w:r>
                  <w:r>
                    <w:rPr>
                      <w:rFonts w:hint="default" w:ascii="Times New Roman" w:hAnsi="Times New Roman" w:eastAsia="宋体" w:cs="Times New Roman"/>
                      <w:color w:val="auto"/>
                      <w:sz w:val="21"/>
                      <w:szCs w:val="21"/>
                      <w:lang w:val="en-US" w:eastAsia="zh-CN"/>
                    </w:rPr>
                    <w:instrText xml:space="preserve"> HYPERLINK "https://baike.baidu.com/item/%E9%94%82%E7%94%B5%E6%B1%A0%E7%94%B5%E8%A7%A3%E6%B6%B2/5067671?fromModule=lemma_inlink" \t "https://baike.baidu.com/item/%E7%A2%B3%E9%85%B8%E4%B9%99%E7%83%AF%E9%85%AF/_blank" </w:instrText>
                  </w:r>
                  <w:r>
                    <w:rPr>
                      <w:rFonts w:hint="default" w:ascii="Times New Roman" w:hAnsi="Times New Roman" w:eastAsia="宋体" w:cs="Times New Roman"/>
                      <w:color w:val="auto"/>
                      <w:sz w:val="21"/>
                      <w:szCs w:val="21"/>
                      <w:lang w:val="en-US" w:eastAsia="zh-CN"/>
                    </w:rPr>
                    <w:fldChar w:fldCharType="separate"/>
                  </w:r>
                  <w:r>
                    <w:rPr>
                      <w:rFonts w:hint="default" w:ascii="Times New Roman" w:hAnsi="Times New Roman" w:eastAsia="宋体" w:cs="Times New Roman"/>
                      <w:color w:val="auto"/>
                      <w:sz w:val="21"/>
                      <w:szCs w:val="21"/>
                      <w:lang w:val="en-US" w:eastAsia="zh-CN"/>
                    </w:rPr>
                    <w:t>锂电池电解液</w:t>
                  </w:r>
                  <w:r>
                    <w:rPr>
                      <w:rFonts w:hint="default" w:ascii="Times New Roman" w:hAnsi="Times New Roman" w:eastAsia="宋体" w:cs="Times New Roman"/>
                      <w:color w:val="auto"/>
                      <w:sz w:val="21"/>
                      <w:szCs w:val="21"/>
                      <w:lang w:val="en-US" w:eastAsia="zh-CN"/>
                    </w:rPr>
                    <w:fldChar w:fldCharType="end"/>
                  </w:r>
                  <w:r>
                    <w:rPr>
                      <w:rFonts w:hint="default" w:ascii="Times New Roman" w:hAnsi="Times New Roman" w:eastAsia="宋体" w:cs="Times New Roman"/>
                      <w:color w:val="auto"/>
                      <w:sz w:val="21"/>
                      <w:szCs w:val="21"/>
                      <w:lang w:val="en-US" w:eastAsia="zh-CN"/>
                    </w:rPr>
                    <w:t>中</w:t>
                  </w:r>
                  <w:r>
                    <w:rPr>
                      <w:rFonts w:hint="eastAsia" w:cs="Times New Roman"/>
                      <w:color w:val="auto"/>
                      <w:sz w:val="21"/>
                      <w:szCs w:val="21"/>
                      <w:lang w:val="en-US" w:eastAsia="zh-CN"/>
                    </w:rPr>
                    <w:t>。</w:t>
                  </w:r>
                </w:p>
              </w:tc>
              <w:tc>
                <w:tcPr>
                  <w:tcW w:w="2236" w:type="dxa"/>
                  <w:vAlign w:val="center"/>
                </w:tcPr>
                <w:p w14:paraId="12D4FC03">
                  <w:pPr>
                    <w:pStyle w:val="70"/>
                    <w:spacing w:line="240" w:lineRule="auto"/>
                    <w:jc w:val="center"/>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可燃，毒性相对较小，但长期或大量接触仍可能对人体造成伤害。</w:t>
                  </w:r>
                </w:p>
              </w:tc>
            </w:tr>
            <w:tr w14:paraId="3BDEB9A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379" w:type="dxa"/>
                  <w:vMerge w:val="continue"/>
                  <w:vAlign w:val="center"/>
                </w:tcPr>
                <w:p w14:paraId="3206431A">
                  <w:pPr>
                    <w:pStyle w:val="70"/>
                    <w:spacing w:line="240" w:lineRule="auto"/>
                    <w:jc w:val="center"/>
                    <w:rPr>
                      <w:rFonts w:hint="default" w:ascii="Times New Roman" w:hAnsi="Times New Roman" w:eastAsia="宋体" w:cs="Times New Roman"/>
                      <w:color w:val="auto"/>
                      <w:sz w:val="21"/>
                      <w:szCs w:val="21"/>
                      <w:lang w:val="en-US" w:eastAsia="zh-CN"/>
                    </w:rPr>
                  </w:pPr>
                </w:p>
              </w:tc>
              <w:tc>
                <w:tcPr>
                  <w:tcW w:w="1320" w:type="dxa"/>
                  <w:vAlign w:val="center"/>
                </w:tcPr>
                <w:p w14:paraId="57B8F536">
                  <w:pPr>
                    <w:pStyle w:val="70"/>
                    <w:spacing w:line="240" w:lineRule="auto"/>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碳酸丙烯酯（PC）</w:t>
                  </w:r>
                </w:p>
              </w:tc>
              <w:tc>
                <w:tcPr>
                  <w:tcW w:w="3825" w:type="dxa"/>
                  <w:vAlign w:val="center"/>
                </w:tcPr>
                <w:p w14:paraId="25FF53A8">
                  <w:pPr>
                    <w:spacing w:line="240" w:lineRule="auto"/>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CAS号</w:t>
                  </w:r>
                  <w:r>
                    <w:rPr>
                      <w:rFonts w:hint="eastAsia" w:cs="Times New Roman"/>
                      <w:color w:val="auto"/>
                      <w:sz w:val="21"/>
                      <w:szCs w:val="21"/>
                      <w:lang w:val="en-US" w:eastAsia="zh-CN"/>
                    </w:rPr>
                    <w:t>108-32-7，</w:t>
                  </w:r>
                  <w:r>
                    <w:rPr>
                      <w:rFonts w:hint="eastAsia" w:ascii="Times New Roman" w:hAnsi="Times New Roman" w:eastAsia="宋体" w:cs="Times New Roman"/>
                      <w:color w:val="auto"/>
                      <w:sz w:val="21"/>
                      <w:szCs w:val="21"/>
                      <w:lang w:val="en-US" w:eastAsia="zh-CN"/>
                    </w:rPr>
                    <w:t>密度为</w:t>
                  </w:r>
                  <w:r>
                    <w:rPr>
                      <w:rFonts w:hint="eastAsia" w:cs="Times New Roman"/>
                      <w:color w:val="auto"/>
                      <w:sz w:val="21"/>
                      <w:szCs w:val="21"/>
                      <w:lang w:val="en-US" w:eastAsia="zh-CN"/>
                    </w:rPr>
                    <w:t>1.189</w:t>
                  </w:r>
                  <w:r>
                    <w:rPr>
                      <w:rFonts w:hint="default" w:ascii="Times New Roman" w:hAnsi="Times New Roman" w:eastAsia="宋体" w:cs="Times New Roman"/>
                      <w:color w:val="auto"/>
                      <w:sz w:val="21"/>
                      <w:szCs w:val="21"/>
                      <w:lang w:val="en-US" w:eastAsia="zh-CN"/>
                    </w:rPr>
                    <w:t>g/c</w:t>
                  </w:r>
                  <w:r>
                    <w:rPr>
                      <w:rFonts w:hint="eastAsia" w:ascii="Times New Roman" w:hAnsi="Times New Roman" w:eastAsia="宋体" w:cs="Times New Roman"/>
                      <w:color w:val="auto"/>
                      <w:sz w:val="21"/>
                      <w:szCs w:val="21"/>
                      <w:lang w:val="en-US" w:eastAsia="zh-CN"/>
                    </w:rPr>
                    <w:t>m</w:t>
                  </w:r>
                  <w:r>
                    <w:rPr>
                      <w:rFonts w:hint="eastAsia" w:ascii="Times New Roman" w:hAnsi="Times New Roman" w:eastAsia="宋体" w:cs="Times New Roman"/>
                      <w:color w:val="auto"/>
                      <w:sz w:val="21"/>
                      <w:szCs w:val="21"/>
                      <w:vertAlign w:val="superscript"/>
                      <w:lang w:val="en-US" w:eastAsia="zh-CN"/>
                    </w:rPr>
                    <w:t>3</w:t>
                  </w:r>
                  <w:r>
                    <w:rPr>
                      <w:rFonts w:hint="eastAsia" w:ascii="Times New Roman" w:hAnsi="Times New Roman" w:eastAsia="宋体" w:cs="Times New Roman"/>
                      <w:color w:val="auto"/>
                      <w:sz w:val="21"/>
                      <w:szCs w:val="21"/>
                      <w:lang w:val="en-US" w:eastAsia="zh-CN"/>
                    </w:rPr>
                    <w:t>，</w:t>
                  </w:r>
                  <w:r>
                    <w:rPr>
                      <w:rFonts w:hint="eastAsia" w:cs="Times New Roman"/>
                      <w:color w:val="auto"/>
                      <w:sz w:val="21"/>
                      <w:szCs w:val="21"/>
                      <w:lang w:val="en-US" w:eastAsia="zh-CN"/>
                    </w:rPr>
                    <w:t>化学式为C</w:t>
                  </w:r>
                  <w:r>
                    <w:rPr>
                      <w:rFonts w:hint="eastAsia" w:cs="Times New Roman"/>
                      <w:color w:val="auto"/>
                      <w:sz w:val="21"/>
                      <w:szCs w:val="21"/>
                      <w:vertAlign w:val="subscript"/>
                      <w:lang w:val="en-US" w:eastAsia="zh-CN"/>
                    </w:rPr>
                    <w:t>4</w:t>
                  </w:r>
                  <w:r>
                    <w:rPr>
                      <w:rFonts w:hint="eastAsia" w:cs="Times New Roman"/>
                      <w:color w:val="auto"/>
                      <w:sz w:val="21"/>
                      <w:szCs w:val="21"/>
                      <w:lang w:val="en-US" w:eastAsia="zh-CN"/>
                    </w:rPr>
                    <w:t>H</w:t>
                  </w:r>
                  <w:r>
                    <w:rPr>
                      <w:rFonts w:hint="eastAsia" w:cs="Times New Roman"/>
                      <w:color w:val="auto"/>
                      <w:sz w:val="21"/>
                      <w:szCs w:val="21"/>
                      <w:vertAlign w:val="subscript"/>
                      <w:lang w:val="en-US" w:eastAsia="zh-CN"/>
                    </w:rPr>
                    <w:t>6</w:t>
                  </w:r>
                  <w:r>
                    <w:rPr>
                      <w:rFonts w:hint="eastAsia" w:cs="Times New Roman"/>
                      <w:color w:val="auto"/>
                      <w:sz w:val="21"/>
                      <w:szCs w:val="21"/>
                      <w:lang w:val="en-US" w:eastAsia="zh-CN"/>
                    </w:rPr>
                    <w:t>O</w:t>
                  </w:r>
                  <w:r>
                    <w:rPr>
                      <w:rFonts w:hint="eastAsia" w:cs="Times New Roman"/>
                      <w:color w:val="auto"/>
                      <w:sz w:val="21"/>
                      <w:szCs w:val="21"/>
                      <w:vertAlign w:val="subscript"/>
                      <w:lang w:val="en-US" w:eastAsia="zh-CN"/>
                    </w:rPr>
                    <w:t>3</w:t>
                  </w:r>
                  <w:r>
                    <w:rPr>
                      <w:rFonts w:hint="eastAsia" w:cs="Times New Roman"/>
                      <w:color w:val="auto"/>
                      <w:sz w:val="21"/>
                      <w:szCs w:val="21"/>
                      <w:lang w:val="en-US" w:eastAsia="zh-CN"/>
                    </w:rPr>
                    <w:t>，</w:t>
                  </w:r>
                  <w:r>
                    <w:rPr>
                      <w:rFonts w:ascii="Helvetica" w:hAnsi="Helvetica" w:eastAsia="Helvetica" w:cs="Helvetica"/>
                      <w:i w:val="0"/>
                      <w:iCs w:val="0"/>
                      <w:caps w:val="0"/>
                      <w:color w:val="auto"/>
                      <w:spacing w:val="0"/>
                      <w:sz w:val="21"/>
                      <w:szCs w:val="21"/>
                      <w:shd w:val="clear" w:fill="FFFFFF"/>
                    </w:rPr>
                    <w:t>无色无臭的易燃液体</w:t>
                  </w:r>
                  <w:r>
                    <w:rPr>
                      <w:rFonts w:hint="eastAsia" w:ascii="Helvetica" w:hAnsi="Helvetica" w:eastAsia="宋体" w:cs="Helvetica"/>
                      <w:i w:val="0"/>
                      <w:iCs w:val="0"/>
                      <w:caps w:val="0"/>
                      <w:color w:val="auto"/>
                      <w:spacing w:val="0"/>
                      <w:sz w:val="21"/>
                      <w:szCs w:val="21"/>
                      <w:shd w:val="clear" w:fill="FFFFFF"/>
                      <w:lang w:eastAsia="zh-CN"/>
                    </w:rPr>
                    <w:t>，</w:t>
                  </w:r>
                  <w:r>
                    <w:rPr>
                      <w:rFonts w:ascii="Helvetica" w:hAnsi="Helvetica" w:eastAsia="Helvetica" w:cs="Helvetica"/>
                      <w:i w:val="0"/>
                      <w:iCs w:val="0"/>
                      <w:caps w:val="0"/>
                      <w:color w:val="auto"/>
                      <w:spacing w:val="0"/>
                      <w:sz w:val="21"/>
                      <w:szCs w:val="21"/>
                      <w:shd w:val="clear" w:fill="FFFFFF"/>
                    </w:rPr>
                    <w:t>与乙醚、丙酮、苯、氯仿、醋酸乙烯等互溶，溶于水和四氯化碳</w:t>
                  </w:r>
                  <w:r>
                    <w:rPr>
                      <w:rFonts w:hint="eastAsia" w:ascii="Helvetica" w:hAnsi="Helvetica" w:eastAsia="宋体" w:cs="Helvetica"/>
                      <w:i w:val="0"/>
                      <w:iCs w:val="0"/>
                      <w:caps w:val="0"/>
                      <w:color w:val="auto"/>
                      <w:spacing w:val="0"/>
                      <w:sz w:val="21"/>
                      <w:szCs w:val="21"/>
                      <w:shd w:val="clear" w:fill="FFFFFF"/>
                      <w:lang w:eastAsia="zh-CN"/>
                    </w:rPr>
                    <w:t>，</w:t>
                  </w:r>
                  <w:r>
                    <w:rPr>
                      <w:rFonts w:ascii="Helvetica" w:hAnsi="Helvetica" w:eastAsia="Helvetica" w:cs="Helvetica"/>
                      <w:i w:val="0"/>
                      <w:iCs w:val="0"/>
                      <w:caps w:val="0"/>
                      <w:color w:val="auto"/>
                      <w:spacing w:val="0"/>
                      <w:sz w:val="21"/>
                      <w:szCs w:val="21"/>
                      <w:shd w:val="clear" w:fill="FFFFFF"/>
                    </w:rPr>
                    <w:t>对二氧化碳的吸收能力很强，性质稳定。</w:t>
                  </w:r>
                </w:p>
              </w:tc>
              <w:tc>
                <w:tcPr>
                  <w:tcW w:w="2236" w:type="dxa"/>
                  <w:vAlign w:val="center"/>
                </w:tcPr>
                <w:p w14:paraId="53E63AFA">
                  <w:pPr>
                    <w:pStyle w:val="70"/>
                    <w:spacing w:line="240" w:lineRule="auto"/>
                    <w:jc w:val="center"/>
                    <w:rPr>
                      <w:rFonts w:hint="default" w:ascii="Times New Roman" w:hAnsi="Times New Roman" w:eastAsia="宋体" w:cs="Times New Roman"/>
                      <w:color w:val="auto"/>
                      <w:sz w:val="21"/>
                      <w:szCs w:val="21"/>
                      <w:lang w:val="en-US" w:eastAsia="zh-CN"/>
                    </w:rPr>
                  </w:pPr>
                  <w:r>
                    <w:rPr>
                      <w:rFonts w:hint="eastAsia" w:ascii="Helvetica" w:hAnsi="Helvetica" w:eastAsia="宋体" w:cs="Helvetica"/>
                      <w:i w:val="0"/>
                      <w:iCs w:val="0"/>
                      <w:caps w:val="0"/>
                      <w:color w:val="auto"/>
                      <w:spacing w:val="0"/>
                      <w:sz w:val="21"/>
                      <w:szCs w:val="21"/>
                      <w:shd w:val="clear" w:fill="FFFFFF"/>
                      <w:lang w:val="en-US" w:eastAsia="zh-CN"/>
                    </w:rPr>
                    <w:t>易燃，</w:t>
                  </w:r>
                  <w:r>
                    <w:rPr>
                      <w:rFonts w:ascii="Helvetica" w:hAnsi="Helvetica" w:eastAsia="Helvetica" w:cs="Helvetica"/>
                      <w:i w:val="0"/>
                      <w:iCs w:val="0"/>
                      <w:caps w:val="0"/>
                      <w:color w:val="auto"/>
                      <w:spacing w:val="0"/>
                      <w:sz w:val="21"/>
                      <w:szCs w:val="21"/>
                      <w:shd w:val="clear" w:fill="FFFFFF"/>
                    </w:rPr>
                    <w:t>吸入、摄入或经皮肤吸收后对身体可能有害，对眼睛、皮肤可能有刺激作用。</w:t>
                  </w:r>
                </w:p>
              </w:tc>
            </w:tr>
            <w:tr w14:paraId="62D7D49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379" w:type="dxa"/>
                  <w:vMerge w:val="continue"/>
                  <w:vAlign w:val="center"/>
                </w:tcPr>
                <w:p w14:paraId="1140FB33">
                  <w:pPr>
                    <w:pStyle w:val="70"/>
                    <w:spacing w:line="240" w:lineRule="auto"/>
                    <w:jc w:val="center"/>
                    <w:rPr>
                      <w:rFonts w:hint="default" w:ascii="Times New Roman" w:hAnsi="Times New Roman" w:eastAsia="宋体" w:cs="Times New Roman"/>
                      <w:color w:val="auto"/>
                      <w:sz w:val="21"/>
                      <w:szCs w:val="21"/>
                      <w:lang w:val="en-US" w:eastAsia="zh-CN"/>
                    </w:rPr>
                  </w:pPr>
                </w:p>
              </w:tc>
              <w:tc>
                <w:tcPr>
                  <w:tcW w:w="1320" w:type="dxa"/>
                  <w:vAlign w:val="center"/>
                </w:tcPr>
                <w:p w14:paraId="02A8724B">
                  <w:pPr>
                    <w:pStyle w:val="70"/>
                    <w:spacing w:line="240" w:lineRule="auto"/>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六氟磷酸锂（LiPF6）</w:t>
                  </w:r>
                </w:p>
              </w:tc>
              <w:tc>
                <w:tcPr>
                  <w:tcW w:w="3825" w:type="dxa"/>
                  <w:vAlign w:val="center"/>
                </w:tcPr>
                <w:p w14:paraId="5D3A4826">
                  <w:pPr>
                    <w:spacing w:line="240" w:lineRule="auto"/>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CAS号</w:t>
                  </w:r>
                  <w:r>
                    <w:rPr>
                      <w:rFonts w:hint="eastAsia" w:cs="Times New Roman"/>
                      <w:color w:val="auto"/>
                      <w:sz w:val="21"/>
                      <w:szCs w:val="21"/>
                      <w:lang w:val="en-US" w:eastAsia="zh-CN"/>
                    </w:rPr>
                    <w:t>21324-40-3</w:t>
                  </w:r>
                  <w:r>
                    <w:rPr>
                      <w:rFonts w:hint="default" w:ascii="Times New Roman" w:hAnsi="Times New Roman" w:eastAsia="宋体" w:cs="Times New Roman"/>
                      <w:color w:val="auto"/>
                      <w:sz w:val="21"/>
                      <w:szCs w:val="21"/>
                      <w:lang w:val="en-US" w:eastAsia="zh-CN"/>
                    </w:rPr>
                    <w:t>，</w:t>
                  </w:r>
                  <w:r>
                    <w:rPr>
                      <w:rFonts w:hint="eastAsia" w:ascii="Times New Roman" w:hAnsi="Times New Roman" w:eastAsia="宋体" w:cs="Times New Roman"/>
                      <w:color w:val="auto"/>
                      <w:sz w:val="21"/>
                      <w:szCs w:val="21"/>
                      <w:lang w:val="en-US" w:eastAsia="zh-CN"/>
                    </w:rPr>
                    <w:t>密度为</w:t>
                  </w:r>
                  <w:r>
                    <w:rPr>
                      <w:rFonts w:hint="eastAsia" w:cs="Times New Roman"/>
                      <w:color w:val="auto"/>
                      <w:sz w:val="21"/>
                      <w:szCs w:val="21"/>
                      <w:lang w:val="en-US" w:eastAsia="zh-CN"/>
                    </w:rPr>
                    <w:t>1.5</w:t>
                  </w:r>
                  <w:r>
                    <w:rPr>
                      <w:rFonts w:hint="default" w:ascii="Times New Roman" w:hAnsi="Times New Roman" w:eastAsia="宋体" w:cs="Times New Roman"/>
                      <w:color w:val="auto"/>
                      <w:sz w:val="21"/>
                      <w:szCs w:val="21"/>
                      <w:lang w:val="en-US" w:eastAsia="zh-CN"/>
                    </w:rPr>
                    <w:t>g/c</w:t>
                  </w:r>
                  <w:r>
                    <w:rPr>
                      <w:rFonts w:hint="eastAsia" w:ascii="Times New Roman" w:hAnsi="Times New Roman" w:eastAsia="宋体" w:cs="Times New Roman"/>
                      <w:color w:val="auto"/>
                      <w:sz w:val="21"/>
                      <w:szCs w:val="21"/>
                      <w:lang w:val="en-US" w:eastAsia="zh-CN"/>
                    </w:rPr>
                    <w:t>m</w:t>
                  </w:r>
                  <w:r>
                    <w:rPr>
                      <w:rFonts w:hint="eastAsia" w:ascii="Times New Roman" w:hAnsi="Times New Roman" w:eastAsia="宋体" w:cs="Times New Roman"/>
                      <w:color w:val="auto"/>
                      <w:sz w:val="21"/>
                      <w:szCs w:val="21"/>
                      <w:vertAlign w:val="superscript"/>
                      <w:lang w:val="en-US" w:eastAsia="zh-CN"/>
                    </w:rPr>
                    <w:t>3</w:t>
                  </w:r>
                  <w:r>
                    <w:rPr>
                      <w:rFonts w:hint="eastAsia" w:ascii="Times New Roman" w:hAnsi="Times New Roman" w:eastAsia="宋体" w:cs="Times New Roman"/>
                      <w:color w:val="auto"/>
                      <w:sz w:val="21"/>
                      <w:szCs w:val="21"/>
                      <w:lang w:val="en-US" w:eastAsia="zh-CN"/>
                    </w:rPr>
                    <w:t>，</w:t>
                  </w:r>
                  <w:r>
                    <w:rPr>
                      <w:rFonts w:ascii="Helvetica" w:hAnsi="Helvetica" w:eastAsia="Helvetica" w:cs="Helvetica"/>
                      <w:i w:val="0"/>
                      <w:iCs w:val="0"/>
                      <w:caps w:val="0"/>
                      <w:color w:val="auto"/>
                      <w:spacing w:val="0"/>
                      <w:sz w:val="21"/>
                      <w:szCs w:val="21"/>
                      <w:shd w:val="clear" w:fill="FFFFFF"/>
                    </w:rPr>
                    <w:t>为白色结晶性粉末，易溶于水、溶于低浓度甲醇、乙醇、丙酮、碳酸酯类等有机溶剂，主要用作锂离子电池电解质材料。</w:t>
                  </w:r>
                </w:p>
              </w:tc>
              <w:tc>
                <w:tcPr>
                  <w:tcW w:w="2236" w:type="dxa"/>
                  <w:vAlign w:val="center"/>
                </w:tcPr>
                <w:p w14:paraId="42E1E7C0">
                  <w:pPr>
                    <w:pStyle w:val="70"/>
                    <w:spacing w:line="240" w:lineRule="auto"/>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易燃、腐蚀性液体，其蒸气与空气形成爆炸性混合物，遇明火、高热能引起燃烧爆炸。</w:t>
                  </w:r>
                </w:p>
              </w:tc>
            </w:tr>
          </w:tbl>
          <w:p w14:paraId="23F03E9C">
            <w:pPr>
              <w:pStyle w:val="66"/>
              <w:keepNext w:val="0"/>
              <w:keepLines w:val="0"/>
              <w:pageBreakBefore w:val="0"/>
              <w:widowControl w:val="0"/>
              <w:kinsoku/>
              <w:wordWrap/>
              <w:overflowPunct/>
              <w:topLinePunct w:val="0"/>
              <w:autoSpaceDE w:val="0"/>
              <w:autoSpaceDN w:val="0"/>
              <w:bidi w:val="0"/>
              <w:spacing w:line="240" w:lineRule="auto"/>
              <w:ind w:firstLine="482"/>
              <w:textAlignment w:val="auto"/>
              <w:rPr>
                <w:rFonts w:hint="default" w:ascii="Times New Roman" w:hAnsi="Times New Roman" w:eastAsia="宋体" w:cs="Times New Roman"/>
                <w:b w:val="0"/>
                <w:bCs w:val="0"/>
                <w:color w:val="auto"/>
                <w:sz w:val="21"/>
                <w:szCs w:val="21"/>
                <w:lang w:val="en-US" w:eastAsia="zh-CN"/>
              </w:rPr>
            </w:pPr>
            <w:r>
              <w:rPr>
                <w:rFonts w:hint="eastAsia" w:cs="Times New Roman"/>
                <w:b w:val="0"/>
                <w:bCs w:val="0"/>
                <w:color w:val="auto"/>
                <w:sz w:val="21"/>
                <w:szCs w:val="21"/>
                <w:lang w:val="en-US" w:eastAsia="zh-CN"/>
              </w:rPr>
              <w:t>注：本项目所用原辅材料均不涉及</w:t>
            </w:r>
            <w:r>
              <w:rPr>
                <w:rFonts w:hint="eastAsia" w:ascii="Times New Roman" w:hAnsi="Times New Roman" w:eastAsia="宋体" w:cs="Times New Roman"/>
                <w:b w:val="0"/>
                <w:bCs w:val="0"/>
                <w:color w:val="auto"/>
                <w:sz w:val="21"/>
                <w:szCs w:val="21"/>
                <w:lang w:val="en-US" w:eastAsia="zh-CN"/>
              </w:rPr>
              <w:t>《优先控制化学品名录（第一批）》（环保部公告2017年第83号）、《优先控制化学品名录（第二批）》（生态环境部公告2020年第47号）、《优先控制化学品名录（第三批）》（生态环境部公告2025年第43号）、关于发布《有毒有害水污染物名录（第一批）》的公告（环境部等公告2019年第28号）、《关于发布〈有毒有害水污染物名录（第二批）〉的公告》（生态环境部公告2025年第15号）、《有毒有害大气污染物名录》（公告2019年第4号）所列物质。</w:t>
            </w:r>
          </w:p>
          <w:p w14:paraId="2916ADDF">
            <w:pPr>
              <w:pStyle w:val="66"/>
              <w:keepNext w:val="0"/>
              <w:keepLines w:val="0"/>
              <w:pageBreakBefore w:val="0"/>
              <w:widowControl w:val="0"/>
              <w:kinsoku/>
              <w:wordWrap/>
              <w:overflowPunct/>
              <w:topLinePunct w:val="0"/>
              <w:autoSpaceDE w:val="0"/>
              <w:autoSpaceDN w:val="0"/>
              <w:bidi w:val="0"/>
              <w:spacing w:line="360" w:lineRule="auto"/>
              <w:ind w:firstLine="482"/>
              <w:textAlignment w:val="auto"/>
              <w:rPr>
                <w:rFonts w:hint="eastAsia" w:ascii="Times New Roman" w:hAnsi="Times New Roman" w:eastAsia="宋体" w:cs="Times New Roman"/>
                <w:b/>
                <w:bCs/>
                <w:color w:val="auto"/>
                <w:lang w:val="en-US" w:eastAsia="zh-CN"/>
              </w:rPr>
            </w:pPr>
            <w:r>
              <w:rPr>
                <w:rFonts w:hint="eastAsia" w:ascii="Times New Roman" w:hAnsi="Times New Roman" w:eastAsia="宋体" w:cs="Times New Roman"/>
                <w:b/>
                <w:bCs/>
                <w:color w:val="auto"/>
                <w:lang w:val="en-US" w:eastAsia="zh-CN"/>
              </w:rPr>
              <w:t>7、劳动定员及工作制度</w:t>
            </w:r>
          </w:p>
          <w:p w14:paraId="41F2916A">
            <w:pPr>
              <w:pStyle w:val="66"/>
              <w:keepNext w:val="0"/>
              <w:keepLines w:val="0"/>
              <w:pageBreakBefore w:val="0"/>
              <w:widowControl w:val="0"/>
              <w:kinsoku/>
              <w:wordWrap/>
              <w:overflowPunct/>
              <w:topLinePunct w:val="0"/>
              <w:autoSpaceDE w:val="0"/>
              <w:autoSpaceDN w:val="0"/>
              <w:bidi w:val="0"/>
              <w:spacing w:line="360" w:lineRule="auto"/>
              <w:ind w:firstLine="482"/>
              <w:textAlignment w:val="auto"/>
              <w:rPr>
                <w:rFonts w:hint="default" w:ascii="Times New Roman" w:hAnsi="Times New Roman" w:eastAsia="宋体" w:cs="Times New Roman"/>
                <w:b w:val="0"/>
                <w:bCs w:val="0"/>
                <w:color w:val="auto"/>
                <w:lang w:val="en-US" w:eastAsia="zh-CN"/>
              </w:rPr>
            </w:pPr>
            <w:r>
              <w:rPr>
                <w:rFonts w:hint="eastAsia" w:ascii="Times New Roman" w:hAnsi="Times New Roman" w:eastAsia="宋体" w:cs="Times New Roman"/>
                <w:color w:val="auto"/>
                <w:sz w:val="24"/>
                <w:highlight w:val="none"/>
                <w:lang w:val="en-US" w:eastAsia="zh-CN"/>
              </w:rPr>
              <w:t>劳动定员和工作制度：本项目劳动定员160人，全年工作时间300天，实行</w:t>
            </w:r>
            <w:r>
              <w:rPr>
                <w:rFonts w:hint="eastAsia" w:cs="Times New Roman"/>
                <w:color w:val="auto"/>
                <w:sz w:val="24"/>
                <w:highlight w:val="none"/>
                <w:lang w:val="en-US" w:eastAsia="zh-CN"/>
              </w:rPr>
              <w:t>2</w:t>
            </w:r>
            <w:r>
              <w:rPr>
                <w:rFonts w:hint="eastAsia" w:ascii="Times New Roman" w:hAnsi="Times New Roman" w:eastAsia="宋体" w:cs="Times New Roman"/>
                <w:color w:val="auto"/>
                <w:sz w:val="24"/>
                <w:highlight w:val="none"/>
                <w:lang w:val="en-US" w:eastAsia="zh-CN"/>
              </w:rPr>
              <w:t>班制，每班</w:t>
            </w:r>
            <w:r>
              <w:rPr>
                <w:rFonts w:hint="eastAsia" w:cs="Times New Roman"/>
                <w:color w:val="auto"/>
                <w:sz w:val="24"/>
                <w:highlight w:val="none"/>
                <w:lang w:val="en-US" w:eastAsia="zh-CN"/>
              </w:rPr>
              <w:t>10</w:t>
            </w:r>
            <w:r>
              <w:rPr>
                <w:rFonts w:hint="eastAsia" w:ascii="Times New Roman" w:hAnsi="Times New Roman" w:eastAsia="宋体" w:cs="Times New Roman"/>
                <w:color w:val="auto"/>
                <w:sz w:val="24"/>
                <w:highlight w:val="none"/>
                <w:lang w:val="en-US" w:eastAsia="zh-CN"/>
              </w:rPr>
              <w:t>小</w:t>
            </w:r>
            <w:r>
              <w:rPr>
                <w:rFonts w:hint="eastAsia" w:ascii="Times New Roman" w:hAnsi="Times New Roman" w:eastAsia="宋体" w:cs="Times New Roman"/>
                <w:b w:val="0"/>
                <w:bCs w:val="0"/>
                <w:color w:val="auto"/>
                <w:lang w:val="en-US" w:eastAsia="zh-CN"/>
              </w:rPr>
              <w:t>时，不提供食宿。</w:t>
            </w:r>
          </w:p>
          <w:p w14:paraId="417422B4">
            <w:pPr>
              <w:pStyle w:val="66"/>
              <w:keepNext w:val="0"/>
              <w:keepLines w:val="0"/>
              <w:pageBreakBefore w:val="0"/>
              <w:widowControl w:val="0"/>
              <w:kinsoku/>
              <w:wordWrap/>
              <w:overflowPunct/>
              <w:topLinePunct w:val="0"/>
              <w:autoSpaceDE w:val="0"/>
              <w:autoSpaceDN w:val="0"/>
              <w:bidi w:val="0"/>
              <w:spacing w:line="360" w:lineRule="auto"/>
              <w:ind w:firstLine="482"/>
              <w:textAlignment w:val="auto"/>
              <w:rPr>
                <w:rFonts w:hint="default" w:ascii="Times New Roman" w:hAnsi="Times New Roman" w:eastAsia="宋体" w:cs="Times New Roman"/>
                <w:b/>
                <w:bCs/>
                <w:color w:val="auto"/>
                <w:lang w:val="en-US" w:eastAsia="zh-CN"/>
              </w:rPr>
            </w:pPr>
            <w:r>
              <w:rPr>
                <w:rFonts w:hint="eastAsia" w:ascii="Times New Roman" w:hAnsi="Times New Roman" w:eastAsia="宋体" w:cs="Times New Roman"/>
                <w:b/>
                <w:bCs/>
                <w:color w:val="auto"/>
                <w:lang w:val="en-US" w:eastAsia="zh-CN"/>
              </w:rPr>
              <w:t>8、公用工程及辅助设施</w:t>
            </w:r>
          </w:p>
          <w:p w14:paraId="27EB4252">
            <w:pPr>
              <w:keepNext w:val="0"/>
              <w:keepLines w:val="0"/>
              <w:pageBreakBefore w:val="0"/>
              <w:widowControl w:val="0"/>
              <w:kinsoku/>
              <w:wordWrap/>
              <w:overflowPunct/>
              <w:topLinePunct w:val="0"/>
              <w:autoSpaceDE w:val="0"/>
              <w:autoSpaceDN w:val="0"/>
              <w:bidi w:val="0"/>
              <w:spacing w:line="360" w:lineRule="auto"/>
              <w:ind w:firstLine="480" w:firstLineChars="200"/>
              <w:textAlignment w:val="auto"/>
              <w:rPr>
                <w:rFonts w:hint="default" w:ascii="Times New Roman" w:hAnsi="Times New Roman" w:eastAsia="宋体" w:cs="Times New Roman"/>
                <w:color w:val="auto"/>
                <w:sz w:val="24"/>
                <w:highlight w:val="none"/>
                <w:lang w:val="en-US" w:eastAsia="zh-CN"/>
              </w:rPr>
            </w:pPr>
            <w:r>
              <w:rPr>
                <w:rFonts w:hint="default" w:ascii="Times New Roman" w:hAnsi="Times New Roman" w:eastAsia="宋体" w:cs="Times New Roman"/>
                <w:color w:val="auto"/>
                <w:sz w:val="24"/>
                <w:highlight w:val="none"/>
                <w:lang w:val="en-US" w:eastAsia="zh-CN"/>
              </w:rPr>
              <w:t>（1）供电</w:t>
            </w:r>
          </w:p>
          <w:p w14:paraId="6AFCBFF7">
            <w:pPr>
              <w:keepNext w:val="0"/>
              <w:keepLines w:val="0"/>
              <w:pageBreakBefore w:val="0"/>
              <w:widowControl w:val="0"/>
              <w:kinsoku/>
              <w:wordWrap/>
              <w:overflowPunct/>
              <w:topLinePunct w:val="0"/>
              <w:autoSpaceDE w:val="0"/>
              <w:autoSpaceDN w:val="0"/>
              <w:bidi w:val="0"/>
              <w:spacing w:line="360" w:lineRule="auto"/>
              <w:ind w:firstLine="480" w:firstLineChars="200"/>
              <w:textAlignment w:val="auto"/>
              <w:rPr>
                <w:rFonts w:hint="eastAsia" w:ascii="Times New Roman" w:hAnsi="Times New Roman" w:eastAsia="宋体" w:cs="Times New Roman"/>
                <w:b w:val="0"/>
                <w:bCs w:val="0"/>
                <w:color w:val="auto"/>
                <w:lang w:val="en-US" w:eastAsia="zh-CN"/>
              </w:rPr>
            </w:pPr>
            <w:r>
              <w:rPr>
                <w:rFonts w:hint="default" w:ascii="Times New Roman" w:hAnsi="Times New Roman" w:eastAsia="宋体" w:cs="Times New Roman"/>
                <w:color w:val="auto"/>
                <w:sz w:val="24"/>
                <w:highlight w:val="none"/>
                <w:lang w:val="en-US" w:eastAsia="zh-CN"/>
              </w:rPr>
              <w:t>本项目位于四川</w:t>
            </w:r>
            <w:r>
              <w:rPr>
                <w:rFonts w:hint="default" w:ascii="Times New Roman" w:hAnsi="Times New Roman" w:cs="Times New Roman"/>
                <w:color w:val="auto"/>
                <w:sz w:val="24"/>
                <w:szCs w:val="24"/>
                <w:highlight w:val="none"/>
                <w:lang w:eastAsia="zh-CN"/>
              </w:rPr>
              <w:t>省巴中市</w:t>
            </w:r>
            <w:r>
              <w:rPr>
                <w:rFonts w:hint="default" w:ascii="Times New Roman" w:hAnsi="Times New Roman" w:eastAsia="宋体" w:cs="Times New Roman"/>
                <w:color w:val="auto"/>
                <w:sz w:val="24"/>
                <w:szCs w:val="24"/>
                <w:highlight w:val="none"/>
                <w:lang w:eastAsia="zh-CN"/>
              </w:rPr>
              <w:t>经济开发区核心区，供电</w:t>
            </w:r>
            <w:r>
              <w:rPr>
                <w:rFonts w:hint="default" w:ascii="Times New Roman" w:hAnsi="Times New Roman" w:eastAsia="宋体" w:cs="Times New Roman"/>
                <w:color w:val="auto"/>
                <w:sz w:val="24"/>
                <w:szCs w:val="24"/>
                <w:highlight w:val="none"/>
                <w:lang w:val="en-US" w:eastAsia="zh-CN"/>
              </w:rPr>
              <w:t>由市政电网提供</w:t>
            </w:r>
            <w:r>
              <w:rPr>
                <w:rFonts w:hint="eastAsia" w:ascii="Times New Roman" w:hAnsi="Times New Roman" w:eastAsia="宋体" w:cs="Times New Roman"/>
                <w:color w:val="auto"/>
                <w:sz w:val="24"/>
                <w:szCs w:val="24"/>
                <w:highlight w:val="none"/>
                <w:lang w:val="en-US" w:eastAsia="zh-CN"/>
              </w:rPr>
              <w:t>。</w:t>
            </w:r>
          </w:p>
          <w:p w14:paraId="025B6144">
            <w:pPr>
              <w:pStyle w:val="66"/>
              <w:keepNext w:val="0"/>
              <w:keepLines w:val="0"/>
              <w:pageBreakBefore w:val="0"/>
              <w:widowControl w:val="0"/>
              <w:kinsoku/>
              <w:wordWrap/>
              <w:overflowPunct/>
              <w:topLinePunct w:val="0"/>
              <w:autoSpaceDE w:val="0"/>
              <w:autoSpaceDN w:val="0"/>
              <w:bidi w:val="0"/>
              <w:spacing w:line="360" w:lineRule="auto"/>
              <w:ind w:firstLine="482"/>
              <w:textAlignment w:val="auto"/>
              <w:rPr>
                <w:rFonts w:hint="default" w:ascii="Times New Roman" w:hAnsi="Times New Roman" w:eastAsia="宋体" w:cs="Times New Roman"/>
                <w:b w:val="0"/>
                <w:bCs w:val="0"/>
                <w:color w:val="auto"/>
                <w:lang w:val="en-US" w:eastAsia="zh-CN"/>
              </w:rPr>
            </w:pPr>
            <w:r>
              <w:rPr>
                <w:rFonts w:hint="eastAsia" w:ascii="Times New Roman" w:hAnsi="Times New Roman" w:eastAsia="宋体" w:cs="Times New Roman"/>
                <w:b w:val="0"/>
                <w:bCs w:val="0"/>
                <w:color w:val="auto"/>
                <w:lang w:val="en-US" w:eastAsia="zh-CN"/>
              </w:rPr>
              <w:t>（2）供气</w:t>
            </w:r>
          </w:p>
          <w:p w14:paraId="32D613A3">
            <w:pPr>
              <w:pStyle w:val="66"/>
              <w:keepNext w:val="0"/>
              <w:keepLines w:val="0"/>
              <w:pageBreakBefore w:val="0"/>
              <w:widowControl w:val="0"/>
              <w:kinsoku/>
              <w:wordWrap/>
              <w:overflowPunct/>
              <w:topLinePunct w:val="0"/>
              <w:autoSpaceDE w:val="0"/>
              <w:autoSpaceDN w:val="0"/>
              <w:bidi w:val="0"/>
              <w:spacing w:line="360" w:lineRule="auto"/>
              <w:ind w:firstLine="482"/>
              <w:textAlignment w:val="auto"/>
              <w:rPr>
                <w:rFonts w:hint="eastAsia" w:ascii="Times New Roman" w:hAnsi="Times New Roman" w:eastAsia="宋体" w:cs="Times New Roman"/>
                <w:color w:val="auto"/>
                <w:sz w:val="24"/>
                <w:highlight w:val="none"/>
                <w:lang w:val="en-US" w:eastAsia="zh-CN"/>
              </w:rPr>
            </w:pPr>
            <w:r>
              <w:rPr>
                <w:rFonts w:hint="eastAsia" w:ascii="Times New Roman" w:hAnsi="Times New Roman" w:eastAsia="宋体" w:cs="Times New Roman"/>
                <w:color w:val="auto"/>
                <w:sz w:val="24"/>
                <w:highlight w:val="none"/>
                <w:lang w:val="en-US" w:eastAsia="zh-CN"/>
              </w:rPr>
              <w:t>本项目压缩空气、氮气由厂区自建空压制氮站提供，空压站内设置2台（1用1备）排气量为41m</w:t>
            </w:r>
            <w:r>
              <w:rPr>
                <w:rFonts w:hint="default" w:ascii="Times New Roman" w:hAnsi="Times New Roman" w:eastAsia="宋体" w:cs="Times New Roman"/>
                <w:color w:val="auto"/>
                <w:sz w:val="24"/>
                <w:highlight w:val="none"/>
                <w:lang w:val="en-US" w:eastAsia="zh-CN"/>
              </w:rPr>
              <w:t>³</w:t>
            </w:r>
            <w:r>
              <w:rPr>
                <w:rFonts w:hint="eastAsia" w:ascii="Times New Roman" w:hAnsi="Times New Roman" w:eastAsia="宋体" w:cs="Times New Roman"/>
                <w:color w:val="auto"/>
                <w:sz w:val="24"/>
                <w:highlight w:val="none"/>
                <w:lang w:val="en-US" w:eastAsia="zh-CN"/>
              </w:rPr>
              <w:t>/min的无油螺杆空压机，排气压力0.85MPa。配套设置2台处理量为51m</w:t>
            </w:r>
            <w:r>
              <w:rPr>
                <w:rFonts w:hint="default" w:ascii="Times New Roman" w:hAnsi="Times New Roman" w:eastAsia="宋体" w:cs="Times New Roman"/>
                <w:color w:val="auto"/>
                <w:sz w:val="24"/>
                <w:highlight w:val="none"/>
                <w:lang w:val="en-US" w:eastAsia="zh-CN"/>
              </w:rPr>
              <w:t>³/</w:t>
            </w:r>
            <w:r>
              <w:rPr>
                <w:rFonts w:hint="eastAsia" w:ascii="Times New Roman" w:hAnsi="Times New Roman" w:eastAsia="宋体" w:cs="Times New Roman"/>
                <w:color w:val="auto"/>
                <w:sz w:val="24"/>
                <w:highlight w:val="none"/>
                <w:lang w:val="en-US" w:eastAsia="zh-CN"/>
              </w:rPr>
              <w:t>min的零气耗鼓风热再生吸附式干燥机。站房内设置1台10m</w:t>
            </w:r>
            <w:r>
              <w:rPr>
                <w:rFonts w:hint="default" w:ascii="Times New Roman" w:hAnsi="Times New Roman" w:eastAsia="宋体" w:cs="Times New Roman"/>
                <w:color w:val="auto"/>
                <w:sz w:val="24"/>
                <w:highlight w:val="none"/>
                <w:lang w:val="en-US" w:eastAsia="zh-CN"/>
              </w:rPr>
              <w:t>³</w:t>
            </w:r>
            <w:r>
              <w:rPr>
                <w:rFonts w:hint="eastAsia" w:ascii="Times New Roman" w:hAnsi="Times New Roman" w:eastAsia="宋体" w:cs="Times New Roman"/>
                <w:color w:val="auto"/>
                <w:sz w:val="24"/>
                <w:highlight w:val="none"/>
                <w:lang w:val="en-US" w:eastAsia="zh-CN"/>
              </w:rPr>
              <w:t>的压缩空气储气罐。</w:t>
            </w:r>
          </w:p>
          <w:p w14:paraId="3D05D4C9">
            <w:pPr>
              <w:pStyle w:val="66"/>
              <w:keepNext w:val="0"/>
              <w:keepLines w:val="0"/>
              <w:pageBreakBefore w:val="0"/>
              <w:widowControl w:val="0"/>
              <w:kinsoku/>
              <w:wordWrap/>
              <w:overflowPunct/>
              <w:topLinePunct w:val="0"/>
              <w:autoSpaceDE w:val="0"/>
              <w:autoSpaceDN w:val="0"/>
              <w:bidi w:val="0"/>
              <w:spacing w:line="360" w:lineRule="auto"/>
              <w:ind w:firstLine="482"/>
              <w:textAlignment w:val="auto"/>
              <w:rPr>
                <w:rFonts w:hint="eastAsia" w:ascii="Times New Roman" w:hAnsi="Times New Roman" w:eastAsia="宋体" w:cs="Times New Roman"/>
                <w:color w:val="auto"/>
                <w:sz w:val="24"/>
                <w:highlight w:val="none"/>
                <w:lang w:val="en-US" w:eastAsia="zh-CN"/>
              </w:rPr>
            </w:pPr>
            <w:r>
              <w:rPr>
                <w:rFonts w:hint="eastAsia" w:ascii="Times New Roman" w:hAnsi="Times New Roman" w:eastAsia="宋体" w:cs="Times New Roman"/>
                <w:color w:val="auto"/>
                <w:sz w:val="24"/>
                <w:highlight w:val="none"/>
                <w:lang w:val="en-US" w:eastAsia="zh-CN"/>
              </w:rPr>
              <w:t>制氮站内设置PSA吸附式制氮机2台（1用1备），单台产气量200m</w:t>
            </w:r>
            <w:r>
              <w:rPr>
                <w:rFonts w:hint="default" w:ascii="Times New Roman" w:hAnsi="Times New Roman" w:eastAsia="宋体" w:cs="Times New Roman"/>
                <w:color w:val="auto"/>
                <w:sz w:val="24"/>
                <w:highlight w:val="none"/>
                <w:lang w:val="en-US" w:eastAsia="zh-CN"/>
              </w:rPr>
              <w:t>³</w:t>
            </w:r>
            <w:r>
              <w:rPr>
                <w:rFonts w:hint="eastAsia" w:ascii="Times New Roman" w:hAnsi="Times New Roman" w:eastAsia="宋体" w:cs="Times New Roman"/>
                <w:color w:val="auto"/>
                <w:sz w:val="24"/>
                <w:highlight w:val="none"/>
                <w:lang w:val="en-US" w:eastAsia="zh-CN"/>
              </w:rPr>
              <w:t>/h。提供纯度为99.99%的氮气。</w:t>
            </w:r>
          </w:p>
          <w:p w14:paraId="112104C7">
            <w:pPr>
              <w:pStyle w:val="66"/>
              <w:keepNext w:val="0"/>
              <w:keepLines w:val="0"/>
              <w:pageBreakBefore w:val="0"/>
              <w:widowControl w:val="0"/>
              <w:kinsoku/>
              <w:wordWrap/>
              <w:overflowPunct/>
              <w:topLinePunct w:val="0"/>
              <w:autoSpaceDE w:val="0"/>
              <w:autoSpaceDN w:val="0"/>
              <w:bidi w:val="0"/>
              <w:spacing w:line="360" w:lineRule="auto"/>
              <w:ind w:firstLine="482"/>
              <w:textAlignment w:val="auto"/>
              <w:rPr>
                <w:rFonts w:hint="eastAsia" w:ascii="Times New Roman" w:hAnsi="Times New Roman" w:eastAsia="宋体" w:cs="Times New Roman"/>
                <w:b w:val="0"/>
                <w:bCs w:val="0"/>
                <w:color w:val="auto"/>
                <w:lang w:val="en-US" w:eastAsia="zh-CN"/>
              </w:rPr>
            </w:pPr>
            <w:r>
              <w:rPr>
                <w:rFonts w:hint="default" w:ascii="Times New Roman" w:hAnsi="Times New Roman" w:cs="Times New Roman"/>
                <w:color w:val="auto"/>
                <w:lang w:eastAsia="zh-CN"/>
              </w:rPr>
              <w:t>（</w:t>
            </w:r>
            <w:r>
              <w:rPr>
                <w:rFonts w:hint="default" w:ascii="Times New Roman" w:hAnsi="Times New Roman" w:cs="Times New Roman"/>
                <w:color w:val="auto"/>
                <w:lang w:val="en-US" w:eastAsia="zh-CN"/>
              </w:rPr>
              <w:t>3）供水</w:t>
            </w:r>
          </w:p>
          <w:p w14:paraId="0394C779">
            <w:pPr>
              <w:pStyle w:val="66"/>
              <w:keepNext w:val="0"/>
              <w:keepLines w:val="0"/>
              <w:pageBreakBefore w:val="0"/>
              <w:widowControl w:val="0"/>
              <w:kinsoku/>
              <w:wordWrap/>
              <w:overflowPunct/>
              <w:topLinePunct w:val="0"/>
              <w:autoSpaceDE w:val="0"/>
              <w:autoSpaceDN w:val="0"/>
              <w:bidi w:val="0"/>
              <w:spacing w:line="360" w:lineRule="auto"/>
              <w:ind w:firstLine="482"/>
              <w:textAlignment w:val="auto"/>
              <w:rPr>
                <w:rFonts w:hint="eastAsia" w:ascii="Times New Roman" w:hAnsi="Times New Roman" w:eastAsia="宋体" w:cs="Times New Roman"/>
                <w:color w:val="auto"/>
                <w:lang w:eastAsia="zh-CN"/>
              </w:rPr>
            </w:pPr>
            <w:r>
              <w:rPr>
                <w:rFonts w:hint="eastAsia" w:ascii="Times New Roman" w:hAnsi="Times New Roman" w:eastAsia="宋体" w:cs="Times New Roman"/>
                <w:b w:val="0"/>
                <w:bCs w:val="0"/>
                <w:color w:val="auto"/>
                <w:lang w:val="en-US" w:eastAsia="zh-CN"/>
              </w:rPr>
              <w:t>本项目供水主要来源于</w:t>
            </w:r>
            <w:r>
              <w:rPr>
                <w:rFonts w:hint="default" w:ascii="Times New Roman" w:hAnsi="Times New Roman" w:cs="Times New Roman"/>
                <w:color w:val="auto"/>
                <w:lang w:val="en-US" w:eastAsia="zh-CN"/>
              </w:rPr>
              <w:t>市政</w:t>
            </w:r>
            <w:r>
              <w:rPr>
                <w:rFonts w:hint="eastAsia" w:ascii="Times New Roman" w:hAnsi="Times New Roman" w:cs="Times New Roman"/>
                <w:color w:val="auto"/>
                <w:lang w:val="en-US" w:eastAsia="zh-CN"/>
              </w:rPr>
              <w:t>供水管网，项</w:t>
            </w:r>
            <w:r>
              <w:rPr>
                <w:rFonts w:hint="default" w:ascii="Times New Roman" w:hAnsi="Times New Roman" w:cs="Times New Roman"/>
                <w:color w:val="auto"/>
              </w:rPr>
              <w:t>目用水为生产用水、生活用水。其中生产用水主要为</w:t>
            </w:r>
            <w:r>
              <w:rPr>
                <w:rFonts w:hint="eastAsia" w:cs="Times New Roman"/>
                <w:color w:val="auto"/>
                <w:lang w:val="en-US" w:eastAsia="zh-CN"/>
              </w:rPr>
              <w:t>设备清洗用水、负极匀浆用水、纯水制备用水</w:t>
            </w:r>
            <w:r>
              <w:rPr>
                <w:rFonts w:hint="default" w:ascii="Times New Roman" w:hAnsi="Times New Roman" w:cs="Times New Roman"/>
                <w:color w:val="auto"/>
                <w:lang w:val="en-US" w:eastAsia="zh-CN"/>
              </w:rPr>
              <w:t>等</w:t>
            </w:r>
            <w:r>
              <w:rPr>
                <w:rFonts w:hint="default" w:ascii="Times New Roman" w:hAnsi="Times New Roman" w:cs="Times New Roman"/>
                <w:color w:val="auto"/>
              </w:rPr>
              <w:t>；生活用水</w:t>
            </w:r>
            <w:r>
              <w:rPr>
                <w:rFonts w:hint="eastAsia" w:cs="Times New Roman"/>
                <w:color w:val="auto"/>
                <w:lang w:eastAsia="zh-CN"/>
              </w:rPr>
              <w:t>主要</w:t>
            </w:r>
            <w:r>
              <w:rPr>
                <w:rFonts w:hint="eastAsia" w:ascii="Times New Roman" w:hAnsi="Times New Roman" w:cs="Times New Roman"/>
                <w:color w:val="auto"/>
                <w:lang w:val="en-US" w:eastAsia="zh-CN"/>
              </w:rPr>
              <w:t>为</w:t>
            </w:r>
            <w:r>
              <w:rPr>
                <w:rFonts w:hint="default" w:ascii="Times New Roman" w:hAnsi="Times New Roman" w:cs="Times New Roman"/>
                <w:color w:val="auto"/>
                <w:lang w:val="en-US" w:eastAsia="zh-CN"/>
              </w:rPr>
              <w:t>员工</w:t>
            </w:r>
            <w:r>
              <w:rPr>
                <w:rFonts w:hint="default" w:ascii="Times New Roman" w:hAnsi="Times New Roman" w:cs="Times New Roman"/>
                <w:color w:val="auto"/>
              </w:rPr>
              <w:t>办公用水。项目</w:t>
            </w:r>
            <w:r>
              <w:rPr>
                <w:rFonts w:hint="eastAsia" w:ascii="Times New Roman" w:hAnsi="Times New Roman" w:cs="Times New Roman"/>
                <w:color w:val="auto"/>
                <w:lang w:val="en-US" w:eastAsia="zh-CN"/>
              </w:rPr>
              <w:t>车间</w:t>
            </w:r>
            <w:r>
              <w:rPr>
                <w:rFonts w:hint="default" w:ascii="Times New Roman" w:hAnsi="Times New Roman" w:cs="Times New Roman"/>
                <w:color w:val="auto"/>
              </w:rPr>
              <w:t>地面不</w:t>
            </w:r>
            <w:r>
              <w:rPr>
                <w:rFonts w:hint="default" w:ascii="Times New Roman" w:hAnsi="Times New Roman" w:eastAsia="宋体" w:cs="Times New Roman"/>
                <w:color w:val="auto"/>
              </w:rPr>
              <w:t>清洗，采取吸尘器进行吸尘清洁</w:t>
            </w:r>
            <w:r>
              <w:rPr>
                <w:rFonts w:hint="eastAsia" w:ascii="Times New Roman" w:hAnsi="Times New Roman" w:eastAsia="宋体" w:cs="Times New Roman"/>
                <w:color w:val="auto"/>
                <w:lang w:val="en-US" w:eastAsia="zh-CN"/>
              </w:rPr>
              <w:t>或扫帚清扫等方式</w:t>
            </w:r>
            <w:r>
              <w:rPr>
                <w:rFonts w:hint="default" w:ascii="Times New Roman" w:hAnsi="Times New Roman" w:eastAsia="宋体" w:cs="Times New Roman"/>
                <w:color w:val="auto"/>
              </w:rPr>
              <w:t>，无需地面清洁用水</w:t>
            </w:r>
            <w:r>
              <w:rPr>
                <w:rFonts w:hint="eastAsia" w:ascii="Times New Roman" w:hAnsi="Times New Roman" w:eastAsia="宋体" w:cs="Times New Roman"/>
                <w:color w:val="auto"/>
                <w:lang w:eastAsia="zh-CN"/>
              </w:rPr>
              <w:t>。</w:t>
            </w:r>
          </w:p>
          <w:p w14:paraId="35651313">
            <w:pPr>
              <w:pStyle w:val="66"/>
              <w:keepNext w:val="0"/>
              <w:keepLines w:val="0"/>
              <w:pageBreakBefore w:val="0"/>
              <w:widowControl w:val="0"/>
              <w:kinsoku/>
              <w:wordWrap/>
              <w:overflowPunct/>
              <w:topLinePunct w:val="0"/>
              <w:autoSpaceDE w:val="0"/>
              <w:autoSpaceDN w:val="0"/>
              <w:bidi w:val="0"/>
              <w:spacing w:line="360" w:lineRule="auto"/>
              <w:ind w:firstLine="480" w:firstLineChars="200"/>
              <w:textAlignment w:val="auto"/>
              <w:rPr>
                <w:rFonts w:hint="eastAsia" w:ascii="Times New Roman" w:hAnsi="Times New Roman" w:cs="Times New Roman"/>
                <w:color w:val="auto"/>
                <w:sz w:val="24"/>
                <w:szCs w:val="24"/>
                <w:lang w:val="en-US" w:eastAsia="zh-CN"/>
              </w:rPr>
            </w:pPr>
            <w:r>
              <w:rPr>
                <w:rFonts w:hint="eastAsia" w:cs="Times New Roman"/>
                <w:color w:val="auto"/>
                <w:sz w:val="24"/>
                <w:szCs w:val="24"/>
                <w:lang w:val="en-US" w:eastAsia="zh-CN"/>
              </w:rPr>
              <w:t>①</w:t>
            </w:r>
            <w:r>
              <w:rPr>
                <w:rFonts w:hint="eastAsia" w:ascii="Times New Roman" w:hAnsi="Times New Roman" w:cs="Times New Roman"/>
                <w:color w:val="auto"/>
                <w:sz w:val="24"/>
                <w:szCs w:val="24"/>
                <w:lang w:val="en-US" w:eastAsia="zh-CN"/>
              </w:rPr>
              <w:t>生活污水</w:t>
            </w:r>
          </w:p>
          <w:p w14:paraId="176972F2">
            <w:pPr>
              <w:autoSpaceDE w:val="0"/>
              <w:autoSpaceDN w:val="0"/>
              <w:spacing w:line="360" w:lineRule="auto"/>
              <w:ind w:firstLine="480" w:firstLineChars="200"/>
              <w:rPr>
                <w:rFonts w:hint="default" w:ascii="Times New Roman" w:hAnsi="Times New Roman" w:eastAsia="瀹嬩綋" w:cs="Times New Roman"/>
                <w:b w:val="0"/>
                <w:bCs w:val="0"/>
                <w:color w:val="auto"/>
                <w:sz w:val="24"/>
                <w:szCs w:val="24"/>
                <w:lang w:val="en-US" w:eastAsia="zh-CN"/>
              </w:rPr>
            </w:pPr>
            <w:r>
              <w:rPr>
                <w:rFonts w:hint="eastAsia" w:ascii="Times New Roman" w:hAnsi="Times New Roman" w:eastAsia="宋体" w:cs="Times New Roman"/>
                <w:b w:val="0"/>
                <w:bCs w:val="0"/>
                <w:color w:val="auto"/>
                <w:sz w:val="24"/>
                <w:szCs w:val="24"/>
                <w:lang w:val="en-US" w:eastAsia="zh-CN"/>
              </w:rPr>
              <w:t>本项目不设置食堂及宿舍，生活用水主要为办公用水，本项目工作人员为</w:t>
            </w:r>
            <w:r>
              <w:rPr>
                <w:rFonts w:hint="eastAsia" w:cs="Times New Roman"/>
                <w:b w:val="0"/>
                <w:bCs w:val="0"/>
                <w:color w:val="auto"/>
                <w:sz w:val="24"/>
                <w:szCs w:val="24"/>
                <w:lang w:val="en-US" w:eastAsia="zh-CN"/>
              </w:rPr>
              <w:t>160</w:t>
            </w:r>
            <w:r>
              <w:rPr>
                <w:rFonts w:hint="eastAsia" w:ascii="Times New Roman" w:hAnsi="Times New Roman" w:eastAsia="宋体" w:cs="Times New Roman"/>
                <w:b w:val="0"/>
                <w:bCs w:val="0"/>
                <w:color w:val="auto"/>
                <w:sz w:val="24"/>
                <w:szCs w:val="24"/>
                <w:lang w:val="en-US" w:eastAsia="zh-CN"/>
              </w:rPr>
              <w:t>人，根据《四川省用水定额》（2021年），生活用水按60L/人•d计，项目生活用水平均用水量</w:t>
            </w:r>
            <w:r>
              <w:rPr>
                <w:rFonts w:hint="eastAsia" w:ascii="Times New Roman" w:hAnsi="Times New Roman"/>
                <w:color w:val="auto"/>
                <w:sz w:val="24"/>
                <w:highlight w:val="none"/>
                <w:lang w:val="en-US" w:eastAsia="zh-CN"/>
              </w:rPr>
              <w:t>为</w:t>
            </w:r>
            <w:r>
              <w:rPr>
                <w:rFonts w:hint="eastAsia" w:cs="Times New Roman"/>
                <w:b w:val="0"/>
                <w:bCs w:val="0"/>
                <w:color w:val="auto"/>
                <w:sz w:val="24"/>
                <w:szCs w:val="24"/>
                <w:lang w:val="en-US" w:eastAsia="zh-CN"/>
              </w:rPr>
              <w:t>9.6</w:t>
            </w:r>
            <w:r>
              <w:rPr>
                <w:rFonts w:hint="eastAsia" w:ascii="Times New Roman" w:hAnsi="Times New Roman" w:eastAsia="宋体" w:cs="Times New Roman"/>
                <w:b w:val="0"/>
                <w:bCs w:val="0"/>
                <w:color w:val="auto"/>
                <w:sz w:val="24"/>
                <w:szCs w:val="24"/>
                <w:lang w:val="en-US" w:eastAsia="zh-CN"/>
              </w:rPr>
              <w:t>m</w:t>
            </w:r>
            <w:r>
              <w:rPr>
                <w:rFonts w:hint="eastAsia" w:ascii="Times New Roman" w:hAnsi="Times New Roman" w:eastAsia="宋体" w:cs="Times New Roman"/>
                <w:b w:val="0"/>
                <w:bCs w:val="0"/>
                <w:color w:val="auto"/>
                <w:sz w:val="24"/>
                <w:szCs w:val="24"/>
                <w:vertAlign w:val="superscript"/>
                <w:lang w:val="en-US" w:eastAsia="zh-CN"/>
              </w:rPr>
              <w:t>3</w:t>
            </w:r>
            <w:r>
              <w:rPr>
                <w:rFonts w:hint="eastAsia" w:ascii="Times New Roman" w:hAnsi="Times New Roman" w:eastAsia="宋体" w:cs="Times New Roman"/>
                <w:b w:val="0"/>
                <w:bCs w:val="0"/>
                <w:color w:val="auto"/>
                <w:sz w:val="24"/>
                <w:szCs w:val="24"/>
                <w:lang w:val="en-US" w:eastAsia="zh-CN"/>
              </w:rPr>
              <w:t>/d</w:t>
            </w:r>
            <w:r>
              <w:rPr>
                <w:rFonts w:hint="eastAsia" w:cs="Times New Roman"/>
                <w:b w:val="0"/>
                <w:bCs w:val="0"/>
                <w:color w:val="auto"/>
                <w:sz w:val="24"/>
                <w:szCs w:val="24"/>
                <w:lang w:val="en-US" w:eastAsia="zh-CN"/>
              </w:rPr>
              <w:t>（2880</w:t>
            </w:r>
            <w:r>
              <w:rPr>
                <w:rFonts w:hint="eastAsia" w:ascii="Times New Roman" w:hAnsi="Times New Roman" w:eastAsia="宋体" w:cs="Times New Roman"/>
                <w:b w:val="0"/>
                <w:bCs w:val="0"/>
                <w:color w:val="auto"/>
                <w:sz w:val="24"/>
                <w:szCs w:val="24"/>
                <w:lang w:val="en-US" w:eastAsia="zh-CN"/>
              </w:rPr>
              <w:t>m</w:t>
            </w:r>
            <w:r>
              <w:rPr>
                <w:rFonts w:hint="eastAsia" w:ascii="Times New Roman" w:hAnsi="Times New Roman" w:eastAsia="宋体" w:cs="Times New Roman"/>
                <w:b w:val="0"/>
                <w:bCs w:val="0"/>
                <w:color w:val="auto"/>
                <w:sz w:val="24"/>
                <w:szCs w:val="24"/>
                <w:vertAlign w:val="superscript"/>
                <w:lang w:val="en-US" w:eastAsia="zh-CN"/>
              </w:rPr>
              <w:t>3</w:t>
            </w:r>
            <w:r>
              <w:rPr>
                <w:rFonts w:hint="eastAsia" w:ascii="Times New Roman" w:hAnsi="Times New Roman" w:eastAsia="宋体" w:cs="Times New Roman"/>
                <w:b w:val="0"/>
                <w:bCs w:val="0"/>
                <w:color w:val="auto"/>
                <w:sz w:val="24"/>
                <w:szCs w:val="24"/>
                <w:lang w:val="en-US" w:eastAsia="zh-CN"/>
              </w:rPr>
              <w:t>/a</w:t>
            </w:r>
            <w:r>
              <w:rPr>
                <w:rFonts w:hint="eastAsia" w:cs="Times New Roman"/>
                <w:b w:val="0"/>
                <w:bCs w:val="0"/>
                <w:color w:val="auto"/>
                <w:sz w:val="24"/>
                <w:szCs w:val="24"/>
                <w:lang w:val="en-US" w:eastAsia="zh-CN"/>
              </w:rPr>
              <w:t>），产污系数按80%计，则生活污水排放量为7.68</w:t>
            </w:r>
            <w:r>
              <w:rPr>
                <w:rFonts w:hint="eastAsia" w:ascii="Times New Roman" w:hAnsi="Times New Roman" w:eastAsia="宋体" w:cs="Times New Roman"/>
                <w:b w:val="0"/>
                <w:bCs w:val="0"/>
                <w:color w:val="auto"/>
                <w:sz w:val="24"/>
                <w:szCs w:val="24"/>
                <w:lang w:val="en-US" w:eastAsia="zh-CN"/>
              </w:rPr>
              <w:t>m</w:t>
            </w:r>
            <w:r>
              <w:rPr>
                <w:rFonts w:hint="eastAsia" w:ascii="Times New Roman" w:hAnsi="Times New Roman" w:eastAsia="宋体" w:cs="Times New Roman"/>
                <w:b w:val="0"/>
                <w:bCs w:val="0"/>
                <w:color w:val="auto"/>
                <w:sz w:val="24"/>
                <w:szCs w:val="24"/>
                <w:vertAlign w:val="superscript"/>
                <w:lang w:val="en-US" w:eastAsia="zh-CN"/>
              </w:rPr>
              <w:t>3</w:t>
            </w:r>
            <w:r>
              <w:rPr>
                <w:rFonts w:hint="eastAsia" w:ascii="Times New Roman" w:hAnsi="Times New Roman" w:eastAsia="宋体" w:cs="Times New Roman"/>
                <w:b w:val="0"/>
                <w:bCs w:val="0"/>
                <w:color w:val="auto"/>
                <w:sz w:val="24"/>
                <w:szCs w:val="24"/>
                <w:lang w:val="en-US" w:eastAsia="zh-CN"/>
              </w:rPr>
              <w:t>/d</w:t>
            </w:r>
            <w:r>
              <w:rPr>
                <w:rFonts w:hint="eastAsia" w:cs="Times New Roman"/>
                <w:b w:val="0"/>
                <w:bCs w:val="0"/>
                <w:color w:val="auto"/>
                <w:sz w:val="24"/>
                <w:szCs w:val="24"/>
                <w:lang w:val="en-US" w:eastAsia="zh-CN"/>
              </w:rPr>
              <w:t>（2304</w:t>
            </w:r>
            <w:r>
              <w:rPr>
                <w:rFonts w:hint="eastAsia" w:ascii="Times New Roman" w:hAnsi="Times New Roman" w:eastAsia="宋体" w:cs="Times New Roman"/>
                <w:b w:val="0"/>
                <w:bCs w:val="0"/>
                <w:color w:val="auto"/>
                <w:sz w:val="24"/>
                <w:szCs w:val="24"/>
                <w:lang w:val="en-US" w:eastAsia="zh-CN"/>
              </w:rPr>
              <w:t>m</w:t>
            </w:r>
            <w:r>
              <w:rPr>
                <w:rFonts w:hint="eastAsia" w:ascii="Times New Roman" w:hAnsi="Times New Roman" w:eastAsia="宋体" w:cs="Times New Roman"/>
                <w:b w:val="0"/>
                <w:bCs w:val="0"/>
                <w:color w:val="auto"/>
                <w:sz w:val="24"/>
                <w:szCs w:val="24"/>
                <w:vertAlign w:val="superscript"/>
                <w:lang w:val="en-US" w:eastAsia="zh-CN"/>
              </w:rPr>
              <w:t>3</w:t>
            </w:r>
            <w:r>
              <w:rPr>
                <w:rFonts w:hint="eastAsia" w:ascii="Times New Roman" w:hAnsi="Times New Roman" w:eastAsia="宋体" w:cs="Times New Roman"/>
                <w:b w:val="0"/>
                <w:bCs w:val="0"/>
                <w:color w:val="auto"/>
                <w:sz w:val="24"/>
                <w:szCs w:val="24"/>
                <w:lang w:val="en-US" w:eastAsia="zh-CN"/>
              </w:rPr>
              <w:t>/a</w:t>
            </w:r>
            <w:r>
              <w:rPr>
                <w:rFonts w:hint="eastAsia" w:cs="Times New Roman"/>
                <w:b w:val="0"/>
                <w:bCs w:val="0"/>
                <w:color w:val="auto"/>
                <w:sz w:val="24"/>
                <w:szCs w:val="24"/>
                <w:lang w:val="en-US" w:eastAsia="zh-CN"/>
              </w:rPr>
              <w:t>）</w:t>
            </w:r>
            <w:r>
              <w:rPr>
                <w:rFonts w:hint="default" w:ascii="Times New Roman" w:hAnsi="Times New Roman" w:cs="Times New Roman"/>
                <w:color w:val="auto"/>
                <w:sz w:val="24"/>
                <w:szCs w:val="24"/>
                <w:lang w:eastAsia="zh-CN"/>
              </w:rPr>
              <w:t>，</w:t>
            </w:r>
            <w:r>
              <w:rPr>
                <w:rFonts w:hint="default" w:ascii="Times New Roman" w:hAnsi="Times New Roman" w:cs="Times New Roman"/>
                <w:color w:val="auto"/>
                <w:sz w:val="24"/>
                <w:szCs w:val="24"/>
              </w:rPr>
              <w:t>经</w:t>
            </w:r>
            <w:r>
              <w:rPr>
                <w:rFonts w:hint="default" w:ascii="Times New Roman" w:hAnsi="Times New Roman" w:cs="Times New Roman"/>
                <w:color w:val="auto"/>
                <w:sz w:val="24"/>
                <w:szCs w:val="24"/>
                <w:lang w:val="en-US" w:eastAsia="zh-CN"/>
              </w:rPr>
              <w:t>厂区预处理池</w:t>
            </w:r>
            <w:r>
              <w:rPr>
                <w:rFonts w:hint="default" w:ascii="Times New Roman" w:hAnsi="Times New Roman" w:cs="Times New Roman"/>
                <w:color w:val="auto"/>
                <w:sz w:val="24"/>
                <w:szCs w:val="24"/>
              </w:rPr>
              <w:t>处理后</w:t>
            </w:r>
            <w:r>
              <w:rPr>
                <w:rFonts w:hint="default" w:ascii="Times New Roman" w:hAnsi="Times New Roman" w:cs="Times New Roman"/>
                <w:color w:val="auto"/>
                <w:sz w:val="24"/>
                <w:szCs w:val="24"/>
                <w:lang w:eastAsia="zh-CN"/>
              </w:rPr>
              <w:t>，</w:t>
            </w:r>
            <w:r>
              <w:rPr>
                <w:rFonts w:hint="default" w:ascii="Times New Roman" w:hAnsi="Times New Roman" w:eastAsia="瀹嬩綋" w:cs="Times New Roman"/>
                <w:color w:val="auto"/>
                <w:spacing w:val="-6"/>
                <w:sz w:val="24"/>
                <w:szCs w:val="24"/>
              </w:rPr>
              <w:t>排入园区市政污水管网，</w:t>
            </w:r>
            <w:r>
              <w:rPr>
                <w:rFonts w:hint="eastAsia" w:ascii="Times New Roman" w:hAnsi="Times New Roman" w:eastAsia="瀹嬩綋" w:cs="Times New Roman"/>
                <w:color w:val="auto"/>
                <w:spacing w:val="-6"/>
                <w:sz w:val="24"/>
                <w:szCs w:val="24"/>
                <w:lang w:val="en-US" w:eastAsia="zh-CN"/>
              </w:rPr>
              <w:t>进入巴中经开区污水处理厂处理。</w:t>
            </w:r>
          </w:p>
          <w:p w14:paraId="4B244480">
            <w:pPr>
              <w:pStyle w:val="66"/>
              <w:keepNext w:val="0"/>
              <w:keepLines w:val="0"/>
              <w:pageBreakBefore w:val="0"/>
              <w:widowControl w:val="0"/>
              <w:kinsoku/>
              <w:wordWrap/>
              <w:overflowPunct/>
              <w:topLinePunct w:val="0"/>
              <w:autoSpaceDE w:val="0"/>
              <w:autoSpaceDN w:val="0"/>
              <w:bidi w:val="0"/>
              <w:spacing w:line="360" w:lineRule="auto"/>
              <w:ind w:firstLine="482"/>
              <w:textAlignment w:val="auto"/>
              <w:rPr>
                <w:rFonts w:hint="eastAsia" w:cs="Times New Roman"/>
                <w:color w:val="auto"/>
                <w:lang w:val="en-US" w:eastAsia="zh-CN"/>
              </w:rPr>
            </w:pPr>
            <w:r>
              <w:rPr>
                <w:rFonts w:hint="eastAsia" w:cs="Times New Roman"/>
                <w:color w:val="auto"/>
                <w:lang w:val="en-US" w:eastAsia="zh-CN"/>
              </w:rPr>
              <w:t>②负极匀浆用水</w:t>
            </w:r>
          </w:p>
          <w:p w14:paraId="02FB85CF">
            <w:pPr>
              <w:pStyle w:val="66"/>
              <w:keepNext w:val="0"/>
              <w:keepLines w:val="0"/>
              <w:pageBreakBefore w:val="0"/>
              <w:widowControl w:val="0"/>
              <w:kinsoku/>
              <w:wordWrap/>
              <w:overflowPunct/>
              <w:topLinePunct w:val="0"/>
              <w:autoSpaceDE w:val="0"/>
              <w:autoSpaceDN w:val="0"/>
              <w:bidi w:val="0"/>
              <w:spacing w:line="360" w:lineRule="auto"/>
              <w:ind w:firstLine="482"/>
              <w:textAlignment w:val="auto"/>
              <w:rPr>
                <w:rFonts w:hint="eastAsia" w:cs="Times New Roman"/>
                <w:color w:val="auto"/>
                <w:lang w:val="en-US" w:eastAsia="zh-CN"/>
              </w:rPr>
            </w:pPr>
            <w:r>
              <w:rPr>
                <w:rFonts w:hint="eastAsia" w:cs="Times New Roman"/>
                <w:color w:val="auto"/>
                <w:lang w:val="en-US" w:eastAsia="zh-CN"/>
              </w:rPr>
              <w:t>根据建设单位提供资料，本项目负极制浆所需纯水约3</w:t>
            </w:r>
            <w:r>
              <w:rPr>
                <w:rFonts w:hint="eastAsia" w:ascii="Times New Roman" w:hAnsi="Times New Roman" w:eastAsia="宋体" w:cs="Times New Roman"/>
                <w:color w:val="auto"/>
                <w:lang w:val="en-US" w:eastAsia="zh-CN"/>
              </w:rPr>
              <w:t>m</w:t>
            </w:r>
            <w:r>
              <w:rPr>
                <w:rFonts w:hint="eastAsia" w:ascii="Times New Roman" w:hAnsi="Times New Roman" w:eastAsia="宋体" w:cs="Times New Roman"/>
                <w:color w:val="auto"/>
                <w:vertAlign w:val="superscript"/>
                <w:lang w:val="en-US" w:eastAsia="zh-CN"/>
              </w:rPr>
              <w:t>3</w:t>
            </w:r>
            <w:r>
              <w:rPr>
                <w:rFonts w:hint="eastAsia" w:cs="Times New Roman"/>
                <w:color w:val="auto"/>
                <w:lang w:val="en-US" w:eastAsia="zh-CN"/>
              </w:rPr>
              <w:t>/d（900</w:t>
            </w:r>
            <w:r>
              <w:rPr>
                <w:rFonts w:hint="eastAsia" w:ascii="Times New Roman" w:hAnsi="Times New Roman" w:eastAsia="宋体" w:cs="Times New Roman"/>
                <w:color w:val="auto"/>
                <w:lang w:val="en-US" w:eastAsia="zh-CN"/>
              </w:rPr>
              <w:t>m</w:t>
            </w:r>
            <w:r>
              <w:rPr>
                <w:rFonts w:hint="eastAsia" w:ascii="Times New Roman" w:hAnsi="Times New Roman" w:eastAsia="宋体" w:cs="Times New Roman"/>
                <w:color w:val="auto"/>
                <w:vertAlign w:val="superscript"/>
                <w:lang w:val="en-US" w:eastAsia="zh-CN"/>
              </w:rPr>
              <w:t>3</w:t>
            </w:r>
            <w:r>
              <w:rPr>
                <w:rFonts w:hint="eastAsia" w:cs="Times New Roman"/>
                <w:color w:val="auto"/>
                <w:lang w:val="en-US" w:eastAsia="zh-CN"/>
              </w:rPr>
              <w:t>/a）。</w:t>
            </w:r>
          </w:p>
          <w:p w14:paraId="0E005D7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s="Times New Roman"/>
                <w:color w:val="auto"/>
                <w:sz w:val="24"/>
                <w:szCs w:val="24"/>
                <w:lang w:val="en-US" w:eastAsia="zh-CN"/>
              </w:rPr>
            </w:pPr>
            <w:r>
              <w:rPr>
                <w:rFonts w:hint="eastAsia" w:cs="Times New Roman"/>
                <w:color w:val="auto"/>
                <w:sz w:val="24"/>
                <w:szCs w:val="24"/>
                <w:lang w:val="en-US" w:eastAsia="zh-CN"/>
              </w:rPr>
              <w:t>③设备清洗用水</w:t>
            </w:r>
          </w:p>
          <w:p w14:paraId="0DB1020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color w:val="auto"/>
                <w:sz w:val="24"/>
                <w:szCs w:val="24"/>
                <w:lang w:val="en-US" w:eastAsia="zh-CN"/>
              </w:rPr>
            </w:pPr>
            <w:r>
              <w:rPr>
                <w:rFonts w:hint="eastAsia" w:ascii="Times New Roman" w:hAnsi="Times New Roman" w:cs="Times New Roman"/>
                <w:color w:val="auto"/>
                <w:sz w:val="24"/>
                <w:szCs w:val="24"/>
                <w:lang w:val="en-US" w:eastAsia="zh-CN"/>
              </w:rPr>
              <w:t>根据建设单位提供资料，</w:t>
            </w:r>
            <w:r>
              <w:rPr>
                <w:rFonts w:hint="eastAsia" w:cs="Times New Roman"/>
                <w:color w:val="auto"/>
                <w:sz w:val="24"/>
                <w:szCs w:val="24"/>
                <w:lang w:val="en-US" w:eastAsia="zh-CN"/>
              </w:rPr>
              <w:t>本项目正负极匀浆系统及涂布机定期清洗，每月清洗2次，单次清洗用水量约4t/次（约0.32</w:t>
            </w:r>
            <w:r>
              <w:rPr>
                <w:rFonts w:hint="eastAsia" w:ascii="Times New Roman" w:hAnsi="Times New Roman" w:eastAsia="宋体" w:cs="Times New Roman"/>
                <w:color w:val="auto"/>
                <w:sz w:val="24"/>
                <w:szCs w:val="24"/>
                <w:lang w:val="en-US" w:eastAsia="zh-CN"/>
              </w:rPr>
              <w:t>m</w:t>
            </w:r>
            <w:r>
              <w:rPr>
                <w:rFonts w:hint="eastAsia" w:ascii="Times New Roman" w:hAnsi="Times New Roman" w:eastAsia="宋体" w:cs="Times New Roman"/>
                <w:color w:val="auto"/>
                <w:sz w:val="24"/>
                <w:szCs w:val="24"/>
                <w:vertAlign w:val="superscript"/>
                <w:lang w:val="en-US" w:eastAsia="zh-CN"/>
              </w:rPr>
              <w:t>3</w:t>
            </w:r>
            <w:r>
              <w:rPr>
                <w:rFonts w:hint="eastAsia" w:cs="Times New Roman"/>
                <w:color w:val="auto"/>
                <w:sz w:val="24"/>
                <w:szCs w:val="24"/>
                <w:lang w:val="en-US" w:eastAsia="zh-CN"/>
              </w:rPr>
              <w:t>/d，96</w:t>
            </w:r>
            <w:r>
              <w:rPr>
                <w:rFonts w:hint="eastAsia" w:ascii="Times New Roman" w:hAnsi="Times New Roman" w:eastAsia="宋体" w:cs="Times New Roman"/>
                <w:color w:val="auto"/>
                <w:sz w:val="24"/>
                <w:szCs w:val="24"/>
                <w:lang w:val="en-US" w:eastAsia="zh-CN"/>
              </w:rPr>
              <w:t>m</w:t>
            </w:r>
            <w:r>
              <w:rPr>
                <w:rFonts w:hint="eastAsia" w:ascii="Times New Roman" w:hAnsi="Times New Roman" w:eastAsia="宋体" w:cs="Times New Roman"/>
                <w:color w:val="auto"/>
                <w:sz w:val="24"/>
                <w:szCs w:val="24"/>
                <w:vertAlign w:val="superscript"/>
                <w:lang w:val="en-US" w:eastAsia="zh-CN"/>
              </w:rPr>
              <w:t>3</w:t>
            </w:r>
            <w:r>
              <w:rPr>
                <w:rFonts w:hint="eastAsia" w:cs="Times New Roman"/>
                <w:color w:val="auto"/>
                <w:sz w:val="24"/>
                <w:szCs w:val="24"/>
                <w:lang w:val="en-US" w:eastAsia="zh-CN"/>
              </w:rPr>
              <w:t>/a）。</w:t>
            </w:r>
          </w:p>
          <w:p w14:paraId="0EFE7D58">
            <w:pPr>
              <w:pStyle w:val="66"/>
              <w:keepNext w:val="0"/>
              <w:keepLines w:val="0"/>
              <w:pageBreakBefore w:val="0"/>
              <w:widowControl w:val="0"/>
              <w:kinsoku/>
              <w:wordWrap/>
              <w:overflowPunct/>
              <w:topLinePunct w:val="0"/>
              <w:autoSpaceDE w:val="0"/>
              <w:autoSpaceDN w:val="0"/>
              <w:bidi w:val="0"/>
              <w:spacing w:line="360" w:lineRule="auto"/>
              <w:ind w:firstLine="482"/>
              <w:textAlignment w:val="auto"/>
              <w:rPr>
                <w:rFonts w:hint="default" w:ascii="Times New Roman" w:hAnsi="Times New Roman" w:eastAsia="宋体" w:cs="Times New Roman"/>
                <w:color w:val="auto"/>
              </w:rPr>
            </w:pPr>
            <w:r>
              <w:rPr>
                <w:rFonts w:hint="eastAsia" w:cs="Times New Roman"/>
                <w:color w:val="auto"/>
                <w:lang w:val="en-US" w:eastAsia="zh-CN"/>
              </w:rPr>
              <w:t>④</w:t>
            </w:r>
            <w:r>
              <w:rPr>
                <w:rFonts w:hint="default" w:ascii="Times New Roman" w:hAnsi="Times New Roman" w:eastAsia="宋体" w:cs="Times New Roman"/>
                <w:color w:val="auto"/>
                <w:lang w:val="en-US" w:eastAsia="zh-CN"/>
              </w:rPr>
              <w:t>冷却</w:t>
            </w:r>
            <w:r>
              <w:rPr>
                <w:rFonts w:hint="eastAsia" w:cs="Times New Roman"/>
                <w:color w:val="auto"/>
                <w:lang w:val="en-US" w:eastAsia="zh-CN"/>
              </w:rPr>
              <w:t>循环</w:t>
            </w:r>
            <w:r>
              <w:rPr>
                <w:rFonts w:hint="default" w:ascii="Times New Roman" w:hAnsi="Times New Roman" w:eastAsia="宋体" w:cs="Times New Roman"/>
                <w:color w:val="auto"/>
              </w:rPr>
              <w:t>用水</w:t>
            </w:r>
          </w:p>
          <w:p w14:paraId="130A0FF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s="Times New Roman"/>
                <w:color w:val="auto"/>
                <w:sz w:val="24"/>
                <w:szCs w:val="24"/>
                <w:lang w:val="en-US" w:eastAsia="zh-CN"/>
              </w:rPr>
            </w:pPr>
            <w:r>
              <w:rPr>
                <w:rFonts w:hint="eastAsia" w:ascii="Times New Roman" w:hAnsi="Times New Roman" w:cs="Times New Roman"/>
                <w:color w:val="auto"/>
                <w:sz w:val="24"/>
                <w:szCs w:val="24"/>
                <w:lang w:val="en-US" w:eastAsia="zh-CN"/>
              </w:rPr>
              <w:t>根据建设单位提供资料，</w:t>
            </w:r>
            <w:r>
              <w:rPr>
                <w:rFonts w:ascii="宋体" w:hAnsi="宋体" w:eastAsia="宋体" w:cs="宋体"/>
                <w:color w:val="auto"/>
                <w:sz w:val="24"/>
                <w:szCs w:val="24"/>
              </w:rPr>
              <w:t>项目正极制浆系统、</w:t>
            </w:r>
            <w:r>
              <w:rPr>
                <w:rFonts w:hint="default" w:ascii="Times New Roman" w:hAnsi="Times New Roman" w:eastAsia="宋体" w:cs="Times New Roman"/>
                <w:color w:val="auto"/>
                <w:sz w:val="24"/>
                <w:szCs w:val="24"/>
              </w:rPr>
              <w:t>NMP废气二</w:t>
            </w:r>
            <w:r>
              <w:rPr>
                <w:rFonts w:ascii="宋体" w:hAnsi="宋体" w:eastAsia="宋体" w:cs="宋体"/>
                <w:color w:val="auto"/>
                <w:sz w:val="24"/>
                <w:szCs w:val="24"/>
              </w:rPr>
              <w:t>级冷凝+转轮吸附回收设施均选用纯水间接换热冷却，冷却水密闭循环使用</w:t>
            </w:r>
            <w:r>
              <w:rPr>
                <w:rFonts w:hint="eastAsia" w:ascii="Times New Roman" w:hAnsi="Times New Roman" w:cs="Times New Roman"/>
                <w:color w:val="auto"/>
                <w:sz w:val="24"/>
                <w:szCs w:val="24"/>
                <w:lang w:val="en-US" w:eastAsia="zh-CN"/>
              </w:rPr>
              <w:t>，循</w:t>
            </w:r>
            <w:r>
              <w:rPr>
                <w:rFonts w:hint="eastAsia" w:ascii="宋体" w:hAnsi="宋体" w:eastAsia="宋体" w:cs="宋体"/>
                <w:color w:val="auto"/>
                <w:sz w:val="24"/>
                <w:szCs w:val="24"/>
                <w:lang w:val="en-US" w:eastAsia="zh-CN"/>
              </w:rPr>
              <w:t>环水量</w:t>
            </w:r>
            <w:r>
              <w:rPr>
                <w:rFonts w:hint="eastAsia" w:ascii="宋体" w:hAnsi="宋体" w:cs="宋体"/>
                <w:color w:val="auto"/>
                <w:sz w:val="24"/>
                <w:szCs w:val="24"/>
                <w:lang w:val="en-US" w:eastAsia="zh-CN"/>
              </w:rPr>
              <w:t>总计</w:t>
            </w:r>
            <w:r>
              <w:rPr>
                <w:rFonts w:hint="eastAsia" w:ascii="宋体" w:hAnsi="宋体" w:eastAsia="宋体" w:cs="宋体"/>
                <w:color w:val="auto"/>
                <w:sz w:val="24"/>
                <w:szCs w:val="24"/>
                <w:lang w:val="en-US" w:eastAsia="zh-CN"/>
              </w:rPr>
              <w:t>为</w:t>
            </w:r>
            <w:r>
              <w:rPr>
                <w:rFonts w:hint="eastAsia" w:cs="Times New Roman"/>
                <w:color w:val="auto"/>
                <w:sz w:val="24"/>
                <w:szCs w:val="24"/>
                <w:lang w:val="en-US" w:eastAsia="zh-CN"/>
              </w:rPr>
              <w:t>220</w:t>
            </w:r>
            <w:r>
              <w:rPr>
                <w:rFonts w:hint="default" w:ascii="Times New Roman" w:hAnsi="Times New Roman" w:eastAsia="宋体" w:cs="Times New Roman"/>
                <w:color w:val="auto"/>
                <w:sz w:val="24"/>
                <w:szCs w:val="24"/>
                <w:lang w:val="en-US" w:eastAsia="zh-CN"/>
              </w:rPr>
              <w:t>m</w:t>
            </w:r>
            <w:r>
              <w:rPr>
                <w:rFonts w:hint="default" w:ascii="Times New Roman" w:hAnsi="Times New Roman" w:eastAsia="宋体" w:cs="Times New Roman"/>
                <w:color w:val="auto"/>
                <w:sz w:val="24"/>
                <w:szCs w:val="24"/>
                <w:vertAlign w:val="superscript"/>
                <w:lang w:val="en-US" w:eastAsia="zh-CN"/>
              </w:rPr>
              <w:t>3</w:t>
            </w:r>
            <w:r>
              <w:rPr>
                <w:rFonts w:hint="default" w:ascii="Times New Roman" w:hAnsi="Times New Roman" w:eastAsia="宋体" w:cs="Times New Roman"/>
                <w:color w:val="auto"/>
                <w:sz w:val="24"/>
                <w:szCs w:val="24"/>
                <w:lang w:val="en-US" w:eastAsia="zh-CN"/>
              </w:rPr>
              <w:t>/h</w:t>
            </w:r>
            <w:r>
              <w:rPr>
                <w:rFonts w:hint="default" w:ascii="Times New Roman" w:hAnsi="Times New Roman" w:cs="Times New Roman"/>
                <w:color w:val="auto"/>
                <w:sz w:val="24"/>
                <w:szCs w:val="24"/>
                <w:lang w:eastAsia="zh-CN"/>
              </w:rPr>
              <w:t>。</w:t>
            </w:r>
            <w:r>
              <w:rPr>
                <w:rFonts w:hint="eastAsia" w:ascii="Times New Roman" w:hAnsi="Times New Roman" w:cs="Times New Roman"/>
                <w:color w:val="auto"/>
                <w:sz w:val="24"/>
                <w:szCs w:val="24"/>
                <w:lang w:val="en-US" w:eastAsia="zh-CN"/>
              </w:rPr>
              <w:t>根据《工业循环冷却水处理设计规范》（GB/T50050-2017），补充水量为循环水量的1</w:t>
            </w:r>
            <w:r>
              <w:rPr>
                <w:rFonts w:hint="default" w:ascii="Times New Roman" w:hAnsi="Times New Roman" w:eastAsia="宋体" w:cs="Times New Roman"/>
                <w:color w:val="auto"/>
                <w:sz w:val="24"/>
                <w:szCs w:val="24"/>
                <w:lang w:val="en-US" w:eastAsia="zh-CN"/>
              </w:rPr>
              <w:t>‰</w:t>
            </w:r>
            <w:r>
              <w:rPr>
                <w:rFonts w:hint="eastAsia" w:ascii="Times New Roman" w:hAnsi="Times New Roman" w:eastAsia="宋体" w:cs="Times New Roman"/>
                <w:color w:val="auto"/>
                <w:sz w:val="24"/>
                <w:szCs w:val="24"/>
                <w:lang w:val="en-US" w:eastAsia="zh-CN"/>
              </w:rPr>
              <w:t>，则本项目补充水量为</w:t>
            </w:r>
            <w:r>
              <w:rPr>
                <w:rFonts w:hint="eastAsia" w:cs="Times New Roman"/>
                <w:color w:val="auto"/>
                <w:sz w:val="24"/>
                <w:szCs w:val="24"/>
                <w:lang w:val="en-US" w:eastAsia="zh-CN"/>
              </w:rPr>
              <w:t>4.4</w:t>
            </w:r>
            <w:r>
              <w:rPr>
                <w:rFonts w:hint="eastAsia" w:ascii="Times New Roman" w:hAnsi="Times New Roman" w:eastAsia="宋体" w:cs="Times New Roman"/>
                <w:color w:val="auto"/>
                <w:lang w:val="en-US" w:eastAsia="zh-CN"/>
              </w:rPr>
              <w:t>m</w:t>
            </w:r>
            <w:r>
              <w:rPr>
                <w:rFonts w:hint="eastAsia" w:ascii="Times New Roman" w:hAnsi="Times New Roman" w:eastAsia="宋体" w:cs="Times New Roman"/>
                <w:color w:val="auto"/>
                <w:vertAlign w:val="superscript"/>
                <w:lang w:val="en-US" w:eastAsia="zh-CN"/>
              </w:rPr>
              <w:t>3</w:t>
            </w:r>
            <w:r>
              <w:rPr>
                <w:rFonts w:hint="eastAsia" w:ascii="Times New Roman" w:hAnsi="Times New Roman" w:eastAsia="宋体" w:cs="Times New Roman"/>
                <w:color w:val="auto"/>
                <w:sz w:val="24"/>
                <w:szCs w:val="24"/>
                <w:lang w:val="en-US" w:eastAsia="zh-CN"/>
              </w:rPr>
              <w:t>/d（</w:t>
            </w:r>
            <w:r>
              <w:rPr>
                <w:rFonts w:hint="eastAsia" w:cs="Times New Roman"/>
                <w:color w:val="auto"/>
                <w:sz w:val="24"/>
                <w:szCs w:val="24"/>
                <w:lang w:val="en-US" w:eastAsia="zh-CN"/>
              </w:rPr>
              <w:t>1320</w:t>
            </w:r>
            <w:r>
              <w:rPr>
                <w:rFonts w:hint="eastAsia" w:ascii="Times New Roman" w:hAnsi="Times New Roman" w:eastAsia="宋体" w:cs="Times New Roman"/>
                <w:color w:val="auto"/>
                <w:sz w:val="24"/>
                <w:szCs w:val="24"/>
                <w:lang w:val="en-US" w:eastAsia="zh-CN"/>
              </w:rPr>
              <w:t>m</w:t>
            </w:r>
            <w:r>
              <w:rPr>
                <w:rFonts w:hint="eastAsia" w:ascii="Times New Roman" w:hAnsi="Times New Roman" w:eastAsia="宋体" w:cs="Times New Roman"/>
                <w:color w:val="auto"/>
                <w:sz w:val="24"/>
                <w:szCs w:val="24"/>
                <w:vertAlign w:val="superscript"/>
                <w:lang w:val="en-US" w:eastAsia="zh-CN"/>
              </w:rPr>
              <w:t>3</w:t>
            </w:r>
            <w:r>
              <w:rPr>
                <w:rFonts w:hint="eastAsia" w:cs="Times New Roman"/>
                <w:color w:val="auto"/>
                <w:sz w:val="24"/>
                <w:szCs w:val="24"/>
                <w:lang w:val="en-US" w:eastAsia="zh-CN"/>
              </w:rPr>
              <w:t>/a</w:t>
            </w:r>
            <w:r>
              <w:rPr>
                <w:rFonts w:hint="eastAsia" w:ascii="Times New Roman" w:hAnsi="Times New Roman" w:eastAsia="宋体" w:cs="Times New Roman"/>
                <w:color w:val="auto"/>
                <w:sz w:val="24"/>
                <w:szCs w:val="24"/>
                <w:lang w:val="en-US" w:eastAsia="zh-CN"/>
              </w:rPr>
              <w:t>）</w:t>
            </w:r>
            <w:r>
              <w:rPr>
                <w:rFonts w:hint="eastAsia" w:cs="Times New Roman"/>
                <w:color w:val="auto"/>
                <w:sz w:val="24"/>
                <w:szCs w:val="24"/>
                <w:lang w:val="en-US" w:eastAsia="zh-CN"/>
              </w:rPr>
              <w:t>。</w:t>
            </w:r>
          </w:p>
          <w:p w14:paraId="0FC02CE9">
            <w:pPr>
              <w:pStyle w:val="66"/>
              <w:keepNext w:val="0"/>
              <w:keepLines w:val="0"/>
              <w:pageBreakBefore w:val="0"/>
              <w:widowControl w:val="0"/>
              <w:kinsoku/>
              <w:wordWrap/>
              <w:overflowPunct/>
              <w:topLinePunct w:val="0"/>
              <w:autoSpaceDE w:val="0"/>
              <w:autoSpaceDN w:val="0"/>
              <w:bidi w:val="0"/>
              <w:spacing w:line="360" w:lineRule="auto"/>
              <w:ind w:firstLine="482"/>
              <w:textAlignment w:val="auto"/>
              <w:rPr>
                <w:rFonts w:hint="eastAsia" w:cs="Times New Roman"/>
                <w:color w:val="auto"/>
                <w:lang w:val="en-US" w:eastAsia="zh-CN"/>
              </w:rPr>
            </w:pPr>
            <w:r>
              <w:rPr>
                <w:rFonts w:hint="eastAsia" w:cs="Times New Roman"/>
                <w:color w:val="auto"/>
                <w:lang w:val="en-US" w:eastAsia="zh-CN"/>
              </w:rPr>
              <w:t>⑤纯水制备用水</w:t>
            </w:r>
          </w:p>
          <w:p w14:paraId="7231FE01">
            <w:pPr>
              <w:pStyle w:val="66"/>
              <w:keepNext w:val="0"/>
              <w:keepLines w:val="0"/>
              <w:pageBreakBefore w:val="0"/>
              <w:widowControl w:val="0"/>
              <w:kinsoku/>
              <w:wordWrap/>
              <w:overflowPunct/>
              <w:topLinePunct w:val="0"/>
              <w:autoSpaceDE w:val="0"/>
              <w:autoSpaceDN w:val="0"/>
              <w:bidi w:val="0"/>
              <w:spacing w:line="360" w:lineRule="auto"/>
              <w:ind w:firstLine="482"/>
              <w:textAlignment w:val="auto"/>
              <w:rPr>
                <w:rFonts w:hint="default" w:cs="Times New Roman"/>
                <w:color w:val="auto"/>
                <w:lang w:val="en-US" w:eastAsia="zh-CN"/>
              </w:rPr>
            </w:pPr>
            <w:r>
              <w:rPr>
                <w:rFonts w:hint="eastAsia" w:cs="Times New Roman"/>
                <w:color w:val="auto"/>
                <w:lang w:val="en-US" w:eastAsia="zh-CN"/>
              </w:rPr>
              <w:t>本项目生产过程中单日所需最大纯水用水量为7.4m</w:t>
            </w:r>
            <w:r>
              <w:rPr>
                <w:rFonts w:hint="eastAsia" w:cs="Times New Roman"/>
                <w:color w:val="auto"/>
                <w:vertAlign w:val="superscript"/>
                <w:lang w:val="en-US" w:eastAsia="zh-CN"/>
              </w:rPr>
              <w:t>3</w:t>
            </w:r>
            <w:r>
              <w:rPr>
                <w:rFonts w:hint="eastAsia" w:cs="Times New Roman"/>
                <w:color w:val="auto"/>
                <w:lang w:val="en-US" w:eastAsia="zh-CN"/>
              </w:rPr>
              <w:t>，根据建设单位提供资料，项目拟设1套纯水制备系统，采用</w:t>
            </w:r>
            <w:r>
              <w:rPr>
                <w:rFonts w:hint="eastAsia" w:cs="Times New Roman"/>
                <w:color w:val="auto"/>
                <w:sz w:val="24"/>
                <w:lang w:val="en-US" w:eastAsia="zh-CN"/>
              </w:rPr>
              <w:t>“</w:t>
            </w:r>
            <w:r>
              <w:rPr>
                <w:rFonts w:hint="default" w:ascii="Times New Roman" w:hAnsi="Times New Roman" w:eastAsia="宋体" w:cs="Times New Roman"/>
                <w:color w:val="auto"/>
                <w:sz w:val="24"/>
                <w:lang w:val="en-US" w:eastAsia="zh-CN"/>
              </w:rPr>
              <w:t>物理过滤（多介质过滤+活性炭过滤+精密过滤）+一级RO反渗透+二级RO反渗透+EDI系统</w:t>
            </w:r>
            <w:r>
              <w:rPr>
                <w:rFonts w:hint="eastAsia" w:cs="Times New Roman"/>
                <w:color w:val="auto"/>
                <w:sz w:val="24"/>
                <w:lang w:val="en-US" w:eastAsia="zh-CN"/>
              </w:rPr>
              <w:t>”</w:t>
            </w:r>
            <w:r>
              <w:rPr>
                <w:rFonts w:hint="default" w:ascii="Times New Roman" w:hAnsi="Times New Roman" w:eastAsia="宋体" w:cs="Times New Roman"/>
                <w:color w:val="auto"/>
                <w:sz w:val="24"/>
                <w:lang w:val="en-US" w:eastAsia="zh-CN"/>
              </w:rPr>
              <w:t>制备工艺，</w:t>
            </w:r>
            <w:r>
              <w:rPr>
                <w:rFonts w:hint="eastAsia" w:cs="Times New Roman"/>
                <w:color w:val="auto"/>
                <w:sz w:val="24"/>
                <w:lang w:val="en-US" w:eastAsia="zh-CN"/>
              </w:rPr>
              <w:t>纯水总体制备效率为60%，则纯水制备所需新鲜用水量约为12.3m</w:t>
            </w:r>
            <w:r>
              <w:rPr>
                <w:rFonts w:hint="eastAsia" w:cs="Times New Roman"/>
                <w:color w:val="auto"/>
                <w:sz w:val="24"/>
                <w:vertAlign w:val="superscript"/>
                <w:lang w:val="en-US" w:eastAsia="zh-CN"/>
              </w:rPr>
              <w:t>3</w:t>
            </w:r>
            <w:r>
              <w:rPr>
                <w:rFonts w:hint="eastAsia" w:cs="Times New Roman"/>
                <w:color w:val="auto"/>
                <w:sz w:val="24"/>
                <w:lang w:val="en-US" w:eastAsia="zh-CN"/>
              </w:rPr>
              <w:t>/d（3690m</w:t>
            </w:r>
            <w:r>
              <w:rPr>
                <w:rFonts w:hint="eastAsia" w:cs="Times New Roman"/>
                <w:color w:val="auto"/>
                <w:sz w:val="24"/>
                <w:vertAlign w:val="superscript"/>
                <w:lang w:val="en-US" w:eastAsia="zh-CN"/>
              </w:rPr>
              <w:t>3</w:t>
            </w:r>
            <w:r>
              <w:rPr>
                <w:rFonts w:hint="eastAsia" w:cs="Times New Roman"/>
                <w:color w:val="auto"/>
                <w:sz w:val="24"/>
                <w:lang w:val="en-US" w:eastAsia="zh-CN"/>
              </w:rPr>
              <w:t>/a）。</w:t>
            </w:r>
          </w:p>
          <w:p w14:paraId="3B1B109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rPr>
            </w:pPr>
            <w:r>
              <w:rPr>
                <w:rFonts w:hint="default" w:ascii="Times New Roman" w:hAnsi="Times New Roman" w:eastAsia="宋体" w:cs="Times New Roman"/>
                <w:color w:val="auto"/>
                <w:sz w:val="24"/>
                <w:lang w:eastAsia="zh-CN"/>
              </w:rPr>
              <w:t>（</w:t>
            </w:r>
            <w:r>
              <w:rPr>
                <w:rFonts w:hint="default" w:ascii="Times New Roman" w:hAnsi="Times New Roman" w:cs="Times New Roman"/>
                <w:color w:val="auto"/>
                <w:sz w:val="24"/>
                <w:lang w:val="en-US" w:eastAsia="zh-CN"/>
              </w:rPr>
              <w:t>4</w:t>
            </w:r>
            <w:r>
              <w:rPr>
                <w:rFonts w:hint="default" w:ascii="Times New Roman" w:hAnsi="Times New Roman" w:eastAsia="宋体" w:cs="Times New Roman"/>
                <w:color w:val="auto"/>
                <w:sz w:val="24"/>
                <w:lang w:eastAsia="zh-CN"/>
              </w:rPr>
              <w:t>）</w:t>
            </w:r>
            <w:r>
              <w:rPr>
                <w:rFonts w:hint="default" w:ascii="Times New Roman" w:hAnsi="Times New Roman" w:eastAsia="宋体" w:cs="Times New Roman"/>
                <w:color w:val="auto"/>
                <w:sz w:val="24"/>
              </w:rPr>
              <w:t>排水工程</w:t>
            </w:r>
          </w:p>
          <w:p w14:paraId="09A7FD2E">
            <w:pPr>
              <w:pStyle w:val="66"/>
              <w:keepNext w:val="0"/>
              <w:keepLines w:val="0"/>
              <w:pageBreakBefore w:val="0"/>
              <w:widowControl w:val="0"/>
              <w:kinsoku/>
              <w:wordWrap/>
              <w:overflowPunct/>
              <w:topLinePunct w:val="0"/>
              <w:autoSpaceDE w:val="0"/>
              <w:autoSpaceDN w:val="0"/>
              <w:bidi w:val="0"/>
              <w:spacing w:line="360" w:lineRule="auto"/>
              <w:ind w:firstLine="480" w:firstLineChars="200"/>
              <w:textAlignment w:val="auto"/>
              <w:rPr>
                <w:rFonts w:hint="default" w:ascii="Times New Roman" w:hAnsi="Times New Roman" w:cs="Times New Roman"/>
                <w:color w:val="auto"/>
                <w:sz w:val="24"/>
              </w:rPr>
            </w:pPr>
            <w:r>
              <w:rPr>
                <w:rFonts w:hint="default" w:ascii="Times New Roman" w:hAnsi="Times New Roman" w:eastAsia="宋体" w:cs="Times New Roman"/>
                <w:color w:val="auto"/>
                <w:sz w:val="24"/>
              </w:rPr>
              <w:t>本项目排水实行</w:t>
            </w:r>
            <w:r>
              <w:rPr>
                <w:rFonts w:hint="eastAsia" w:cs="Times New Roman"/>
                <w:color w:val="auto"/>
                <w:sz w:val="24"/>
                <w:lang w:eastAsia="zh-CN"/>
              </w:rPr>
              <w:t>“</w:t>
            </w:r>
            <w:r>
              <w:rPr>
                <w:rFonts w:hint="default" w:ascii="Times New Roman" w:hAnsi="Times New Roman" w:eastAsia="宋体" w:cs="Times New Roman"/>
                <w:color w:val="auto"/>
                <w:sz w:val="24"/>
              </w:rPr>
              <w:t>雨污分流、清污分流</w:t>
            </w:r>
            <w:r>
              <w:rPr>
                <w:rFonts w:hint="eastAsia" w:cs="Times New Roman"/>
                <w:color w:val="auto"/>
                <w:sz w:val="24"/>
                <w:lang w:eastAsia="zh-CN"/>
              </w:rPr>
              <w:t>”，</w:t>
            </w:r>
            <w:r>
              <w:rPr>
                <w:rFonts w:hint="default" w:ascii="Times New Roman" w:hAnsi="Times New Roman" w:eastAsia="宋体" w:cs="Times New Roman"/>
                <w:color w:val="auto"/>
                <w:sz w:val="24"/>
              </w:rPr>
              <w:t>项目</w:t>
            </w:r>
            <w:r>
              <w:rPr>
                <w:rFonts w:hint="eastAsia" w:cs="Times New Roman"/>
                <w:color w:val="auto"/>
                <w:sz w:val="24"/>
                <w:lang w:val="en-US" w:eastAsia="zh-CN"/>
              </w:rPr>
              <w:t>生活污水、纯水制备浓水经厂区预处理池处理，设备清洗废水</w:t>
            </w:r>
            <w:r>
              <w:rPr>
                <w:rFonts w:hint="default" w:ascii="Times New Roman" w:hAnsi="Times New Roman" w:eastAsia="宋体" w:cs="Times New Roman"/>
                <w:color w:val="auto"/>
                <w:sz w:val="24"/>
              </w:rPr>
              <w:t>经</w:t>
            </w:r>
            <w:r>
              <w:rPr>
                <w:rFonts w:hint="default" w:ascii="Times New Roman" w:hAnsi="Times New Roman" w:eastAsia="瀹嬩綋" w:cs="Times New Roman"/>
                <w:color w:val="auto"/>
                <w:spacing w:val="-6"/>
                <w:sz w:val="24"/>
                <w:lang w:val="en-US" w:eastAsia="zh-CN"/>
              </w:rPr>
              <w:t>厂区废水处理站处理</w:t>
            </w:r>
            <w:r>
              <w:rPr>
                <w:rFonts w:hint="eastAsia" w:eastAsia="瀹嬩綋" w:cs="Times New Roman"/>
                <w:color w:val="auto"/>
                <w:spacing w:val="-6"/>
                <w:sz w:val="24"/>
                <w:lang w:val="en-US" w:eastAsia="zh-CN"/>
              </w:rPr>
              <w:t>，处理后的废水一同</w:t>
            </w:r>
            <w:r>
              <w:rPr>
                <w:rFonts w:hint="default" w:ascii="Times New Roman" w:hAnsi="Times New Roman" w:eastAsia="瀹嬩綋" w:cs="Times New Roman"/>
                <w:color w:val="auto"/>
                <w:spacing w:val="-6"/>
                <w:sz w:val="24"/>
                <w:lang w:val="en-US" w:eastAsia="zh-CN"/>
              </w:rPr>
              <w:t>经</w:t>
            </w:r>
            <w:r>
              <w:rPr>
                <w:rFonts w:hint="default" w:ascii="Times New Roman" w:hAnsi="Times New Roman" w:eastAsia="瀹嬩綋" w:cs="Times New Roman"/>
                <w:color w:val="auto"/>
                <w:spacing w:val="-6"/>
                <w:sz w:val="24"/>
              </w:rPr>
              <w:t>厂区总排放口排入园区市政污水管网，</w:t>
            </w:r>
            <w:r>
              <w:rPr>
                <w:rFonts w:hint="default" w:ascii="Times New Roman" w:hAnsi="Times New Roman" w:eastAsia="瀹嬩綋" w:cs="Times New Roman"/>
                <w:color w:val="auto"/>
                <w:spacing w:val="-6"/>
                <w:sz w:val="24"/>
                <w:lang w:eastAsia="zh-CN"/>
              </w:rPr>
              <w:t>最终进入园区污水处理厂处理达标后排入巴河</w:t>
            </w:r>
            <w:r>
              <w:rPr>
                <w:rFonts w:hint="eastAsia" w:ascii="Times New Roman" w:hAnsi="Times New Roman" w:eastAsia="瀹嬩綋" w:cs="Times New Roman"/>
                <w:color w:val="auto"/>
                <w:spacing w:val="-6"/>
                <w:sz w:val="24"/>
                <w:lang w:eastAsia="zh-CN"/>
              </w:rPr>
              <w:t>。</w:t>
            </w:r>
            <w:r>
              <w:rPr>
                <w:rFonts w:hint="default" w:ascii="Times New Roman" w:hAnsi="Times New Roman" w:cs="Times New Roman"/>
                <w:color w:val="auto"/>
                <w:sz w:val="24"/>
              </w:rPr>
              <w:t>本项目给排水情况见下表所示。</w:t>
            </w:r>
          </w:p>
          <w:p w14:paraId="59E82FB3">
            <w:pPr>
              <w:pStyle w:val="68"/>
              <w:rPr>
                <w:rFonts w:hint="default" w:ascii="Times New Roman" w:hAnsi="Times New Roman" w:eastAsia="宋体" w:cs="Times New Roman"/>
                <w:b/>
                <w:bCs/>
                <w:color w:val="auto"/>
              </w:rPr>
            </w:pPr>
            <w:r>
              <w:rPr>
                <w:rFonts w:hint="default" w:ascii="Times New Roman" w:hAnsi="Times New Roman" w:eastAsia="宋体" w:cs="Times New Roman"/>
                <w:b/>
                <w:bCs/>
                <w:color w:val="auto"/>
              </w:rPr>
              <w:t>表2-</w:t>
            </w:r>
            <w:r>
              <w:rPr>
                <w:rFonts w:hint="eastAsia" w:ascii="Times New Roman" w:hAnsi="Times New Roman" w:eastAsia="宋体" w:cs="Times New Roman"/>
                <w:b/>
                <w:bCs/>
                <w:color w:val="auto"/>
                <w:lang w:val="en-US" w:eastAsia="zh-CN"/>
              </w:rPr>
              <w:t>6</w:t>
            </w:r>
            <w:r>
              <w:rPr>
                <w:rFonts w:hint="default" w:ascii="Times New Roman" w:hAnsi="Times New Roman" w:eastAsia="宋体" w:cs="Times New Roman"/>
                <w:b/>
                <w:bCs/>
                <w:color w:val="auto"/>
              </w:rPr>
              <w:t xml:space="preserve"> 本项目给排水情况</w:t>
            </w:r>
            <w:r>
              <w:rPr>
                <w:rFonts w:hint="eastAsia" w:eastAsia="宋体" w:cs="Times New Roman"/>
                <w:b/>
                <w:bCs/>
                <w:color w:val="auto"/>
                <w:lang w:val="en-US" w:eastAsia="zh-CN"/>
              </w:rPr>
              <w:t>一览</w:t>
            </w:r>
            <w:r>
              <w:rPr>
                <w:rFonts w:hint="default" w:ascii="Times New Roman" w:hAnsi="Times New Roman" w:eastAsia="宋体" w:cs="Times New Roman"/>
                <w:b/>
                <w:bCs/>
                <w:color w:val="auto"/>
              </w:rPr>
              <w:t xml:space="preserve">表   </w:t>
            </w:r>
          </w:p>
          <w:tbl>
            <w:tblPr>
              <w:tblStyle w:val="42"/>
              <w:tblW w:w="7757" w:type="dxa"/>
              <w:tblInd w:w="5"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969"/>
              <w:gridCol w:w="969"/>
              <w:gridCol w:w="969"/>
              <w:gridCol w:w="970"/>
              <w:gridCol w:w="970"/>
              <w:gridCol w:w="970"/>
              <w:gridCol w:w="970"/>
              <w:gridCol w:w="970"/>
            </w:tblGrid>
            <w:tr w14:paraId="76E9E5F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101" w:hRule="atLeast"/>
              </w:trPr>
              <w:tc>
                <w:tcPr>
                  <w:tcW w:w="1938" w:type="dxa"/>
                  <w:gridSpan w:val="2"/>
                  <w:vAlign w:val="center"/>
                </w:tcPr>
                <w:p w14:paraId="207ED384">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cs="Times New Roman"/>
                      <w:b/>
                      <w:bCs/>
                      <w:color w:val="auto"/>
                      <w:kern w:val="0"/>
                      <w:sz w:val="21"/>
                      <w:szCs w:val="21"/>
                    </w:rPr>
                  </w:pPr>
                  <w:r>
                    <w:rPr>
                      <w:rFonts w:hint="eastAsia" w:ascii="Times New Roman" w:hAnsi="Times New Roman" w:cs="Times New Roman"/>
                      <w:b/>
                      <w:bCs/>
                      <w:color w:val="auto"/>
                      <w:kern w:val="0"/>
                      <w:sz w:val="21"/>
                      <w:szCs w:val="21"/>
                      <w:lang w:val="en-US" w:eastAsia="zh-CN"/>
                    </w:rPr>
                    <w:t>用水类别</w:t>
                  </w:r>
                </w:p>
              </w:tc>
              <w:tc>
                <w:tcPr>
                  <w:tcW w:w="969" w:type="dxa"/>
                  <w:vAlign w:val="center"/>
                </w:tcPr>
                <w:p w14:paraId="5E936E16">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cs="Times New Roman"/>
                      <w:b/>
                      <w:bCs/>
                      <w:color w:val="auto"/>
                      <w:kern w:val="0"/>
                      <w:sz w:val="21"/>
                      <w:szCs w:val="21"/>
                      <w:lang w:val="en-US" w:eastAsia="zh-CN"/>
                    </w:rPr>
                  </w:pPr>
                  <w:r>
                    <w:rPr>
                      <w:rFonts w:hint="eastAsia" w:ascii="Times New Roman" w:hAnsi="Times New Roman" w:cs="Times New Roman"/>
                      <w:b/>
                      <w:bCs/>
                      <w:color w:val="auto"/>
                      <w:kern w:val="0"/>
                      <w:sz w:val="21"/>
                      <w:szCs w:val="21"/>
                      <w:lang w:val="en-US" w:eastAsia="zh-CN"/>
                    </w:rPr>
                    <w:t>最大日用水量（m</w:t>
                  </w:r>
                  <w:r>
                    <w:rPr>
                      <w:rFonts w:hint="eastAsia" w:ascii="Times New Roman" w:hAnsi="Times New Roman" w:cs="Times New Roman"/>
                      <w:b/>
                      <w:bCs/>
                      <w:color w:val="auto"/>
                      <w:kern w:val="0"/>
                      <w:sz w:val="21"/>
                      <w:szCs w:val="21"/>
                      <w:vertAlign w:val="superscript"/>
                      <w:lang w:val="en-US" w:eastAsia="zh-CN"/>
                    </w:rPr>
                    <w:t>3</w:t>
                  </w:r>
                  <w:r>
                    <w:rPr>
                      <w:rFonts w:hint="eastAsia" w:ascii="Times New Roman" w:hAnsi="Times New Roman" w:cs="Times New Roman"/>
                      <w:b/>
                      <w:bCs/>
                      <w:color w:val="auto"/>
                      <w:kern w:val="0"/>
                      <w:sz w:val="21"/>
                      <w:szCs w:val="21"/>
                      <w:lang w:val="en-US" w:eastAsia="zh-CN"/>
                    </w:rPr>
                    <w:t>/d）</w:t>
                  </w:r>
                </w:p>
              </w:tc>
              <w:tc>
                <w:tcPr>
                  <w:tcW w:w="970" w:type="dxa"/>
                  <w:vAlign w:val="center"/>
                </w:tcPr>
                <w:p w14:paraId="665EABF1">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cs="Times New Roman"/>
                      <w:b/>
                      <w:bCs/>
                      <w:color w:val="auto"/>
                      <w:kern w:val="0"/>
                      <w:sz w:val="21"/>
                      <w:szCs w:val="21"/>
                      <w:lang w:val="en-US" w:eastAsia="zh-CN"/>
                    </w:rPr>
                  </w:pPr>
                  <w:r>
                    <w:rPr>
                      <w:rFonts w:hint="eastAsia" w:ascii="Times New Roman" w:hAnsi="Times New Roman" w:cs="Times New Roman"/>
                      <w:b/>
                      <w:bCs/>
                      <w:color w:val="auto"/>
                      <w:kern w:val="0"/>
                      <w:sz w:val="21"/>
                      <w:szCs w:val="21"/>
                      <w:lang w:val="en-US" w:eastAsia="zh-CN"/>
                    </w:rPr>
                    <w:t>年用水量（m</w:t>
                  </w:r>
                  <w:r>
                    <w:rPr>
                      <w:rFonts w:hint="eastAsia" w:ascii="Times New Roman" w:hAnsi="Times New Roman" w:cs="Times New Roman"/>
                      <w:b/>
                      <w:bCs/>
                      <w:color w:val="auto"/>
                      <w:kern w:val="0"/>
                      <w:sz w:val="21"/>
                      <w:szCs w:val="21"/>
                      <w:vertAlign w:val="superscript"/>
                      <w:lang w:val="en-US" w:eastAsia="zh-CN"/>
                    </w:rPr>
                    <w:t>3</w:t>
                  </w:r>
                  <w:r>
                    <w:rPr>
                      <w:rFonts w:hint="eastAsia" w:ascii="Times New Roman" w:hAnsi="Times New Roman" w:cs="Times New Roman"/>
                      <w:b/>
                      <w:bCs/>
                      <w:color w:val="auto"/>
                      <w:kern w:val="0"/>
                      <w:sz w:val="21"/>
                      <w:szCs w:val="21"/>
                      <w:lang w:val="en-US" w:eastAsia="zh-CN"/>
                    </w:rPr>
                    <w:t>/a）</w:t>
                  </w:r>
                </w:p>
              </w:tc>
              <w:tc>
                <w:tcPr>
                  <w:tcW w:w="970" w:type="dxa"/>
                  <w:vAlign w:val="center"/>
                </w:tcPr>
                <w:p w14:paraId="58844628">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cs="Times New Roman"/>
                      <w:b/>
                      <w:bCs/>
                      <w:color w:val="auto"/>
                      <w:kern w:val="0"/>
                      <w:sz w:val="21"/>
                      <w:szCs w:val="21"/>
                      <w:lang w:val="en-US" w:eastAsia="zh-CN"/>
                    </w:rPr>
                  </w:pPr>
                  <w:r>
                    <w:rPr>
                      <w:rFonts w:hint="eastAsia" w:ascii="Times New Roman" w:hAnsi="Times New Roman" w:cs="Times New Roman"/>
                      <w:b/>
                      <w:bCs/>
                      <w:color w:val="auto"/>
                      <w:kern w:val="0"/>
                      <w:sz w:val="21"/>
                      <w:szCs w:val="21"/>
                      <w:lang w:val="en-US" w:eastAsia="zh-CN"/>
                    </w:rPr>
                    <w:t>产污系数</w:t>
                  </w:r>
                </w:p>
              </w:tc>
              <w:tc>
                <w:tcPr>
                  <w:tcW w:w="970" w:type="dxa"/>
                  <w:vAlign w:val="center"/>
                </w:tcPr>
                <w:p w14:paraId="619DDABF">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cs="Times New Roman"/>
                      <w:b/>
                      <w:bCs/>
                      <w:color w:val="auto"/>
                      <w:kern w:val="0"/>
                      <w:sz w:val="21"/>
                      <w:szCs w:val="21"/>
                      <w:lang w:val="en-US" w:eastAsia="zh-CN"/>
                    </w:rPr>
                  </w:pPr>
                  <w:r>
                    <w:rPr>
                      <w:rFonts w:hint="eastAsia" w:ascii="Times New Roman" w:hAnsi="Times New Roman" w:cs="Times New Roman"/>
                      <w:b/>
                      <w:bCs/>
                      <w:color w:val="auto"/>
                      <w:kern w:val="0"/>
                      <w:sz w:val="21"/>
                      <w:szCs w:val="21"/>
                      <w:lang w:val="en-US" w:eastAsia="zh-CN"/>
                    </w:rPr>
                    <w:t>最大日排水量（m</w:t>
                  </w:r>
                  <w:r>
                    <w:rPr>
                      <w:rFonts w:hint="eastAsia" w:ascii="Times New Roman" w:hAnsi="Times New Roman" w:cs="Times New Roman"/>
                      <w:b/>
                      <w:bCs/>
                      <w:color w:val="auto"/>
                      <w:kern w:val="0"/>
                      <w:sz w:val="21"/>
                      <w:szCs w:val="21"/>
                      <w:vertAlign w:val="superscript"/>
                      <w:lang w:val="en-US" w:eastAsia="zh-CN"/>
                    </w:rPr>
                    <w:t>3</w:t>
                  </w:r>
                  <w:r>
                    <w:rPr>
                      <w:rFonts w:hint="eastAsia" w:ascii="Times New Roman" w:hAnsi="Times New Roman" w:cs="Times New Roman"/>
                      <w:b/>
                      <w:bCs/>
                      <w:color w:val="auto"/>
                      <w:kern w:val="0"/>
                      <w:sz w:val="21"/>
                      <w:szCs w:val="21"/>
                      <w:lang w:val="en-US" w:eastAsia="zh-CN"/>
                    </w:rPr>
                    <w:t>/d）</w:t>
                  </w:r>
                </w:p>
              </w:tc>
              <w:tc>
                <w:tcPr>
                  <w:tcW w:w="970" w:type="dxa"/>
                  <w:vAlign w:val="center"/>
                </w:tcPr>
                <w:p w14:paraId="292B3FBB">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cs="Times New Roman"/>
                      <w:b/>
                      <w:bCs/>
                      <w:color w:val="auto"/>
                      <w:kern w:val="0"/>
                      <w:sz w:val="21"/>
                      <w:szCs w:val="21"/>
                      <w:lang w:val="en-US" w:eastAsia="zh-CN"/>
                    </w:rPr>
                  </w:pPr>
                  <w:r>
                    <w:rPr>
                      <w:rFonts w:hint="eastAsia" w:ascii="Times New Roman" w:hAnsi="Times New Roman" w:cs="Times New Roman"/>
                      <w:b/>
                      <w:bCs/>
                      <w:color w:val="auto"/>
                      <w:kern w:val="0"/>
                      <w:sz w:val="21"/>
                      <w:szCs w:val="21"/>
                      <w:lang w:val="en-US" w:eastAsia="zh-CN"/>
                    </w:rPr>
                    <w:t>年排水量（m</w:t>
                  </w:r>
                  <w:r>
                    <w:rPr>
                      <w:rFonts w:hint="eastAsia" w:ascii="Times New Roman" w:hAnsi="Times New Roman" w:cs="Times New Roman"/>
                      <w:b/>
                      <w:bCs/>
                      <w:color w:val="auto"/>
                      <w:kern w:val="0"/>
                      <w:sz w:val="21"/>
                      <w:szCs w:val="21"/>
                      <w:vertAlign w:val="superscript"/>
                      <w:lang w:val="en-US" w:eastAsia="zh-CN"/>
                    </w:rPr>
                    <w:t>3</w:t>
                  </w:r>
                  <w:r>
                    <w:rPr>
                      <w:rFonts w:hint="eastAsia" w:ascii="Times New Roman" w:hAnsi="Times New Roman" w:cs="Times New Roman"/>
                      <w:b/>
                      <w:bCs/>
                      <w:color w:val="auto"/>
                      <w:kern w:val="0"/>
                      <w:sz w:val="21"/>
                      <w:szCs w:val="21"/>
                      <w:lang w:val="en-US" w:eastAsia="zh-CN"/>
                    </w:rPr>
                    <w:t>/a）</w:t>
                  </w:r>
                </w:p>
              </w:tc>
              <w:tc>
                <w:tcPr>
                  <w:tcW w:w="970" w:type="dxa"/>
                  <w:vAlign w:val="center"/>
                </w:tcPr>
                <w:p w14:paraId="42EDE878">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cs="Times New Roman"/>
                      <w:b/>
                      <w:bCs/>
                      <w:color w:val="auto"/>
                      <w:kern w:val="0"/>
                      <w:sz w:val="21"/>
                      <w:szCs w:val="21"/>
                      <w:lang w:val="en-US" w:eastAsia="zh-CN"/>
                    </w:rPr>
                  </w:pPr>
                  <w:r>
                    <w:rPr>
                      <w:rFonts w:hint="eastAsia" w:ascii="Times New Roman" w:hAnsi="Times New Roman" w:cs="Times New Roman"/>
                      <w:b/>
                      <w:bCs/>
                      <w:color w:val="auto"/>
                      <w:kern w:val="0"/>
                      <w:sz w:val="21"/>
                      <w:szCs w:val="21"/>
                      <w:lang w:val="en-US" w:eastAsia="zh-CN"/>
                    </w:rPr>
                    <w:t>去向</w:t>
                  </w:r>
                </w:p>
              </w:tc>
            </w:tr>
            <w:tr w14:paraId="7F5FED3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37" w:hRule="atLeast"/>
              </w:trPr>
              <w:tc>
                <w:tcPr>
                  <w:tcW w:w="969" w:type="dxa"/>
                  <w:vAlign w:val="center"/>
                </w:tcPr>
                <w:p w14:paraId="1B35B1DB">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cs="Times New Roman"/>
                      <w:color w:val="auto"/>
                      <w:kern w:val="0"/>
                      <w:sz w:val="18"/>
                      <w:szCs w:val="18"/>
                      <w:lang w:val="en-US" w:eastAsia="zh-CN"/>
                    </w:rPr>
                  </w:pPr>
                  <w:r>
                    <w:rPr>
                      <w:rFonts w:hint="eastAsia" w:ascii="Times New Roman" w:hAnsi="Times New Roman" w:cs="Times New Roman"/>
                      <w:color w:val="auto"/>
                      <w:kern w:val="0"/>
                      <w:sz w:val="18"/>
                      <w:szCs w:val="18"/>
                      <w:lang w:val="en-US" w:eastAsia="zh-CN"/>
                    </w:rPr>
                    <w:t>员工办公生活用水</w:t>
                  </w:r>
                </w:p>
              </w:tc>
              <w:tc>
                <w:tcPr>
                  <w:tcW w:w="969" w:type="dxa"/>
                  <w:vAlign w:val="center"/>
                </w:tcPr>
                <w:p w14:paraId="0E16130F">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cs="Times New Roman"/>
                      <w:color w:val="auto"/>
                      <w:kern w:val="0"/>
                      <w:sz w:val="18"/>
                      <w:szCs w:val="18"/>
                      <w:lang w:val="en-US" w:eastAsia="zh-CN"/>
                    </w:rPr>
                  </w:pPr>
                  <w:r>
                    <w:rPr>
                      <w:rFonts w:hint="eastAsia" w:cs="Times New Roman"/>
                      <w:color w:val="auto"/>
                      <w:kern w:val="0"/>
                      <w:sz w:val="18"/>
                      <w:szCs w:val="18"/>
                      <w:lang w:val="en-US" w:eastAsia="zh-CN"/>
                    </w:rPr>
                    <w:t>新鲜水</w:t>
                  </w:r>
                </w:p>
              </w:tc>
              <w:tc>
                <w:tcPr>
                  <w:tcW w:w="969" w:type="dxa"/>
                  <w:vAlign w:val="center"/>
                </w:tcPr>
                <w:p w14:paraId="07AAE74D">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cs="Times New Roman"/>
                      <w:color w:val="auto"/>
                      <w:kern w:val="0"/>
                      <w:sz w:val="18"/>
                      <w:szCs w:val="18"/>
                      <w:lang w:val="en-US" w:eastAsia="zh-CN"/>
                    </w:rPr>
                  </w:pPr>
                  <w:r>
                    <w:rPr>
                      <w:rFonts w:hint="eastAsia" w:cs="Times New Roman"/>
                      <w:color w:val="auto"/>
                      <w:kern w:val="0"/>
                      <w:sz w:val="18"/>
                      <w:szCs w:val="18"/>
                      <w:lang w:val="en-US" w:eastAsia="zh-CN"/>
                    </w:rPr>
                    <w:t>9.6</w:t>
                  </w:r>
                </w:p>
              </w:tc>
              <w:tc>
                <w:tcPr>
                  <w:tcW w:w="970" w:type="dxa"/>
                  <w:vAlign w:val="center"/>
                </w:tcPr>
                <w:p w14:paraId="3643586C">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cs="Times New Roman"/>
                      <w:color w:val="auto"/>
                      <w:kern w:val="0"/>
                      <w:sz w:val="18"/>
                      <w:szCs w:val="18"/>
                      <w:lang w:val="en-US" w:eastAsia="zh-CN"/>
                    </w:rPr>
                  </w:pPr>
                  <w:r>
                    <w:rPr>
                      <w:rFonts w:hint="eastAsia" w:cs="Times New Roman"/>
                      <w:color w:val="auto"/>
                      <w:kern w:val="0"/>
                      <w:sz w:val="18"/>
                      <w:szCs w:val="18"/>
                      <w:lang w:val="en-US" w:eastAsia="zh-CN"/>
                    </w:rPr>
                    <w:t>2880</w:t>
                  </w:r>
                </w:p>
              </w:tc>
              <w:tc>
                <w:tcPr>
                  <w:tcW w:w="970" w:type="dxa"/>
                  <w:vAlign w:val="center"/>
                </w:tcPr>
                <w:p w14:paraId="443112A9">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cs="Times New Roman"/>
                      <w:color w:val="auto"/>
                      <w:kern w:val="0"/>
                      <w:sz w:val="18"/>
                      <w:szCs w:val="18"/>
                      <w:lang w:val="en-US" w:eastAsia="zh-CN"/>
                    </w:rPr>
                  </w:pPr>
                  <w:r>
                    <w:rPr>
                      <w:rFonts w:hint="eastAsia" w:cs="Times New Roman"/>
                      <w:color w:val="auto"/>
                      <w:kern w:val="0"/>
                      <w:sz w:val="18"/>
                      <w:szCs w:val="18"/>
                      <w:lang w:val="en-US" w:eastAsia="zh-CN"/>
                    </w:rPr>
                    <w:t>0.8</w:t>
                  </w:r>
                </w:p>
              </w:tc>
              <w:tc>
                <w:tcPr>
                  <w:tcW w:w="970" w:type="dxa"/>
                  <w:vAlign w:val="center"/>
                </w:tcPr>
                <w:p w14:paraId="0DFA7CCF">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cs="Times New Roman"/>
                      <w:color w:val="auto"/>
                      <w:kern w:val="0"/>
                      <w:sz w:val="18"/>
                      <w:szCs w:val="18"/>
                      <w:lang w:val="en-US" w:eastAsia="zh-CN"/>
                    </w:rPr>
                  </w:pPr>
                  <w:r>
                    <w:rPr>
                      <w:rFonts w:hint="eastAsia" w:cs="Times New Roman"/>
                      <w:color w:val="auto"/>
                      <w:kern w:val="0"/>
                      <w:sz w:val="18"/>
                      <w:szCs w:val="18"/>
                      <w:lang w:val="en-US" w:eastAsia="zh-CN"/>
                    </w:rPr>
                    <w:t>7.68</w:t>
                  </w:r>
                </w:p>
              </w:tc>
              <w:tc>
                <w:tcPr>
                  <w:tcW w:w="970" w:type="dxa"/>
                  <w:vAlign w:val="center"/>
                </w:tcPr>
                <w:p w14:paraId="26288F5C">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cs="Times New Roman"/>
                      <w:color w:val="auto"/>
                      <w:kern w:val="0"/>
                      <w:sz w:val="18"/>
                      <w:szCs w:val="18"/>
                      <w:lang w:val="en-US" w:eastAsia="zh-CN"/>
                    </w:rPr>
                  </w:pPr>
                  <w:r>
                    <w:rPr>
                      <w:rFonts w:hint="eastAsia" w:cs="Times New Roman"/>
                      <w:color w:val="auto"/>
                      <w:kern w:val="0"/>
                      <w:sz w:val="18"/>
                      <w:szCs w:val="18"/>
                      <w:lang w:val="en-US" w:eastAsia="zh-CN"/>
                    </w:rPr>
                    <w:t>2304</w:t>
                  </w:r>
                </w:p>
              </w:tc>
              <w:tc>
                <w:tcPr>
                  <w:tcW w:w="970" w:type="dxa"/>
                  <w:vAlign w:val="center"/>
                </w:tcPr>
                <w:p w14:paraId="4C9D946E">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cs="Times New Roman"/>
                      <w:color w:val="auto"/>
                      <w:kern w:val="0"/>
                      <w:sz w:val="18"/>
                      <w:szCs w:val="18"/>
                      <w:lang w:val="en-US" w:eastAsia="zh-CN"/>
                    </w:rPr>
                  </w:pPr>
                  <w:r>
                    <w:rPr>
                      <w:rFonts w:hint="eastAsia" w:cs="Times New Roman"/>
                      <w:color w:val="auto"/>
                      <w:kern w:val="0"/>
                      <w:sz w:val="18"/>
                      <w:szCs w:val="18"/>
                      <w:lang w:val="en-US" w:eastAsia="zh-CN"/>
                    </w:rPr>
                    <w:t>厂区预处理池</w:t>
                  </w:r>
                </w:p>
              </w:tc>
            </w:tr>
            <w:tr w14:paraId="38D969B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73" w:hRule="atLeast"/>
              </w:trPr>
              <w:tc>
                <w:tcPr>
                  <w:tcW w:w="969" w:type="dxa"/>
                  <w:vAlign w:val="center"/>
                </w:tcPr>
                <w:p w14:paraId="407410C4">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cs="Times New Roman"/>
                      <w:color w:val="auto"/>
                      <w:kern w:val="0"/>
                      <w:sz w:val="18"/>
                      <w:szCs w:val="18"/>
                      <w:lang w:val="en-US" w:eastAsia="zh-CN"/>
                    </w:rPr>
                  </w:pPr>
                  <w:r>
                    <w:rPr>
                      <w:rFonts w:hint="eastAsia" w:cs="Times New Roman"/>
                      <w:color w:val="auto"/>
                      <w:kern w:val="0"/>
                      <w:sz w:val="18"/>
                      <w:szCs w:val="18"/>
                      <w:lang w:val="en-US" w:eastAsia="zh-CN"/>
                    </w:rPr>
                    <w:t>负极匀浆用水</w:t>
                  </w:r>
                </w:p>
              </w:tc>
              <w:tc>
                <w:tcPr>
                  <w:tcW w:w="969" w:type="dxa"/>
                  <w:vAlign w:val="center"/>
                </w:tcPr>
                <w:p w14:paraId="104B7B5F">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cs="Times New Roman"/>
                      <w:color w:val="auto"/>
                      <w:kern w:val="0"/>
                      <w:sz w:val="18"/>
                      <w:szCs w:val="18"/>
                      <w:lang w:val="en-US" w:eastAsia="zh-CN"/>
                    </w:rPr>
                  </w:pPr>
                  <w:r>
                    <w:rPr>
                      <w:rFonts w:hint="eastAsia" w:cs="Times New Roman"/>
                      <w:color w:val="auto"/>
                      <w:kern w:val="0"/>
                      <w:sz w:val="18"/>
                      <w:szCs w:val="18"/>
                      <w:lang w:val="en-US" w:eastAsia="zh-CN"/>
                    </w:rPr>
                    <w:t>纯水</w:t>
                  </w:r>
                </w:p>
              </w:tc>
              <w:tc>
                <w:tcPr>
                  <w:tcW w:w="969" w:type="dxa"/>
                  <w:vAlign w:val="center"/>
                </w:tcPr>
                <w:p w14:paraId="4753FBB8">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cs="Times New Roman"/>
                      <w:color w:val="auto"/>
                      <w:kern w:val="0"/>
                      <w:sz w:val="18"/>
                      <w:szCs w:val="18"/>
                      <w:lang w:val="en-US" w:eastAsia="zh-CN"/>
                    </w:rPr>
                  </w:pPr>
                  <w:r>
                    <w:rPr>
                      <w:rFonts w:hint="eastAsia" w:cs="Times New Roman"/>
                      <w:color w:val="auto"/>
                      <w:kern w:val="0"/>
                      <w:sz w:val="18"/>
                      <w:szCs w:val="18"/>
                      <w:lang w:val="en-US" w:eastAsia="zh-CN"/>
                    </w:rPr>
                    <w:t>3</w:t>
                  </w:r>
                </w:p>
              </w:tc>
              <w:tc>
                <w:tcPr>
                  <w:tcW w:w="970" w:type="dxa"/>
                  <w:vAlign w:val="center"/>
                </w:tcPr>
                <w:p w14:paraId="7351AB2E">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cs="Times New Roman"/>
                      <w:color w:val="auto"/>
                      <w:kern w:val="0"/>
                      <w:sz w:val="18"/>
                      <w:szCs w:val="18"/>
                      <w:lang w:val="en-US" w:eastAsia="zh-CN"/>
                    </w:rPr>
                  </w:pPr>
                  <w:r>
                    <w:rPr>
                      <w:rFonts w:hint="eastAsia" w:cs="Times New Roman"/>
                      <w:color w:val="auto"/>
                      <w:kern w:val="0"/>
                      <w:sz w:val="18"/>
                      <w:szCs w:val="18"/>
                      <w:lang w:val="en-US" w:eastAsia="zh-CN"/>
                    </w:rPr>
                    <w:t>900</w:t>
                  </w:r>
                </w:p>
              </w:tc>
              <w:tc>
                <w:tcPr>
                  <w:tcW w:w="970" w:type="dxa"/>
                  <w:vAlign w:val="center"/>
                </w:tcPr>
                <w:p w14:paraId="15A90D68">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cs="Times New Roman"/>
                      <w:color w:val="auto"/>
                      <w:kern w:val="0"/>
                      <w:sz w:val="18"/>
                      <w:szCs w:val="18"/>
                      <w:lang w:val="en-US" w:eastAsia="zh-CN"/>
                    </w:rPr>
                  </w:pPr>
                  <w:r>
                    <w:rPr>
                      <w:rFonts w:hint="eastAsia" w:cs="Times New Roman"/>
                      <w:color w:val="auto"/>
                      <w:kern w:val="0"/>
                      <w:sz w:val="18"/>
                      <w:szCs w:val="18"/>
                      <w:lang w:val="en-US" w:eastAsia="zh-CN"/>
                    </w:rPr>
                    <w:t>/</w:t>
                  </w:r>
                </w:p>
              </w:tc>
              <w:tc>
                <w:tcPr>
                  <w:tcW w:w="970" w:type="dxa"/>
                  <w:vAlign w:val="center"/>
                </w:tcPr>
                <w:p w14:paraId="66FD875C">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cs="Times New Roman"/>
                      <w:color w:val="auto"/>
                      <w:kern w:val="0"/>
                      <w:sz w:val="18"/>
                      <w:szCs w:val="18"/>
                      <w:lang w:val="en-US" w:eastAsia="zh-CN"/>
                    </w:rPr>
                  </w:pPr>
                  <w:r>
                    <w:rPr>
                      <w:rFonts w:hint="eastAsia" w:cs="Times New Roman"/>
                      <w:color w:val="auto"/>
                      <w:kern w:val="0"/>
                      <w:sz w:val="18"/>
                      <w:szCs w:val="18"/>
                      <w:lang w:val="en-US" w:eastAsia="zh-CN"/>
                    </w:rPr>
                    <w:t>/</w:t>
                  </w:r>
                </w:p>
              </w:tc>
              <w:tc>
                <w:tcPr>
                  <w:tcW w:w="970" w:type="dxa"/>
                  <w:vAlign w:val="center"/>
                </w:tcPr>
                <w:p w14:paraId="400AC6EA">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cs="Times New Roman"/>
                      <w:color w:val="auto"/>
                      <w:kern w:val="0"/>
                      <w:sz w:val="18"/>
                      <w:szCs w:val="18"/>
                      <w:lang w:val="en-US" w:eastAsia="zh-CN"/>
                    </w:rPr>
                  </w:pPr>
                  <w:r>
                    <w:rPr>
                      <w:rFonts w:hint="eastAsia" w:cs="Times New Roman"/>
                      <w:color w:val="auto"/>
                      <w:kern w:val="0"/>
                      <w:sz w:val="18"/>
                      <w:szCs w:val="18"/>
                      <w:lang w:val="en-US" w:eastAsia="zh-CN"/>
                    </w:rPr>
                    <w:t>/</w:t>
                  </w:r>
                </w:p>
              </w:tc>
              <w:tc>
                <w:tcPr>
                  <w:tcW w:w="970" w:type="dxa"/>
                  <w:vAlign w:val="center"/>
                </w:tcPr>
                <w:p w14:paraId="3989EA98">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cs="Times New Roman"/>
                      <w:color w:val="auto"/>
                      <w:kern w:val="0"/>
                      <w:sz w:val="18"/>
                      <w:szCs w:val="18"/>
                      <w:lang w:val="en-US" w:eastAsia="zh-CN"/>
                    </w:rPr>
                  </w:pPr>
                  <w:r>
                    <w:rPr>
                      <w:rFonts w:hint="eastAsia" w:cs="Times New Roman"/>
                      <w:color w:val="auto"/>
                      <w:kern w:val="0"/>
                      <w:sz w:val="18"/>
                      <w:szCs w:val="18"/>
                      <w:lang w:val="en-US" w:eastAsia="zh-CN"/>
                    </w:rPr>
                    <w:t>进入负极极片</w:t>
                  </w:r>
                </w:p>
              </w:tc>
            </w:tr>
            <w:tr w14:paraId="32C9C81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83" w:hRule="atLeast"/>
              </w:trPr>
              <w:tc>
                <w:tcPr>
                  <w:tcW w:w="969" w:type="dxa"/>
                  <w:vAlign w:val="center"/>
                </w:tcPr>
                <w:p w14:paraId="4A933BC4">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cs="Times New Roman"/>
                      <w:color w:val="auto"/>
                      <w:kern w:val="0"/>
                      <w:sz w:val="18"/>
                      <w:szCs w:val="18"/>
                      <w:lang w:val="en-US" w:eastAsia="zh-CN"/>
                    </w:rPr>
                  </w:pPr>
                  <w:r>
                    <w:rPr>
                      <w:rFonts w:hint="eastAsia" w:cs="Times New Roman"/>
                      <w:color w:val="auto"/>
                      <w:kern w:val="0"/>
                      <w:sz w:val="18"/>
                      <w:szCs w:val="18"/>
                      <w:lang w:val="en-US" w:eastAsia="zh-CN"/>
                    </w:rPr>
                    <w:t>设备清洗用水</w:t>
                  </w:r>
                </w:p>
              </w:tc>
              <w:tc>
                <w:tcPr>
                  <w:tcW w:w="969" w:type="dxa"/>
                  <w:vAlign w:val="center"/>
                </w:tcPr>
                <w:p w14:paraId="3C9C79EB">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cs="Times New Roman"/>
                      <w:color w:val="auto"/>
                      <w:kern w:val="0"/>
                      <w:sz w:val="18"/>
                      <w:szCs w:val="18"/>
                      <w:lang w:val="en-US" w:eastAsia="zh-CN"/>
                    </w:rPr>
                  </w:pPr>
                  <w:r>
                    <w:rPr>
                      <w:rFonts w:hint="eastAsia" w:cs="Times New Roman"/>
                      <w:color w:val="auto"/>
                      <w:kern w:val="0"/>
                      <w:sz w:val="18"/>
                      <w:szCs w:val="18"/>
                      <w:lang w:val="en-US" w:eastAsia="zh-CN"/>
                    </w:rPr>
                    <w:t>新鲜水</w:t>
                  </w:r>
                </w:p>
              </w:tc>
              <w:tc>
                <w:tcPr>
                  <w:tcW w:w="969" w:type="dxa"/>
                  <w:vAlign w:val="center"/>
                </w:tcPr>
                <w:p w14:paraId="24FB273D">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cs="Times New Roman"/>
                      <w:color w:val="auto"/>
                      <w:kern w:val="0"/>
                      <w:sz w:val="18"/>
                      <w:szCs w:val="18"/>
                      <w:lang w:val="en-US" w:eastAsia="zh-CN"/>
                    </w:rPr>
                  </w:pPr>
                  <w:r>
                    <w:rPr>
                      <w:rFonts w:hint="eastAsia" w:cs="Times New Roman"/>
                      <w:color w:val="auto"/>
                      <w:kern w:val="0"/>
                      <w:sz w:val="18"/>
                      <w:szCs w:val="18"/>
                      <w:lang w:val="en-US" w:eastAsia="zh-CN"/>
                    </w:rPr>
                    <w:t>4</w:t>
                  </w:r>
                </w:p>
              </w:tc>
              <w:tc>
                <w:tcPr>
                  <w:tcW w:w="970" w:type="dxa"/>
                  <w:vAlign w:val="center"/>
                </w:tcPr>
                <w:p w14:paraId="6ACFD163">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cs="Times New Roman"/>
                      <w:color w:val="auto"/>
                      <w:kern w:val="0"/>
                      <w:sz w:val="18"/>
                      <w:szCs w:val="18"/>
                      <w:lang w:val="en-US" w:eastAsia="zh-CN"/>
                    </w:rPr>
                  </w:pPr>
                  <w:r>
                    <w:rPr>
                      <w:rFonts w:hint="eastAsia" w:cs="Times New Roman"/>
                      <w:color w:val="auto"/>
                      <w:kern w:val="0"/>
                      <w:sz w:val="18"/>
                      <w:szCs w:val="18"/>
                      <w:lang w:val="en-US" w:eastAsia="zh-CN"/>
                    </w:rPr>
                    <w:t>96</w:t>
                  </w:r>
                </w:p>
              </w:tc>
              <w:tc>
                <w:tcPr>
                  <w:tcW w:w="970" w:type="dxa"/>
                  <w:vAlign w:val="center"/>
                </w:tcPr>
                <w:p w14:paraId="1F25248B">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cs="Times New Roman"/>
                      <w:color w:val="auto"/>
                      <w:kern w:val="0"/>
                      <w:sz w:val="18"/>
                      <w:szCs w:val="18"/>
                      <w:lang w:val="en-US" w:eastAsia="zh-CN"/>
                    </w:rPr>
                  </w:pPr>
                  <w:r>
                    <w:rPr>
                      <w:rFonts w:hint="eastAsia" w:cs="Times New Roman"/>
                      <w:color w:val="auto"/>
                      <w:kern w:val="0"/>
                      <w:sz w:val="18"/>
                      <w:szCs w:val="18"/>
                      <w:lang w:val="en-US" w:eastAsia="zh-CN"/>
                    </w:rPr>
                    <w:t>0.8</w:t>
                  </w:r>
                </w:p>
              </w:tc>
              <w:tc>
                <w:tcPr>
                  <w:tcW w:w="970" w:type="dxa"/>
                  <w:vAlign w:val="center"/>
                </w:tcPr>
                <w:p w14:paraId="7F6C6503">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cs="Times New Roman"/>
                      <w:color w:val="auto"/>
                      <w:kern w:val="0"/>
                      <w:sz w:val="18"/>
                      <w:szCs w:val="18"/>
                      <w:lang w:val="en-US" w:eastAsia="zh-CN"/>
                    </w:rPr>
                  </w:pPr>
                  <w:r>
                    <w:rPr>
                      <w:rFonts w:hint="eastAsia" w:cs="Times New Roman"/>
                      <w:color w:val="auto"/>
                      <w:kern w:val="0"/>
                      <w:sz w:val="18"/>
                      <w:szCs w:val="18"/>
                      <w:lang w:val="en-US" w:eastAsia="zh-CN"/>
                    </w:rPr>
                    <w:t>3.2</w:t>
                  </w:r>
                </w:p>
              </w:tc>
              <w:tc>
                <w:tcPr>
                  <w:tcW w:w="970" w:type="dxa"/>
                  <w:vAlign w:val="center"/>
                </w:tcPr>
                <w:p w14:paraId="4B177DBA">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cs="Times New Roman"/>
                      <w:color w:val="auto"/>
                      <w:kern w:val="0"/>
                      <w:sz w:val="18"/>
                      <w:szCs w:val="18"/>
                      <w:lang w:val="en-US" w:eastAsia="zh-CN"/>
                    </w:rPr>
                  </w:pPr>
                  <w:r>
                    <w:rPr>
                      <w:rFonts w:hint="eastAsia" w:cs="Times New Roman"/>
                      <w:color w:val="auto"/>
                      <w:kern w:val="0"/>
                      <w:sz w:val="18"/>
                      <w:szCs w:val="18"/>
                      <w:lang w:val="en-US" w:eastAsia="zh-CN"/>
                    </w:rPr>
                    <w:t>76.8</w:t>
                  </w:r>
                </w:p>
              </w:tc>
              <w:tc>
                <w:tcPr>
                  <w:tcW w:w="970" w:type="dxa"/>
                  <w:vAlign w:val="center"/>
                </w:tcPr>
                <w:p w14:paraId="165807C2">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cs="Times New Roman"/>
                      <w:color w:val="auto"/>
                      <w:kern w:val="0"/>
                      <w:sz w:val="18"/>
                      <w:szCs w:val="18"/>
                      <w:lang w:val="en-US" w:eastAsia="zh-CN"/>
                    </w:rPr>
                  </w:pPr>
                  <w:r>
                    <w:rPr>
                      <w:rFonts w:hint="eastAsia" w:cs="Times New Roman"/>
                      <w:color w:val="auto"/>
                      <w:kern w:val="0"/>
                      <w:sz w:val="18"/>
                      <w:szCs w:val="18"/>
                      <w:lang w:val="en-US" w:eastAsia="zh-CN"/>
                    </w:rPr>
                    <w:t>进入厂区污水处理站处理</w:t>
                  </w:r>
                </w:p>
              </w:tc>
            </w:tr>
            <w:tr w14:paraId="00F3E6A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83" w:hRule="atLeast"/>
              </w:trPr>
              <w:tc>
                <w:tcPr>
                  <w:tcW w:w="969" w:type="dxa"/>
                  <w:vAlign w:val="center"/>
                </w:tcPr>
                <w:p w14:paraId="08144C65">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cs="Times New Roman"/>
                      <w:color w:val="auto"/>
                      <w:kern w:val="0"/>
                      <w:sz w:val="18"/>
                      <w:szCs w:val="18"/>
                      <w:lang w:val="en-US" w:eastAsia="zh-CN"/>
                    </w:rPr>
                  </w:pPr>
                  <w:r>
                    <w:rPr>
                      <w:rFonts w:hint="eastAsia" w:cs="Times New Roman"/>
                      <w:color w:val="auto"/>
                      <w:kern w:val="0"/>
                      <w:sz w:val="18"/>
                      <w:szCs w:val="18"/>
                      <w:lang w:val="en-US" w:eastAsia="zh-CN"/>
                    </w:rPr>
                    <w:t>冷却循环用水</w:t>
                  </w:r>
                </w:p>
              </w:tc>
              <w:tc>
                <w:tcPr>
                  <w:tcW w:w="969" w:type="dxa"/>
                  <w:vAlign w:val="center"/>
                </w:tcPr>
                <w:p w14:paraId="2E62CF93">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cs="Times New Roman"/>
                      <w:color w:val="auto"/>
                      <w:kern w:val="0"/>
                      <w:sz w:val="18"/>
                      <w:szCs w:val="18"/>
                      <w:lang w:val="en-US" w:eastAsia="zh-CN"/>
                    </w:rPr>
                  </w:pPr>
                  <w:r>
                    <w:rPr>
                      <w:rFonts w:hint="eastAsia" w:cs="Times New Roman"/>
                      <w:color w:val="auto"/>
                      <w:kern w:val="0"/>
                      <w:sz w:val="18"/>
                      <w:szCs w:val="18"/>
                      <w:lang w:val="en-US" w:eastAsia="zh-CN"/>
                    </w:rPr>
                    <w:t>纯水</w:t>
                  </w:r>
                </w:p>
              </w:tc>
              <w:tc>
                <w:tcPr>
                  <w:tcW w:w="969" w:type="dxa"/>
                  <w:vAlign w:val="center"/>
                </w:tcPr>
                <w:p w14:paraId="3891BBD1">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cs="Times New Roman"/>
                      <w:color w:val="auto"/>
                      <w:kern w:val="0"/>
                      <w:sz w:val="18"/>
                      <w:szCs w:val="18"/>
                      <w:lang w:val="en-US" w:eastAsia="zh-CN"/>
                    </w:rPr>
                  </w:pPr>
                  <w:r>
                    <w:rPr>
                      <w:rFonts w:hint="eastAsia" w:cs="Times New Roman"/>
                      <w:color w:val="auto"/>
                      <w:kern w:val="0"/>
                      <w:sz w:val="18"/>
                      <w:szCs w:val="18"/>
                      <w:lang w:val="en-US" w:eastAsia="zh-CN"/>
                    </w:rPr>
                    <w:t>4.4</w:t>
                  </w:r>
                </w:p>
              </w:tc>
              <w:tc>
                <w:tcPr>
                  <w:tcW w:w="970" w:type="dxa"/>
                  <w:vAlign w:val="center"/>
                </w:tcPr>
                <w:p w14:paraId="52DAF4FC">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cs="Times New Roman"/>
                      <w:color w:val="auto"/>
                      <w:kern w:val="0"/>
                      <w:sz w:val="18"/>
                      <w:szCs w:val="18"/>
                      <w:lang w:val="en-US" w:eastAsia="zh-CN"/>
                    </w:rPr>
                  </w:pPr>
                  <w:r>
                    <w:rPr>
                      <w:rFonts w:hint="eastAsia" w:cs="Times New Roman"/>
                      <w:color w:val="auto"/>
                      <w:kern w:val="0"/>
                      <w:sz w:val="18"/>
                      <w:szCs w:val="18"/>
                      <w:lang w:val="en-US" w:eastAsia="zh-CN"/>
                    </w:rPr>
                    <w:t>1320</w:t>
                  </w:r>
                </w:p>
              </w:tc>
              <w:tc>
                <w:tcPr>
                  <w:tcW w:w="970" w:type="dxa"/>
                  <w:vAlign w:val="center"/>
                </w:tcPr>
                <w:p w14:paraId="430315A4">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cs="Times New Roman"/>
                      <w:color w:val="auto"/>
                      <w:kern w:val="0"/>
                      <w:sz w:val="18"/>
                      <w:szCs w:val="18"/>
                      <w:lang w:val="en-US" w:eastAsia="zh-CN"/>
                    </w:rPr>
                  </w:pPr>
                  <w:r>
                    <w:rPr>
                      <w:rFonts w:hint="eastAsia" w:cs="Times New Roman"/>
                      <w:color w:val="auto"/>
                      <w:kern w:val="0"/>
                      <w:sz w:val="18"/>
                      <w:szCs w:val="18"/>
                      <w:lang w:val="en-US" w:eastAsia="zh-CN"/>
                    </w:rPr>
                    <w:t>/</w:t>
                  </w:r>
                </w:p>
              </w:tc>
              <w:tc>
                <w:tcPr>
                  <w:tcW w:w="970" w:type="dxa"/>
                  <w:vAlign w:val="center"/>
                </w:tcPr>
                <w:p w14:paraId="63D15927">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cs="Times New Roman"/>
                      <w:color w:val="auto"/>
                      <w:kern w:val="0"/>
                      <w:sz w:val="18"/>
                      <w:szCs w:val="18"/>
                      <w:lang w:val="en-US" w:eastAsia="zh-CN"/>
                    </w:rPr>
                  </w:pPr>
                  <w:r>
                    <w:rPr>
                      <w:rFonts w:hint="eastAsia" w:cs="Times New Roman"/>
                      <w:color w:val="auto"/>
                      <w:kern w:val="0"/>
                      <w:sz w:val="18"/>
                      <w:szCs w:val="18"/>
                      <w:lang w:val="en-US" w:eastAsia="zh-CN"/>
                    </w:rPr>
                    <w:t>/</w:t>
                  </w:r>
                </w:p>
              </w:tc>
              <w:tc>
                <w:tcPr>
                  <w:tcW w:w="970" w:type="dxa"/>
                  <w:vAlign w:val="center"/>
                </w:tcPr>
                <w:p w14:paraId="4196A69F">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cs="Times New Roman"/>
                      <w:color w:val="auto"/>
                      <w:kern w:val="0"/>
                      <w:sz w:val="18"/>
                      <w:szCs w:val="18"/>
                      <w:lang w:val="en-US" w:eastAsia="zh-CN"/>
                    </w:rPr>
                  </w:pPr>
                  <w:r>
                    <w:rPr>
                      <w:rFonts w:hint="eastAsia" w:cs="Times New Roman"/>
                      <w:color w:val="auto"/>
                      <w:kern w:val="0"/>
                      <w:sz w:val="18"/>
                      <w:szCs w:val="18"/>
                      <w:lang w:val="en-US" w:eastAsia="zh-CN"/>
                    </w:rPr>
                    <w:t>/</w:t>
                  </w:r>
                </w:p>
              </w:tc>
              <w:tc>
                <w:tcPr>
                  <w:tcW w:w="970" w:type="dxa"/>
                  <w:vAlign w:val="center"/>
                </w:tcPr>
                <w:p w14:paraId="26013B95">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cs="Times New Roman"/>
                      <w:color w:val="auto"/>
                      <w:kern w:val="0"/>
                      <w:sz w:val="18"/>
                      <w:szCs w:val="18"/>
                      <w:lang w:val="en-US" w:eastAsia="zh-CN"/>
                    </w:rPr>
                  </w:pPr>
                  <w:r>
                    <w:rPr>
                      <w:rFonts w:hint="eastAsia" w:cs="Times New Roman"/>
                      <w:color w:val="auto"/>
                      <w:kern w:val="0"/>
                      <w:sz w:val="18"/>
                      <w:szCs w:val="18"/>
                      <w:lang w:val="en-US" w:eastAsia="zh-CN"/>
                    </w:rPr>
                    <w:t>循环使用，不外排</w:t>
                  </w:r>
                </w:p>
              </w:tc>
            </w:tr>
            <w:tr w14:paraId="46FBF0B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83" w:hRule="atLeast"/>
              </w:trPr>
              <w:tc>
                <w:tcPr>
                  <w:tcW w:w="969" w:type="dxa"/>
                  <w:vAlign w:val="center"/>
                </w:tcPr>
                <w:p w14:paraId="10A80117">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cs="Times New Roman"/>
                      <w:color w:val="auto"/>
                      <w:kern w:val="0"/>
                      <w:sz w:val="18"/>
                      <w:szCs w:val="18"/>
                      <w:lang w:val="en-US" w:eastAsia="zh-CN"/>
                    </w:rPr>
                  </w:pPr>
                  <w:r>
                    <w:rPr>
                      <w:rFonts w:hint="eastAsia" w:cs="Times New Roman"/>
                      <w:color w:val="auto"/>
                      <w:kern w:val="0"/>
                      <w:sz w:val="18"/>
                      <w:szCs w:val="18"/>
                      <w:lang w:val="en-US" w:eastAsia="zh-CN"/>
                    </w:rPr>
                    <w:t>纯水制备用水</w:t>
                  </w:r>
                </w:p>
              </w:tc>
              <w:tc>
                <w:tcPr>
                  <w:tcW w:w="969" w:type="dxa"/>
                  <w:vAlign w:val="center"/>
                </w:tcPr>
                <w:p w14:paraId="45E9ACAA">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cs="Times New Roman"/>
                      <w:color w:val="auto"/>
                      <w:kern w:val="0"/>
                      <w:sz w:val="18"/>
                      <w:szCs w:val="18"/>
                      <w:lang w:val="en-US" w:eastAsia="zh-CN"/>
                    </w:rPr>
                  </w:pPr>
                  <w:r>
                    <w:rPr>
                      <w:rFonts w:hint="eastAsia" w:cs="Times New Roman"/>
                      <w:color w:val="auto"/>
                      <w:kern w:val="0"/>
                      <w:sz w:val="18"/>
                      <w:szCs w:val="18"/>
                      <w:lang w:val="en-US" w:eastAsia="zh-CN"/>
                    </w:rPr>
                    <w:t>新鲜水</w:t>
                  </w:r>
                </w:p>
              </w:tc>
              <w:tc>
                <w:tcPr>
                  <w:tcW w:w="969" w:type="dxa"/>
                  <w:vAlign w:val="center"/>
                </w:tcPr>
                <w:p w14:paraId="66D2A744">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cs="Times New Roman"/>
                      <w:color w:val="auto"/>
                      <w:kern w:val="0"/>
                      <w:sz w:val="18"/>
                      <w:szCs w:val="18"/>
                      <w:lang w:val="en-US" w:eastAsia="zh-CN"/>
                    </w:rPr>
                  </w:pPr>
                  <w:r>
                    <w:rPr>
                      <w:rFonts w:hint="eastAsia" w:cs="Times New Roman"/>
                      <w:color w:val="auto"/>
                      <w:kern w:val="0"/>
                      <w:sz w:val="18"/>
                      <w:szCs w:val="18"/>
                      <w:lang w:val="en-US" w:eastAsia="zh-CN"/>
                    </w:rPr>
                    <w:t>12.3</w:t>
                  </w:r>
                </w:p>
              </w:tc>
              <w:tc>
                <w:tcPr>
                  <w:tcW w:w="970" w:type="dxa"/>
                  <w:vAlign w:val="center"/>
                </w:tcPr>
                <w:p w14:paraId="5CB10EF2">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cs="Times New Roman"/>
                      <w:color w:val="auto"/>
                      <w:kern w:val="0"/>
                      <w:sz w:val="18"/>
                      <w:szCs w:val="18"/>
                      <w:lang w:val="en-US" w:eastAsia="zh-CN"/>
                    </w:rPr>
                  </w:pPr>
                  <w:r>
                    <w:rPr>
                      <w:rFonts w:hint="eastAsia" w:cs="Times New Roman"/>
                      <w:color w:val="auto"/>
                      <w:kern w:val="0"/>
                      <w:sz w:val="18"/>
                      <w:szCs w:val="18"/>
                      <w:lang w:val="en-US" w:eastAsia="zh-CN"/>
                    </w:rPr>
                    <w:t>3690</w:t>
                  </w:r>
                </w:p>
              </w:tc>
              <w:tc>
                <w:tcPr>
                  <w:tcW w:w="970" w:type="dxa"/>
                  <w:vAlign w:val="center"/>
                </w:tcPr>
                <w:p w14:paraId="3AE0C1FC">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cs="Times New Roman"/>
                      <w:color w:val="auto"/>
                      <w:kern w:val="0"/>
                      <w:sz w:val="18"/>
                      <w:szCs w:val="18"/>
                      <w:lang w:val="en-US" w:eastAsia="zh-CN"/>
                    </w:rPr>
                  </w:pPr>
                  <w:r>
                    <w:rPr>
                      <w:rFonts w:hint="eastAsia" w:cs="Times New Roman"/>
                      <w:color w:val="auto"/>
                      <w:kern w:val="0"/>
                      <w:sz w:val="18"/>
                      <w:szCs w:val="18"/>
                      <w:lang w:val="en-US" w:eastAsia="zh-CN"/>
                    </w:rPr>
                    <w:t>纯水制备效率60%</w:t>
                  </w:r>
                </w:p>
              </w:tc>
              <w:tc>
                <w:tcPr>
                  <w:tcW w:w="970" w:type="dxa"/>
                  <w:vAlign w:val="center"/>
                </w:tcPr>
                <w:p w14:paraId="394F61F5">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cs="Times New Roman"/>
                      <w:color w:val="auto"/>
                      <w:kern w:val="0"/>
                      <w:sz w:val="18"/>
                      <w:szCs w:val="18"/>
                      <w:lang w:val="en-US" w:eastAsia="zh-CN"/>
                    </w:rPr>
                  </w:pPr>
                  <w:r>
                    <w:rPr>
                      <w:rFonts w:hint="eastAsia" w:cs="Times New Roman"/>
                      <w:color w:val="auto"/>
                      <w:kern w:val="0"/>
                      <w:sz w:val="18"/>
                      <w:szCs w:val="18"/>
                      <w:lang w:val="en-US" w:eastAsia="zh-CN"/>
                    </w:rPr>
                    <w:t>4.9</w:t>
                  </w:r>
                </w:p>
              </w:tc>
              <w:tc>
                <w:tcPr>
                  <w:tcW w:w="970" w:type="dxa"/>
                  <w:vAlign w:val="center"/>
                </w:tcPr>
                <w:p w14:paraId="5F85EF47">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cs="Times New Roman"/>
                      <w:color w:val="auto"/>
                      <w:kern w:val="0"/>
                      <w:sz w:val="18"/>
                      <w:szCs w:val="18"/>
                      <w:lang w:val="en-US" w:eastAsia="zh-CN"/>
                    </w:rPr>
                  </w:pPr>
                  <w:r>
                    <w:rPr>
                      <w:rFonts w:hint="eastAsia" w:cs="Times New Roman"/>
                      <w:color w:val="auto"/>
                      <w:kern w:val="0"/>
                      <w:sz w:val="18"/>
                      <w:szCs w:val="18"/>
                      <w:lang w:val="en-US" w:eastAsia="zh-CN"/>
                    </w:rPr>
                    <w:t>1470</w:t>
                  </w:r>
                </w:p>
              </w:tc>
              <w:tc>
                <w:tcPr>
                  <w:tcW w:w="970" w:type="dxa"/>
                  <w:vAlign w:val="center"/>
                </w:tcPr>
                <w:p w14:paraId="3245A684">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cs="Times New Roman"/>
                      <w:color w:val="auto"/>
                      <w:kern w:val="0"/>
                      <w:sz w:val="18"/>
                      <w:szCs w:val="18"/>
                      <w:lang w:val="en-US" w:eastAsia="zh-CN"/>
                    </w:rPr>
                  </w:pPr>
                  <w:r>
                    <w:rPr>
                      <w:rFonts w:hint="eastAsia" w:cs="Times New Roman"/>
                      <w:color w:val="auto"/>
                      <w:kern w:val="0"/>
                      <w:sz w:val="18"/>
                      <w:szCs w:val="18"/>
                      <w:lang w:val="en-US" w:eastAsia="zh-CN"/>
                    </w:rPr>
                    <w:t>厂区预处理池</w:t>
                  </w:r>
                </w:p>
              </w:tc>
            </w:tr>
            <w:tr w14:paraId="0BBABB3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83" w:hRule="atLeast"/>
              </w:trPr>
              <w:tc>
                <w:tcPr>
                  <w:tcW w:w="1938" w:type="dxa"/>
                  <w:gridSpan w:val="2"/>
                  <w:vAlign w:val="center"/>
                </w:tcPr>
                <w:p w14:paraId="170C5730">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cs="Times New Roman"/>
                      <w:color w:val="auto"/>
                      <w:kern w:val="0"/>
                      <w:sz w:val="18"/>
                      <w:szCs w:val="18"/>
                      <w:lang w:val="en-US" w:eastAsia="zh-CN"/>
                    </w:rPr>
                  </w:pPr>
                  <w:r>
                    <w:rPr>
                      <w:rFonts w:hint="eastAsia" w:cs="Times New Roman"/>
                      <w:color w:val="auto"/>
                      <w:kern w:val="0"/>
                      <w:sz w:val="18"/>
                      <w:szCs w:val="18"/>
                      <w:lang w:val="en-US" w:eastAsia="zh-CN"/>
                    </w:rPr>
                    <w:t>合计</w:t>
                  </w:r>
                </w:p>
              </w:tc>
              <w:tc>
                <w:tcPr>
                  <w:tcW w:w="969" w:type="dxa"/>
                  <w:vAlign w:val="center"/>
                </w:tcPr>
                <w:p w14:paraId="271A5788">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cs="Times New Roman"/>
                      <w:color w:val="auto"/>
                      <w:kern w:val="0"/>
                      <w:sz w:val="18"/>
                      <w:szCs w:val="18"/>
                      <w:lang w:val="en-US" w:eastAsia="zh-CN"/>
                    </w:rPr>
                  </w:pPr>
                  <w:r>
                    <w:rPr>
                      <w:rFonts w:hint="eastAsia" w:cs="Times New Roman"/>
                      <w:color w:val="auto"/>
                      <w:kern w:val="0"/>
                      <w:sz w:val="18"/>
                      <w:szCs w:val="18"/>
                      <w:lang w:val="en-US" w:eastAsia="zh-CN"/>
                    </w:rPr>
                    <w:t>33.3</w:t>
                  </w:r>
                </w:p>
              </w:tc>
              <w:tc>
                <w:tcPr>
                  <w:tcW w:w="970" w:type="dxa"/>
                  <w:vAlign w:val="center"/>
                </w:tcPr>
                <w:p w14:paraId="5263B242">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cs="Times New Roman"/>
                      <w:color w:val="auto"/>
                      <w:kern w:val="0"/>
                      <w:sz w:val="18"/>
                      <w:szCs w:val="18"/>
                      <w:lang w:val="en-US" w:eastAsia="zh-CN"/>
                    </w:rPr>
                  </w:pPr>
                  <w:r>
                    <w:rPr>
                      <w:rFonts w:hint="eastAsia" w:cs="Times New Roman"/>
                      <w:color w:val="auto"/>
                      <w:kern w:val="0"/>
                      <w:sz w:val="18"/>
                      <w:szCs w:val="18"/>
                      <w:lang w:val="en-US" w:eastAsia="zh-CN"/>
                    </w:rPr>
                    <w:t>8796</w:t>
                  </w:r>
                </w:p>
              </w:tc>
              <w:tc>
                <w:tcPr>
                  <w:tcW w:w="970" w:type="dxa"/>
                  <w:vAlign w:val="center"/>
                </w:tcPr>
                <w:p w14:paraId="5F19B853">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cs="Times New Roman"/>
                      <w:color w:val="auto"/>
                      <w:kern w:val="0"/>
                      <w:sz w:val="18"/>
                      <w:szCs w:val="18"/>
                      <w:lang w:val="en-US" w:eastAsia="zh-CN"/>
                    </w:rPr>
                  </w:pPr>
                  <w:r>
                    <w:rPr>
                      <w:rFonts w:hint="eastAsia" w:cs="Times New Roman"/>
                      <w:color w:val="auto"/>
                      <w:kern w:val="0"/>
                      <w:sz w:val="18"/>
                      <w:szCs w:val="18"/>
                      <w:lang w:val="en-US" w:eastAsia="zh-CN"/>
                    </w:rPr>
                    <w:t>/</w:t>
                  </w:r>
                </w:p>
              </w:tc>
              <w:tc>
                <w:tcPr>
                  <w:tcW w:w="970" w:type="dxa"/>
                  <w:vAlign w:val="center"/>
                </w:tcPr>
                <w:p w14:paraId="573A8CD1">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cs="Times New Roman"/>
                      <w:color w:val="auto"/>
                      <w:kern w:val="0"/>
                      <w:sz w:val="18"/>
                      <w:szCs w:val="18"/>
                      <w:lang w:val="en-US" w:eastAsia="zh-CN"/>
                    </w:rPr>
                  </w:pPr>
                  <w:r>
                    <w:rPr>
                      <w:rFonts w:hint="eastAsia" w:cs="Times New Roman"/>
                      <w:color w:val="auto"/>
                      <w:kern w:val="0"/>
                      <w:sz w:val="18"/>
                      <w:szCs w:val="18"/>
                      <w:lang w:val="en-US" w:eastAsia="zh-CN"/>
                    </w:rPr>
                    <w:t>15.78</w:t>
                  </w:r>
                </w:p>
              </w:tc>
              <w:tc>
                <w:tcPr>
                  <w:tcW w:w="970" w:type="dxa"/>
                  <w:vAlign w:val="center"/>
                </w:tcPr>
                <w:p w14:paraId="1EFAE5E4">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cs="Times New Roman"/>
                      <w:color w:val="auto"/>
                      <w:kern w:val="0"/>
                      <w:sz w:val="18"/>
                      <w:szCs w:val="18"/>
                      <w:lang w:val="en-US" w:eastAsia="zh-CN"/>
                    </w:rPr>
                  </w:pPr>
                  <w:r>
                    <w:rPr>
                      <w:rFonts w:hint="eastAsia" w:cs="Times New Roman"/>
                      <w:color w:val="auto"/>
                      <w:kern w:val="0"/>
                      <w:sz w:val="18"/>
                      <w:szCs w:val="18"/>
                      <w:lang w:val="en-US" w:eastAsia="zh-CN"/>
                    </w:rPr>
                    <w:t>3850.8</w:t>
                  </w:r>
                </w:p>
              </w:tc>
              <w:tc>
                <w:tcPr>
                  <w:tcW w:w="970" w:type="dxa"/>
                  <w:vAlign w:val="center"/>
                </w:tcPr>
                <w:p w14:paraId="37D6BC7D">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cs="Times New Roman"/>
                      <w:color w:val="auto"/>
                      <w:kern w:val="0"/>
                      <w:sz w:val="18"/>
                      <w:szCs w:val="18"/>
                      <w:lang w:val="en-US" w:eastAsia="zh-CN"/>
                    </w:rPr>
                  </w:pPr>
                  <w:r>
                    <w:rPr>
                      <w:rFonts w:hint="eastAsia" w:cs="Times New Roman"/>
                      <w:color w:val="auto"/>
                      <w:kern w:val="0"/>
                      <w:sz w:val="18"/>
                      <w:szCs w:val="18"/>
                      <w:lang w:val="en-US" w:eastAsia="zh-CN"/>
                    </w:rPr>
                    <w:t>/</w:t>
                  </w:r>
                </w:p>
              </w:tc>
            </w:tr>
          </w:tbl>
          <w:p w14:paraId="38E6BB5B">
            <w:pPr>
              <w:pStyle w:val="66"/>
              <w:keepNext w:val="0"/>
              <w:keepLines w:val="0"/>
              <w:pageBreakBefore w:val="0"/>
              <w:widowControl w:val="0"/>
              <w:kinsoku/>
              <w:wordWrap/>
              <w:overflowPunct/>
              <w:topLinePunct w:val="0"/>
              <w:autoSpaceDE w:val="0"/>
              <w:autoSpaceDN w:val="0"/>
              <w:bidi w:val="0"/>
              <w:spacing w:line="360" w:lineRule="auto"/>
              <w:ind w:firstLine="480" w:firstLineChars="200"/>
              <w:textAlignment w:val="auto"/>
              <w:rPr>
                <w:rFonts w:hint="eastAsia" w:cs="Times New Roman"/>
                <w:color w:val="auto"/>
                <w:lang w:val="en-US" w:eastAsia="zh-CN"/>
              </w:rPr>
            </w:pPr>
            <w:r>
              <w:rPr>
                <w:rFonts w:hint="eastAsia" w:cs="Times New Roman"/>
                <w:color w:val="auto"/>
                <w:lang w:val="en-US" w:eastAsia="zh-CN"/>
              </w:rPr>
              <w:t>本项目水平衡详见下表。</w:t>
            </w:r>
          </w:p>
          <w:p w14:paraId="64538016">
            <w:pPr>
              <w:pStyle w:val="66"/>
              <w:keepNext w:val="0"/>
              <w:keepLines w:val="0"/>
              <w:pageBreakBefore w:val="0"/>
              <w:widowControl w:val="0"/>
              <w:kinsoku/>
              <w:wordWrap/>
              <w:overflowPunct/>
              <w:topLinePunct w:val="0"/>
              <w:autoSpaceDE w:val="0"/>
              <w:autoSpaceDN w:val="0"/>
              <w:bidi w:val="0"/>
              <w:spacing w:line="360" w:lineRule="auto"/>
              <w:ind w:firstLine="480" w:firstLineChars="200"/>
              <w:textAlignment w:val="auto"/>
              <w:rPr>
                <w:rFonts w:hint="eastAsia" w:cs="Times New Roman"/>
                <w:color w:val="auto"/>
                <w:lang w:val="en-US" w:eastAsia="zh-CN"/>
              </w:rPr>
            </w:pPr>
            <w:r>
              <w:rPr>
                <w:rFonts w:hint="eastAsia" w:cs="Times New Roman"/>
                <w:color w:val="auto"/>
                <w:lang w:val="en-US" w:eastAsia="zh-CN"/>
              </w:rPr>
              <w:object>
                <v:shape id="_x0000_i1025" o:spt="75" type="#_x0000_t75" style="height:182.25pt;width:350.45pt;" o:ole="t" filled="f" o:preferrelative="t" stroked="f" coordsize="21600,21600">
                  <v:path/>
                  <v:fill on="f" focussize="0,0"/>
                  <v:stroke on="f"/>
                  <v:imagedata r:id="rId14" o:title=""/>
                  <o:lock v:ext="edit" aspectratio="f"/>
                  <w10:wrap type="none"/>
                  <w10:anchorlock/>
                </v:shape>
                <o:OLEObject Type="Embed" ProgID="Visio.Drawing.15" ShapeID="_x0000_i1025" DrawAspect="Content" ObjectID="_1468075725" r:id="rId13">
                  <o:LockedField>false</o:LockedField>
                </o:OLEObject>
              </w:object>
            </w:r>
          </w:p>
          <w:p w14:paraId="3E95F760">
            <w:pPr>
              <w:pStyle w:val="66"/>
              <w:keepNext w:val="0"/>
              <w:keepLines w:val="0"/>
              <w:pageBreakBefore w:val="0"/>
              <w:widowControl w:val="0"/>
              <w:kinsoku/>
              <w:wordWrap/>
              <w:overflowPunct/>
              <w:topLinePunct w:val="0"/>
              <w:autoSpaceDE w:val="0"/>
              <w:autoSpaceDN w:val="0"/>
              <w:bidi w:val="0"/>
              <w:spacing w:line="240" w:lineRule="auto"/>
              <w:ind w:firstLine="422" w:firstLineChars="200"/>
              <w:jc w:val="center"/>
              <w:textAlignment w:val="auto"/>
              <w:rPr>
                <w:rFonts w:hint="default" w:cs="Times New Roman"/>
                <w:b/>
                <w:bCs/>
                <w:color w:val="auto"/>
                <w:sz w:val="21"/>
                <w:szCs w:val="21"/>
                <w:lang w:val="en-US" w:eastAsia="zh-CN"/>
              </w:rPr>
            </w:pPr>
            <w:r>
              <w:rPr>
                <w:rFonts w:hint="eastAsia" w:cs="Times New Roman"/>
                <w:b/>
                <w:bCs/>
                <w:color w:val="auto"/>
                <w:sz w:val="21"/>
                <w:szCs w:val="21"/>
                <w:lang w:val="en-US" w:eastAsia="zh-CN"/>
              </w:rPr>
              <w:t>附图2-1 本项目日最大日给排水平衡图（单位m</w:t>
            </w:r>
            <w:r>
              <w:rPr>
                <w:rFonts w:hint="eastAsia" w:cs="Times New Roman"/>
                <w:b/>
                <w:bCs/>
                <w:color w:val="auto"/>
                <w:sz w:val="21"/>
                <w:szCs w:val="21"/>
                <w:vertAlign w:val="superscript"/>
                <w:lang w:val="en-US" w:eastAsia="zh-CN"/>
              </w:rPr>
              <w:t>3</w:t>
            </w:r>
            <w:r>
              <w:rPr>
                <w:rFonts w:hint="eastAsia" w:cs="Times New Roman"/>
                <w:b/>
                <w:bCs/>
                <w:color w:val="auto"/>
                <w:sz w:val="21"/>
                <w:szCs w:val="21"/>
                <w:lang w:val="en-US" w:eastAsia="zh-CN"/>
              </w:rPr>
              <w:t>/d）</w:t>
            </w:r>
          </w:p>
          <w:p w14:paraId="222000FB">
            <w:pPr>
              <w:pStyle w:val="66"/>
              <w:keepNext w:val="0"/>
              <w:keepLines w:val="0"/>
              <w:pageBreakBefore w:val="0"/>
              <w:widowControl w:val="0"/>
              <w:kinsoku/>
              <w:wordWrap/>
              <w:overflowPunct/>
              <w:topLinePunct w:val="0"/>
              <w:autoSpaceDE w:val="0"/>
              <w:autoSpaceDN w:val="0"/>
              <w:bidi w:val="0"/>
              <w:spacing w:line="360" w:lineRule="auto"/>
              <w:ind w:firstLine="480" w:firstLineChars="200"/>
              <w:textAlignment w:val="auto"/>
              <w:rPr>
                <w:rFonts w:hint="default" w:ascii="Times New Roman" w:hAnsi="Times New Roman" w:cs="Times New Roman"/>
                <w:color w:val="auto"/>
              </w:rPr>
            </w:pPr>
            <w:r>
              <w:rPr>
                <w:rFonts w:hint="default" w:ascii="Times New Roman" w:hAnsi="Times New Roman" w:cs="Times New Roman"/>
                <w:color w:val="auto"/>
                <w:lang w:eastAsia="zh-CN"/>
              </w:rPr>
              <w:t>（</w:t>
            </w:r>
            <w:r>
              <w:rPr>
                <w:rFonts w:hint="default" w:ascii="Times New Roman" w:hAnsi="Times New Roman" w:cs="Times New Roman"/>
                <w:color w:val="auto"/>
                <w:lang w:val="en-US" w:eastAsia="zh-CN"/>
              </w:rPr>
              <w:t>5）</w:t>
            </w:r>
            <w:r>
              <w:rPr>
                <w:rFonts w:hint="default" w:ascii="Times New Roman" w:hAnsi="Times New Roman" w:cs="Times New Roman"/>
                <w:color w:val="auto"/>
              </w:rPr>
              <w:t>空调系统</w:t>
            </w:r>
          </w:p>
          <w:p w14:paraId="44828D5F">
            <w:pPr>
              <w:widowControl/>
              <w:spacing w:line="360" w:lineRule="auto"/>
              <w:ind w:firstLine="528"/>
              <w:jc w:val="both"/>
              <w:rPr>
                <w:rFonts w:hint="eastAsia" w:ascii="Times New Roman" w:hAnsi="Times New Roman" w:eastAsia="宋体" w:cs="Times New Roman"/>
                <w:bCs/>
                <w:color w:val="auto"/>
                <w:kern w:val="0"/>
                <w:sz w:val="24"/>
                <w:szCs w:val="24"/>
                <w:lang w:val="de-DE" w:eastAsia="zh-CN" w:bidi="ar-SA"/>
              </w:rPr>
            </w:pPr>
            <w:r>
              <w:rPr>
                <w:rFonts w:hint="eastAsia" w:ascii="Times New Roman" w:hAnsi="Times New Roman" w:eastAsia="宋体" w:cs="Times New Roman"/>
                <w:bCs/>
                <w:color w:val="auto"/>
                <w:kern w:val="0"/>
                <w:sz w:val="24"/>
                <w:szCs w:val="24"/>
                <w:lang w:val="de-DE" w:eastAsia="zh-CN" w:bidi="ar-SA"/>
              </w:rPr>
              <w:t>电芯车间设置洁净除湿空调系统，满足电池生产过程中的温湿度和洁净度需求。相对湿度要求≤</w:t>
            </w:r>
            <w:r>
              <w:rPr>
                <w:rFonts w:hint="eastAsia" w:ascii="Times New Roman" w:hAnsi="Times New Roman" w:eastAsia="宋体" w:cs="Times New Roman"/>
                <w:bCs/>
                <w:color w:val="auto"/>
                <w:kern w:val="0"/>
                <w:sz w:val="24"/>
                <w:szCs w:val="24"/>
                <w:lang w:val="en-US" w:eastAsia="zh-CN" w:bidi="ar-SA"/>
              </w:rPr>
              <w:t>3</w:t>
            </w:r>
            <w:r>
              <w:rPr>
                <w:rFonts w:hint="eastAsia" w:ascii="Times New Roman" w:hAnsi="Times New Roman" w:eastAsia="宋体" w:cs="Times New Roman"/>
                <w:bCs/>
                <w:color w:val="auto"/>
                <w:kern w:val="0"/>
                <w:sz w:val="24"/>
                <w:szCs w:val="24"/>
                <w:lang w:val="de-DE" w:eastAsia="zh-CN" w:bidi="ar-SA"/>
              </w:rPr>
              <w:t>0%时，设置单转轮除湿机；</w:t>
            </w:r>
            <w:r>
              <w:rPr>
                <w:rFonts w:hint="eastAsia" w:ascii="Times New Roman" w:hAnsi="Times New Roman" w:eastAsia="宋体" w:cs="Times New Roman"/>
                <w:bCs/>
                <w:color w:val="auto"/>
                <w:kern w:val="0"/>
                <w:sz w:val="24"/>
                <w:szCs w:val="24"/>
                <w:lang w:val="en-US" w:eastAsia="zh-CN" w:bidi="ar-SA"/>
              </w:rPr>
              <w:t>露点要求</w:t>
            </w:r>
            <w:r>
              <w:rPr>
                <w:rFonts w:hint="eastAsia" w:ascii="Times New Roman" w:hAnsi="Times New Roman" w:eastAsia="宋体" w:cs="Times New Roman"/>
                <w:bCs/>
                <w:color w:val="auto"/>
                <w:kern w:val="0"/>
                <w:sz w:val="24"/>
                <w:szCs w:val="24"/>
                <w:lang w:val="de-DE" w:eastAsia="zh-CN" w:bidi="ar-SA"/>
              </w:rPr>
              <w:t>≤</w:t>
            </w:r>
            <w:r>
              <w:rPr>
                <w:rFonts w:hint="eastAsia" w:ascii="Times New Roman" w:hAnsi="Times New Roman" w:eastAsia="宋体" w:cs="Times New Roman"/>
                <w:bCs/>
                <w:color w:val="auto"/>
                <w:kern w:val="0"/>
                <w:sz w:val="24"/>
                <w:szCs w:val="24"/>
                <w:lang w:val="en-US" w:eastAsia="zh-CN" w:bidi="ar-SA"/>
              </w:rPr>
              <w:t>-35℃</w:t>
            </w:r>
            <w:r>
              <w:rPr>
                <w:rFonts w:hint="eastAsia" w:ascii="Times New Roman" w:hAnsi="Times New Roman" w:eastAsia="宋体" w:cs="Times New Roman"/>
                <w:bCs/>
                <w:color w:val="auto"/>
                <w:kern w:val="0"/>
                <w:sz w:val="24"/>
                <w:szCs w:val="24"/>
                <w:lang w:val="de-DE" w:eastAsia="zh-CN" w:bidi="ar-SA"/>
              </w:rPr>
              <w:t>时，设置双转轮湿度除湿机。当车间需求为</w:t>
            </w:r>
            <w:r>
              <w:rPr>
                <w:rFonts w:hint="eastAsia" w:ascii="Times New Roman" w:hAnsi="Times New Roman" w:eastAsia="宋体" w:cs="Times New Roman"/>
                <w:bCs/>
                <w:color w:val="auto"/>
                <w:kern w:val="0"/>
                <w:sz w:val="24"/>
                <w:szCs w:val="24"/>
                <w:lang w:val="en-US" w:eastAsia="zh-CN" w:bidi="ar-SA"/>
              </w:rPr>
              <w:t>10</w:t>
            </w:r>
            <w:r>
              <w:rPr>
                <w:rFonts w:hint="eastAsia" w:ascii="Times New Roman" w:hAnsi="Times New Roman" w:eastAsia="宋体" w:cs="Times New Roman"/>
                <w:bCs/>
                <w:color w:val="auto"/>
                <w:kern w:val="0"/>
                <w:sz w:val="24"/>
                <w:szCs w:val="24"/>
                <w:lang w:val="de-DE" w:eastAsia="zh-CN" w:bidi="ar-SA"/>
              </w:rPr>
              <w:t>万级洁净度时，整体换气次数需达到15次，过滤器配置为G4+F8+H1</w:t>
            </w:r>
            <w:r>
              <w:rPr>
                <w:rFonts w:hint="eastAsia" w:ascii="Times New Roman" w:hAnsi="Times New Roman" w:eastAsia="宋体" w:cs="Times New Roman"/>
                <w:bCs/>
                <w:color w:val="auto"/>
                <w:kern w:val="0"/>
                <w:sz w:val="24"/>
                <w:szCs w:val="24"/>
                <w:lang w:val="en-US" w:eastAsia="zh-CN" w:bidi="ar-SA"/>
              </w:rPr>
              <w:t>1</w:t>
            </w:r>
            <w:r>
              <w:rPr>
                <w:rFonts w:hint="eastAsia" w:ascii="Times New Roman" w:hAnsi="Times New Roman" w:eastAsia="宋体" w:cs="Times New Roman"/>
                <w:bCs/>
                <w:color w:val="auto"/>
                <w:kern w:val="0"/>
                <w:sz w:val="24"/>
                <w:szCs w:val="24"/>
                <w:lang w:val="de-DE" w:eastAsia="zh-CN" w:bidi="ar-SA"/>
              </w:rPr>
              <w:t>；当车间需求为</w:t>
            </w:r>
            <w:r>
              <w:rPr>
                <w:rFonts w:hint="eastAsia" w:ascii="Times New Roman" w:hAnsi="Times New Roman" w:eastAsia="宋体" w:cs="Times New Roman"/>
                <w:bCs/>
                <w:color w:val="auto"/>
                <w:kern w:val="0"/>
                <w:sz w:val="24"/>
                <w:szCs w:val="24"/>
                <w:lang w:val="en-US" w:eastAsia="zh-CN" w:bidi="ar-SA"/>
              </w:rPr>
              <w:t>30</w:t>
            </w:r>
            <w:r>
              <w:rPr>
                <w:rFonts w:hint="eastAsia" w:ascii="Times New Roman" w:hAnsi="Times New Roman" w:eastAsia="宋体" w:cs="Times New Roman"/>
                <w:bCs/>
                <w:color w:val="auto"/>
                <w:kern w:val="0"/>
                <w:sz w:val="24"/>
                <w:szCs w:val="24"/>
                <w:lang w:val="de-DE" w:eastAsia="zh-CN" w:bidi="ar-SA"/>
              </w:rPr>
              <w:t>万级洁净度时，整体换气次数需达到1</w:t>
            </w:r>
            <w:r>
              <w:rPr>
                <w:rFonts w:hint="eastAsia" w:ascii="Times New Roman" w:hAnsi="Times New Roman" w:eastAsia="宋体" w:cs="Times New Roman"/>
                <w:bCs/>
                <w:color w:val="auto"/>
                <w:kern w:val="0"/>
                <w:sz w:val="24"/>
                <w:szCs w:val="24"/>
                <w:lang w:val="en-US" w:eastAsia="zh-CN" w:bidi="ar-SA"/>
              </w:rPr>
              <w:t>2</w:t>
            </w:r>
            <w:r>
              <w:rPr>
                <w:rFonts w:hint="eastAsia" w:ascii="Times New Roman" w:hAnsi="Times New Roman" w:eastAsia="宋体" w:cs="Times New Roman"/>
                <w:bCs/>
                <w:color w:val="auto"/>
                <w:kern w:val="0"/>
                <w:sz w:val="24"/>
                <w:szCs w:val="24"/>
                <w:lang w:val="de-DE" w:eastAsia="zh-CN" w:bidi="ar-SA"/>
              </w:rPr>
              <w:t>次，过滤器配置为G4+F8+H1</w:t>
            </w:r>
            <w:r>
              <w:rPr>
                <w:rFonts w:hint="eastAsia" w:ascii="Times New Roman" w:hAnsi="Times New Roman" w:eastAsia="宋体" w:cs="Times New Roman"/>
                <w:bCs/>
                <w:color w:val="auto"/>
                <w:kern w:val="0"/>
                <w:sz w:val="24"/>
                <w:szCs w:val="24"/>
                <w:lang w:val="en-US" w:eastAsia="zh-CN" w:bidi="ar-SA"/>
              </w:rPr>
              <w:t>1</w:t>
            </w:r>
            <w:r>
              <w:rPr>
                <w:rFonts w:hint="eastAsia" w:ascii="Times New Roman" w:hAnsi="Times New Roman" w:eastAsia="宋体" w:cs="Times New Roman"/>
                <w:bCs/>
                <w:color w:val="auto"/>
                <w:kern w:val="0"/>
                <w:sz w:val="24"/>
                <w:szCs w:val="24"/>
                <w:lang w:val="de-DE" w:eastAsia="zh-CN" w:bidi="ar-SA"/>
              </w:rPr>
              <w:t>。局部小环境洁净度等级要求高于车间整体时，采用另设BFU单元机组来保证。</w:t>
            </w:r>
          </w:p>
          <w:p w14:paraId="45FEF702">
            <w:pPr>
              <w:pStyle w:val="66"/>
              <w:keepNext w:val="0"/>
              <w:keepLines w:val="0"/>
              <w:pageBreakBefore w:val="0"/>
              <w:widowControl w:val="0"/>
              <w:kinsoku/>
              <w:wordWrap/>
              <w:overflowPunct/>
              <w:topLinePunct w:val="0"/>
              <w:autoSpaceDE w:val="0"/>
              <w:autoSpaceDN w:val="0"/>
              <w:bidi w:val="0"/>
              <w:spacing w:line="360" w:lineRule="auto"/>
              <w:ind w:firstLine="480" w:firstLineChars="200"/>
              <w:jc w:val="both"/>
              <w:textAlignment w:val="auto"/>
              <w:rPr>
                <w:rFonts w:hint="eastAsia" w:ascii="宋体" w:hAnsi="宋体"/>
                <w:color w:val="auto"/>
                <w:spacing w:val="2"/>
                <w:szCs w:val="26"/>
                <w:lang w:val="en-US" w:eastAsia="zh-CN"/>
              </w:rPr>
            </w:pPr>
            <w:r>
              <w:rPr>
                <w:rFonts w:hint="eastAsia" w:ascii="Times New Roman" w:hAnsi="Times New Roman" w:eastAsia="宋体" w:cs="Times New Roman"/>
                <w:bCs/>
                <w:color w:val="auto"/>
                <w:kern w:val="0"/>
                <w:sz w:val="24"/>
                <w:szCs w:val="24"/>
                <w:lang w:val="de-DE" w:eastAsia="zh-CN" w:bidi="ar-SA"/>
              </w:rPr>
              <w:t>原材料库、</w:t>
            </w:r>
            <w:r>
              <w:rPr>
                <w:rFonts w:hint="eastAsia" w:ascii="宋体" w:hAnsi="宋体"/>
                <w:color w:val="auto"/>
                <w:spacing w:val="2"/>
                <w:szCs w:val="26"/>
              </w:rPr>
              <w:t>化成间</w:t>
            </w:r>
            <w:r>
              <w:rPr>
                <w:rFonts w:hint="eastAsia" w:ascii="Times New Roman" w:hAnsi="Times New Roman" w:eastAsia="宋体" w:cs="Times New Roman"/>
                <w:bCs/>
                <w:color w:val="auto"/>
                <w:kern w:val="0"/>
                <w:sz w:val="24"/>
                <w:szCs w:val="24"/>
                <w:lang w:val="en-US" w:eastAsia="zh-CN" w:bidi="ar-SA"/>
              </w:rPr>
              <w:t>、</w:t>
            </w:r>
            <w:r>
              <w:rPr>
                <w:rFonts w:hint="eastAsia" w:ascii="宋体" w:hAnsi="宋体"/>
                <w:color w:val="auto"/>
                <w:spacing w:val="2"/>
                <w:szCs w:val="26"/>
              </w:rPr>
              <w:t>常温静置、集</w:t>
            </w:r>
            <w:r>
              <w:rPr>
                <w:rFonts w:hint="eastAsia" w:ascii="宋体" w:hAnsi="宋体"/>
                <w:color w:val="auto"/>
                <w:spacing w:val="2"/>
                <w:szCs w:val="26"/>
                <w:lang w:val="en-US" w:eastAsia="zh-CN"/>
              </w:rPr>
              <w:t>成</w:t>
            </w:r>
            <w:r>
              <w:rPr>
                <w:rFonts w:hint="eastAsia" w:ascii="宋体" w:hAnsi="宋体"/>
                <w:color w:val="auto"/>
                <w:spacing w:val="2"/>
                <w:szCs w:val="26"/>
              </w:rPr>
              <w:t>车间</w:t>
            </w:r>
            <w:r>
              <w:rPr>
                <w:rFonts w:hint="eastAsia" w:ascii="Times New Roman" w:hAnsi="Times New Roman" w:eastAsia="宋体" w:cs="Times New Roman"/>
                <w:bCs/>
                <w:color w:val="auto"/>
                <w:kern w:val="0"/>
                <w:sz w:val="24"/>
                <w:szCs w:val="24"/>
                <w:lang w:val="de-DE" w:eastAsia="zh-CN" w:bidi="ar-SA"/>
              </w:rPr>
              <w:t>设置组合式空调系统或吊装式空调机组，保证原料、成品电芯及工艺生产的温湿度</w:t>
            </w:r>
            <w:r>
              <w:rPr>
                <w:rFonts w:hint="eastAsia" w:cs="Times New Roman"/>
                <w:bCs/>
                <w:color w:val="auto"/>
                <w:kern w:val="0"/>
                <w:sz w:val="24"/>
                <w:szCs w:val="24"/>
                <w:lang w:val="de-DE" w:eastAsia="zh-CN" w:bidi="ar-SA"/>
              </w:rPr>
              <w:t>要求</w:t>
            </w:r>
            <w:r>
              <w:rPr>
                <w:rFonts w:hint="eastAsia" w:ascii="Times New Roman" w:hAnsi="Times New Roman" w:eastAsia="宋体" w:cs="Times New Roman"/>
                <w:bCs/>
                <w:color w:val="auto"/>
                <w:kern w:val="0"/>
                <w:sz w:val="24"/>
                <w:szCs w:val="24"/>
                <w:lang w:val="de-DE" w:eastAsia="zh-CN" w:bidi="ar-SA"/>
              </w:rPr>
              <w:t>，</w:t>
            </w:r>
            <w:r>
              <w:rPr>
                <w:rFonts w:hint="eastAsia" w:ascii="宋体" w:hAnsi="宋体"/>
                <w:color w:val="auto"/>
                <w:spacing w:val="2"/>
                <w:szCs w:val="26"/>
                <w:lang w:val="de-DE"/>
              </w:rPr>
              <w:t>其他生产辅房等设置</w:t>
            </w:r>
            <w:r>
              <w:rPr>
                <w:rFonts w:hint="eastAsia" w:ascii="宋体" w:hAnsi="宋体"/>
                <w:color w:val="auto"/>
                <w:spacing w:val="2"/>
                <w:szCs w:val="26"/>
              </w:rPr>
              <w:t>多联机系统</w:t>
            </w:r>
            <w:r>
              <w:rPr>
                <w:rFonts w:hint="eastAsia" w:ascii="宋体" w:hAnsi="宋体"/>
                <w:color w:val="auto"/>
                <w:spacing w:val="2"/>
                <w:szCs w:val="26"/>
                <w:lang w:val="de-DE" w:eastAsia="zh-CN"/>
              </w:rPr>
              <w:t>，</w:t>
            </w:r>
            <w:r>
              <w:rPr>
                <w:rFonts w:hint="eastAsia" w:ascii="宋体" w:hAnsi="宋体"/>
                <w:color w:val="auto"/>
                <w:spacing w:val="2"/>
                <w:szCs w:val="26"/>
                <w:lang w:val="de-DE"/>
              </w:rPr>
              <w:t>风机盘管+新风系统，采用顶部送风，回风采用顶部回风。</w:t>
            </w:r>
            <w:r>
              <w:rPr>
                <w:rFonts w:hint="eastAsia" w:ascii="宋体" w:hAnsi="宋体"/>
                <w:color w:val="auto"/>
                <w:spacing w:val="2"/>
                <w:szCs w:val="26"/>
                <w:lang w:val="en-US" w:eastAsia="zh-CN"/>
              </w:rPr>
              <w:t>本项目厂区洁净区设置见下表。</w:t>
            </w:r>
          </w:p>
          <w:p w14:paraId="70235996">
            <w:pPr>
              <w:pStyle w:val="68"/>
              <w:rPr>
                <w:rFonts w:hint="default" w:ascii="Times New Roman" w:hAnsi="Times New Roman" w:eastAsia="宋体" w:cs="Times New Roman"/>
                <w:b/>
                <w:bCs/>
                <w:color w:val="auto"/>
                <w:lang w:val="en-US" w:eastAsia="zh-CN"/>
              </w:rPr>
            </w:pPr>
            <w:r>
              <w:rPr>
                <w:rFonts w:hint="default" w:ascii="Times New Roman" w:hAnsi="Times New Roman" w:eastAsia="宋体" w:cs="Times New Roman"/>
                <w:b/>
                <w:bCs/>
                <w:color w:val="auto"/>
              </w:rPr>
              <w:t>表2-</w:t>
            </w:r>
            <w:r>
              <w:rPr>
                <w:rFonts w:hint="eastAsia" w:ascii="Times New Roman" w:hAnsi="Times New Roman" w:eastAsia="宋体" w:cs="Times New Roman"/>
                <w:b/>
                <w:bCs/>
                <w:color w:val="auto"/>
                <w:lang w:val="en-US" w:eastAsia="zh-CN"/>
              </w:rPr>
              <w:t>7</w:t>
            </w:r>
            <w:r>
              <w:rPr>
                <w:rFonts w:hint="default" w:ascii="Times New Roman" w:hAnsi="Times New Roman" w:eastAsia="宋体" w:cs="Times New Roman"/>
                <w:b/>
                <w:bCs/>
                <w:color w:val="auto"/>
              </w:rPr>
              <w:t xml:space="preserve"> </w:t>
            </w:r>
            <w:r>
              <w:rPr>
                <w:rFonts w:hint="eastAsia" w:ascii="Times New Roman" w:hAnsi="Times New Roman" w:eastAsia="宋体" w:cs="Times New Roman"/>
                <w:b/>
                <w:bCs/>
                <w:color w:val="auto"/>
                <w:lang w:val="en-US" w:eastAsia="zh-CN"/>
              </w:rPr>
              <w:t>厂房洁净区设置情况一览表</w:t>
            </w:r>
          </w:p>
          <w:tbl>
            <w:tblPr>
              <w:tblStyle w:val="42"/>
              <w:tblW w:w="7760" w:type="dxa"/>
              <w:tblInd w:w="5"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3076"/>
              <w:gridCol w:w="1132"/>
              <w:gridCol w:w="1050"/>
              <w:gridCol w:w="2502"/>
            </w:tblGrid>
            <w:tr w14:paraId="1EA344B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3076" w:type="dxa"/>
                  <w:vAlign w:val="center"/>
                </w:tcPr>
                <w:p w14:paraId="5902471B">
                  <w:pPr>
                    <w:pStyle w:val="70"/>
                    <w:jc w:val="center"/>
                    <w:rPr>
                      <w:rFonts w:hint="default" w:ascii="Times New Roman" w:hAnsi="Times New Roman" w:eastAsia="宋体" w:cs="Times New Roman"/>
                      <w:b/>
                      <w:bCs/>
                      <w:color w:val="auto"/>
                      <w:sz w:val="21"/>
                      <w:szCs w:val="21"/>
                      <w:lang w:val="en-US" w:eastAsia="zh-CN"/>
                    </w:rPr>
                  </w:pPr>
                  <w:r>
                    <w:rPr>
                      <w:rFonts w:hint="eastAsia" w:ascii="Times New Roman" w:hAnsi="Times New Roman" w:eastAsia="宋体" w:cs="Times New Roman"/>
                      <w:b/>
                      <w:bCs/>
                      <w:color w:val="auto"/>
                      <w:sz w:val="21"/>
                      <w:szCs w:val="21"/>
                      <w:lang w:val="en-US" w:eastAsia="zh-CN"/>
                    </w:rPr>
                    <w:t>房间名称</w:t>
                  </w:r>
                </w:p>
              </w:tc>
              <w:tc>
                <w:tcPr>
                  <w:tcW w:w="1132" w:type="dxa"/>
                  <w:vAlign w:val="center"/>
                </w:tcPr>
                <w:p w14:paraId="29FFBBD8">
                  <w:pPr>
                    <w:pStyle w:val="70"/>
                    <w:jc w:val="center"/>
                    <w:rPr>
                      <w:rFonts w:hint="default" w:ascii="Times New Roman" w:hAnsi="Times New Roman" w:eastAsia="宋体" w:cs="Times New Roman"/>
                      <w:b/>
                      <w:bCs/>
                      <w:color w:val="auto"/>
                      <w:sz w:val="21"/>
                      <w:szCs w:val="21"/>
                      <w:lang w:val="en-US" w:eastAsia="zh-CN"/>
                    </w:rPr>
                  </w:pPr>
                  <w:r>
                    <w:rPr>
                      <w:rFonts w:hint="eastAsia" w:ascii="Times New Roman" w:hAnsi="Times New Roman" w:eastAsia="宋体" w:cs="Times New Roman"/>
                      <w:b/>
                      <w:bCs/>
                      <w:color w:val="auto"/>
                      <w:sz w:val="21"/>
                      <w:szCs w:val="21"/>
                      <w:lang w:val="en-US" w:eastAsia="zh-CN"/>
                    </w:rPr>
                    <w:t>洁净度</w:t>
                  </w:r>
                </w:p>
              </w:tc>
              <w:tc>
                <w:tcPr>
                  <w:tcW w:w="1050" w:type="dxa"/>
                  <w:vAlign w:val="center"/>
                </w:tcPr>
                <w:p w14:paraId="0AC971BD">
                  <w:pPr>
                    <w:pStyle w:val="70"/>
                    <w:jc w:val="center"/>
                    <w:rPr>
                      <w:rFonts w:hint="default" w:ascii="Times New Roman" w:hAnsi="Times New Roman" w:eastAsia="宋体" w:cs="Times New Roman"/>
                      <w:b/>
                      <w:bCs/>
                      <w:color w:val="auto"/>
                      <w:sz w:val="21"/>
                      <w:szCs w:val="21"/>
                      <w:lang w:val="en-US" w:eastAsia="zh-CN"/>
                    </w:rPr>
                  </w:pPr>
                  <w:r>
                    <w:rPr>
                      <w:rFonts w:hint="eastAsia" w:ascii="Times New Roman" w:hAnsi="Times New Roman" w:eastAsia="宋体" w:cs="Times New Roman"/>
                      <w:b/>
                      <w:bCs/>
                      <w:color w:val="auto"/>
                      <w:sz w:val="21"/>
                      <w:szCs w:val="21"/>
                      <w:lang w:val="en-US" w:eastAsia="zh-CN"/>
                    </w:rPr>
                    <w:t>净化方式</w:t>
                  </w:r>
                </w:p>
              </w:tc>
              <w:tc>
                <w:tcPr>
                  <w:tcW w:w="2502" w:type="dxa"/>
                  <w:vAlign w:val="center"/>
                </w:tcPr>
                <w:p w14:paraId="5BE1CEAC">
                  <w:pPr>
                    <w:pStyle w:val="70"/>
                    <w:jc w:val="center"/>
                    <w:rPr>
                      <w:rFonts w:hint="default" w:ascii="Times New Roman" w:hAnsi="Times New Roman" w:eastAsia="宋体" w:cs="Times New Roman"/>
                      <w:b/>
                      <w:bCs/>
                      <w:color w:val="auto"/>
                      <w:sz w:val="21"/>
                      <w:szCs w:val="21"/>
                      <w:lang w:val="en-US" w:eastAsia="zh-CN"/>
                    </w:rPr>
                  </w:pPr>
                  <w:r>
                    <w:rPr>
                      <w:rFonts w:hint="eastAsia" w:ascii="Times New Roman" w:hAnsi="Times New Roman" w:eastAsia="宋体" w:cs="Times New Roman"/>
                      <w:b/>
                      <w:bCs/>
                      <w:color w:val="auto"/>
                      <w:sz w:val="21"/>
                      <w:szCs w:val="21"/>
                      <w:lang w:val="en-US" w:eastAsia="zh-CN"/>
                    </w:rPr>
                    <w:t>备注</w:t>
                  </w:r>
                </w:p>
              </w:tc>
            </w:tr>
            <w:tr w14:paraId="020DE25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3076" w:type="dxa"/>
                  <w:vAlign w:val="center"/>
                </w:tcPr>
                <w:p w14:paraId="1728DFD8">
                  <w:pPr>
                    <w:pStyle w:val="70"/>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正极合浆间、负极合浆间、化成间、常温静置间、高温静置间、二次封装间、定容间</w:t>
                  </w:r>
                </w:p>
              </w:tc>
              <w:tc>
                <w:tcPr>
                  <w:tcW w:w="1132" w:type="dxa"/>
                  <w:vAlign w:val="center"/>
                </w:tcPr>
                <w:p w14:paraId="3324FE5E">
                  <w:pPr>
                    <w:pStyle w:val="70"/>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30万级</w:t>
                  </w:r>
                </w:p>
              </w:tc>
              <w:tc>
                <w:tcPr>
                  <w:tcW w:w="1050" w:type="dxa"/>
                  <w:vMerge w:val="restart"/>
                  <w:vAlign w:val="center"/>
                </w:tcPr>
                <w:p w14:paraId="2F517F1A">
                  <w:pPr>
                    <w:pStyle w:val="70"/>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bCs/>
                      <w:color w:val="auto"/>
                      <w:kern w:val="0"/>
                      <w:sz w:val="21"/>
                      <w:szCs w:val="21"/>
                      <w:lang w:val="de-DE" w:eastAsia="zh-CN" w:bidi="ar-SA"/>
                    </w:rPr>
                    <w:t>G4+F8+H1</w:t>
                  </w:r>
                  <w:r>
                    <w:rPr>
                      <w:rFonts w:hint="eastAsia" w:ascii="Times New Roman" w:hAnsi="Times New Roman" w:eastAsia="宋体" w:cs="Times New Roman"/>
                      <w:bCs/>
                      <w:color w:val="auto"/>
                      <w:kern w:val="0"/>
                      <w:sz w:val="21"/>
                      <w:szCs w:val="21"/>
                      <w:lang w:val="en-US" w:eastAsia="zh-CN" w:bidi="ar-SA"/>
                    </w:rPr>
                    <w:t>1</w:t>
                  </w:r>
                </w:p>
              </w:tc>
              <w:tc>
                <w:tcPr>
                  <w:tcW w:w="2502" w:type="dxa"/>
                  <w:vMerge w:val="restart"/>
                  <w:vAlign w:val="center"/>
                </w:tcPr>
                <w:p w14:paraId="65916F21">
                  <w:pPr>
                    <w:pStyle w:val="7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初效过滤器（G4）：粒径范围≥5μm，过滤效率60%~80%；</w:t>
                  </w:r>
                </w:p>
                <w:p w14:paraId="38398154">
                  <w:pPr>
                    <w:pStyle w:val="7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中效过滤器（F6）：粒径范围1~5μm，过滤效率60~80%；</w:t>
                  </w:r>
                </w:p>
                <w:p w14:paraId="326888D1">
                  <w:pPr>
                    <w:pStyle w:val="7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高效过滤器（</w:t>
                  </w:r>
                  <w:r>
                    <w:rPr>
                      <w:rFonts w:hint="default" w:ascii="Times New Roman" w:hAnsi="Times New Roman" w:eastAsia="宋体" w:cs="Times New Roman"/>
                      <w:color w:val="auto"/>
                      <w:sz w:val="21"/>
                      <w:szCs w:val="21"/>
                      <w:lang w:eastAsia="zh-CN"/>
                    </w:rPr>
                    <w:t>H1</w:t>
                  </w:r>
                  <w:r>
                    <w:rPr>
                      <w:rFonts w:hint="eastAsia" w:cs="Times New Roman"/>
                      <w:color w:val="auto"/>
                      <w:sz w:val="21"/>
                      <w:szCs w:val="21"/>
                      <w:lang w:val="en-US" w:eastAsia="zh-CN"/>
                    </w:rPr>
                    <w:t>1</w:t>
                  </w:r>
                  <w:r>
                    <w:rPr>
                      <w:rFonts w:hint="default" w:ascii="Times New Roman" w:hAnsi="Times New Roman" w:eastAsia="宋体" w:cs="Times New Roman"/>
                      <w:color w:val="auto"/>
                      <w:sz w:val="21"/>
                      <w:szCs w:val="21"/>
                    </w:rPr>
                    <w:t>）粒径范围≥0.3μm，过滤效率≥99.95%</w:t>
                  </w:r>
                </w:p>
              </w:tc>
            </w:tr>
            <w:tr w14:paraId="77DEED5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3076" w:type="dxa"/>
                  <w:shd w:val="clear" w:color="auto" w:fill="auto"/>
                  <w:vAlign w:val="center"/>
                </w:tcPr>
                <w:p w14:paraId="6BA11F5B">
                  <w:pPr>
                    <w:pStyle w:val="70"/>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正极涂布机头区、正极机头与机尾过道、正极涂布机尾区、负极涂布机头区、负极涂布机尾区、负极机头与机尾过道、正极辊切间、负极辊切间、电芯装配间、电池入炉间、电池</w:t>
                  </w:r>
                  <w:r>
                    <w:rPr>
                      <w:rFonts w:hint="eastAsia" w:cs="Times New Roman"/>
                      <w:color w:val="auto"/>
                      <w:sz w:val="21"/>
                      <w:szCs w:val="21"/>
                      <w:lang w:val="en-US" w:eastAsia="zh-CN"/>
                    </w:rPr>
                    <w:t>经现场实地踏勘，项目所租厂房现阶段尚在土建施工阶段，厂房场地无原有生产历史，不存在原有遗留污染源、无历史环境污染问题</w:t>
                  </w:r>
                  <w:r>
                    <w:rPr>
                      <w:rFonts w:hint="default" w:cs="Times New Roman"/>
                      <w:color w:val="auto"/>
                      <w:sz w:val="21"/>
                      <w:szCs w:val="21"/>
                      <w:lang w:val="en-US" w:eastAsia="zh-CN"/>
                    </w:rPr>
                    <w:t>。</w:t>
                  </w:r>
                  <w:r>
                    <w:rPr>
                      <w:rFonts w:hint="eastAsia" w:ascii="Times New Roman" w:hAnsi="Times New Roman" w:eastAsia="宋体" w:cs="Times New Roman"/>
                      <w:color w:val="auto"/>
                      <w:sz w:val="21"/>
                      <w:szCs w:val="21"/>
                      <w:lang w:val="en-US" w:eastAsia="zh-CN"/>
                    </w:rPr>
                    <w:t>干燥间、电池出炉间、注液间（含一注与二注）、水分测试间、洁净管制仓库</w:t>
                  </w:r>
                </w:p>
              </w:tc>
              <w:tc>
                <w:tcPr>
                  <w:tcW w:w="1132" w:type="dxa"/>
                  <w:vAlign w:val="center"/>
                </w:tcPr>
                <w:p w14:paraId="39F8DFEF">
                  <w:pPr>
                    <w:pStyle w:val="70"/>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10万级</w:t>
                  </w:r>
                </w:p>
              </w:tc>
              <w:tc>
                <w:tcPr>
                  <w:tcW w:w="1050" w:type="dxa"/>
                  <w:vMerge w:val="continue"/>
                  <w:vAlign w:val="center"/>
                </w:tcPr>
                <w:p w14:paraId="4E3CAE3D">
                  <w:pPr>
                    <w:pStyle w:val="70"/>
                    <w:jc w:val="center"/>
                    <w:rPr>
                      <w:rFonts w:hint="default" w:ascii="Times New Roman" w:hAnsi="Times New Roman" w:eastAsia="宋体" w:cs="Times New Roman"/>
                      <w:color w:val="auto"/>
                      <w:sz w:val="21"/>
                      <w:szCs w:val="21"/>
                      <w:lang w:val="en-US" w:eastAsia="zh-CN"/>
                    </w:rPr>
                  </w:pPr>
                </w:p>
              </w:tc>
              <w:tc>
                <w:tcPr>
                  <w:tcW w:w="2502" w:type="dxa"/>
                  <w:vMerge w:val="continue"/>
                  <w:vAlign w:val="center"/>
                </w:tcPr>
                <w:p w14:paraId="726C35F8">
                  <w:pPr>
                    <w:pStyle w:val="70"/>
                    <w:jc w:val="center"/>
                    <w:rPr>
                      <w:rFonts w:hint="default" w:ascii="Times New Roman" w:hAnsi="Times New Roman" w:eastAsia="宋体" w:cs="Times New Roman"/>
                      <w:color w:val="auto"/>
                      <w:sz w:val="21"/>
                      <w:szCs w:val="21"/>
                      <w:lang w:val="en-US" w:eastAsia="zh-CN"/>
                    </w:rPr>
                  </w:pPr>
                </w:p>
              </w:tc>
            </w:tr>
          </w:tbl>
          <w:p w14:paraId="1143AF2D">
            <w:pPr>
              <w:keepNext w:val="0"/>
              <w:keepLines w:val="0"/>
              <w:pageBreakBefore w:val="0"/>
              <w:widowControl w:val="0"/>
              <w:numPr>
                <w:ilvl w:val="0"/>
                <w:numId w:val="0"/>
              </w:numPr>
              <w:tabs>
                <w:tab w:val="left" w:pos="2955"/>
              </w:tabs>
              <w:kinsoku/>
              <w:wordWrap/>
              <w:overflowPunct/>
              <w:topLinePunct w:val="0"/>
              <w:autoSpaceDE w:val="0"/>
              <w:autoSpaceDN w:val="0"/>
              <w:bidi w:val="0"/>
              <w:adjustRightInd w:val="0"/>
              <w:snapToGrid w:val="0"/>
              <w:spacing w:line="360" w:lineRule="auto"/>
              <w:ind w:firstLine="480" w:firstLineChars="200"/>
              <w:jc w:val="center"/>
              <w:textAlignment w:val="auto"/>
              <w:rPr>
                <w:rFonts w:hint="eastAsia" w:ascii="Times New Roman" w:hAnsi="Times New Roman" w:eastAsia="宋体" w:cs="Times New Roman"/>
                <w:color w:val="auto"/>
                <w:kern w:val="0"/>
                <w:sz w:val="24"/>
                <w:szCs w:val="24"/>
                <w:highlight w:val="none"/>
                <w:lang w:val="en-US" w:eastAsia="zh-CN" w:bidi="zh-HK"/>
              </w:rPr>
            </w:pPr>
            <w:r>
              <w:rPr>
                <w:rFonts w:hint="eastAsia" w:ascii="Times New Roman" w:hAnsi="Times New Roman" w:eastAsia="宋体" w:cs="Times New Roman"/>
                <w:color w:val="auto"/>
                <w:kern w:val="0"/>
                <w:sz w:val="24"/>
                <w:szCs w:val="24"/>
                <w:highlight w:val="none"/>
                <w:lang w:val="en-US" w:eastAsia="zh-CN" w:bidi="zh-HK"/>
              </w:rPr>
              <w:object>
                <v:shape id="_x0000_i1026" o:spt="75" type="#_x0000_t75" style="height:85.8pt;width:290.2pt;" o:ole="t" filled="f" o:preferrelative="t" stroked="f" coordsize="21600,21600">
                  <v:path/>
                  <v:fill on="f" focussize="0,0"/>
                  <v:stroke on="f"/>
                  <v:imagedata r:id="rId16" o:title=""/>
                  <o:lock v:ext="edit" aspectratio="f"/>
                  <w10:wrap type="none"/>
                  <w10:anchorlock/>
                </v:shape>
                <o:OLEObject Type="Embed" ProgID="Visio.Drawing.15" ShapeID="_x0000_i1026" DrawAspect="Content" ObjectID="_1468075726" r:id="rId15">
                  <o:LockedField>false</o:LockedField>
                </o:OLEObject>
              </w:object>
            </w:r>
          </w:p>
          <w:p w14:paraId="086A4797">
            <w:pPr>
              <w:spacing w:line="360" w:lineRule="auto"/>
              <w:jc w:val="center"/>
              <w:outlineLvl w:val="9"/>
              <w:rPr>
                <w:rFonts w:hint="default" w:ascii="Times New Roman" w:hAnsi="Times New Roman" w:cs="Times New Roman"/>
                <w:b/>
                <w:bCs/>
                <w:color w:val="auto"/>
                <w:sz w:val="21"/>
                <w:szCs w:val="21"/>
                <w:highlight w:val="none"/>
                <w:lang w:val="en-US" w:eastAsia="zh-CN"/>
              </w:rPr>
            </w:pPr>
            <w:r>
              <w:rPr>
                <w:rFonts w:hint="default" w:ascii="Times New Roman" w:hAnsi="Times New Roman" w:cs="Times New Roman"/>
                <w:b/>
                <w:bCs/>
                <w:color w:val="auto"/>
                <w:sz w:val="21"/>
                <w:szCs w:val="21"/>
                <w:highlight w:val="none"/>
                <w:lang w:val="en-US" w:eastAsia="zh-CN"/>
              </w:rPr>
              <w:t>图2-</w:t>
            </w:r>
            <w:r>
              <w:rPr>
                <w:rFonts w:hint="eastAsia" w:cs="Times New Roman"/>
                <w:b/>
                <w:bCs/>
                <w:color w:val="auto"/>
                <w:sz w:val="21"/>
                <w:szCs w:val="21"/>
                <w:highlight w:val="none"/>
                <w:lang w:val="en-US" w:eastAsia="zh-CN"/>
              </w:rPr>
              <w:t>2</w:t>
            </w:r>
            <w:r>
              <w:rPr>
                <w:rFonts w:hint="eastAsia" w:ascii="Times New Roman" w:hAnsi="Times New Roman" w:cs="Times New Roman"/>
                <w:b/>
                <w:bCs/>
                <w:color w:val="auto"/>
                <w:sz w:val="21"/>
                <w:szCs w:val="21"/>
                <w:highlight w:val="none"/>
                <w:lang w:val="en-US" w:eastAsia="zh-CN"/>
              </w:rPr>
              <w:t xml:space="preserve"> 本项目空气净化系统工艺流程</w:t>
            </w:r>
          </w:p>
          <w:p w14:paraId="2E469B8B">
            <w:pPr>
              <w:pStyle w:val="66"/>
              <w:keepNext w:val="0"/>
              <w:keepLines w:val="0"/>
              <w:pageBreakBefore w:val="0"/>
              <w:widowControl w:val="0"/>
              <w:kinsoku/>
              <w:wordWrap/>
              <w:overflowPunct/>
              <w:topLinePunct w:val="0"/>
              <w:autoSpaceDE w:val="0"/>
              <w:autoSpaceDN w:val="0"/>
              <w:bidi w:val="0"/>
              <w:spacing w:line="360" w:lineRule="auto"/>
              <w:ind w:firstLine="480" w:firstLineChars="200"/>
              <w:textAlignment w:val="auto"/>
              <w:rPr>
                <w:rFonts w:hint="default" w:ascii="Times New Roman" w:hAnsi="Times New Roman" w:cs="Times New Roman"/>
                <w:color w:val="auto"/>
              </w:rPr>
            </w:pPr>
            <w:r>
              <w:rPr>
                <w:rFonts w:hint="default" w:ascii="Times New Roman" w:hAnsi="Times New Roman" w:cs="Times New Roman"/>
                <w:color w:val="auto"/>
                <w:lang w:eastAsia="zh-CN"/>
              </w:rPr>
              <w:t>（</w:t>
            </w:r>
            <w:r>
              <w:rPr>
                <w:rFonts w:hint="eastAsia" w:cs="Times New Roman"/>
                <w:color w:val="auto"/>
                <w:lang w:val="en-US" w:eastAsia="zh-CN"/>
              </w:rPr>
              <w:t>6</w:t>
            </w:r>
            <w:r>
              <w:rPr>
                <w:rFonts w:hint="default" w:ascii="Times New Roman" w:hAnsi="Times New Roman" w:cs="Times New Roman"/>
                <w:color w:val="auto"/>
                <w:lang w:val="en-US" w:eastAsia="zh-CN"/>
              </w:rPr>
              <w:t>）</w:t>
            </w:r>
            <w:r>
              <w:rPr>
                <w:rFonts w:hint="eastAsia" w:cs="Times New Roman"/>
                <w:color w:val="auto"/>
                <w:lang w:val="en-US" w:eastAsia="zh-CN"/>
              </w:rPr>
              <w:t>纯水制备</w:t>
            </w:r>
            <w:r>
              <w:rPr>
                <w:rFonts w:hint="default" w:ascii="Times New Roman" w:hAnsi="Times New Roman" w:cs="Times New Roman"/>
                <w:color w:val="auto"/>
              </w:rPr>
              <w:t>系统</w:t>
            </w:r>
          </w:p>
          <w:p w14:paraId="6EDCD959">
            <w:pPr>
              <w:spacing w:line="360" w:lineRule="auto"/>
              <w:ind w:firstLine="480" w:firstLineChars="200"/>
              <w:jc w:val="left"/>
              <w:outlineLvl w:val="9"/>
              <w:rPr>
                <w:rFonts w:hint="default" w:ascii="Times New Roman" w:hAnsi="Times New Roman" w:cs="Times New Roman"/>
                <w:color w:val="auto"/>
                <w:sz w:val="24"/>
                <w:lang w:val="en-US" w:eastAsia="zh-CN"/>
              </w:rPr>
            </w:pPr>
            <w:r>
              <w:rPr>
                <w:rFonts w:hint="default" w:ascii="Times New Roman" w:hAnsi="Times New Roman" w:cs="Times New Roman"/>
                <w:color w:val="auto"/>
                <w:sz w:val="24"/>
                <w:lang w:val="en-US" w:eastAsia="zh-CN"/>
              </w:rPr>
              <w:t>项目生产车间内建设1套纯水制备系统。</w:t>
            </w:r>
            <w:r>
              <w:rPr>
                <w:rFonts w:hint="default" w:ascii="Times New Roman" w:hAnsi="Times New Roman" w:eastAsia="宋体" w:cs="Times New Roman"/>
                <w:color w:val="auto"/>
                <w:sz w:val="24"/>
                <w:lang w:val="en-US" w:eastAsia="zh-CN"/>
              </w:rPr>
              <w:t>根据建设单位提供资料，项目纯水机采用</w:t>
            </w:r>
            <w:r>
              <w:rPr>
                <w:rFonts w:hint="eastAsia" w:cs="Times New Roman"/>
                <w:color w:val="auto"/>
                <w:sz w:val="24"/>
                <w:lang w:val="en-US" w:eastAsia="zh-CN"/>
              </w:rPr>
              <w:t>“</w:t>
            </w:r>
            <w:r>
              <w:rPr>
                <w:rFonts w:hint="default" w:ascii="Times New Roman" w:hAnsi="Times New Roman" w:eastAsia="宋体" w:cs="Times New Roman"/>
                <w:color w:val="auto"/>
                <w:sz w:val="24"/>
                <w:lang w:val="en-US" w:eastAsia="zh-CN"/>
              </w:rPr>
              <w:t>物理过滤（多介质过滤+活性炭过滤+精密过滤）+一级RO反渗透+二级RO反渗透+EDI系统</w:t>
            </w:r>
            <w:r>
              <w:rPr>
                <w:rFonts w:hint="eastAsia" w:cs="Times New Roman"/>
                <w:color w:val="auto"/>
                <w:sz w:val="24"/>
                <w:lang w:val="en-US" w:eastAsia="zh-CN"/>
              </w:rPr>
              <w:t>”</w:t>
            </w:r>
            <w:r>
              <w:rPr>
                <w:rFonts w:hint="default" w:ascii="Times New Roman" w:hAnsi="Times New Roman" w:eastAsia="宋体" w:cs="Times New Roman"/>
                <w:color w:val="auto"/>
                <w:sz w:val="24"/>
                <w:lang w:val="en-US" w:eastAsia="zh-CN"/>
              </w:rPr>
              <w:t>制备工艺，</w:t>
            </w:r>
            <w:r>
              <w:rPr>
                <w:rFonts w:hint="default" w:ascii="Times New Roman" w:hAnsi="Times New Roman" w:cs="Times New Roman"/>
                <w:bCs/>
                <w:color w:val="auto"/>
                <w:sz w:val="24"/>
                <w:lang w:val="en-US" w:eastAsia="zh-CN"/>
              </w:rPr>
              <w:t>纯水</w:t>
            </w:r>
            <w:r>
              <w:rPr>
                <w:rFonts w:hint="default" w:ascii="Times New Roman" w:hAnsi="Times New Roman" w:eastAsia="宋体" w:cs="Times New Roman"/>
                <w:color w:val="auto"/>
                <w:sz w:val="24"/>
                <w:lang w:val="en-US" w:eastAsia="zh-CN"/>
              </w:rPr>
              <w:t>总体制备效率约为60%</w:t>
            </w:r>
            <w:r>
              <w:rPr>
                <w:rFonts w:hint="default" w:ascii="Times New Roman" w:hAnsi="Times New Roman" w:cs="Times New Roman"/>
                <w:color w:val="auto"/>
                <w:sz w:val="24"/>
                <w:highlight w:val="none"/>
                <w:lang w:eastAsia="zh-CN"/>
              </w:rPr>
              <w:t>（</w:t>
            </w:r>
            <w:r>
              <w:rPr>
                <w:rFonts w:hint="default" w:ascii="Times New Roman" w:hAnsi="Times New Roman" w:cs="Times New Roman"/>
                <w:color w:val="auto"/>
                <w:sz w:val="24"/>
                <w:highlight w:val="none"/>
                <w:lang w:val="en-US" w:eastAsia="zh-CN"/>
              </w:rPr>
              <w:t>一级</w:t>
            </w:r>
            <w:r>
              <w:rPr>
                <w:rFonts w:hint="default" w:ascii="Times New Roman" w:hAnsi="Times New Roman" w:cs="Times New Roman"/>
                <w:color w:val="auto"/>
                <w:sz w:val="24"/>
                <w:highlight w:val="none"/>
              </w:rPr>
              <w:t>反渗透产水率</w:t>
            </w:r>
            <w:r>
              <w:rPr>
                <w:rFonts w:hint="default" w:ascii="Times New Roman" w:hAnsi="Times New Roman" w:cs="Times New Roman"/>
                <w:color w:val="auto"/>
                <w:sz w:val="24"/>
                <w:highlight w:val="none"/>
                <w:lang w:val="en-US" w:eastAsia="zh-CN"/>
              </w:rPr>
              <w:t>约80%、</w:t>
            </w:r>
            <w:r>
              <w:rPr>
                <w:rFonts w:hint="default" w:ascii="Times New Roman" w:hAnsi="Times New Roman" w:cs="Times New Roman"/>
                <w:color w:val="auto"/>
                <w:sz w:val="24"/>
                <w:highlight w:val="none"/>
              </w:rPr>
              <w:t>二级反渗透产水率</w:t>
            </w:r>
            <w:r>
              <w:rPr>
                <w:rFonts w:hint="default" w:ascii="Times New Roman" w:hAnsi="Times New Roman" w:cs="Times New Roman"/>
                <w:color w:val="auto"/>
                <w:sz w:val="24"/>
                <w:highlight w:val="none"/>
                <w:lang w:val="en-US" w:eastAsia="zh-CN"/>
              </w:rPr>
              <w:t>约90%、</w:t>
            </w:r>
            <w:r>
              <w:rPr>
                <w:rFonts w:hint="default" w:ascii="Times New Roman" w:hAnsi="Times New Roman" w:eastAsia="宋体" w:cs="Times New Roman"/>
                <w:color w:val="auto"/>
                <w:sz w:val="24"/>
                <w:lang w:val="en-US" w:eastAsia="zh-CN"/>
              </w:rPr>
              <w:t>EDI系统</w:t>
            </w:r>
            <w:r>
              <w:rPr>
                <w:rFonts w:hint="default" w:ascii="Times New Roman" w:hAnsi="Times New Roman" w:cs="Times New Roman"/>
                <w:color w:val="auto"/>
                <w:sz w:val="24"/>
                <w:highlight w:val="none"/>
              </w:rPr>
              <w:t>产水率</w:t>
            </w:r>
            <w:r>
              <w:rPr>
                <w:rFonts w:hint="default" w:ascii="Times New Roman" w:hAnsi="Times New Roman" w:cs="Times New Roman"/>
                <w:color w:val="auto"/>
                <w:sz w:val="24"/>
                <w:highlight w:val="none"/>
                <w:lang w:val="en-US" w:eastAsia="zh-CN"/>
              </w:rPr>
              <w:t>约90%</w:t>
            </w:r>
            <w:r>
              <w:rPr>
                <w:rFonts w:hint="default" w:ascii="Times New Roman" w:hAnsi="Times New Roman" w:cs="Times New Roman"/>
                <w:color w:val="auto"/>
                <w:sz w:val="24"/>
                <w:highlight w:val="none"/>
                <w:lang w:eastAsia="zh-CN"/>
              </w:rPr>
              <w:t>）</w:t>
            </w:r>
            <w:r>
              <w:rPr>
                <w:rFonts w:hint="default" w:ascii="Times New Roman" w:hAnsi="Times New Roman" w:eastAsia="宋体" w:cs="Times New Roman"/>
                <w:color w:val="auto"/>
                <w:sz w:val="24"/>
                <w:lang w:val="en-US" w:eastAsia="zh-CN"/>
              </w:rPr>
              <w:t>。整个系统设置有</w:t>
            </w:r>
            <w:r>
              <w:rPr>
                <w:rFonts w:hint="default" w:ascii="Times New Roman" w:hAnsi="Times New Roman" w:cs="Times New Roman"/>
                <w:color w:val="auto"/>
                <w:sz w:val="24"/>
                <w:lang w:val="en-US" w:eastAsia="zh-CN"/>
              </w:rPr>
              <w:t>水质监测单元、流量监测单元、系统自动/手动控制、系统控制电脑箱等，可全自动连续生产。</w:t>
            </w:r>
          </w:p>
          <w:p w14:paraId="5BD6E64E">
            <w:pPr>
              <w:pStyle w:val="66"/>
              <w:spacing w:line="360" w:lineRule="auto"/>
              <w:ind w:left="0" w:leftChars="0" w:firstLine="0" w:firstLineChars="0"/>
              <w:rPr>
                <w:rFonts w:hint="eastAsia" w:ascii="Times New Roman" w:hAnsi="Times New Roman" w:eastAsia="宋体" w:cs="Times New Roman"/>
                <w:b/>
                <w:bCs/>
                <w:color w:val="auto"/>
                <w:lang w:val="en-US" w:eastAsia="zh-CN"/>
              </w:rPr>
            </w:pPr>
            <w:r>
              <w:rPr>
                <w:rFonts w:hint="eastAsia" w:ascii="Times New Roman" w:hAnsi="Times New Roman" w:eastAsia="宋体" w:cs="Times New Roman"/>
                <w:b/>
                <w:bCs/>
                <w:color w:val="auto"/>
                <w:lang w:val="en-US" w:eastAsia="zh-CN"/>
              </w:rPr>
              <w:object>
                <v:shape id="_x0000_i1027" o:spt="75" type="#_x0000_t75" style="height:89.95pt;width:387.65pt;" o:ole="t" filled="f" o:preferrelative="t" stroked="f" coordsize="21600,21600">
                  <v:path/>
                  <v:fill on="f" focussize="0,0"/>
                  <v:stroke on="f"/>
                  <v:imagedata r:id="rId18" o:title=""/>
                  <o:lock v:ext="edit" aspectratio="f"/>
                  <w10:wrap type="none"/>
                  <w10:anchorlock/>
                </v:shape>
                <o:OLEObject Type="Embed" ProgID="Visio.Drawing.15" ShapeID="_x0000_i1027" DrawAspect="Content" ObjectID="_1468075727" r:id="rId17">
                  <o:LockedField>false</o:LockedField>
                </o:OLEObject>
              </w:object>
            </w:r>
          </w:p>
          <w:p w14:paraId="55298617">
            <w:pPr>
              <w:spacing w:line="360" w:lineRule="auto"/>
              <w:jc w:val="center"/>
              <w:outlineLvl w:val="9"/>
              <w:rPr>
                <w:rFonts w:hint="default" w:ascii="Times New Roman" w:hAnsi="Times New Roman" w:cs="Times New Roman"/>
                <w:b/>
                <w:bCs/>
                <w:color w:val="auto"/>
                <w:sz w:val="21"/>
                <w:szCs w:val="21"/>
                <w:highlight w:val="none"/>
                <w:lang w:val="en-US" w:eastAsia="zh-CN"/>
              </w:rPr>
            </w:pPr>
            <w:r>
              <w:rPr>
                <w:rFonts w:hint="eastAsia" w:ascii="Times New Roman" w:hAnsi="Times New Roman" w:cs="Times New Roman"/>
                <w:b/>
                <w:bCs/>
                <w:color w:val="auto"/>
                <w:sz w:val="21"/>
                <w:szCs w:val="21"/>
                <w:highlight w:val="none"/>
                <w:lang w:val="en-US" w:eastAsia="zh-CN"/>
              </w:rPr>
              <w:t>图2-</w:t>
            </w:r>
            <w:r>
              <w:rPr>
                <w:rFonts w:hint="eastAsia" w:cs="Times New Roman"/>
                <w:b/>
                <w:bCs/>
                <w:color w:val="auto"/>
                <w:sz w:val="21"/>
                <w:szCs w:val="21"/>
                <w:highlight w:val="none"/>
                <w:lang w:val="en-US" w:eastAsia="zh-CN"/>
              </w:rPr>
              <w:t>3</w:t>
            </w:r>
            <w:r>
              <w:rPr>
                <w:rFonts w:hint="eastAsia" w:ascii="Times New Roman" w:hAnsi="Times New Roman" w:cs="Times New Roman"/>
                <w:b/>
                <w:bCs/>
                <w:color w:val="auto"/>
                <w:sz w:val="21"/>
                <w:szCs w:val="21"/>
                <w:highlight w:val="none"/>
                <w:lang w:val="en-US" w:eastAsia="zh-CN"/>
              </w:rPr>
              <w:t xml:space="preserve"> 纯水制备系统工艺流程图</w:t>
            </w:r>
          </w:p>
          <w:p w14:paraId="36D5174C">
            <w:pPr>
              <w:spacing w:line="360" w:lineRule="auto"/>
              <w:ind w:firstLine="480" w:firstLineChars="200"/>
              <w:outlineLvl w:val="9"/>
              <w:rPr>
                <w:rFonts w:hint="default" w:ascii="Times New Roman" w:hAnsi="Times New Roman" w:eastAsia="宋体" w:cs="Times New Roman"/>
                <w:color w:val="auto"/>
                <w:sz w:val="24"/>
                <w:highlight w:val="none"/>
                <w:lang w:val="en-US" w:eastAsia="zh-CN"/>
              </w:rPr>
            </w:pPr>
            <w:r>
              <w:rPr>
                <w:rFonts w:hint="default" w:ascii="Times New Roman" w:hAnsi="Times New Roman" w:cs="Times New Roman"/>
                <w:color w:val="auto"/>
                <w:sz w:val="24"/>
                <w:highlight w:val="none"/>
                <w:lang w:val="en-US" w:eastAsia="zh-CN"/>
              </w:rPr>
              <w:t>超</w:t>
            </w:r>
            <w:r>
              <w:rPr>
                <w:rFonts w:hint="default" w:ascii="Times New Roman" w:hAnsi="Times New Roman" w:cs="Times New Roman"/>
                <w:color w:val="auto"/>
                <w:sz w:val="24"/>
                <w:highlight w:val="none"/>
              </w:rPr>
              <w:t>纯水制备系统可分为预处理部分、反渗透脱盐</w:t>
            </w:r>
            <w:r>
              <w:rPr>
                <w:rFonts w:hint="default" w:ascii="Times New Roman" w:hAnsi="Times New Roman" w:cs="Times New Roman"/>
                <w:color w:val="auto"/>
                <w:sz w:val="24"/>
                <w:highlight w:val="none"/>
                <w:lang w:val="en-US" w:eastAsia="zh-CN"/>
              </w:rPr>
              <w:t>和深度脱盐三</w:t>
            </w:r>
            <w:r>
              <w:rPr>
                <w:rFonts w:hint="default" w:ascii="Times New Roman" w:hAnsi="Times New Roman" w:cs="Times New Roman"/>
                <w:color w:val="auto"/>
                <w:sz w:val="24"/>
                <w:highlight w:val="none"/>
              </w:rPr>
              <w:t>部分。其中：预处理部分包括多</w:t>
            </w:r>
            <w:r>
              <w:rPr>
                <w:rFonts w:hint="default" w:ascii="Times New Roman" w:hAnsi="Times New Roman" w:cs="Times New Roman"/>
                <w:color w:val="auto"/>
                <w:sz w:val="24"/>
                <w:highlight w:val="none"/>
                <w:lang w:val="en-US" w:eastAsia="zh-CN"/>
              </w:rPr>
              <w:t>介质</w:t>
            </w:r>
            <w:r>
              <w:rPr>
                <w:rFonts w:hint="default" w:ascii="Times New Roman" w:hAnsi="Times New Roman" w:cs="Times New Roman"/>
                <w:color w:val="auto"/>
                <w:sz w:val="24"/>
                <w:highlight w:val="none"/>
              </w:rPr>
              <w:t>过滤器、</w:t>
            </w:r>
            <w:r>
              <w:rPr>
                <w:rFonts w:hint="default" w:ascii="Times New Roman" w:hAnsi="Times New Roman" w:cs="Times New Roman"/>
                <w:color w:val="auto"/>
                <w:sz w:val="24"/>
                <w:highlight w:val="none"/>
                <w:lang w:val="en-US" w:eastAsia="zh-CN"/>
              </w:rPr>
              <w:t>活性炭过滤器和</w:t>
            </w:r>
            <w:r>
              <w:rPr>
                <w:rFonts w:hint="default" w:ascii="Times New Roman" w:hAnsi="Times New Roman" w:cs="Times New Roman"/>
                <w:color w:val="auto"/>
                <w:sz w:val="24"/>
                <w:highlight w:val="none"/>
                <w:lang w:eastAsia="zh-CN"/>
              </w:rPr>
              <w:t>多介质过滤器</w:t>
            </w:r>
            <w:r>
              <w:rPr>
                <w:rFonts w:hint="default" w:ascii="Times New Roman" w:hAnsi="Times New Roman" w:cs="Times New Roman"/>
                <w:color w:val="auto"/>
                <w:sz w:val="24"/>
                <w:highlight w:val="none"/>
              </w:rPr>
              <w:t>，主要去除易污染反渗透膜的物质；反渗透除盐部分主要为两级RO反渗透装置，属于物理脱盐法，无外来污染</w:t>
            </w:r>
            <w:r>
              <w:rPr>
                <w:rFonts w:hint="default" w:ascii="Times New Roman" w:hAnsi="Times New Roman" w:cs="Times New Roman"/>
                <w:color w:val="auto"/>
                <w:sz w:val="24"/>
                <w:highlight w:val="none"/>
                <w:lang w:eastAsia="zh-CN"/>
              </w:rPr>
              <w:t>；</w:t>
            </w:r>
            <w:r>
              <w:rPr>
                <w:rFonts w:hint="default" w:ascii="Times New Roman" w:hAnsi="Times New Roman" w:cs="Times New Roman"/>
                <w:color w:val="auto"/>
                <w:sz w:val="24"/>
                <w:highlight w:val="none"/>
                <w:lang w:val="en-US" w:eastAsia="zh-CN"/>
              </w:rPr>
              <w:t>深度脱盐采用EDI工艺，将电渗析和离子交换技术相结合，达到深度除盐的目的</w:t>
            </w:r>
            <w:r>
              <w:rPr>
                <w:rFonts w:hint="default" w:ascii="Times New Roman" w:hAnsi="Times New Roman" w:cs="Times New Roman"/>
                <w:color w:val="auto"/>
                <w:sz w:val="24"/>
                <w:highlight w:val="none"/>
              </w:rPr>
              <w:t>。</w:t>
            </w:r>
          </w:p>
          <w:p w14:paraId="5D3BD6CF">
            <w:pPr>
              <w:spacing w:line="360" w:lineRule="auto"/>
              <w:ind w:firstLine="480" w:firstLineChars="200"/>
              <w:outlineLvl w:val="9"/>
              <w:rPr>
                <w:rFonts w:hint="default" w:ascii="Times New Roman" w:hAnsi="Times New Roman" w:eastAsia="宋体" w:cs="Times New Roman"/>
                <w:color w:val="auto"/>
                <w:sz w:val="24"/>
                <w:highlight w:val="none"/>
                <w:lang w:val="en-US" w:eastAsia="zh-CN"/>
              </w:rPr>
            </w:pPr>
            <w:r>
              <w:rPr>
                <w:rFonts w:hint="default" w:ascii="Times New Roman" w:hAnsi="Times New Roman" w:cs="Times New Roman"/>
                <w:color w:val="auto"/>
                <w:sz w:val="24"/>
                <w:highlight w:val="none"/>
              </w:rPr>
              <w:t>①</w:t>
            </w:r>
            <w:r>
              <w:rPr>
                <w:rFonts w:hint="default" w:ascii="Times New Roman" w:hAnsi="Times New Roman" w:eastAsia="宋体" w:cs="Times New Roman"/>
                <w:color w:val="auto"/>
                <w:sz w:val="24"/>
                <w:szCs w:val="24"/>
              </w:rPr>
              <w:t>石英砂</w:t>
            </w:r>
            <w:r>
              <w:rPr>
                <w:rFonts w:hint="default" w:ascii="Times New Roman" w:hAnsi="Times New Roman" w:cs="Times New Roman"/>
                <w:color w:val="auto"/>
                <w:sz w:val="24"/>
                <w:highlight w:val="none"/>
                <w:lang w:eastAsia="zh-CN"/>
              </w:rPr>
              <w:t>过滤器</w:t>
            </w:r>
          </w:p>
          <w:p w14:paraId="31455C86">
            <w:pPr>
              <w:spacing w:line="360" w:lineRule="auto"/>
              <w:ind w:firstLine="480" w:firstLineChars="200"/>
              <w:jc w:val="both"/>
              <w:outlineLvl w:val="9"/>
              <w:rPr>
                <w:rFonts w:hint="default" w:ascii="Times New Roman" w:hAnsi="Times New Roman" w:cs="Times New Roman"/>
                <w:color w:val="auto"/>
                <w:sz w:val="24"/>
                <w:highlight w:val="none"/>
              </w:rPr>
            </w:pPr>
            <w:r>
              <w:rPr>
                <w:rFonts w:hint="default" w:ascii="Times New Roman" w:hAnsi="Times New Roman" w:eastAsia="宋体" w:cs="Times New Roman"/>
                <w:color w:val="auto"/>
                <w:sz w:val="24"/>
                <w:szCs w:val="24"/>
              </w:rPr>
              <w:t>石英砂过滤器是利用精制石英砂作为主要过滤介质，在一定的压力下，通过滤料层的截留、沉降和吸附作用，将水中浊度较高的悬浮物、胶质颗粒、泥沙、铁锈等杂质有效去除，从而达到降低水浊度、净化水质目的的一种高效压力式过滤设备。该设备处理流量大、出水水质稳定、反洗彻底</w:t>
            </w:r>
            <w:r>
              <w:rPr>
                <w:rFonts w:hint="default" w:ascii="Times New Roman" w:hAnsi="Times New Roman" w:cs="Times New Roman"/>
                <w:color w:val="auto"/>
                <w:sz w:val="24"/>
                <w:highlight w:val="none"/>
              </w:rPr>
              <w:t>。在长期的过滤和频繁的反冲洗过程中，水流的冲刷以及滤料颗粒之间的相互碰撞，会导致石英砂破碎、磨损，变成细粉。当细粉含量过多时，会堵塞滤层孔隙，导致过滤阻力增大、出水水质变差，此时必须更换。</w:t>
            </w:r>
          </w:p>
          <w:p w14:paraId="35870B7A">
            <w:pPr>
              <w:spacing w:line="360" w:lineRule="auto"/>
              <w:ind w:firstLine="480" w:firstLineChars="200"/>
              <w:jc w:val="both"/>
              <w:outlineLvl w:val="9"/>
              <w:rPr>
                <w:rFonts w:hint="default" w:ascii="Times New Roman" w:hAnsi="Times New Roman" w:cs="Times New Roman"/>
                <w:color w:val="auto"/>
                <w:sz w:val="24"/>
                <w:lang w:val="en-US" w:eastAsia="zh-CN"/>
              </w:rPr>
            </w:pPr>
            <w:r>
              <w:rPr>
                <w:rFonts w:hint="default" w:ascii="Times New Roman" w:hAnsi="Times New Roman" w:cs="Times New Roman"/>
                <w:color w:val="auto"/>
                <w:sz w:val="24"/>
                <w:lang w:val="en-US" w:eastAsia="zh-CN"/>
              </w:rPr>
              <w:t>②活性炭过滤器</w:t>
            </w:r>
          </w:p>
          <w:p w14:paraId="71D31E5E">
            <w:pPr>
              <w:spacing w:line="360" w:lineRule="auto"/>
              <w:ind w:firstLine="480" w:firstLineChars="200"/>
              <w:jc w:val="both"/>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lang w:val="en-US" w:eastAsia="zh-CN"/>
              </w:rPr>
              <w:t>活性炭过滤器</w:t>
            </w:r>
            <w:r>
              <w:rPr>
                <w:rFonts w:hint="default" w:ascii="Times New Roman" w:hAnsi="Times New Roman" w:cs="Times New Roman"/>
                <w:color w:val="auto"/>
                <w:sz w:val="24"/>
                <w:highlight w:val="none"/>
              </w:rPr>
              <w:t>设计滤速为</w:t>
            </w:r>
            <w:r>
              <w:rPr>
                <w:rFonts w:hint="default" w:ascii="Times New Roman" w:hAnsi="Times New Roman" w:cs="Times New Roman"/>
                <w:color w:val="auto"/>
                <w:sz w:val="24"/>
                <w:highlight w:val="none"/>
                <w:lang w:val="en-US" w:eastAsia="zh-CN"/>
              </w:rPr>
              <w:t>15~20</w:t>
            </w:r>
            <w:r>
              <w:rPr>
                <w:rFonts w:hint="default" w:ascii="Times New Roman" w:hAnsi="Times New Roman" w:cs="Times New Roman"/>
                <w:color w:val="auto"/>
                <w:sz w:val="24"/>
                <w:highlight w:val="none"/>
              </w:rPr>
              <w:t>m/h，内部装填活性炭滤料，利用活性炭的吸附特性将水中的有机污染物、微生物及溶解氧等吸附于炭的表面，增加微生物降解有机污染物</w:t>
            </w:r>
            <w:r>
              <w:rPr>
                <w:rFonts w:hint="default" w:ascii="Times New Roman" w:hAnsi="Times New Roman" w:cs="Times New Roman"/>
                <w:color w:val="auto"/>
                <w:sz w:val="24"/>
                <w:highlight w:val="none"/>
                <w:lang w:eastAsia="zh-CN"/>
              </w:rPr>
              <w:t>的概率</w:t>
            </w:r>
            <w:r>
              <w:rPr>
                <w:rFonts w:hint="default" w:ascii="Times New Roman" w:hAnsi="Times New Roman" w:cs="Times New Roman"/>
                <w:color w:val="auto"/>
                <w:sz w:val="24"/>
                <w:highlight w:val="none"/>
              </w:rPr>
              <w:t>，延长有机物的停留时间，强化生物降解作用，将炭表面吸附的有机物去除；还可去除水中的异臭异味、色度、重金属、合成洗涤剂以及脱氯等；此外活性炭的选择吸附性，不但可吸附电解质离子，还可使高锰酸钾耗氧量得到很好的控制和降低。该设备具有吸附、生物降解和过滤处理的综合作用，处理效果稳定，而且效率高、耐冲击负荷、占地小、操作管理简便易行且运转费用低等优点。</w:t>
            </w:r>
          </w:p>
          <w:p w14:paraId="6362B7D5">
            <w:pPr>
              <w:spacing w:line="360" w:lineRule="auto"/>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当过滤器的前后压差增大时，需更换过滤器中活性炭。</w:t>
            </w:r>
          </w:p>
          <w:p w14:paraId="7AEC7B00">
            <w:pPr>
              <w:spacing w:line="360" w:lineRule="auto"/>
              <w:ind w:firstLine="480" w:firstLineChars="200"/>
              <w:outlineLvl w:val="9"/>
              <w:rPr>
                <w:rFonts w:hint="default" w:ascii="Times New Roman" w:hAnsi="Times New Roman" w:cs="Times New Roman"/>
                <w:color w:val="auto"/>
                <w:sz w:val="24"/>
                <w:lang w:val="en-US" w:eastAsia="zh-CN"/>
              </w:rPr>
            </w:pPr>
            <w:r>
              <w:rPr>
                <w:rFonts w:hint="default" w:ascii="Times New Roman" w:hAnsi="Times New Roman" w:cs="Times New Roman"/>
                <w:color w:val="auto"/>
                <w:sz w:val="24"/>
                <w:highlight w:val="none"/>
                <w:lang w:val="en-US" w:eastAsia="zh-CN"/>
              </w:rPr>
              <w:t>③</w:t>
            </w:r>
            <w:r>
              <w:rPr>
                <w:rFonts w:hint="default" w:ascii="Times New Roman" w:hAnsi="Times New Roman" w:cs="Times New Roman"/>
                <w:color w:val="auto"/>
                <w:sz w:val="24"/>
                <w:lang w:val="en-US" w:eastAsia="zh-CN"/>
              </w:rPr>
              <w:t>加药装置</w:t>
            </w:r>
          </w:p>
          <w:p w14:paraId="42890F8C">
            <w:pPr>
              <w:spacing w:line="360" w:lineRule="auto"/>
              <w:ind w:firstLine="480" w:firstLineChars="200"/>
              <w:outlineLvl w:val="9"/>
              <w:rPr>
                <w:rFonts w:hint="default" w:ascii="Times New Roman" w:hAnsi="Times New Roman" w:cs="Times New Roman"/>
                <w:color w:val="auto"/>
                <w:sz w:val="24"/>
                <w:lang w:val="en-US" w:eastAsia="zh-CN"/>
              </w:rPr>
            </w:pPr>
            <w:r>
              <w:rPr>
                <w:rFonts w:hint="default" w:ascii="Times New Roman" w:hAnsi="Times New Roman" w:cs="Times New Roman"/>
                <w:color w:val="auto"/>
                <w:sz w:val="24"/>
                <w:lang w:val="en-US" w:eastAsia="zh-CN"/>
              </w:rPr>
              <w:t>在反渗透系统中，浓水侧的盐分会浓缩。阻垢剂通过螯合、晶格畸变等作用，提高钙、镁、钡等难溶盐的溶度积，防止其在RO膜表面结晶析出。保护RO膜，维持其脱盐率和产水量，延长清洗周期。</w:t>
            </w:r>
          </w:p>
          <w:p w14:paraId="65EFE373">
            <w:pPr>
              <w:spacing w:line="360" w:lineRule="auto"/>
              <w:ind w:firstLine="480" w:firstLineChars="200"/>
              <w:outlineLvl w:val="9"/>
              <w:rPr>
                <w:rFonts w:hint="default" w:ascii="Times New Roman" w:hAnsi="Times New Roman" w:cs="Times New Roman"/>
                <w:color w:val="auto"/>
                <w:sz w:val="24"/>
                <w:highlight w:val="none"/>
                <w:lang w:val="en-US" w:eastAsia="zh-CN"/>
              </w:rPr>
            </w:pPr>
            <w:r>
              <w:rPr>
                <w:rFonts w:hint="default" w:ascii="Times New Roman" w:hAnsi="Times New Roman" w:cs="Times New Roman"/>
                <w:color w:val="auto"/>
                <w:sz w:val="24"/>
                <w:lang w:val="en-US" w:eastAsia="zh-CN"/>
              </w:rPr>
              <w:t>④</w:t>
            </w:r>
            <w:r>
              <w:rPr>
                <w:rFonts w:hint="default" w:ascii="Times New Roman" w:hAnsi="Times New Roman" w:cs="Times New Roman"/>
                <w:color w:val="auto"/>
                <w:sz w:val="24"/>
                <w:highlight w:val="none"/>
                <w:lang w:val="en-US" w:eastAsia="zh-CN"/>
              </w:rPr>
              <w:t>精密过滤器</w:t>
            </w:r>
          </w:p>
          <w:p w14:paraId="03BEE091">
            <w:pPr>
              <w:spacing w:line="360" w:lineRule="auto"/>
              <w:ind w:firstLine="480" w:firstLineChars="200"/>
              <w:outlineLvl w:val="9"/>
              <w:rPr>
                <w:rFonts w:hint="default" w:ascii="Times New Roman" w:hAnsi="Times New Roman" w:cs="Times New Roman"/>
                <w:color w:val="auto"/>
                <w:sz w:val="24"/>
                <w:highlight w:val="none"/>
                <w:lang w:val="en-US" w:eastAsia="zh-CN"/>
              </w:rPr>
            </w:pPr>
            <w:r>
              <w:rPr>
                <w:rFonts w:hint="default" w:ascii="Times New Roman" w:hAnsi="Times New Roman" w:cs="Times New Roman"/>
                <w:color w:val="auto"/>
                <w:sz w:val="24"/>
                <w:highlight w:val="none"/>
                <w:lang w:val="en-US" w:eastAsia="zh-CN"/>
              </w:rPr>
              <w:t>安装于反渗透</w:t>
            </w:r>
            <w:r>
              <w:rPr>
                <w:rFonts w:hint="default" w:ascii="Times New Roman" w:hAnsi="Times New Roman" w:cs="Times New Roman"/>
                <w:color w:val="auto"/>
                <w:sz w:val="24"/>
              </w:rPr>
              <w:t>高压泵进水端前，能有效去除水、油雾及固体颗粒</w:t>
            </w:r>
            <w:r>
              <w:rPr>
                <w:rFonts w:hint="default" w:ascii="Times New Roman" w:hAnsi="Times New Roman" w:cs="Times New Roman"/>
                <w:color w:val="auto"/>
                <w:sz w:val="24"/>
                <w:lang w:eastAsia="zh-CN"/>
              </w:rPr>
              <w:t>，</w:t>
            </w:r>
            <w:r>
              <w:rPr>
                <w:rFonts w:hint="default" w:ascii="Times New Roman" w:hAnsi="Times New Roman" w:cs="Times New Roman"/>
                <w:color w:val="auto"/>
                <w:sz w:val="24"/>
              </w:rPr>
              <w:t>可截留 0.1μm</w:t>
            </w:r>
            <w:r>
              <w:rPr>
                <w:rFonts w:hint="default" w:ascii="Times New Roman" w:hAnsi="Times New Roman" w:cs="Times New Roman"/>
                <w:color w:val="auto"/>
                <w:sz w:val="24"/>
                <w:lang w:val="en-US" w:eastAsia="zh-CN"/>
              </w:rPr>
              <w:t>-</w:t>
            </w:r>
            <w:r>
              <w:rPr>
                <w:rFonts w:hint="default" w:ascii="Times New Roman" w:hAnsi="Times New Roman" w:cs="Times New Roman"/>
                <w:color w:val="auto"/>
                <w:sz w:val="24"/>
              </w:rPr>
              <w:t>100μm 甚至更小的颗粒物，防止杂质经高压泵后可能会击穿反渗透膜组件，从而造成大量盐漏和串水现象，影响出水水质。当运行一段时间后，由于水中的颗粒、杂质将滤芯表面堵住，过滤器的进、出口压差将变大，当压差大于设定值（通常为0.08Mpa）时及时更换</w:t>
            </w:r>
            <w:r>
              <w:rPr>
                <w:rFonts w:hint="default" w:ascii="Times New Roman" w:hAnsi="Times New Roman" w:cs="Times New Roman"/>
                <w:color w:val="auto"/>
                <w:sz w:val="24"/>
                <w:lang w:val="en-US" w:eastAsia="zh-CN"/>
              </w:rPr>
              <w:t>过滤袋和</w:t>
            </w:r>
            <w:r>
              <w:rPr>
                <w:rFonts w:hint="default" w:ascii="Times New Roman" w:hAnsi="Times New Roman" w:cs="Times New Roman"/>
                <w:color w:val="auto"/>
                <w:sz w:val="24"/>
              </w:rPr>
              <w:t>滤芯，避免由于滤芯堵塞而形成背压对系统造成损坏。</w:t>
            </w:r>
          </w:p>
          <w:p w14:paraId="25EA8EB4">
            <w:pPr>
              <w:spacing w:line="360" w:lineRule="auto"/>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lang w:val="en-US" w:eastAsia="zh-CN"/>
              </w:rPr>
              <w:t>⑤</w:t>
            </w:r>
            <w:r>
              <w:rPr>
                <w:rFonts w:hint="default" w:ascii="Times New Roman" w:hAnsi="Times New Roman" w:cs="Times New Roman"/>
                <w:color w:val="auto"/>
                <w:sz w:val="24"/>
                <w:highlight w:val="none"/>
              </w:rPr>
              <w:t>一级RO反渗透系统</w:t>
            </w:r>
          </w:p>
          <w:p w14:paraId="36E48CD2">
            <w:pPr>
              <w:spacing w:line="360" w:lineRule="auto"/>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RO反渗透技术是利用压力差为动力的膜分离过滤技术，其孔径小至纳米级，在一定的压力下，H</w:t>
            </w:r>
            <w:r>
              <w:rPr>
                <w:rFonts w:hint="default" w:ascii="Times New Roman" w:hAnsi="Times New Roman" w:cs="Times New Roman"/>
                <w:color w:val="auto"/>
                <w:sz w:val="24"/>
                <w:highlight w:val="none"/>
                <w:vertAlign w:val="subscript"/>
              </w:rPr>
              <w:t>2</w:t>
            </w:r>
            <w:r>
              <w:rPr>
                <w:rFonts w:hint="default" w:ascii="Times New Roman" w:hAnsi="Times New Roman" w:cs="Times New Roman"/>
                <w:color w:val="auto"/>
                <w:sz w:val="24"/>
                <w:highlight w:val="none"/>
              </w:rPr>
              <w:t>O分子可以通过RO膜，而源水中的无机盐、重金属离子、有机物、胶体、细菌、病毒等杂质无法透过RO膜，从而使可以透过的纯水和无法透过的浓缩水严格区分开来。</w:t>
            </w:r>
          </w:p>
          <w:p w14:paraId="7EA92BBA">
            <w:pPr>
              <w:spacing w:line="360" w:lineRule="auto"/>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反渗透装置主要由高压泵、反渗透膜元件、膜压力容器、机架和控制等几部分组成。高压泵对进水加压，除水分子可以透过RO膜外，水中的</w:t>
            </w:r>
            <w:r>
              <w:rPr>
                <w:rFonts w:hint="default" w:ascii="Times New Roman" w:hAnsi="Times New Roman" w:cs="Times New Roman"/>
                <w:color w:val="auto"/>
                <w:sz w:val="24"/>
                <w:highlight w:val="none"/>
                <w:lang w:eastAsia="zh-CN"/>
              </w:rPr>
              <w:t>其他物质</w:t>
            </w:r>
            <w:r>
              <w:rPr>
                <w:rFonts w:hint="default" w:ascii="Times New Roman" w:hAnsi="Times New Roman" w:cs="Times New Roman"/>
                <w:color w:val="auto"/>
                <w:sz w:val="24"/>
                <w:highlight w:val="none"/>
              </w:rPr>
              <w:t>（矿物质、有机物、微生物等）几乎都被拒于膜外，无法透过RO膜而被高压浓水冲走。反渗透膜过滤工艺利用RO膜的高脱盐性能能彻底除去过去纯水制造工艺中较难去除的TOC、SiO</w:t>
            </w:r>
            <w:r>
              <w:rPr>
                <w:rFonts w:hint="default" w:ascii="Times New Roman" w:hAnsi="Times New Roman" w:cs="Times New Roman"/>
                <w:color w:val="auto"/>
                <w:sz w:val="24"/>
                <w:highlight w:val="none"/>
                <w:vertAlign w:val="subscript"/>
              </w:rPr>
              <w:t>2</w:t>
            </w:r>
            <w:r>
              <w:rPr>
                <w:rFonts w:hint="default" w:ascii="Times New Roman" w:hAnsi="Times New Roman" w:cs="Times New Roman"/>
                <w:color w:val="auto"/>
                <w:sz w:val="24"/>
                <w:highlight w:val="none"/>
              </w:rPr>
              <w:t>、微粒子及细菌，同时又彻底省掉离子交换再生酸碱消耗、免除酸碱排污污染及避免离子交换层中细菌、有机物的二次污染。经反渗透处理后的水，能去除99%以上的溶解固体、无机盐类、有机物及胶体，以及接近100%的微生物。</w:t>
            </w:r>
          </w:p>
          <w:p w14:paraId="706E5F75">
            <w:pPr>
              <w:spacing w:line="360" w:lineRule="auto"/>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项目一级RO反渗透装置主要技术参数为：设计回收率</w:t>
            </w:r>
            <w:r>
              <w:rPr>
                <w:rFonts w:hint="default" w:ascii="Times New Roman" w:hAnsi="Times New Roman" w:cs="Times New Roman"/>
                <w:color w:val="auto"/>
                <w:sz w:val="24"/>
                <w:highlight w:val="none"/>
                <w:lang w:val="en-US" w:eastAsia="zh-CN"/>
              </w:rPr>
              <w:t>80</w:t>
            </w:r>
            <w:r>
              <w:rPr>
                <w:rFonts w:hint="default" w:ascii="Times New Roman" w:hAnsi="Times New Roman" w:cs="Times New Roman"/>
                <w:color w:val="auto"/>
                <w:sz w:val="24"/>
                <w:highlight w:val="none"/>
              </w:rPr>
              <w:t>%、设计水温25℃；膜元件主要技术参数：脱盐率99.7%、最高进水温度45℃。</w:t>
            </w:r>
          </w:p>
          <w:p w14:paraId="5A4887B8">
            <w:pPr>
              <w:spacing w:line="360" w:lineRule="auto"/>
              <w:ind w:firstLine="480" w:firstLineChars="200"/>
              <w:outlineLvl w:val="9"/>
              <w:rPr>
                <w:rFonts w:hint="default" w:ascii="Times New Roman" w:hAnsi="Times New Roman" w:cs="Times New Roman"/>
                <w:color w:val="auto"/>
                <w:sz w:val="24"/>
                <w:lang w:val="en-US" w:eastAsia="zh-CN"/>
              </w:rPr>
            </w:pPr>
            <w:r>
              <w:rPr>
                <w:rFonts w:hint="default" w:ascii="Times New Roman" w:hAnsi="Times New Roman" w:cs="Times New Roman"/>
                <w:color w:val="auto"/>
                <w:sz w:val="24"/>
                <w:highlight w:val="none"/>
                <w:lang w:val="en-US" w:eastAsia="zh-CN"/>
              </w:rPr>
              <w:t>⑥</w:t>
            </w:r>
            <w:r>
              <w:rPr>
                <w:rFonts w:hint="default" w:ascii="Times New Roman" w:hAnsi="Times New Roman" w:cs="Times New Roman"/>
                <w:color w:val="auto"/>
                <w:sz w:val="24"/>
                <w:lang w:val="en-US" w:eastAsia="zh-CN"/>
              </w:rPr>
              <w:t>加药装置</w:t>
            </w:r>
          </w:p>
          <w:p w14:paraId="6808DA9D">
            <w:pPr>
              <w:spacing w:line="360" w:lineRule="auto"/>
              <w:ind w:firstLine="480" w:firstLineChars="200"/>
              <w:outlineLvl w:val="9"/>
              <w:rPr>
                <w:rFonts w:hint="default" w:ascii="Times New Roman" w:hAnsi="Times New Roman" w:eastAsia="宋体" w:cs="Times New Roman"/>
                <w:color w:val="auto"/>
                <w:sz w:val="24"/>
                <w:highlight w:val="none"/>
                <w:lang w:val="en-US" w:eastAsia="zh-CN"/>
              </w:rPr>
            </w:pPr>
            <w:r>
              <w:rPr>
                <w:rFonts w:hint="default" w:ascii="Times New Roman" w:hAnsi="Times New Roman" w:cs="Times New Roman"/>
                <w:color w:val="auto"/>
                <w:sz w:val="24"/>
                <w:highlight w:val="none"/>
              </w:rPr>
              <w:t>为提高</w:t>
            </w:r>
            <w:r>
              <w:rPr>
                <w:rFonts w:hint="default" w:ascii="Times New Roman" w:hAnsi="Times New Roman" w:cs="Times New Roman"/>
                <w:color w:val="auto"/>
                <w:sz w:val="24"/>
                <w:highlight w:val="none"/>
                <w:lang w:val="en-US" w:eastAsia="zh-CN"/>
              </w:rPr>
              <w:t>二级</w:t>
            </w:r>
            <w:r>
              <w:rPr>
                <w:rFonts w:hint="default" w:ascii="Times New Roman" w:hAnsi="Times New Roman" w:cs="Times New Roman"/>
                <w:color w:val="auto"/>
                <w:sz w:val="24"/>
                <w:highlight w:val="none"/>
              </w:rPr>
              <w:t>反渗透（RO）装置的回收率，并</w:t>
            </w:r>
            <w:r>
              <w:rPr>
                <w:rFonts w:hint="default" w:ascii="Times New Roman" w:hAnsi="Times New Roman" w:cs="Times New Roman"/>
                <w:color w:val="auto"/>
                <w:sz w:val="24"/>
                <w:highlight w:val="none"/>
                <w:lang w:val="en-US" w:eastAsia="zh-CN"/>
              </w:rPr>
              <w:t>为后端EDI系统适配合适的工作条件，降低反渗透膜结垢的风险，需</w:t>
            </w:r>
            <w:r>
              <w:rPr>
                <w:rFonts w:hint="default" w:ascii="Times New Roman" w:hAnsi="Times New Roman" w:cs="Times New Roman"/>
                <w:color w:val="auto"/>
                <w:sz w:val="24"/>
                <w:highlight w:val="none"/>
              </w:rPr>
              <w:t>在</w:t>
            </w:r>
            <w:r>
              <w:rPr>
                <w:rFonts w:hint="default" w:ascii="Times New Roman" w:hAnsi="Times New Roman" w:cs="Times New Roman"/>
                <w:color w:val="auto"/>
                <w:sz w:val="24"/>
                <w:highlight w:val="none"/>
                <w:lang w:val="en-US" w:eastAsia="zh-CN"/>
              </w:rPr>
              <w:t>二级</w:t>
            </w:r>
            <w:r>
              <w:rPr>
                <w:rFonts w:hint="default" w:ascii="Times New Roman" w:hAnsi="Times New Roman" w:cs="Times New Roman"/>
                <w:color w:val="auto"/>
                <w:sz w:val="24"/>
                <w:highlight w:val="none"/>
              </w:rPr>
              <w:t>反渗透（RO）装置</w:t>
            </w:r>
            <w:r>
              <w:rPr>
                <w:rFonts w:hint="default" w:ascii="Times New Roman" w:hAnsi="Times New Roman" w:cs="Times New Roman"/>
                <w:color w:val="auto"/>
                <w:sz w:val="24"/>
                <w:highlight w:val="none"/>
                <w:lang w:val="en-US" w:eastAsia="zh-CN"/>
              </w:rPr>
              <w:t>前设置加药装置调节纯水的pH值。项目拟采用NaOH作为pH调节剂。当水中pH值在7.5~8.5时，可将水中CO</w:t>
            </w:r>
            <w:r>
              <w:rPr>
                <w:rFonts w:hint="default" w:ascii="Times New Roman" w:hAnsi="Times New Roman" w:cs="Times New Roman"/>
                <w:color w:val="auto"/>
                <w:sz w:val="24"/>
                <w:highlight w:val="none"/>
                <w:vertAlign w:val="subscript"/>
                <w:lang w:val="en-US" w:eastAsia="zh-CN"/>
              </w:rPr>
              <w:t>2</w:t>
            </w:r>
            <w:r>
              <w:rPr>
                <w:rFonts w:hint="default" w:ascii="Times New Roman" w:hAnsi="Times New Roman" w:cs="Times New Roman"/>
                <w:color w:val="auto"/>
                <w:sz w:val="24"/>
                <w:highlight w:val="none"/>
                <w:lang w:val="en-US" w:eastAsia="zh-CN"/>
              </w:rPr>
              <w:t>转化为HCO</w:t>
            </w:r>
            <w:r>
              <w:rPr>
                <w:rFonts w:hint="default" w:ascii="Times New Roman" w:hAnsi="Times New Roman" w:cs="Times New Roman"/>
                <w:color w:val="auto"/>
                <w:sz w:val="24"/>
                <w:highlight w:val="none"/>
                <w:vertAlign w:val="superscript"/>
                <w:lang w:val="en-US" w:eastAsia="zh-CN"/>
              </w:rPr>
              <w:t>3-</w:t>
            </w:r>
            <w:r>
              <w:rPr>
                <w:rFonts w:hint="default" w:ascii="Times New Roman" w:hAnsi="Times New Roman" w:cs="Times New Roman"/>
                <w:color w:val="auto"/>
                <w:sz w:val="24"/>
                <w:highlight w:val="none"/>
                <w:lang w:val="en-US" w:eastAsia="zh-CN"/>
              </w:rPr>
              <w:t>和CO</w:t>
            </w:r>
            <w:r>
              <w:rPr>
                <w:rFonts w:hint="default" w:ascii="Times New Roman" w:hAnsi="Times New Roman" w:cs="Times New Roman"/>
                <w:color w:val="auto"/>
                <w:sz w:val="24"/>
                <w:highlight w:val="none"/>
                <w:vertAlign w:val="subscript"/>
                <w:lang w:val="en-US" w:eastAsia="zh-CN"/>
              </w:rPr>
              <w:t>3</w:t>
            </w:r>
            <w:r>
              <w:rPr>
                <w:rFonts w:hint="default" w:ascii="Times New Roman" w:hAnsi="Times New Roman" w:cs="Times New Roman"/>
                <w:color w:val="auto"/>
                <w:sz w:val="24"/>
                <w:highlight w:val="none"/>
                <w:vertAlign w:val="superscript"/>
                <w:lang w:val="en-US" w:eastAsia="zh-CN"/>
              </w:rPr>
              <w:t>2-</w:t>
            </w:r>
            <w:r>
              <w:rPr>
                <w:rFonts w:hint="default" w:ascii="Times New Roman" w:hAnsi="Times New Roman" w:cs="Times New Roman"/>
                <w:color w:val="auto"/>
                <w:sz w:val="24"/>
                <w:highlight w:val="none"/>
                <w:lang w:val="en-US" w:eastAsia="zh-CN"/>
              </w:rPr>
              <w:t>，从而被反渗透（RO）膜有效截留，显著降低产水电导率；当水中pH值在7~8时，满足电去离子（EDI）模块对进水酸碱度的要求，保障纯水制备稳定性。</w:t>
            </w:r>
          </w:p>
          <w:p w14:paraId="1E749267">
            <w:pPr>
              <w:spacing w:line="360" w:lineRule="auto"/>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lang w:val="en-US" w:eastAsia="zh-CN"/>
              </w:rPr>
              <w:t>⑦</w:t>
            </w:r>
            <w:r>
              <w:rPr>
                <w:rFonts w:hint="default" w:ascii="Times New Roman" w:hAnsi="Times New Roman" w:cs="Times New Roman"/>
                <w:color w:val="auto"/>
                <w:sz w:val="24"/>
                <w:highlight w:val="none"/>
              </w:rPr>
              <w:t>二级反渗透系统</w:t>
            </w:r>
          </w:p>
          <w:p w14:paraId="1544A0C4">
            <w:pPr>
              <w:spacing w:line="360" w:lineRule="auto"/>
              <w:ind w:firstLine="480" w:firstLineChars="200"/>
              <w:outlineLvl w:val="9"/>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highlight w:val="none"/>
              </w:rPr>
              <w:t>项目二级RO反渗透装置主要技术参数为：设计回收率</w:t>
            </w:r>
            <w:r>
              <w:rPr>
                <w:rFonts w:hint="default" w:ascii="Times New Roman" w:hAnsi="Times New Roman" w:cs="Times New Roman"/>
                <w:color w:val="auto"/>
                <w:sz w:val="24"/>
                <w:highlight w:val="none"/>
                <w:lang w:val="en-US" w:eastAsia="zh-CN"/>
              </w:rPr>
              <w:t>90</w:t>
            </w:r>
            <w:r>
              <w:rPr>
                <w:rFonts w:hint="default" w:ascii="Times New Roman" w:hAnsi="Times New Roman" w:cs="Times New Roman"/>
                <w:color w:val="auto"/>
                <w:sz w:val="24"/>
                <w:highlight w:val="none"/>
              </w:rPr>
              <w:t>%、设计水温25℃；膜元件主要技术参数：脱盐率99.7%、最高进水温度45℃。</w:t>
            </w:r>
            <w:r>
              <w:rPr>
                <w:rFonts w:hint="default" w:ascii="Times New Roman" w:hAnsi="Times New Roman" w:cs="Times New Roman"/>
                <w:color w:val="auto"/>
                <w:sz w:val="24"/>
                <w:szCs w:val="24"/>
                <w:highlight w:val="none"/>
              </w:rPr>
              <w:t>经过二级反渗透系统处理后得到合格的纯水，进入纯水罐储存。由</w:t>
            </w:r>
            <w:r>
              <w:rPr>
                <w:rFonts w:hint="default" w:ascii="Times New Roman" w:hAnsi="Times New Roman" w:cs="Times New Roman"/>
                <w:color w:val="auto"/>
                <w:sz w:val="24"/>
                <w:szCs w:val="24"/>
                <w:highlight w:val="none"/>
                <w:lang w:val="en-US" w:eastAsia="zh-CN"/>
              </w:rPr>
              <w:t>增压</w:t>
            </w:r>
            <w:r>
              <w:rPr>
                <w:rFonts w:hint="default" w:ascii="Times New Roman" w:hAnsi="Times New Roman" w:cs="Times New Roman"/>
                <w:color w:val="auto"/>
                <w:sz w:val="24"/>
                <w:szCs w:val="24"/>
                <w:highlight w:val="none"/>
              </w:rPr>
              <w:t>泵</w:t>
            </w:r>
            <w:r>
              <w:rPr>
                <w:rFonts w:hint="default" w:ascii="Times New Roman" w:hAnsi="Times New Roman" w:cs="Times New Roman"/>
                <w:color w:val="auto"/>
                <w:sz w:val="24"/>
                <w:szCs w:val="24"/>
                <w:highlight w:val="none"/>
                <w:lang w:val="en-US" w:eastAsia="zh-CN"/>
              </w:rPr>
              <w:t>泵至EDI系统</w:t>
            </w:r>
            <w:r>
              <w:rPr>
                <w:rFonts w:hint="default" w:ascii="Times New Roman" w:hAnsi="Times New Roman" w:cs="Times New Roman"/>
                <w:color w:val="auto"/>
                <w:sz w:val="24"/>
                <w:szCs w:val="24"/>
                <w:highlight w:val="none"/>
              </w:rPr>
              <w:t>。</w:t>
            </w:r>
          </w:p>
          <w:p w14:paraId="07B2C7F7">
            <w:pPr>
              <w:spacing w:line="360" w:lineRule="auto"/>
              <w:ind w:firstLine="480" w:firstLineChars="200"/>
              <w:jc w:val="left"/>
              <w:outlineLvl w:val="9"/>
              <w:rPr>
                <w:rFonts w:hint="default" w:ascii="Times New Roman" w:hAnsi="Times New Roman" w:cs="Times New Roman"/>
                <w:color w:val="auto"/>
                <w:sz w:val="24"/>
                <w:lang w:val="en-US" w:eastAsia="zh-CN"/>
              </w:rPr>
            </w:pPr>
            <w:r>
              <w:rPr>
                <w:rFonts w:hint="default" w:ascii="Times New Roman" w:hAnsi="Times New Roman" w:cs="Times New Roman"/>
                <w:color w:val="auto"/>
                <w:sz w:val="24"/>
                <w:lang w:val="en-US" w:eastAsia="zh-CN"/>
              </w:rPr>
              <w:t>⑧</w:t>
            </w:r>
            <w:r>
              <w:rPr>
                <w:rFonts w:hint="default" w:ascii="Times New Roman" w:hAnsi="Times New Roman" w:cs="Times New Roman"/>
                <w:color w:val="auto"/>
                <w:sz w:val="24"/>
                <w:szCs w:val="24"/>
                <w:highlight w:val="none"/>
                <w:lang w:val="en-US" w:eastAsia="zh-CN"/>
              </w:rPr>
              <w:t>EDI系统</w:t>
            </w:r>
          </w:p>
          <w:p w14:paraId="248AD587">
            <w:pPr>
              <w:spacing w:line="360" w:lineRule="auto"/>
              <w:ind w:firstLine="480" w:firstLineChars="200"/>
              <w:jc w:val="both"/>
              <w:outlineLvl w:val="9"/>
              <w:rPr>
                <w:rFonts w:hint="default" w:ascii="Times New Roman" w:hAnsi="Times New Roman" w:cs="Times New Roman"/>
                <w:color w:val="auto"/>
                <w:sz w:val="24"/>
                <w:lang w:val="en-US" w:eastAsia="zh-CN"/>
              </w:rPr>
            </w:pPr>
            <w:r>
              <w:rPr>
                <w:rFonts w:hint="default" w:ascii="Times New Roman" w:hAnsi="Times New Roman" w:cs="Times New Roman"/>
                <w:color w:val="auto"/>
                <w:sz w:val="24"/>
              </w:rPr>
              <mc:AlternateContent>
                <mc:Choice Requires="wpg">
                  <w:drawing>
                    <wp:anchor distT="0" distB="0" distL="114300" distR="114300" simplePos="0" relativeHeight="251662336" behindDoc="0" locked="0" layoutInCell="1" allowOverlap="1">
                      <wp:simplePos x="0" y="0"/>
                      <wp:positionH relativeFrom="column">
                        <wp:posOffset>3039110</wp:posOffset>
                      </wp:positionH>
                      <wp:positionV relativeFrom="paragraph">
                        <wp:posOffset>1338580</wp:posOffset>
                      </wp:positionV>
                      <wp:extent cx="2586990" cy="2339975"/>
                      <wp:effectExtent l="0" t="0" r="3810" b="0"/>
                      <wp:wrapSquare wrapText="bothSides"/>
                      <wp:docPr id="6" name="组合 6"/>
                      <wp:cNvGraphicFramePr/>
                      <a:graphic xmlns:a="http://schemas.openxmlformats.org/drawingml/2006/main">
                        <a:graphicData uri="http://schemas.microsoft.com/office/word/2010/wordprocessingGroup">
                          <wpg:wgp>
                            <wpg:cNvGrpSpPr/>
                            <wpg:grpSpPr>
                              <a:xfrm>
                                <a:off x="0" y="0"/>
                                <a:ext cx="2586990" cy="2339975"/>
                                <a:chOff x="5933" y="1122655"/>
                                <a:chExt cx="4628" cy="4088"/>
                              </a:xfrm>
                            </wpg:grpSpPr>
                            <pic:pic xmlns:pic="http://schemas.openxmlformats.org/drawingml/2006/picture">
                              <pic:nvPicPr>
                                <pic:cNvPr id="12" name="图片 572" descr="01ce0070-ecd3-4137-82a5-5e73f88b7c49"/>
                                <pic:cNvPicPr>
                                  <a:picLocks noChangeAspect="1"/>
                                </pic:cNvPicPr>
                              </pic:nvPicPr>
                              <pic:blipFill>
                                <a:blip r:embed="rId19"/>
                                <a:stretch>
                                  <a:fillRect/>
                                </a:stretch>
                              </pic:blipFill>
                              <pic:spPr>
                                <a:xfrm>
                                  <a:off x="5933" y="1122655"/>
                                  <a:ext cx="4628" cy="3665"/>
                                </a:xfrm>
                                <a:prstGeom prst="rect">
                                  <a:avLst/>
                                </a:prstGeom>
                                <a:noFill/>
                                <a:ln>
                                  <a:noFill/>
                                </a:ln>
                              </pic:spPr>
                            </pic:pic>
                            <wps:wsp>
                              <wps:cNvPr id="18" name="文本框 3"/>
                              <wps:cNvSpPr txBox="1"/>
                              <wps:spPr>
                                <a:xfrm>
                                  <a:off x="7511" y="1126279"/>
                                  <a:ext cx="1843" cy="464"/>
                                </a:xfrm>
                                <a:prstGeom prst="rect">
                                  <a:avLst/>
                                </a:prstGeom>
                                <a:noFill/>
                                <a:ln>
                                  <a:noFill/>
                                </a:ln>
                              </wps:spPr>
                              <wps:txbx>
                                <w:txbxContent>
                                  <w:p w14:paraId="15ACE86C">
                                    <w:pPr>
                                      <w:ind w:left="0" w:leftChars="0" w:firstLine="0" w:firstLineChars="0"/>
                                      <w:jc w:val="center"/>
                                      <w:rPr>
                                        <w:rFonts w:hint="default" w:ascii="Times New Roman" w:hAnsi="Times New Roman" w:eastAsia="黑体" w:cs="Times New Roman"/>
                                        <w:sz w:val="21"/>
                                        <w:szCs w:val="21"/>
                                        <w:lang w:val="en-US" w:eastAsia="zh-CN"/>
                                      </w:rPr>
                                    </w:pPr>
                                    <w:r>
                                      <w:rPr>
                                        <w:rFonts w:hint="default" w:ascii="Times New Roman" w:hAnsi="Times New Roman" w:eastAsia="黑体" w:cs="Times New Roman"/>
                                        <w:sz w:val="21"/>
                                        <w:szCs w:val="21"/>
                                        <w:lang w:val="en-US" w:eastAsia="zh-CN"/>
                                      </w:rPr>
                                      <w:t>EDI工作原理图</w:t>
                                    </w:r>
                                  </w:p>
                                </w:txbxContent>
                              </wps:txbx>
                              <wps:bodyPr lIns="0" tIns="0" rIns="0" bIns="0" upright="1"/>
                            </wps:wsp>
                          </wpg:wgp>
                        </a:graphicData>
                      </a:graphic>
                    </wp:anchor>
                  </w:drawing>
                </mc:Choice>
                <mc:Fallback>
                  <w:pict>
                    <v:group id="_x0000_s1026" o:spid="_x0000_s1026" o:spt="203" style="position:absolute;left:0pt;margin-left:239.3pt;margin-top:105.4pt;height:184.25pt;width:203.7pt;mso-wrap-distance-bottom:0pt;mso-wrap-distance-left:9pt;mso-wrap-distance-right:9pt;mso-wrap-distance-top:0pt;z-index:251662336;mso-width-relative:page;mso-height-relative:page;" coordorigin="5933,1122655" coordsize="4628,4088" o:gfxdata="UEsDBAoAAAAAAIdO4kAAAAAAAAAAAAAAAAAEAAAAZHJzL1BLAwQUAAAACACHTuJAaVS0w9wAAAAL&#10;AQAADwAAAGRycy9kb3ducmV2LnhtbE2PwW7CMBBE75X6D9ZW6q3YhhJCGgdVqO0JIRUqVdxMvCQR&#10;sR3FJoG/7/bUHlc7mnkvX11tywbsQ+OdAjkRwNCV3jSuUvC1f39KgYWondGtd6jghgFWxf1drjPj&#10;R/eJwy5WjEpcyLSCOsYu4zyUNVodJr5DR7+T762OdPYVN70eqdy2fCpEwq1uHC3UusN1jeV5d7EK&#10;PkY9vs7k27A5n9a3w36+/d5IVOrxQYoXYBGv8S8Mv/iEDgUxHf3FmcBaBc+LNKGogqkU5ECJNE3I&#10;7qhgvljOgBc5/+9Q/ABQSwMEFAAAAAgAh07iQCWmcw78AgAABQcAAA4AAABkcnMvZTJvRG9jLnht&#10;bLVVzW7TQBC+I/EOK99Tx3bsOFaTCiitKiGIKDzAZr3+EbZ3tbv56R1RuHHiAhfuvAESb9P2NZjx&#10;X5q2iILgkGR2dnf2m2++mewfbMqCrLjSuaimlrM3tAivmIjzKp1ar18dDUKLaEOrmBai4lPrjGvr&#10;YPbwwf5aRtwVmShirggEqXS0llMrM0ZGtq1Zxkuq94TkFWwmQpXUwFKldqzoGqKXhe0Oh4G9FiqW&#10;SjCuNXgPm02rjajuE1AkSc74oWDLklemiap4QQ2kpLNcamtWo00SzsyLJNHckGJqQaam/oZHwF7g&#10;tz3bp1GqqMxy1kKg94FwI6eS5hU82oc6pIaSpcpvhSpzpoQWidljorSbRGpGIAtneIObYyWWss4l&#10;jdap7EmHQt1g/a/DsueruSJ5PLUCi1S0hIJffX978fE9CZCbtUwjOHKs5Kmcq9aRNitMd5OoEn8h&#10;EbKpWT3rWeUbQxg4XT8MJhMgnMGe63mTydhveGcZFAfv+RPPswhsO47rBn6//bQNMQpcUCXeHw3D&#10;EC/b3ds2QuwRyZxF8GmZAusWU7/XJ9wyS8WBd4xWreY5m6tmsWXLcTu6Lj7/uPpwTvwxeGKuGYrL&#10;YXw4HA8HnMXeYOR440HoUn/g87GXhOFizEYTTALjY8jmAYrInwn2RpNKPMlolfJHWoKCgZY65d3j&#10;Ni530C2KXB7lRYEFQfvfthRRES8XHJSiTuIaEI20UdywDB9M4OGXALapTb9Ro9wCQ8walHSHdu7W&#10;QCeirQK8IKj10SsAeFPaHHNREjQAH8CA6tGIrp7pFlB3BN2VQJYAKI2KascBMdFTg25g1iagxlaA&#10;eac7UmF1S1p/1ISnGZWoMQx7TVYg86YLLz+dX375dvn1HfGw+O0x7EJiNo8FNE1dA/T/gtCx7zhd&#10;UwXuuFYcjTpCnXAELVe3VDDa6aj/wOcWJVpms9i0KS1EfAYZFScV0InzuTNUZyw6YylVnmZ9M2Ag&#10;KAcUCwcATMd6JrSTHMfv9XV9avvvNfsJUEsDBAoAAAAAAIdO4kAAAAAAAAAAAAAAAAAKAAAAZHJz&#10;L21lZGlhL1BLAwQUAAAACACHTuJApMuyrmDJAABWyQAAFQAAAGRycy9tZWRpYS9pbWFnZTEuanBl&#10;ZwBWyak2/9j/4AAQSkZJRgABAQEA3ADcAAD/2wBDAAgGBgcGBQgHBwcJCQgKDBQNDAsLDBkSEw8U&#10;HRofHh0aHBwgJC4nICIsIxwcKDcpLDAxNDQ0Hyc5PTgyPC4zNDL/2wBDAQkJCQwLDBgNDRgyIRwh&#10;MjIyMjIyMjIyMjIyMjIyMjIyMjIyMjIyMjIyMjIyMjIyMjIyMjIyMjIyMjIyMjIyMjL/wAARCAH5&#10;Am4DASIAAhEBAxEB/8QAHwAAAQUBAQEBAQEAAAAAAAAAAAECAwQFBgcICQoL/8QAtRAAAgEDAwIE&#10;AwUFBAQAAAF9AQIDAAQRBRIhMUEGE1FhByJxFDKBkaEII0KxwRVS0fAkM2JyggkKFhcYGRolJico&#10;KSo0NTY3ODk6Q0RFRkdISUpTVFVWV1hZWmNkZWZnaGlqc3R1dnd4eXqDhIWGh4iJipKTlJWWl5iZ&#10;mqKjpKWmp6ipqrKztLW2t7i5usLDxMXGx8jJytLT1NXW19jZ2uHi4+Tl5ufo6erx8vP09fb3+Pn6&#10;/8QAHwEAAwEBAQEBAQEBAQAAAAAAAAECAwQFBgcICQoL/8QAtREAAgECBAQDBAcFBAQAAQJ3AAEC&#10;AxEEBSExBhJBUQdhcRMiMoEIFEKRobHBCSMzUvAVYnLRChYkNOEl8RcYGRomJygpKjU2Nzg5OkNE&#10;RUZHSElKU1RVVldYWVpjZGVmZ2hpanN0dXZ3eHl6goOEhYaHiImKkpOUlZaXmJmaoqOkpaanqKmq&#10;srO0tba3uLm6wsPExcbHyMnK0tPU1dbX2Nna4uPk5ebn6Onq8vP09fb3+Pn6/9oADAMBAAIRAxEA&#10;PwD3+iiigAooooAKKKKACiiigAooooAKKKKACiiigAooooAKKKKACiiigAooooAKKKKACiiigAqp&#10;FqdjPqFzYRXUT3dqqNPCrZaMNnbkds4NWJS6xOY1DSBSVUnAJ7DPavk2fxJ4xsL7xRcQNbQ3Mkki&#10;avPFcRvkOQqhfm4CfdUr0LEE9qAPqLQfEGmeJtMGo6Rci4tTI0e8KV+ZTg8EA0/W9asPD2j3Oq6n&#10;N5NnbrukfBPU4AAHUkkD8a8N+GurahZeMbnR/BtkkmiPDFJc293fRuYX2hWmUoxzkgFlHsOOKq/F&#10;7WPGkcd14c1DUNNvLRrZby5FpbFPKjEgCbixJGXwOD6etAH0Rbzx3VtFcQsHilQOjDupGQakrx34&#10;RXeueKGt9S1DXRDb6PELEaNbKUzhNoeYHqT1HuO2CK9ioAKKKKACiiigAooooAKKKKAGSyxwQvNK&#10;6pHGpZ2Y4CgckmuVuviNoNv4GfxcjzTaYr7F2x7XkO/ZhQ2O+T9BUPxXMy/DPWzDfpYjycPKylty&#10;kgFBjoWztz7185+GtRng1LSpdVuLa/sJXBh02YytB5irsUsiKRlQR0B/nQB9cWV5b6jYwXtrIstv&#10;PGskbr0ZSMg1keIvFVr4cvdFtbiCWV9VvVs4jHjCFv4jnt0rzP4KRavqnhLUYF1xYtJMskcMdtn7&#10;RZybgcIzqRtKnPIPXsc1594muPEj60mrWOtajqltY679j0pLpvNMs0YyWAACnnAGBzn2oA+q6K8+&#10;+FMGm3WiTeIbfV7jVNT1PY2oyzPgpIoP7vYOEC5IHtjHGK9BoAKKKKACiiigAooooAKzNV8Q6Vol&#10;zYW+o3iQTahOLe1jIJaRyQMAAH1HJ4GRWnXzx8XZ/ELfFO1t9N1GxWc2eLJfPWJ7YHBYl3ICuxBw&#10;Qc4wPqAe2Q+K9IuPFtx4Yjuc6rbwCeSLacBTjjPc4YHHoa26+R7TWNUHiCw8uaxt/FDaofN1uW9E&#10;m8sCmxguQIx04BHpwa9n+I2peL9D8N2V3Z65Hb6rdywWaWVtbo6STMeSjOu7B96AO38O+KdP8T/2&#10;kdPE23T7x7OUyKAGdcZK8nI59vpW1Xy54EGpXOvz+C9R12407S72/nke6t/kkvJ0IUoJD0zjOPw5&#10;yK+oIoxDCkSliqKFBY5Jx6nvQA+iiigAooooAKKKKACiiigAooooAKKKKACiiigAooooAKKKKACi&#10;iigAooooAKKKKACiiigAooooAKKKKACiiigAooooAKKKKACiiigAooooAKKKKACiiigAooooAO1f&#10;P2t/CLxCPCeova2Wmw31xMm2w0xSd67wTvmmJbAwDtBA4B57fQNFAHmPg/wxq+mfFDUNRvtHsLK1&#10;Okx28clguIWfcpOBgEHg547Dk1m/EPwTrTaFqsWj6c2sal4guVN9dmVYzbojq0SIp/gAGOvufaXQ&#10;P+E58aza1e23jX+yre01Seyitk02KXCoRg7jg9GxznpW34N1HxHbeN9a8M69rK6sLW1huIbn7KkD&#10;fNnIwv8AnigBG+GskfirTfEelazLpV3HBHDfxRRB0uwoA5yQBkDB4PQHgjNeg0UUAFFFFABRRRQA&#10;UUUUAFFFFAGP4q0e41/wzfaVa3aWk1ygQTPCJQoyCflPByMj8c152vwg1PTfEmiajoviKSKS0hkS&#10;4vLpBK+Su1RHERsC4z3z9TXrlITgE0AcR4P8DXeh+D9T0S+1J/tF9dzTSXlliNyHwMjIO0kD8Ox7&#10;1kXvw21JfEvhuLTLixh8L6RdJdR2xUiaN1HPODv3MM5Jz8xrE8D+HPEfjTwrBrtx49161kuJJR5U&#10;MnyqFcrxz7V1vw5m1SHUPE2jalq9xqn9mXiRxT3GN5Vow3P40Aauk+AND0PxZeeItOSe3ubxCssC&#10;S4hJJyW2epP4egFdRRRQAUUUUAFFFFABRRRQAV594j+HM/ifxodUvL21i0wQJEIYrKJ53IyeZHU7&#10;eT27ccV6DRQB4Tonw28YwaB4YsL630wWllrUd3cW6ovniMOSWeTdtYYJ+Uc4I64xXpviXwvLqGpJ&#10;r9k8U+rWFuyadb3mTbRyk5MhAwdxHGc8YHFc18UDe33i3wXoVvq+oabb6jNcieSxnMTnaqFeR9T1&#10;9awfH3ha78B+HV8Qab4u8Tz3sV1Eu271DzEYFsEFcDP40Aanh/4U/wBqfD/+yvF0Xkakb+a8SW1k&#10;G+BnI6NyOccjnt3HHpWjac2kaPa6e15c3ht4wn2i5bdI/ux71eooAKKKKACiiigAooooAKKKKACi&#10;iigAooooAKKKKACiiigAooooAKKKKACiiigAooooAKKKKACiiigAooooAKKKKACiiigAooooAKKK&#10;KACiiigAooooAKKKKACiiigAooooA87+EO7+y/E29drf8JFeZHofkqTSnVvjl4gCsCV0m3DYPQ7j&#10;/jSfCfi08Vj/AKmW9/8AZKfpaInxw14qiqW0i3ZiBjJ3kZP4AflQB31FFFABRRRQAUUUUAFFFFAB&#10;RRRQAUjfdP0paRvumgDz/wCCf/JLNN/66z/+jXqTwOf+K78ej/p/g/8ARQqP4J/8kt03/rrcf+jX&#10;p/gb/kffH3/X9B/6KoA76iiigAooooAKKKKACiiigAooooA818bwG7+Lvw8iDbdj3kuf92NW/wDZ&#10;cU/42jd8PwD0N/bj/wAfpfF0e/4y+AMsyjbfH5TjpEDTPjdubwFEqY3NqNuBnpncaAPSaKB0ooAK&#10;KKKACiiigAooooAKKKKACiiigAooooAKKKKACiiigAooooAKKKKACiiigAooooAKKKKACiiigAoo&#10;ooAKKKKACiiigAooooAKKKKACiiigAooooAKKKKACiiigAoorgPFnxGv/DXim10KLwzLePeAfZZ2&#10;vEgjmbHKgsMAg8YJz09RQAnwqGLbxZ/2M17/AOyVLp3Hxu1v30e3/wDRjVZ+HGj6rpOlatLrFmtn&#10;dajq1xfi3Eyy+Wsm3Cll4J4Nc/4tl8SeFPHOoeLdP0e2vdLbTI4Z5Z71IBEVYk9Tk9ug5zQB6lRX&#10;JfDzxZqXjLw+dWv9G/s2N5MW480v5yY+8MgYGePeutoAKKKKACiiigAooooAKKKKACg9KK8v8UfE&#10;TxVo/jWPw5ZeGrRjdH/Qrm5u9iXAx2JwA2eNuc9PUUAX/grx8MNPHpNcD/yK9O8Df8j/AOPx/wBP&#10;1v8A+iq1vh34du/C3gqy0u/aJrtGkkl8o5UF3ZsA98ZxXC+JLrxR8ONf8SeJbaLRptK1OaJwLmZh&#10;KzKm0IqjqSc+vTPHNAHsdFYnhLU9X1jw7b3+t6Ymm3c3zC2VyxVOxbIGCfTt9eK26ACiiigAoooo&#10;AKKKKACiisXxXf6zpnhy6vNB0+O/v4l3JbyMRuHfGOp9uM0Acj403/8AC3/h55bbWze5OM8eWuR+&#10;WaPjaM+A4j6ajbn/AMerG8Dy+JPiF4m0Xxfq0mjxWekrcRpBZl/NEki7SrqxO0jr1/POa7j4heF7&#10;rxb4Sl0yxnhhuhLHNE02dmVYHBxk9M0AdTRXlWg+MPHWreNv7GRNAvbG1cDUb2zhm8qH1jV2f5nx&#10;2AOCeehr1WgAooooAKKKKACiiigAooooAKKKKACiiigAooooAKKKKACiiigAooooAKKKKACiiigA&#10;ooooAKKKKACiiigAooooAKKKKACiiigAooooAKKKxtW8W+H9BvEtNW1izsrh08xY55QpK5Izz2yD&#10;+VAGzRWNH4u8NTW5uI/EGlNCBkuLyPAHuc1BrHjfw1oNtZ3OpavbwwXqF7aQZdZVABypUHI+Yc+9&#10;AHQUVx198UvBum3HlXWtQrmGKZHUFw6uSBjaDnGMn0BFdRYahZ6pZR3thdRXNtKMpLC4ZW/EUAWa&#10;KKKACsrxD4d0zxRpMmm6rbCaB+VPRo27Mp7EetatFAHmNt4xu/h3cHRPG00s1iqk6drKxs/nqP8A&#10;lnIBkiQevf8AUlpo2pfEzUU1bxHbzWfhmFg9hpEnytckdJZx6ei/05b0uWGKdQssaSKCGAdQQCOQ&#10;frT6AGxxpFGscaKiIAqqowAB0AFOoooAKKKKACiisDxL400HwibYazeNA1yHMSpC8hYJgsflBwBk&#10;daAN+iuHHxc8INGHS8unDQfaFCWUxLLll7Lxyp64HvU9/wDEvQNN8M6Xr84vDZamcQBIdz5wTgrn&#10;2PrQB2NFecz/ABu8GwLCxuLp0mtTcKVtz2bGzn+Lg+3B5rs9B8QaX4m0tNS0i7W5tXJXeoIIYdQQ&#10;eQeaANOsnxF4c03xRpMmnanB5kTfMjrw8Tjo6Hsw9f6VrUUAeYW/jLWPA0k2ieLLW81Ion/Es1C0&#10;gLm+HQRsB0k6dev6nT0Hwpf61q8XinxkiPfpzYaaDuisF9f9qTplu3boMd5RQAUUVXv72DTdOub6&#10;6bZb20TTStjOFUEk/kKALFFefj4zeDhPBFPcX1t56q0bT2Uihlb7rDjkHBwa3dK8deH9a1xtH0+7&#10;ea9WA3DIYHTagIHO4D+8KAOjory9Pjv4YkguG+x6rC6Wr3MAubcKtxtyMKylupBGSMcHmtHwh8Xf&#10;D3jDU1020jvIbtkVlSSEkE7csNy5AxjGTjPagDv6KKKACiiigDgvFHhXUNM1N/Fng1Vj1Uc3th0i&#10;1BB1BHaT0aqA1zW/iVGunaVaahoOlYxqV7cJ5cxP8UMI9exft+h9MooAz9F0TT/D2lQ6Zpdslvaw&#10;jCovc9yT3J7k1oUUUAFFFFABRRWB4w8SnwroY1BLI3srzxW8cAkEe5nYKPmIOOvpQBv0V5Y/xY1U&#10;2VpJH4WiE15qEthAsupKiOYx8z7ygGM5H4GprH4oX9x4N8T61caRbw3OiTmDyI7nzEkYEA/OB057&#10;UAem0V4y/wAbNQg0P7ZJodtLOupx2RMF2phdWTedrZzuHTpgetdZ8NvHt745sLie60ZrQQyMnnxy&#10;K0TEEfL13BsEdsd89qAO6ooooAKKKKACiiigAooooAKKKKACiiigAooooAKKKKACiiigAooooAKK&#10;KKACiiigAooooAKKKKACiiigArwv4oMh+Iep+c1t5EfhyKSWObrKiXauyJz94ha90rz/AFLwKmu/&#10;FKbVdY0y2vNFOkrbp5xDETCXdwvUcE8++KAPNY7mwvfCnju70rwst9p8skzwaikcKLbKYV4AYhgV&#10;64Ud6rfEqZbXwj8O83DW+dClTcsIlzmCIbcHpnpntnPau4uvhv4kl0jxZa2esf2fa39zO9ppsEUX&#10;lSoUVUDMRlAQoXA6AVb174e63qOgadHZ3VpFeWOgHTUSQE/vHCLIQ3bKKyg/7VAHzt4neJ9ZuhHJ&#10;pUapZ24VbJMxudkeQpC8PkksTjowyeh+tvAM63XgLQ7kJbo81nHJIIFVVLlRuOF4BznPvmvKE+B9&#10;9qFlFcta6do17Z20cdtAr/aEuJlOWknJXGG6bQDjPfGD654N0u40bwxa2V1YWFjOm4vDp5Ywgkk5&#10;G4Z564oA3qK8wMr/ABA+JesaJc3NxHoOhRoklrDK0X2qZ88uVIJUYIxnsDW0PC0/h7w74ktbXWL4&#10;6fNbPJZo0rGWzbY24JISTj7pHpz60AdrRXC+GLG/1/4e+Gp11y/tJvsCmSSJgzSllAyxYHJHP511&#10;uk2M2nWCW09/cXzqSfOuMbyCenAHSgC7RRRQAUUUUAFFFFABXjfxpvGtfEPh1BqMOnrPZ38D3EsW&#10;9QrxqNpA5GTgZHTOa9krlPEfgyHxD4r0DV7gwyW+licSWs0QdZvMUBevAwRnoaAPG4tYk1XVry70&#10;u31+1Q+HIIGt9Jt1fyztO1XLA7UxyCMEjkGl8UiRvg38P4okunkLlwtp/rcBHJK49BzXqsXgzVNP&#10;8P68+m6hBF4j1d/Me5dMwpjhY1GDhFTKg4zznHasy5+GmpXPhfw5p0esRWd3o9jNEJI4/MVppECE&#10;84+UDeOmeQe1AHz5rdzHf3el2sd3Egi0aC3jCIJFLldxQ46Es5yeoNfTXwlvv7Q+F2hSGRXaOAwN&#10;tGMbGKAH3AA+vWuLi+Bb6hpUNvq17ZWs1la+RZtpkRAMm7JmlLcux9OAO1eleD9Hv9D0FbPUm097&#10;kSMzPY24hR84+YqP4j1JoA36KKKACiiigArn/HQLfD/xGB/0DLn/ANFtXQVn69p76t4d1PTY2VXu&#10;7SWBWboC6FQT7c0AfML67aPpunaFYumoXd7d6ddC8kyPIdUEZt5DjOFI+XHZjXr2jxaovx2u5dXW&#10;zWc+HQV+yMxXb54AzuAOcg/pWnqvw5TU/AumaCtxBZ3VubV7m7giw0jRKAWBGDnrgnpUVh4RsNC8&#10;RX+q23iWSV7rTWswdQvPOkR924MGY52+3+NAHzfZXv2Hw5qyM1xaS3enpHF5pz9oU3OW8vgYTAOc&#10;Z5VuecDsvgVfRWnxJEUdzMttd2ckKecuPNddrbR1GQAT1/nXfW/wmd7o/wBl+JrK5sf7PXTi01ok&#10;8tvH1by2BwGJLckZG7vitvw18KLfwf4wi1TRbxRpph2TWtzCJZN4UgMknVcnk49x0xgA9HqhFruk&#10;T37WEOqWUl4hw1ulwhkB9Cuc1yPxg1q+0XwDMdOkaG4vJ47Tz1ODErk5bPbgEZ96vL8M/CqaZY2k&#10;elwxS2TI8N3EoScOpB3FxySSMnORQB1oljMhjDr5gGSueQPXFOrzKeNIf2jrVo1Cmbw+WkI/iIkY&#10;ZP4KPyrsbPwnpVhqo1KBJxc+ZLKS9w7AtJ97gkjHHAHSgDcoorntQ8d+E9LnMN74i02KUHDR/aFL&#10;KfcA5H40AdDRWfpevaRrcZk0rU7O9UdTbzK+364PFaFABRRRQAVwPxfkaHwbbSrC8zJqdowiT7z4&#10;kHyj3PSu+rM13QrTxBYx2l4ZBHHcRXCmNgDujYMvY8ZHNAHhJ03WNZ1DQtHl0WNPM1e/v7XTtVJQ&#10;R2pCt+82gkDez445PtVi1sJNO+GXxLs5ILaKVdTMQhtM+UrExgKmQDgEgCvaovD2nwaxf6xJvlu7&#10;uIQvLK2fLiA+4n91c5J9ScmuN0vRfh7pei3mkt4ltru2u70Xs32jVULtICpALKQSAVB55z3oA8E8&#10;QWl7pmjS2N5pS7tP1RvtX2eN/sqEwxqq7wfvHaTjOc16v+zuZIbDWYmsryGG4lW4t5XjbyXTlcKx&#10;4LAjB57e1dPoHw/8GzXUjWGsTatZx3X21rFr5J4FmYYDsAMseONxPQ10PhzwNpPhXU7680l7uKO7&#10;OWszMTBGSckonY/04GBQB0tFFFABRRRQAUUUUAFFFFABRRRQAUUUUAFFFFABRRRQAUUUUAFFFFAB&#10;RRRQAUUUUAFFFFABRRRQAUUUUAFFFFAHkP7QWrajpPhbS5NN1C6s5JL3a7W0zRll2McEqRkV87Hx&#10;Z4kb73iDVT9byT/GvfP2kv8AkVNH/wCv4/8AoBr5roA+79BZn8PaY7sWZrSIlmOSTsHJrQrL8NSL&#10;L4V0iRGDI9lCysDwQUFalAHCXvhLWtJ8bXnifwvLYt/aMSpf2N6WRZGXhXV1Bwceo9fXjoDba3fe&#10;G7+31A2CX9zDIkaQF/Lj3LgAseW56kKPp67deY+Nby/1bxm2k22u3uj6do+lvqV9c2b7WLkkIreo&#10;AUtjuM0Adf4J0i90DwZpek6g0LXVpD5TtCxKHBOCCQD0x2rZu7q3sbSa7upkht4ULySOcKqjkkms&#10;D4fajqmr+AtH1DWWD31xB5juFC7gSdpwOMldp/GuP+Jc03ijxjoHw9gmeK2vM3mpMhwTCmSFz7lW&#10;/HbQBA3jPxr8QLmWLwJaRadoyMUOsXycyEddikH+RPrt6UrfDDx0f9J/4WhqP2rrs8txFn0x5mMf&#10;8B/CvVLOzttPsobO0hSG3hQJHGgwFUdAKnoA8fHi7x58PZox42tItW0QsEOq2S/NFngFgAP1A+pr&#10;1ixvrXU7GC9sp0ntp0DxyochlPenXVrBe2ktrdRJNBMhSSNxkMpGCCK8s+HTTeDfH2t+AJpXew2/&#10;b9LLnJEZPzL+v5qx70Aes0UUUAFFFFAHn/xrmlg+FOryQyPG4aDDIxBH75O9c/dfBrQrfw1Pfpq2&#10;u/aEs2mGb0Y3BM9NvTNbvxw/5JLq/wDvQf8Ao5K6nUP+RKuv+wc//os0AYXwhnkuPhXocssjySNH&#10;Jl3Ykn9646mu3rxf4aeG/Ft18OtHn0vxw+m2jpIyWv8AZcU3l/vGz8zHJ5yefWu60fw/4vsdUhuN&#10;T8cNqVohPmWp0uGHzOCB8ynIwcH8KAOuorL16w1LUtOEGlaw+k3IcN9oSBJuOcqVbjBz+lczH4U8&#10;bKsnmfEWdyVwhGkwDacjn34yPxoA7qisRNL1keG1sH8QyNqY66kLWMFvmz/q8beny/r1rK/4RbxR&#10;nP8Awnl990DH2C369z939KAOworN0ewv7CGVL/V5tSdnyrywxxlB6YQDP41z+r+Dtc1HVZ7u18a6&#10;pYwyMCttFGhSPgcDNAHTaudui3x9LeQ/+Omvgyvru58Fa/Z2093P471a6iijeR7eSJAsgAOVPsel&#10;fIlAH0d+zX/yANd/6+o//QTXuNeEfs03KtpviG12tuSaGQt2wwYY/wDHTXu9AGdr2h2HiTRbrSdS&#10;i8y1uF2sAcEHqCD2IIBH0rI03TNU0GzC6t4rE+n2wASWW3SKTaDgCSQkhuwyApPrXUV5p8Zb+FNE&#10;0zSZtjQ3d159zGz7fMt7dTLIufU7VA9zQB0zeF4Lrx7a+MI74sY9PNmsKqCrqWLb92feujkkSKNp&#10;JHVEQFmZjgADqSa5L4WWMun/AAy0KCYEO1uZtp/hEjFwPwDAVj/G3VrjTvh+1laPtuNVuY7FSDzh&#10;slvzCkfjQBgXFxr3xk1K6ttKvpdJ8G20hie5QESXzDqB/s+3TkZyeB1GnfBjwJp9ssTaKLpwPmlu&#10;ZWZm9+CAPwArrdB0a18PaDZaTZIFgtYhGuB9492PuTkn3NaNAHlmt/BDRSwvvClzc6BqsXzRSQzO&#10;UJ9wTkfgfwNaHgDxtqV5qVz4S8WRLb+JLFc7hwt3H/fXtnvx16+oHodeVfGi2bSIdE8bWS7b/SL1&#10;Fdl/jhYnKn2zx/wI+tAHqtFNR1kjV1OVYAg+1OoAKKKKAK2o/wDIMuv+uL/yNeFfB/4beEvFXgVd&#10;S1nSvtN39qkj8z7RKnyjGBhWA717zdRma0miXG542UZ9SK8x/Z+yPhpg9r6YfotAGf8ACTS7XQ/i&#10;P490uxi8q0t5YVij3Ftq5fAyck9e9ex15Z4DXb8ZPiEPVrc/+OmvU6ACiiigAooooAKKKKACiiig&#10;AooooAKKKKACiiigAooooAKKKKACiiigAooooAKKKKACiiigAooooAKKKKACiiigDxT9pP8A5FXR&#10;v+v0/wDoBr5rr6T/AGk/+RV0b/r9P/oBr5soA+3vARB+HfhrB4/su2/9FLW/JIkMTyyuqRoCzMxw&#10;FA6kmud+Hv8AyTjw3/2Dbf8A9AFcP41v7zx747j+Hml3LwabboJ9ZuIzyV4Plg/iv4n/AGTQBa1L&#10;402st9LY+EtA1HxHPGcPJbIREP8AgQBJHvgD3ryXU/G3iC+s9dvbnQmSPxW6QrNE5LLHBhXjQd+M&#10;gnjqa9b+I/hCbSvAED+D5bnS30bMoispGQyREASZwcs2BuyeuD61z+jTWNz4s8DW3gUS6tYaLFNH&#10;ezyxMiQrLjc5YgDzDljgd+KAPQfAvj3wz4ssUtdFlMEttGFNjMuySNQMDA6EDgZBPvXOWTJF+0nq&#10;S3IG6bRF+zE+zJkD8m/I1e+IfgH+0I/+El8Nj7D4nsMzQywAKbjHVGHckcAn6Hg1xGua5c6zpfhj&#10;4s6RAGutKJttWt06hc4YfT5m+gkB7GgD3yiqOj6vY69pNvqem3Cz2twgdHU/ofQjoR2NXqACvKNe&#10;G/8AaS8L+UMsmlymXHZcTAZ/E16ZqepWej6bcahfzpBa26F5JHPAA/r7d68v+FsF34q8Wa38RL+F&#10;4orv/RNNjcciFSMn/wAdAz67qAPUNQ1Ow0mBZ9RvILSFnEayTyBFLHoMnvRqGqWGlQJPqF3DbRPI&#10;sSvK4UFz0GT3Ncr8WbWO9+G2qW8gX940CKxXO0mZACPzrze61jVNHg0z4f8AiXdLqFvrFkdPu9pK&#10;3VsJRg59R0/TtyAe+1n22uaZd6xdaTb3kUl/aqrzQg/Mobof89OM9a8yl+JGtWfxOttFnuNPnsrj&#10;UWsTbW8TEwrxsZpehkyeUHTFeh2XhfTLDxHf65Dbxi7vVjVzsA27QRkcdTu5PfAoA5b44f8AJJNY&#10;/wB6D/0cldPetu8DXDeumsf/ACFXM/G//kkms/70H/o5K6Bn8z4cl/72k5/8g0AYnwfnjj+EOiTS&#10;uqRpHKWdjgACV+Sa6o+ItEHXWNP/APApP8a4P4JQRX/wgtrS7jWe3kknjeKQblZS5ypB7cn866n/&#10;AIV14M/6FfSf/ARP8KAN60vrO+Rns7uC4VTgtDIHAPpxVQ+IdEBwdY08H3uU/wAadpOhaVoUMkOk&#10;6dbWUUjb3S3jCBjjGSBWUfh34NZiT4Y0kk8k/ZU/wpAHibxpp2heEdU1y1uLa++xRg+XDMrAuxCo&#10;Dg8Akj9axk0bxu+gw6vH4jkOusqzPYNFGLQg8+SBt3Djjduzn9LXiH4c6PeeDNZ0XRdPs9Nlv41+&#10;aGIIGdG3Jux2z/M1J4c8Ra7JYWen6n4X1CHU41WKeUmP7OccGQSbuQeuACe3vTAr6pret6f8WtF0&#10;tryH+w9QtJpDCYlDK8akkluuPun86nHifUP7bw2q+ExpXm4z9uYz+X64+7u9ulU9f0/Ur/4t+Gri&#10;PSpZtLsrW5W5uTt8sGVCu3k8/dGf96tcfDnwWP8AmV9J/G1U/wBKANC/1Gy1DQdTNleW9yEtpNxh&#10;lV9uVOM4NfC9fcD+H9H0HQNVTSNMtLFZbdzILeIJvIU4zjr1NfD9AH0R+zTt/s3xDzHvM0OQD82M&#10;N1Hp1x+Ne339/a6XYT319OkFrAheWVzgKo714J+zN/x8eJf9y2/nLXVfFmSXxH4n8MeAYZGSLUJ/&#10;tV9sOD5KZ4/8dc/VRQBm3WveMfiPHd6hpGoHwv4Otg5N+ykTzooO5xjnAwehA9yRXl2q6DpOueMt&#10;P0vSvFV1q0c8kED3l2xyZJGO4qG52qo9+SBX1pBYWltpyafDbxpaJEIVhC/KExjbj0xXjlx8H9Zu&#10;ID4YWTSovDcd613BfCMm9jU8+WO3tn0A+lAElzp/xD+F6C9sdTfxP4egH761uAfOijHp1OAO4JA7&#10;ril+Jev2Pif4caL4v0dzNb6dqkFzLGR80eMgqw7EMVH4+hr16xs1sdOtrISSzLBEsQkmbc7hRjLH&#10;uTjmvF00C08P/FLV/BUqlPD/AIssnlhiHSKUAn5ewIIbH1T0oA9rt7iK6toriBw8UqB0YdGUjIP5&#10;VLXjvgfxlL4Gvf8AhA/GsgtXtfl07UH4iniz8oLHp7Hp2OCOfYEdZEV0YMrDIYHIIoAdXmXx1vvL&#10;+Hv9lxKHudUu4baKPuSGD8f98gfjXfaxrWm6Bp0moareRWlrGOZJGxn2A6k+w5ry7w+l78U/Hdr4&#10;turaS38M6OzDTIpRhriXP+sx7EA/VQOcGgD1u2iMFrDETkoiqT64GKzNB8T6V4kW7Gm3G+WzmMFz&#10;C6lHicEjDKeex56cVsV4DY22raX4i8VeOdEEs8thr1zb39ip4uLUYJwP7ynJ/wD1YIB7fpGtafr1&#10;o91ptwJ4EleFnCsuHU4Ycgd6zfFHjTRvCS2w1O7jjluJEVIznOwuqs/AOAoJPPXGK8o8OazcQfDn&#10;S5NP1i5sJNR1a6aOG1gSS4ueThV3/KoBwWJ4A7+vonw+v7jxh8N9H1HV5POu5W3ySBQpZopztOAM&#10;dUGaAOts7221Gziu7O4juLaVd0csTBlYeoIrzj4EqE8A3CDoupTj/wBBr0xUWNdqKFUdABgV5p8D&#10;P+RGu/8AsKXH/stAEXgf/ktHxA+tt/6Ca9SryvwQ2Pjb4+X1Fuf/AB3/AOvXqlABRRRQAUUUUAFF&#10;FFABRRRQAUUUUAFFFFABRRRQAUUUUAFFFFABRRRQAUUUUAFFFFABRRRQAUUUUAFFFFABRRRQB4r+&#10;0kP+KT0c/wDT8f8A0W1fNVfTX7R1rPL4L064jXMUF8PMPcbkYA/n/MV8y0AfbXw9/wCSceG8f9A2&#10;D/0WK4T4GL9uuPF+uTrm7u9UZXY9QBlse3L/AKV3fw8/5Jx4b/7BsH/oArh/h/KvhT4reK/CVziN&#10;L+b+0LDPAYHJKj14P/jhoA9d61Da2dtYwiG0t4reIEkJEgVcnrwKS8vLfT7Oa7u5kgt4ULySyHCq&#10;o6kms/Q/FGh+JFmOjanb3vkECURNkpnOMj3wfyoA168o+GVlHaeMviLoBVJNPS9SRYSMoBKJNy4+&#10;gUfhXpupahbaTplzqF5II7a2iaWRz2UDJry/4KCW50/xL4xvwIF1m/aYFzgCNNxzn0Bdh/wGgCle&#10;/Dnxf4H1ObUPhxqIexmffJpN042g+i7uCPfIYepqzD4++KTL9mb4dA3fTzfNKxZ9eTjH/Aq5Lx98&#10;fr2W8l0/wgVgtkJU37oGeQ+qKeFHuQT9K8tl8e+L5pjK/ijWN5OflvZFH5A4oA9+/wCFfeMfHd3B&#10;cfEDVYbfTYnDrpGnnCk/7TdPxyx64Ir1NmsNC0nLGGz0+zi6nCpEij9ABXy/4S+O3ifQ7mOPV5Tq&#10;9hnDrNgSqPVX7n/ez+FelXXiaw+JSzahcTSWngXRws14ZRta9nADCIj+6uRkdyRjOQQAbR8WaD8T&#10;IrjwuranpjXOye1mmgEZukjcPvi3ZBGV7jp2646rX/Cdh4jl0me83C50u8ju4JlA3blIJU8fdbAy&#10;PYelc74S0y88Sa1B411m2+yJHE0WjaeRg28LcGR/9th26Afp6BQB52/wg0o64upx6vqsQj1E6nHb&#10;LIhjSYkEkZXODtA69K9EoooA89+N/wDySPWvrB/6PStyM/8AFsU/7Aw/9E1ifG7/AJJHrX1g/wDR&#10;8db1jGbn4b20S9ZNIRR+MIoA8z+D3j3wvoHw7tbDVdZt7S6SeVjFJnIBbIPAr0Sw+JXg3U7+Cxst&#10;etprqdwkUahssx6DpXLfAzT7K5+GFpJPZ28r/aJgWeJWP3z3Ir0pNMsIpFeOxtkdTkMsSgg/XFAF&#10;bXPEOk+GrFb3WL1LS2aQRCRwSCxBIHAPYH8q5xvi74CQZPiO3/COQ/yWuxuLW3u4/LuIIpkznbIg&#10;YZ9cGqo0TSx002zH0gX/AAoAq23ivQ7zw4/iCDUI30pAzNc7WAAU4PBGevtXD+L/AIy+FoPC2pDR&#10;NcSbVWgZLZY4nyHPAbJXHGc8+lelLZ2y2xt1t4hAcgxBBtOfbpUQ0jTV6afaD6Qr/hQB5B4X8c65&#10;Y2iXcOuweMdJhRWvkihMV9ZjuwQ4MiA9+v0rs0+L/gSRgE10McZyLWYjpnrsxUfi7wDbyxnXfDFv&#10;FpviSzzLby26BBOR1jkUcMGHHP8AKua+H2uQ2fi20Wzj8nRvFdvJew2/a2vY+J0X2OCfyoA6K6+K&#10;ngzU7SewtNXaS5uI2iiQ2c67mYEAZKADn1r4/r76urdbq0mt3JCSoyMR1wRivgiZPKnkjBztYrn6&#10;GgD3n9mb/X+Jv922/nLXWamBbftK6LJMvy3WjvHCx7MPMJA/AH865P8AZm/1/ib/AHbb+cteg/FT&#10;w9f3thp/iTRELazoM32mFAMmWPjemO/QHHfBHegD0KisPwn4q03xhoMGqadKCHAEsRPzQv3Rh6j9&#10;etY118UNBtPEv9iNBqLuLtLKS6W2P2eOZuArOSOfwoA7WvK/iAUn+L/w8tYQDcpLPK+Ovl4U/wDs&#10;rV6ZfX1rpljNe3txHb20Kl5JZGwqgV5T4CiufHXxG1D4g3MLxaZbxmy0lZBgsvIL/kW/FyO1AHon&#10;iXwpovi7TvsOs2SXEY5Rujxn1VhyP6968tvvhbJ4UKjR/ibd6HasTtgvJwF/D51B/Kp/i/8AF2Xw&#10;zO3h/wAPun9qFQbi5IDfZwRwqjpvI556AjuePm29vrvUbuS6vbma5uJDl5ZnLsx9yaAPpXRPhf4V&#10;1rUY7rWfGU3iy7j52Neqyf8AfIZmx7bsV61/ommWB4itrO2jzwAiRoo/IAAV8FRyPDIskTsjqcqy&#10;nBB9Qa9K8P8AxMv9XhsvDPjDV5T4fM4e6uCrNM8agkRMw5KlguT198UAevp8UtWivbXWLzRUi8G3&#10;90LS1u8kTgnhZWUn7jEHAxnA+me/0jw7puhT6jNp8LxtqNw11c7pGYNI3VgCeM+1ch4e0abxjqFn&#10;4m1m1NtpNrg6JpLLgRr/AAzyDpvIxtHRRivRKAOS1H4beGNSs7W1aykt47WeS4g+zTPGY3kOXwQe&#10;AT2HTtitnw/4d0zwvpS6ZpMLw2iMXWNpWkwT1wWJxzzjpWpRQAV5j8C/+RIvh6arcf8AstenV5V8&#10;BpWbwzrkRPEeszBfxVKAGeCmx8ePHa+sUJ/Rf8a9YryTwirx/tC+NVZSu60iYZHUYi5r1ugAoooo&#10;AKKKKACiiigAooooAKKKKACiiigAooooAKKKKACiiigAooooAKKKKACiiigAooooAKKKKACiiigA&#10;ooooA8i/aKRT8PLRzncuoxgcnuknb8K+Xa+pP2if+ScW3/YSi/8AQJK+W6APtr4ef8k48N/9g2D/&#10;ANAFUPH3gNfFcNtqGn3P2DxBp532V6vGCDnY3+yT+X5g3/h5/wAk48N/9g2D/wBAFdBc3MFnay3N&#10;zKkUESF5JHOFVQMkk+lAHjGs/E94vDGq+GPHej3elarPZTQLcJHvgnYoQGUj1OOmR7iua8IfEXw5&#10;4a8Q6ffyzFbU+GYLW5S3hJZrqN8YI452jqeMHrXVXuoeJPjG13Y6CyaT4RUmKS/nh3SXfY7FPb6Y&#10;9z2rzfS/h3on9p6Nb6tfzQ202p3+m304dUVHhH7rBIIUsT3zQB6TdN4m+MrrZ/Yrjw/4QV1eV51x&#10;PeY5AUdMdPUA85OMUz44azD4Q8A6d4U0dRbJeDytqH7tvGBkf8CJUZ7/ADVI2g+OfANmNS8L6+3i&#10;bRYvmfT7r532Dr5bAnOOfu4+hrzH4xeL9N8a3uh6rpsxx9jKTWz/AH4JA5JB/Mc98UAeZ0rbd3y5&#10;x70lFABXonwbe1vfHVjouqtJLp1w7Sras58p50UlGZeh4B698V53XV/DJJpPiX4eW3dUk+2IcsuR&#10;gckY9xkUAfalFcr438c2Xg2xi3RPeapdt5dlYQ8yTP0/AZI5/LNcfF4Q+I3i9ftXiPxU+hQScrp+&#10;mDDIPRmBHP4tQB61RXlP/CqfEmlqZdB+ImrxzLysd4TLGx9xnA/I1Y0D4havpGvQ+GPH9nHZ30x2&#10;2mow/wDHvddvoCePTryB3ANL4zWz3Xwn1xI8ZVIpDn0WVGP6Cug8ODf4H0gdjpsP/ooVl/FT/kl/&#10;iH/r1P8AMVqeF/8AkR9F/wCwbB/6KWgDyb4Q+NH0PwBBZ/8ACL+I9QAnlYT2FkJYjlugO4ciu+tv&#10;iObm7hgPgvxfD5rqnmS6YAiZOMsd/AHc1lfAb/kltp/18Tf+hV6ZQBn63qn9i6PcagLG8vvJAP2e&#10;yj8yV8sB8q5GcZz9Aa48fFJz08CeM/8AwWf/AGVegUmKAOf0XxS+s6ZeXv8AYGtWJtgSIL22Ecs2&#10;FzhBnn07c1g/8LQkVC7+BfGCgED/AJBuf/Zq77FGKAMDw74qPiCaWM6BremeWgbfqNqIlbnoPmOT&#10;Xlvhx4pL7wV5KBnuNe1O5gx2gHmBiPbp+VdH4qvPGkvxAl8OaTrFlZ2eo6cZrRrmDO1l+WRUYc7+&#10;d3OcCsfQJ9N8I/Fa20HVBLH9m06DT9FZU3rLvO6WRsZ2sz/pntQB7PXwNd/8fs//AF0b+dffNfBF&#10;4P8AT7kZxiRv50Ae6fszf6/xN/u2385a+g6+ev2Z3Au/EidylufyMn+NfQtAHmfif4YOmqT+I/B2&#10;sN4f1ZsvMAcW83clx29TwR7Z5rxHxB4312xm17Sbu60vUJ9Qnt7mW7sX3JHLFtIKEYGflAPFer3k&#10;uofGPxJd6XaXUtn4M02Xy7maE4a+lH8IP93+mD1IxTHhzw/d/EW98NeG9Mjsha6Jc2N68q7CTIBs&#10;dc/M555b0PXpQBznh/WNJ+I+oW83j/xqFCvuj0VUa3gznjc/Cn8889a+gppbTRfD8s9vHFHZ2ds0&#10;iJHhUCKuQBjgDAryfw5Ho/jNo/BPiPwS0epaTZpDeXnyDyiqKEIkX5vmHIGfzGaytcs9V+Flne6B&#10;d38954N1m2mtLe4k+Z7CV0IAOO3PIHUZIAIIIB4NqN/capqVzqF3IZLm5laWRz3Zjk1WoooAKKKK&#10;APsn4S+IJfEnw40y6uG3XMKm2lY9yhwD9Su0/U12pIAJJwB3NeX/AALLWPwnjubwLBAJ55hI/A8s&#10;Hlj7ZDc+1ZQ/tn406hOY7u40rwRbyGMeV8st+R1P+79eB6E5wAd5qHxK8GaXOYLrxHYCUHBWOTzC&#10;D6HbnFaWjeK9A8Q5/snV7O8YDJSKUFwPdeo/KsjTPhb4J0u2WGLw7YzYHL3UYmY++Xz+lZmu/Brw&#10;pqi+dp1s2jX6fNFdWDFNjdjtzj8sH3oA9Cryv4IR+Tp/imL+5rs6/kFqfwX4r1rSPEreBvGcgk1E&#10;Jv0/UB0vIx2P+1gH8iDzyU+Dg2t4zX08Q3A/lQAuirt/aG8Sn+/pMLf+gD+lem15rpXH7Quuj10W&#10;I/8Aj6V6VQAUUUUAFFFFABRRRQAUUUUAFFFFABRRRQAUUUUAFFFFABRRRQAUUUUAFFFFABRRRQAU&#10;UUUAFFFFABRRRQAUUUUAeSftE/8AJOLb/sJRf+gSV8uds5/CvqL9oo/8W5tf+wnF/wCi5K+XKAPt&#10;r4ef8k48N/8AYNg/9AFcn8W7mbWNR8OeBraVoxrV1uu2Q8iBMEj8eT/wCus+Hn/JOPDf/YNg/wDQ&#10;BXIeMJBp/wAdvA99OAIJ4J7VWPZyGA/HMij8aAO/n0KEeGW0TTZpdLhEHkwSWh2vCB0KmvKX8AeL&#10;LXwzc+CxpelajZ31007a5LMQ8bMeZXjbJMmOAVPp717XRQBmeHtCs/DWgWejWCkW1rHsUseWOclj&#10;7kkn8a+bPjl4Mj0Xxva3Wl258vWgWWCJcnzwQGCgeu5Tj1Jr6mryj4qYvPiB8O9NhRHuP7T+0sf4&#10;kRGjJ/AgH/vmgD5Y5XIIwehyKSvqXx98DdL8UXcup6POumajKS0qlMwzN6kDlSe5H5Z5r581vwTr&#10;OgXmp216kAOmyxxTus6gEyDKFQcEgjnOOO+KAOdr3L9nvwZLPqk3i27iK21srQ2ZYffkIwzD2C5H&#10;1b2qv4I+Dug3d9E3iHxXpNzJkEadp96jM3szZz+Cj8a+gbnT0svDFxp+kwJAsdo8dtFEMBTtIUD8&#10;aAPNvhnb/wDCaeL9b+IGoL5irO1lpaNyIY1HJHuQQM+pb1r12vMfgHNby/C+3jhGJYbqZJ/9/duH&#10;/jrLXp1ABXM+PPCVt4y8KXemyov2gKZLWU9Y5QPlIPoeh9ia6akJABJOAO9AHjK+JZ/E37OGqXF4&#10;xa9tbdrS5ZupdGXBPuVKk+5Nel+Fv+RG0U/9Q2D/ANFLXi+iFZ/gd4/vol2211qU8kK9tuY//wBX&#10;4V7R4U+bwLofvpkH/opaAPJPhH4t1PR/ANvaW3hHV9TiE8rC4tQmw5bpyR0rv7bx3rM9zFE/gLXY&#10;Vdwpkcx4QE4yfm6Csn4CEH4X24/u3Uw/8er03FAFXUruWx0y4u4LSW8liQstvDjfIR2Ge9cgnjvX&#10;HtZJ/wDhAtaXY6p5bMgdsgnIHoMc/UV3VJigDI0vVtQvre8e60SeylgOI43lVvO+XPykcdeOayI/&#10;FuuvcrC3grUoySQXaeIqCFz1BP0z6muuxS4pAcRqGi/8J7FHb+INAvdLFowmt7mO8TzAx4KgoSQC&#10;OD9PoawNDs9T8Ml5dG+Eyw3DDmZ9YgaRvXLsS3616tRTAwPDmreINTe4XW/DJ0YIFMTfbo7jzM5y&#10;Pl6Y4/Ovie//AOQjdf8AXV/5mvvevgnUP+Qldf8AXZ/5mgD2X9mtyPEmtp2Nmh/J/wD69ez/ABJ1&#10;iXQvhzrmoQErMlsY0YdVZyEB/Atn8K8V/Zt/5GvWP+vEf+hivcfH2jP4g8Ba1pkSl5prVjEo/idf&#10;mUfiyigCr8MtGi0P4c6JaxqoaS2W4lI7vIN5z+ePwFXvEXg7SvErQz3Imtr+3/1F/ZyeVcRf7rjt&#10;14ORWP8ACTXo9f8AhvpTh8z2cYs517q0YwM/Vdp/Gu3oAxfDXhiw8L2MlvZtPNLPIZbi6uX3zTuf&#10;4nbuazviToqa/wDDzW7JkDSC2aaL1EiDeuPxGPxrq65L4m66nh74d6zeFwsrwNbw+pkkG0Y+mc/h&#10;QB8pav4NvtN8KaN4kiV59O1CJi8gTiGQOylGPvgEHvyO1U/C3hfUfF+uR6RpYiNy6M+ZX2qAoyST&#10;X1p8OtAWx+FmjaRqNukqva75oZlDA+YxcqwP+9jFeCfEax8F+G/F1pN4S1m6t51mIvI7Bi32YdzG&#10;+R83Ubd34jpQB5vqWn3Gk6pd6ddqFubWZ4ZVByAykg89+RW54H8E6n4516PT7FCsCkNc3JHywp6n&#10;1PoO/wCZpmgTeGbnWZrnxfc6xNG8m8taqjPKSSSZGZs/XGScnmvq34e6l4Mu9CFv4Ne3W1h5kgQF&#10;ZFJ7uG+Yn3Oc460Acz8XHj8J/CKPQ9KUxpcPDp0Kg87cEn8whB/3jXomg6TBoWgWGlWyBIrWBYgB&#10;3wOT9Scn8a4D49abNefDr7bBnzNNvIrrj05T9N4P4V3+g6tDrvh/T9VgIMd3Akox2JGSPwOR+FAG&#10;jRRRQB5h8b7B4/Cdp4ltMJqGh3kVxFJ3ClgpH0yUP4VV+BOorq+neKNRSMxrd6zLcCMnO0OA2M/j&#10;Wj8cr5bf4Z3VkBuuNRuIbaFB1Zt4fgfRD+dYX7P1vLpln4o0acL51jqOyRlOQWAKnHtlP1oA1tOf&#10;b+0fq6f3tBQ/k8den15Xanb+0tej+9oQ/wDQ0/wr1SgAooooAKKKKACiiigAooooAKKKKACiiigA&#10;ooooAKKKKACiiigAooooAKKKKACiiigAooooAKKKKACiiigAooooA8j/AGi/+SdWn/YTj/8ARclf&#10;LlfUf7Rf/JOrT/sJx/8AouSvlygD7a+Hn/JOPDf/AGDYP/QBWZ8UvCVz4o8MpLpZ26xpswu7JgcE&#10;uvVc+/b3ArT+Hhz8OPDf/YNg/wDQBXS0Acj4B8d2XjTSAci31a3Gy9sm4eJxwTg87Sf8DzXXVwPi&#10;34V6d4g1P+29LvbjRNdXkXtocbz6uoIyfcEH1zWVHo3xitQLZPFOgXCYws08JEmPoExn86APR9U1&#10;Wx0XTptQ1K6jtrWFdzySHAH+J9uprzLwFbXXjbx5e/ES+gkhsI4zaaNFIMHy+Q0n45b8Wb0qxa/C&#10;e91m/iv/AB74jn11om3R2UY8q3U/QYz+AX3zXp0UUdvCkMMaxxRqFREGAoHQAdhQBwPxT+JUHgLS&#10;kit1SfWLpT9nhb7qDoZG9vQdz9DXydqurX+uanPqWpXL3N3O26SRzyf8ABwAOldB8TNdl8Q/EPWb&#10;t3LRx3DW8I7COM7Rj64z9Sa5KgAr034dfGHV/Cd5DZ6nPLf6KxCvHIxZ4B6oTzx/d6fTrXmVFAH0&#10;toepWvw38f3KSyqPCXici7sL0f6qKU87SewOcfTb749oBDKGUgg8gjvXhnwZWx8c/DTUfC2uwi6t&#10;7GcCPJ+aNHBKlT1BDB8H3x0rYg8EfETwWfJ8JeI7bUtKX/V2Oqg5Qf3QR2+hUe1AHrlee/FPxn/Y&#10;mj/2FpWbjxDqw+z2tvHy6BuC5Hbvj39gazCvxn1pfs8raBoUZ4aeEGR8ewJcfyroPB/w307wvdya&#10;rdXM2ra7P/rdRu+X56hRztH4k++OKAMDXPDC+Ef2e7/Rsq0sNkWndejSM4ZvwycD2Ars/As63Pw+&#10;8PSrnB02Ac+ojAP8qo/FMZ+GHiEf9OjH9RUvw2Ofhn4dP/ThH/6DQByPwCuEj+GdyznCQX824gZw&#10;AqH+tbY+MvgRldl1iRggyxFlP8ozjJ+T1IH41g/s8HPw+vf+wpL/AOi469a2r6CgDC8M+MtD8XxX&#10;EuiXT3CW7BZC0Lx4JyR94DPSsy4+KPhW31iTSftdxLfxu8bQRWkrNuXO4DC89DXYAAdBRtGc4GaQ&#10;HPaF410jxFftZ2IvRMsZkPn2kkS4BA6sAM8jiqviH4g6T4a1T+z7y11OWXYJN1tZtKmDnuO/FdXi&#10;lxQBxOmfFHQ9V1G3sYLPWEluJBGhlsHVQSccnoB71o+JvG+neFbi3hvbTUp2nQuptLUygAHHJHQ1&#10;0mKWmB58PjD4f76dry/XTXr5N1byhrN95DM8P2iTYzqVYruOMg9DjtX3nXwp4k/5GnV/+v2b/wBD&#10;NAHq/wCzb/yNesf9eI/9DWvpSvmv9m3/AJGzWP8ArxH/AKGtfSlAHj+u6bqvws8T3firQbN73w7f&#10;tv1TT4/vQN1Mie3JPoMkHAwR2vh/4keE/EtusljrNskhGTb3DiKVfba3X6jI966psbTuxjHOa8O8&#10;YTfA86lKb5YXvQT5n9liQAnvynyZ/WgD07W/H/hXw/btLqGuWakDIijkEkjfRVya88soNS+MviOz&#10;1XULKWx8GadJ5ltbzDDXsg/iI9P0xkDOSRj+G9Q+BUN9GY7Uxz7vlbUkldM++SUH1Ne82k1tcWkU&#10;tnJFJbMoMbxMChXtgjjFAHinx1+JFxpAHhTR5/KuJot17MhwyIeiA9iRyfYj1r5xrofHeoTap491&#10;67nOXa+lUeyqxVR+AAFc9QAVp+H/ABBqXhjWYNV0q4aG5hPXs47qw7g+lZlFAH2r4W1/TfiP4GW6&#10;eBTDdxtb3lsTnY2MOv65HsRXAaFrVz8HNVPhjxGJZPDM8rPpmphSwiyclHx+Z9Dk9Dxkfs030pbx&#10;Bp5JMIEM6j0b5lP5gD8q9y1iz0u/0ua31iG2lsWH7xbkDZj1Oen1oAns7211C1S6srmK4t5BlJYn&#10;DKw9iKo694k0jwzp732sX8NrCo43t8zn0VerH2FeRXHgf4XJfP8A2T46OkSMeYrTWI9n/j2T/wCP&#10;V1Hh/wCDvg2GSPUppJ9flPzJPe3HmofwXCkfXNAGXoFpqXxR8Y2ni7VLWSz8N6YxbSbSX7075/1r&#10;D0yAfTgAZwSZPg9keKviGD1GsNn/AL7lr1lUVECIoVVGAAMACvK/hPax2XjH4hW0Rcomprje5Y8m&#10;Q8k8n6mgB5Gz9pUH+/oOf/H/AP61epV5fKMftJwe/h8/+jDXqFABRRRQAUUUUAFFFFABRRRQAUUU&#10;UAFFFFABRRRQAUUUUAFFFFABRRRQAUUUUAFFFFABRRRQAUUUUAFFFFABRRRQB5H+0X/yTq0/7Ccf&#10;/ouSvlyvqj9oWON/hrGzybWS/iZBj7x2uMfkSfwr5XoA+yvhI7P8KvD5ZiT5BGSewdgK7C6uYLK1&#10;lurmVIYIULySOcKqgZJJrjvhD/ySnQP+uLf+jGrg/wBozxPNaaXp3hy3dkF4TcXJBxuRThV+hbJ/&#10;4CKAOK8ffG7W9ev5rTw/dS6bpSEqjxHbNMP7xbqo9hj3zXl097d3Nx9ouLqaWfOfMkkLN+Z5qCig&#10;DufCXxZ8VeFLqPGoS39iD89pduXUj0UnlT9OPY19I23xU8Lz+EIPET3vlxynyxa/enMo6xhByW5H&#10;tgg9K+Na7P4X3Gpr40trLR3sYL++UwxXd3D5n2bjcXQH+PCkD6470Ac5rwk/4SDUTLbTWztcyOYJ&#10;l2vHlicMOx5rPr2T4tfCW80G1TxBYXV5qqMCdSmnO6QSE/6zgfdPTvjArxugAooq5pWlXut6nb6d&#10;p1u9xdztsjjQck/0HcntQB7T8Ab2z8O6B4o8Q6rcrbWCNBGZG6EqHJA9T8y4A9aq+Jv2idZurqSP&#10;w5ZQWVqDhZbhPMlb3xnav05+tcD4znbSRD4NtrgPaaS7faGQ/LNdn/WP77fuD2X3NclQB6ZafHrx&#10;3bSh5b20ul/uTWqAf+ObT+tez/Dr4x6X41kXTr2NdP1gj5Yi2Y5vXYT3/wBk8+mea+TKfFLJBMk0&#10;MjRyowZHQ4KkdCD2NAH2h8TRu+GfiIf9OTn9KPhnz8M/Dv8A15J/KuMsPGEnjb4Aa3d3LA39tZTW&#10;90RxudUyG/EEH65rsPhsB/wq7QNxIH2FMleo47UAcn8Fr3S9I8Oa7Zy31rbrFrlwsayTKvyhYwCM&#10;npxXpP8AwkWiZx/bGn5/6+U/xryL4OeCvC+teHdWub/SoNQeLVpoYprqPLmMKhXIPfknp3r0hfhz&#10;4MXp4X0r8bVT/SgDo5biGG3aeWWOOFV3NIzAKB6k9MVn/wDCTaD/ANBvTf8AwLT/ABq5dWNreWEl&#10;jcwRy2sqGN4WX5WXpjHpXOj4beCx08MaX+NuppAb1pqmnX4kNnf2tyIxlzDMr7frg8dDUA8SaEQx&#10;GtacQvLH7UnH15pmk+GtF0ETDSdKtLLzwBL5EQTfjOM469T+dU38C+FpI5Y20Cw2SoscirCAGVSC&#10;owPTA/KgDWtNX03UJDHZahaXMgG4rDMrkD1wD0qkfFnh5biW3bWrETRS+TIhnUFX+b5SM9flb8jU&#10;mleGtE0STzNL0mzs5Nnl74YVVtuc4yOcZ5qGbwd4ZuJpZpvD+lySTSebI72iEu+SdxJHJySc+5pg&#10;S6R4n0LX5ZItJ1azvZIhudYJQ5UepAr4p8Sf8jRq/wD1+zf+hmvtrTfD2i6NI8ml6RYWLuNrtbWy&#10;Rlh6EqBmvifxOpTxZrKnqt9OD/38NAHqn7Nv/I36v/14f+1Fr6Wr5h/ZyuRH48v4CP8AW6c5H1Ei&#10;f4mvoTxfqcujeDdZ1KA4ntrKWSM+jhTt/XFAHg/xs+KFxf6jceFdGuDHY27GO8mjbBncdUz/AHR0&#10;Pqc9hz4lSszO7O7FmY5JJySaSgArvPht8TdR8CakkbtJc6NK3+kWmc7f9tM9G/Q9+xHB0UAbXi0x&#10;zeJ9QvraC6isr6eS6tTcxlGeJ2JDD1HXmsWvWfDfw3u/iP8ADo6xb6rPLq+nyGygt5yPK8pFDLGp&#10;6qfnyD05x715hqGnXuk30tjqFrLbXUTbXilXawNAFWiiuq8EeAdY8c6qlvYwtHZqw+0Xjr+7iHfn&#10;u3oo/Qc0Aeg/BzUrXwP4L8ReMtT3eQ8kdpbRDhppFBbaP++hz2wfSvOfF/jrXPGuotc6pdN5IYmG&#10;1QkRRD0C+vueTXY/Gs2+iXmi+C9MBTTtJtA+0nl5XJJZvU4AP/AjXlNABW/4W8Z654P1BbrSL2SN&#10;d2ZIGJMUo9GXofr1HY1gUUAfbngnxjYeN/DkOq2R2P8AcuICctDIOqn27g9xXJ/DL/kfviN/2Eo/&#10;/aleSfAHX5tM+ISaWGJttUheN07b0Uurfow/4FXrfw04+IPxGH/URiP/AKMoASc4/aTtvfQCP/Ij&#10;V6hXlOoSeX+0xpa/89NEZf8Ax6Q/0r1agAooooAKKKKACiiigAooooAKKKKACiiigAooooAKKKKA&#10;CiiigAooooAKKKKACiiigAooooAKKKKAMC88YaTp/i+08M3cjw315B51uzD93J8xGwHP3vlPH9eK&#10;sw+IrOfxVc+Hljm+2W9sl07lR5e1jgAHOc8elcX4y8HW3i7x39nuZo4JF0fdaTpMBPBOs2VdVzkr&#10;zyenuDiuU0/X7621XxdceLI7uwv9N0eG0urmwf8AeTfvGCyxcYUtuXnp346AA9p1TUrfR9Mn1C6E&#10;pggXc/lRNI3XHCqCT1qj4W8S2virQ7fUrVJoxIil0lhdNrEAkAsBuHuMiuI+Fmq3k3iLxLpV7czN&#10;HClpPbW098120aPGS37xuTn5SQOATgV6fHGkMSxRIqRoAqqowFA6ACgDwv8AaC8RSXOnf8I9ZW4l&#10;itWiudQn7QlsiJP948n6Y96+dq92+MugazoFlrU6RpeaNrN/Fdvck4ltpVBARvVOePTp9fCaAPo7&#10;wF8T7fw78OdMt7jwx4jnhs4WMt5b2QaDbvYlg5YcDNcv+0WzXHiTQ7xMm2n07MZIxk7yT+jLXV+A&#10;vh/e+KPhxpK6n4r1IaPNGT/ZtsiRJsDn5WbksCRnn1rp/jD4Ebxd4PU6fDu1LTcy2yKOXXADRj6g&#10;Aj3UDvQB8j0UrKyMVZSrA4IIwQaSgArqPhvBLcfErw4kKuzC/ichOu1W3MfpgEn2rl69q+DWiReH&#10;NJ1P4ja1GUs7OB0swRgyMeGZfr9wepY+lAH0Frut6PoOmvda3e29raEFSZz9/wD2QvVj7AGvlvxb&#10;D8PNY1Cebwrba/ExJZhb2iyW/wBVVmDKP09BXqXhLwPP8QrlPGvjrdcLcfPp+l7iIoof4SR3B647&#10;9TnOB6/bWlvZW6W9rBFBAgwkcSBVUewHAoA+QvC3hHwhr2oRWt34yl06Vjgw3Vh5RY+gfzCo/H8q&#10;+mPBvw88PeCLdv7Jti9zIuJLuc75XHpnoB7AAVL4r8A+HfGVq8Wq2EZnIwl3EAsyH2bv9Dke1cL4&#10;B1TVvBHjJvh54huWubaRDJpF4/8AEgz8nPsDx2II5BFAHzRfvPLqN1JdZ+0NK7S567iTn9ar133x&#10;g8Ky+GPH98QhFnqDtd2744+Y5ZfwbIx6Y9a4GgAooooA9d+FLTH4bfEhD/x7jTgRz0by5f6Y/IV7&#10;r8MT/wAWy8O/9eSV574Q8LT+G/2ffEU95EY7vUrG4uWRhgqnlEID+HP/AAKvQfhh/wAkx8Pf9ea0&#10;AYXwWbfofiRvXxDdH9I69LrzL4MRhvD/AIljYfKdfuwR7bY6vn4N+Cz96wu2+t/P/wDF0Ad9RXOe&#10;HPA2geE7iafR7SSCSZQkhe4kkyAc/wAbHFZd98JvCGo6hc31zY3LXFxK0sjC9mXLMck4DYHJ7UgO&#10;zmkMUEkioZGRSwQHBbA6Vyfhr4j6L4p8MX2tWAmAsY3e5tXAEqbVLdM4IIBwc/yNTaL8PfDvhu9N&#10;9pdrcRXARkBe7lkGD1+VmI/SvGtH8N39n8JtO8XeGFBvRaXVtqlsBxdQGSQEkDqyjB9cAemCwPft&#10;G1m31rQ7DVYQ0UN7CksaS4DAMMgHBxmuf8UeOpPDfiLS9KGganeresf31vGGBwp+VefvZ25zgAZN&#10;eOeKZrG48I+HbOYRLdW3hdLqCW8uGSNTjGIUXG6YkdzgADg17x4Nv31TwTod9KxaWexheRmOSWKD&#10;J/PNAHP/ABA1O91Caz8FaJcfZ9V1dWaacdbW1H334PU/dH49K+Q7y1lsr64tJ8ebBI0b4OfmU4P6&#10;ivsvxn4Rl1xrXV9IuRY+ItOy1ndY4Yd45B3Q/pn6g/HesvdSa7qD3yKl21zIZ0Tor7juA9s5oA3v&#10;h7LpkXiR/wC1ta1PSbZrd187TSwmdsrhBtUnB+navoPwVpuq638L9e0jUBqPkXMl1Bp0up5E727r&#10;8jPnnOSf6cV5P+zyM/EqT/sHy/8AoSV9UUAfAc0MlvNJDMjJLGxR0YYKkHBBple8fGv4V3C30/iv&#10;QbZpYZcyX9vGMsjd5FHcHqfQ89CceD0AFFFdn4J8Dza4s2t6nHJb+GtPRp7u5Ix5iryY4/Vj046Z&#10;9cAgHsXw18RaN8OvhBZ32u3HkPfzS3EVuozLNztG1foo5OByOapap4y1Lx/Eslp8KG1SxH+pub3g&#10;kf7LbRj8GNXfhr4IXxXc/wDCc+KLZJRNxpensMxW8K8J8vTAAwo6d+SePaQAAABgDtQB8z2t94R8&#10;M6oi+LvhVPpYc4WYyyzxn6JIdp/An6V9C+Hb7RdR0O2udAe2bTWX90LZQqL7bRjafbFXL6wtNTs5&#10;LS+tobm2kGHimQMrD3Brxq+sm+CvjOzv9OeQ+ENYmEN1bOxYWsnZgT7ZI74BB7GgDhP2g9PltfiM&#10;t2wPlXlpG6N2yuVI/QH8a8or67+MHgR/G3hVXsVDapYEy2w/56Aj5o8++AR7getfI8sUkEzwzRtH&#10;KjFXRxgqR1BHY0AMoopVVnYKoLMTgADJJoA9A+CdrNc/FjR2iQssIlkkP91fKYZ/MgfjXtPw3mK/&#10;FT4jW+ODdQvn/v5/jTPgj8PJ/CmkTaxqsJj1W/UARMPmgh6hT6EnBI7YA65pnw6/5LJ8Qh/01j/m&#10;1ACawcftO+H/AH0h/wCU9euV5Trol/4aP8LMyoIzpkwQg8n5Zc5/OvVqACiiigAooooAKKKKACii&#10;s3Xte07w1o0+rarOYbODG9whY8kKBgc8kgUAaVFefaL8Z/B2u61baVaXVyLi5cRxGWAqrMegz2zX&#10;oNABRRRQAUUUUAFFFFABRRRQAUUUUAFFFFABRRRQAUUUUAFFFFAFV9NsZNSj1J7SFr6OMxJcFBvV&#10;CclQeuKS40rT7t52uLK3laeHyJi8YJkj5Oxs9V5PHvVuigDL0vw3oeiy+bpekWVnJ5fll4IFRiuc&#10;4JAyRnmtSiigDzX48f8AJKr/AP67wf8AoYr5Kr61+PH/ACSq+/67wf8AoYr5KoA+yfhF/wAkp0D/&#10;AK4N/wChtXbVxPwi/wCSU6B/1wb/ANDau2oA8w8efBTRfF91JqVnMdL1STmSSNN0cp9WXjn3B+ua&#10;8tl/Z08XLMVjvtIePPDmaQfpsr13xN8ZfDegXzadZi41jUQdpgsV3BW9C3TP0yaw5fjjeacEm1vw&#10;FrWn2bf8t2B6f8CRR+tAGf4S/Z3srC5S78TX635Q5FpbgrET/tMeWHtgVs/GmIPoXhrwxaIsFtqW&#10;qw2xSMbQEHAUAcAZK/lXbeFfG2geM7Rp9GvllZAPNgcbZI/95T/MZHvXH/HG1uY/DOl6/aqXfRdS&#10;iumUf3c4z/31t/OgD06GKO3gjhiQJHGoVFUYCgcACn1XsL2DUtPtr61cPb3ESyxsO6sMg/kasUAF&#10;eU/HS3az0TRvFFsoF5o2oxyK3+wx5H/fSpXa+NPE6+FPDkuoJD9pvHZYbS2GczzNwqgDk9z9Aa8g&#10;+IvjiXxdpOl+DrvRr3SNavNRgW4t7gfKEJwGRv4gWI7djQB634v8HaT498Piy1FGXjzLe4T78LEd&#10;R/Ud/wAjXzD4r+EXivwrJPK1i19p8QLfa7X5l2juy/eXjrkY9zX0B8QfH9x4cns/DnhyzF/4kvhi&#10;CHqsK9AzD8DgdOCTwOcKz+DN9r4F5498TahqN0/zG1t5dsUZ9Bkf+ghaAPnXQvDOteJrl7fRdNnv&#10;ZEAL+UvCZ6bieB+Ne5fDn4DyWF9Bq/i0xPJEweLT0IdQw6GRuhx/dGR6ntW/e/APQI8XGgapqekX&#10;6cxTRzbwp/RvyYUnhvxr4g8JeJIPCXxAZJDccafq6/cm7BWPHsMnBBxnrmgDtviCP+Lc+JP+wbcf&#10;+izVT4XHPww8Pf8AXmv9aufEDn4deJP+wZcf+i2qh8KJBL8LfD7L0Ftt/JiP6UAYvwWcHSfE6Z5X&#10;xDdHH1CV6ZXz/wDDbwZbeKL7xe9xqusWapqjxmOwuzCsg3MfmGDmvSY/htDGoX/hK/FpUcYOrv8A&#10;0FAHb0VXltFm097MyShHiMRdXO8AjGQ3r71wE/wX0C4mMsura+xIAwb7jgAf3fagD0eoba0trOAQ&#10;WsEUEQyQkSBVGevArnPCvgLSvCFzcT6fPfyvOgRvtVwZAADngY4rBl+CnhaaZ5ZJ9WLOxY/6aep/&#10;CkB3kumafOkSS2NtIsQxGrxKQg9uOKsoiRoqRqqoowFUYAFcl4Z+G+heE9TbUNOe+M5jMR8+5Mi4&#10;JB6HvwKzbz4OeGb69nu5ptVMs0jSPi9YDJOTgUwPQa+FfFBz4t1k/wDT9P8A+jGr698M/DrQ/Cmp&#10;Nf6c98ZmjMR8+6aRdpIPQ9+BXyL4sikg8Za3FKu2RL+dWHofMagD0D9nn/kpUn/YPl/9CSvqevlj&#10;9nn/AJKVJ/2D5f8A0JK+p6ACuK134T+C/ENy1zeaNHHcMctLbMYSx9SFIBPuRmm+Mfin4f8AB9yL&#10;CUzX+qNjFlZqGcE9Nx6Ln06+1cs3xR8fMTdxfDO++wgZ2sX80j1+5/7LQBvab8E/AmmzLL/ZLXTq&#10;cj7VMzj/AL5yFP4is746ynS/hS9pZRLDby3MNuyRKFVEGWwAOgyoFXPCXxl0DxJqA0u8in0fVC2w&#10;W9391m/uhvX2IHtmtH4t6PLrfwx1m2t13TRxrcIAMk+Wwcge+AaAOq0m2istGsbWBQsUNvHGijoF&#10;CgAVcrkvhr4mh8VeBNNvkcGeOMW9yueVlQAHP14b6MK62gArhfjFp0WpfC3WhIBut41uI29GRgf5&#10;ZH413ErMsTsib3CkqucZPpXy54n8eeLL3wrJo15qsF7capM8NzpwtSl1Ysrg+XxjKnpyDxkUAfRP&#10;gy7kv/A+hXUofzJbCBn3jknYMn8etcZ8UfB/w+vYv7U8S3aaTdsMLdQOFklx2KYO/H0z700/FHw3&#10;4e+F1nd6Xdi9ntoI7KC0f5ZjKqbQHXqMYyT044JyKo+EPhgmu3LeJPHs39q61MQxspHzHagjKoyj&#10;vg/d6DPQ9aAPF30T4d/bDGnjHU/KzxIdJyP/AEMH9K9s+Ffg/wCHVuRqGg6jHrWoxjd51wcSQ+6x&#10;EAp9SM+9emLoekpbfZk0uyW3xjyhboFx9MYrzvxZ8HrN5f7b8GOdE123zJELdtkUp9MdFz0449RQ&#10;B6nXknw9BX4z/EEEY+eM/qa6X4a+N38YaLNFfxfZ9b06TyL+AjGGGRuA7A4PHYgiud8A7j8afiAW&#10;Yscw8n05wP6UAWvEQx+0D4OPrYXI/wDHJK9OrzLxH/yX7wb/ANeN1/6A9em0AFFFFABRRRQAUUUU&#10;AFedfHL/AJJLq3+/B/6OSvNPiB8YvF+h+OdW0rTbu3itLWby4wbdWONo6k++a4TxB8VfF3ijRptJ&#10;1W/ils5ipdFt0UnawYcgZ6gUAZfgXj4g+G/+wpbf+jVr7fr4Ftbqeyu4bu2laK4hdZI5FOCjA5BH&#10;uDXSN8SfGr9fFGqfhcMP5UAfa1FeT/ATXtW17wrqU2r6hcXskd7sR53LsBsU4ye1esUAFFFFABRR&#10;RQAUUUUAFFFFAHLfEfWbzw/8PtY1TT5fKu4Ih5Um0HaSyrnB4718xf8AC4vH5/5mOb/vzF/8TX1n&#10;4h0K08S6BeaNfGQW12mxzGQGHIIIJBGcgdq8suPgr8NNKlEOoazcQy7d2251CKNiPXG0cUAePf8A&#10;C4fH/wD0Mc//AH5i/wDiaP8AhcPj/wD6GOf/AL8xf/E163c/DD4Q2LOt1rkMTp95ZNVQEfh1q1ff&#10;B74Zabd6faXc13FPqDmO0jN0xMrDBOMD3HPTkUAeNf8AC4PH3/Qxz/8AfqP/AOJr6m8C6hdar4E0&#10;S/vpjNdXFokkshABZiOTxxXAy/Bv4YwuqS3rRsx2gPqKgk+n1r1HR9KttD0e00uyDC2tYhFEHbJ2&#10;jpk0AXqKKKACiiigAooooA81+PH/ACSq+/67wf8AoYr5Kr61+PH/ACSq+/67wf8AoYr5KoA+yfhD&#10;/wAkp0D/AK4N/wCjGrnfiTrmra/4msvh34buDBcXSebqV0vWGH+7kdOOT65UdzWz8FfN/wCFTaK0&#10;shfIm2gjG1RK4A9+n61z3waKa34k8Z+KZgWubm/MCFuqRjJCj8Ng/wCAigDvvCXgjQ/BmnpbaVZo&#10;su3Ety4BllPqzf0HAroHRZEZHUMrDBUjIIp1FAHkvjz4df2OzeMfA6f2drNjmaW3txiO4QfeGzpn&#10;HYcHnjNdb4Y1vT/iV4AW4ngXyr2J7e7t852P0Zc/qPYiutPIryH4TQDw9498ceFkc/ZoLhLm2j7K&#10;rZ/9laMfhQBS0PxRe/CC7/4RbxbFPLoXmMdN1WNCwCE52sB6eg5HoRg16vpXiTRNct/P0vVbO7TG&#10;T5UoJUe46j8at3+n2eqWclnf2sN1bSDDxTIGU/ga8+uvgR4FuZ2lSxubcE52Q3Lbf1zQBU+LXinw&#10;h/YH2efVy2sW0gnsF06UNNFOPusccKOec9unOK88jsNXu7j/AISv4o6Fq17YzWipBdWhCPZbTkO0&#10;aEFfXJ456HNe1+H/AIZ+EPDMyT6do0P2lOVnnJlcH1BYnafpitLxjay3vgnXbWA4lm0+dEx6mMgC&#10;gD5x8JaZ43v9K1nxdo3lXkt1FLbG/ubom6t0QAttJI+YqAAeSPavoH4c3M138OdAnuJXmlezTdI7&#10;ZZjjuT1rxT4R+EfFGu+Eb2Oy16LTNCvrgpc+Upe4faMMq9kBB65z+FfQ+k6Xa6LpFpplkpW2tYli&#10;jBOTtAxye5oAuVx3xN8KQ+LfBF9amMG8t42uLRwOVkUZAH15X8fauxqhrerW2haJe6rebzbWkTSy&#10;BBliAOgHrQB53pfiN/FP7PWo307l7pNJube4Y9S6RsMn3Iwfxrb+D5z8KNA/65P/AOjHrxbwd4wb&#10;TPhb4p0gaDq9xBfG5aG5t7ffBAHiC/O2eAMZPtXdfDHx/ZaR8OdIsJtI16d4VkBltdOeWNv3jHhh&#10;wev55oAufBLi88aj01l/5tXrdfP/AMGfF0EHj7xFpM6tDFq15LPatKpU+YrMShz0JU9PUY713Hir&#10;W7rV/iZpHga1vJ7S0eBrvUJLdykkigHbGGHKg45I5wetAHpFFcxpPhSbQ9buJbLV75tJntyhsrid&#10;5jDLkYeNnJIGN2R64/Dmvh0dd1Lwdq0I16b+0YdXnhW9uk+0EKu0Y2kjjHpjGaAPTKKy9HtdWsra&#10;UarqialKWyjJaiDaMdMBjn61yx+ImrD/AJp/4l/79J/8VQB3tFcroXi+/wBY1JLS48Ja1psbKSbi&#10;7RBGuB0OGJ5+lU73x3qtpfT28fgXX7hYpGQTRomyQA43L83Q9aAO2r4f8cZPj7xETIsmdSuDuU5B&#10;/eNX1r4c8W6nreota3vhLVdKQIXE9zt2HBGBx3Of0r5L8dW8dr4/8QwRDEaajOFGeg3mgDt/2ev+&#10;SlSf9g+X/wBCSvbPij4zu/C+j2tjo6eZrurS/ZrJMZKk4BfHfGQB7keleJ/s9f8AJSn/AOvCX/0J&#10;K9MvwusftK6dBMd0elaWZY0PTec8/X5x/wB8igDp/Anw607wjai6nAvddn+e71Cb5nZzywUnkDP4&#10;nvXa0UUAcn40+HuheNbF0vbZIr4L+5volxLGe2T/ABD2P6dawPhd4o1G4l1Hwb4lbdrmjHaZGOft&#10;EPQN79Rz3DKeua9LryPxQq6N+0L4U1CL5P7StZLacD+MgMAT+af98igDP1PQPEPwn8SXWveE7BtS&#10;8O3p33mmpndCeuVAyQBk4IBwOCOAa6nRvjZ4J1W3Vp9SOnT/AMcF3GylT/vAFT+deh1g6l4K8L6x&#10;cNcahoGnXE7HLSvbrvb6tjJoA5LXfjd4XsU8jRXm1zUpPlhtrSNsM3bLEfyyfaue0j4U6r4wvLvx&#10;X4yu59N1m6KvaRWOI2tduNpbryMAYzn1Oenq+leGtC0M50rR7GzYjBaCBUY/UgZNatAHyr4ytru1&#10;+J9nZeKL2GGSyRGfWdPtBvcE5jmlToSG2g/14z6h8O9LuvCXxM1zQrnVm1U6jYRap9qZcFm3lGJG&#10;TjJb16Yrmfir4ck1T4y6RYjUH0+312zW2ln27gSrH5MZGckR8epFer+EPAWkeDlkks2uLm9lRY5b&#10;y7k3yMo6KOwUYHA9B6UAdTRRRQB5Jd2x8M/tE6dcWq7LbxFZyJOo6GRFJJx/wBPzPrS/D05+M3xB&#10;P+3EP51ynxI8V30fxz02C1vLCyOjxbYpr/d5AeSPcxfbzghlX6gVT8E+JvE1r8RfFF7p2laZr13c&#10;lGuVsb1Y4iAesRflhz70Aei+I+Pj34M97K7H/jj16ZXzZ4/8U+J9U+IHhy40zQNR0jXbWGTyYJgr&#10;GTOc7T0ZdoYH8a9D1bxzdeJbXwhpnh25ayuPEm6Sa4XBe2hjGZQueN2QwB/2TQB6hRXHab4U1jQv&#10;E1rc2fiPUr7SHR0vLXUrgzMGx8jRsRkc9RVPwhqes6hqnje2N8JZbTUWisvtI3JECuVBAwSoOO9A&#10;He0Vm6RHraLL/bNzp8zHHlizt3iC9c53O2e3pWlQAUUUUAeK+LPgHJ4l8U6jrS+I1txeSmTyTZ7t&#10;nHTO8Z/KvPfH3wYl8C+GjrL64l4BMkXlC1Mf3s853H0r6srzH4+W7TfC25kBwILmGQj1G7b/AOzC&#10;gD5UtIPtN5BATt82RUz6ZOK+hx+zVpffxFef9+F/xr5706RYtUtJHYKiTIzE9gGFfeqkMoIIIIyC&#10;KAOS+H/gO28AaRc6fbXst2s8/nl5UCkHaFxx9K66iigAooooAKKKKACiiigAooooAK8N+J1lYXHj&#10;i9u9Sjs5LG0g06S7Vx/pAhM0gYxHpjJXcMcjHIr3KvOtf8DWOveNtU1jVNDOpC2sLcWEbTGNZJQ0&#10;pZeoH9zOcjmgDxrxhNEdP8cQte6Isn9vSslvLCTesBIozG/QJjt7N612Hxe1S/0/4meFEg1EqLb9&#10;/HHb2nmS2yMVVzjJ8zIRjjA6GtvxD4K8R2/wwn0KxsYNS1fWr43OpzpIEWJ3kDll3YyBtVf1xW74&#10;r8LeT420HxTpumy3N1BPM13IjFmKeQVRcE8DIAAHTcT3JoA8Q1STTr4eJdX07SLa6tbLxAt5cyz4&#10;iZrdmISJQfmAZt+QBkYGa+p9MupL3SrS7mt2tpJ4UkeBjkxkqCVJ9s4rw/VPhX4la30bUtOt7Caa&#10;1jS9vrS5cq19dNIZHVxjBC52jJ9a9s0e6vL3SLa51Cwawu5EzLatIHMbem4cGgC9RRRQAUUUUAFF&#10;FFAHmvx4/wCSVX3/AF3g/wDQxXyVX1p8ef8AklV7/wBd4f8A0MV8l0AfYnwa3f8ACp9D3SrINkmC&#10;oxgeY3H1FYPw2dPDnxI8ZeE5wI2muf7Qswf4425IHrgMn5H0rQ+BBz8KbD2mn/8ARhqX4k+CtR1a&#10;4sPE/hmQQ+I9K5iBOBcR9dh/M4zwdxB68AHolFeceGfjFoWpH7B4gJ0DWYjsnt73KJu74Y8AezYP&#10;1611N3428LWNsbi48RaWsYGci6RifoAcn8KANySRIYnlkdURFLMzHAAHUmvKvg8765rPjHxcVPka&#10;nqAitiw5Mcecfoyj8Kztd8Xap8V3l8M+CYJotIdtmoaxMhRfL7qo68jt1PTAGTXqOj6Vpvg/wxDY&#10;W2IbCwhJZ29ACWdvc8k0AReKvF2jeDdKOoaxdCJDxHGozJK3oq9/5DvivENT/aU1BrlhpWg2scAP&#10;ym6kZ2PuQuAPpz9a8w8deMLzxt4nudUuWYQbilrCTxFEDwPr3PqTXNUAe7aX+0pfrcKNX0G2kgPV&#10;rSRkZffDZB+mRXtnhXxdo3jPSRqGj3Pmxg7ZInGJIm9GXt/I9q+Ha6XwN4yvvBHiSDU7RmaHIS5g&#10;zxNHnkfXuD2NAHt3h68T4S/EbUPDupt5HhzWZDc6fcPxHE/TaT27Kfop6GvawQyhlIIPII71g6xo&#10;ehePvDUUV9At1Y3MazwSA4Zdwyrqexwf8a88j8D/ABJ8GL5HhLxLBqOmL/q7PUVG5B2AJBGPoV+l&#10;AHsVeU/GLxILvTl8C6N/peu6s6RtFEf9THuDEse2cd+2SfesNO+NHiAG3vdR0vQrduHktwGkx/s4&#10;3HP4r9a6/wAF/DnR/BgkuYTLe6rOP3+oXJ3SPnk4/ujP4nuTQBwt78OvFPhT4a6nZ23jfOn29hO8&#10;liNNjKuCrM6hySwzk89eaT4a2HxAf4c6RJomr6LFYlJDDDdWzs6/vGzlgeec16h4yRpfA3iCNF3O&#10;2m3CqPUmNq5/4MnPwl0H/cl/9HPQB5J4P0PXdf8AEGteHGgiSe118X17q0ZIW3dGYERA87mOcew5&#10;Fev+KfCN9L4s03xhoHkNq1lGYZba4Yql1Cc/LuAO1hk4OPTPSsX4TBv+Ek+IJfG/+3JM46feevTp&#10;poreF5ppEjiRSzu7YVQOpJPQUAUNMm1a5Jl1G0t7NCg2wJL5rhu5ZsAD6DPrntXO+DdLk8G2V9ba&#10;3eWET6jq809rtn+/5mCE+YD5vlPAzVeP4r6Nca5aWdtZahLp1zcC1TVxARamY8BQx65PGf6c1F8Y&#10;tNi1Twda20ztGranbL5i/eTc+wke+GNAHcXOoWVlJBFdXcEElw/lwrLIFMrf3VB6n2FWMV4uniK+&#10;n1nw34P8Rhv+Eg0zW4nE207bu3Ecm2YH16A+/wCIGjZfEjUj8R9O0ea7066s9QnnhaC0QsbTaMx5&#10;lBKu5/iUfdoA9KstY03Uru7tbK9guJ7RwlwkbgmNiMgGr2K57SPBHh7QtYutU03TLe3ubjHKRqBG&#10;MYITA+UHv610NABXxT8Sl2fEvxGP+n+U/m2a+1q+LPid/wAlN8Rf9fr0AdV+z1/yUt/+vCX/ANCS&#10;vRvG8h8H/G3w54pm+XTdQhNjcyHojcjJPYYZD/wE15X8CpHT4r6cquVEkU6uAfvDy2OD+IB/Cvpr&#10;xf4VsfGXhy40e/BVZPmjlAy0Ug+64+n6gkd6AN2ivGNF+IGrfDiaLw18QLaY20fyWesQqXSRB03d&#10;zgenzdMjvXeD4meCWtvtA8T6ZsxnBnAb/vnr+lAHV15FdlfF/wC0JZJbHfZeGrUtcOOnnNn5c+uW&#10;X/vhqTWPi5ceJJ20L4dWFxqGoS/K1+8ZSG3U8b+f5tgfXpXY/D/wRB4J0JrczfadRun869uj1lkP&#10;15wMnH1J70AdbXj3jz48af4eu5dM0C3j1K9jJWSd2xBG3pxy59cED3rV+N3jCXwv4K+zWUpjv9TY&#10;wRupwUjAy7D3wQP+BZ7V8mUAelTfHfx7LdCZNRtoUB/1KWkZQ/mC3612fhX9oyY3Mdv4o06IRMcG&#10;7swQU92Qk5/A/ga8CooA+wPiJ4YT4g+Dra90K5je/tmF5ptzG+Ax/uhu2ePxAqp4D+KtnrAGieJC&#10;NK8R258qaG5HliZh3XPQn+7+WRXnP7PnjSa11mTwpdys1rdK0toGOfLkUZZR6BlBP1Hua9p8VfD/&#10;AMN+MlB1fTle4UYS5iOyVR6bh1HscigDp81wvjb4o6L4Uhe1tpV1LW3+SCwtjvbeeBvx93nt1PYV&#10;g/8ACiNMVfIj8T+Iksun2cXK4x6fdx+ldX4U+G3hfwc3naXp4N3jBurhvMl/AnhfwAoAwPh54AeO&#10;xv8AWvGNpb3utazIJriK4iWQQr/CmCCAeefTgdq5TSPh94Y1z4w+MdMvdLjFnaR2728MDNCsRZFJ&#10;ICEV7vXmHhM5+O/jv/rhaf8AotaAOK8SeBjo3xY8M6P4c1e+s3vbaYefPKZmgTD7wmemV3Y9znIr&#10;vtc+H82mxeGb7whHELzw8WSK3nfaLiJxh1LdmOSc9PmNZ/i2Qx/H/wAEEHGbadfzWQV6tQBk6dea&#10;zdXYF5pUVlbCIEk3IkdnIHygAYAHPOeew71geDNE1bSPFHi24vrVI7TUb77RayrKGLLgjlRyOMH8&#10;a7WigAooooAKKKKAOC8UfE+38Ma3c6c+iaherapC0s1ttIUynCDBIJJPFZWqfEzwzrnhjUG1Xwxr&#10;txpMEvk3gks1KJIrD5WIfAIbb39K5Tx7Ktv8Xbq4to7qbV4FsZrC3ijLpM4bDK4HA+Vjgnpis66t&#10;Naf4Y+Orm31S2j0oaxcebaNa7nc+YmSJN3HbjB6e9AHdX+keAPD+u+HLVfCukhdX8xzNdlQIERA2&#10;SGyCTkAdKkf406fFqJsF8Na3lb7+z93lIF87ONg+br7Vx3jzRZNa+MHhqzsNJtWlNopkk1BHFvcs&#10;iFyhIBzhAOndhmuPluNW1S9kuIbi8tNV1DWjd6JDbJ/o87s/lu4Y8gKFABI/DrQB9Y0VFbJJFawx&#10;zSmWVUCvIRjeQOTgetS0AFFFFABRRRQAUUUUAFFFFABRRRQAUUUUAFFFFABRRRQAUUUUAFFFFAHm&#10;nx4/5JVff9d4f/QxXyXX1r8dxn4U3/tPB/6MFfJVAH1r8B/+SVWH/Xef/wBDNelV5r8B/wDklVh/&#10;13n/APQzXc69rdn4c0K81e/fbbWsZdsdT6KPcnAHuaAMzxbo3hG9sWu/FVpppgiGPtF3tQr7B+CP&#10;oDXjcup/AbS9QBh0ue8+b76Cd41/B2GR+Bry3xr431bxxrL32oSssKki3tVb5IV9AO59T1P6VzVA&#10;H2f4R8ceCdZii07w7f2cRUYjs1j8hh7KhAz+GaZ8WbiW1+FniCSEkMbcRnH91mVW/QmvjVHeKRZI&#10;2ZHUgqynBB9Qa9u0X4r3Xif4e3/hC/0+51XxBcwta2hiXJnDKfnc9imMk98D3NAHh9FSTwy208kE&#10;yNHLGxR0YYKsDgg1HQAUUVJBBLc3EcEEbSSysERFGSzE4AFAH2B8G7iW5+E2gvM+9hHIgP8AsrK6&#10;qPwAAq/4j+JfhLwrK0Gp6vELpetvCDLID6ELnb+OK8s8deLpfhn4F0jwLos+zVxag3dxGeYA2S20&#10;9mZi2D2HPcGvAGZndndizMckk5JNAH1fZfH3wNdTeXLcXtoM43z2xK/X5Cxr0LStY07XLFb3S72C&#10;8tm4EkLhhn0PofY18G10fg3xpq3gnWo7/TZj5ZIE9ux+SZPQj19D1FAH2drIzoeoA97aT/0E1yHw&#10;XP8AxaPQv92b/wBHSVuwa7Z+I/AsmsWD7ra6sndc9VO0gqfcEEH6VhfBcY+Emhf7s3/o6SgDK+FD&#10;f8VZ8RE9Nbc/m0n+FO1S4i8e67qAvbnyPBWguVu237VvrheWDH/nmnf1Pr25vwzqs+hz/GHVIG/e&#10;213I8S/3XDTYP54/KrV5Yw2nw2+Hvhn5jb61eWrXuD/rVb97ICfdmH5UAbcdnqPxHt7H7PbrovhG&#10;2njnth5eLi8EZyhVekUfp3PHau68QaBbeI7CKzupJY447iK4BiIBLRsGA5B4yOa00RY41RFCooAV&#10;VGAB6CnUAY+qeGdN1fV9L1W4iIvdMlMlvKhweQQVPqpznHqK4m8+ELxXNpPoXia8082d3Jd20c1v&#10;HOkTv97AwpP/AAImvTqKAPPz4W+I3b4jRf8Agkh/xrbOkeKf+ETWwHihBrW/J1P7AmCu7OPK+704&#10;z+NdLRQB59/wi/xH7fEaH/wSQ/418w+OYL228c61DqN2Lu8S6cTXCxiMSNn720cDPpX2/Xxd8Uf+&#10;Sn+Iv+vxv6UAa/wN/wCSs6V/1zn/APRT19dV8ifA3/krWk/7k/8A6JevrS9u4dPsbi9uX2QW8bSy&#10;Mf4VUZJ/IUAc9468S+GvDegvL4lWGe3lyI7R41kadh2CHg/U8D1r5p1T4i6LLfebpXw/8O28QJwL&#10;mFpSR7gFV/DFc/408W33jTxLc6teMwRjtt4c8Qxj7qj+vqSTXPUAeweHvj9qOjYgk8N6MtlnJisI&#10;jbH+ZH6V7z4M8daL450xrvSpWEkeBPbS4EkRPqO4PYjiviatnwv4o1PwhrsOraVKFnj4ZHyUkU9V&#10;Ydwf/r0AeoftIy3TeLdJikjItEsi0Tf3nLnf+gSvFq9G8ft/wkFjBrcutXGua2Y0mvRaQ5s9PgYf&#10;LHkdGDHHXrnPPXzmgAooooA6T4fS3MHxD8PSWiM832+EbV7qWAb/AMdJr334h/HKy8L3suk6Hbx6&#10;hqMR2zSOx8mFv7vHLH1AIx65yK+Z7DULvS72O9sbiS3uY87JY2wy5BBwfoTVcksSSSSeSTQB6fL8&#10;fvHMk4kWexiX/nmlqNv6kn9a67wn+0XI93HbeKdPhSFjj7ZZgjZ7shJyPofwNeA0UAffFneW2oWc&#10;V5Zzxz20yh45Y23KwPcGvL/CkuP2hPG0WfvWkDY+iRj+tcL+z742mtNYfwneSlrW7DSWm4/6uUDL&#10;KPQMAT9R7mu38Kgf8NF+ND8ufsUP1+7DQAeM/wDkvngb/rjN/J69aryPxqcfHzwN/wBcZf5PXrlA&#10;BRRRQAUUUUAFFFFAGFa+GorXxlqHiP7Q7S3ltHb+TtwECc5z3zxXMXPwd0C50TU7B573zb+5e5a4&#10;89hsZmB+4CFIGO4NeiUUAYGr+F49W1TR703LxHTVnVVVclxLEYzz2xnNcdH8FNLk063jvtXv5tQt&#10;I0isryBvJNqqcjYgJGSckk5JJ4xXqFFAFawtpbPT7e2mupbqWKMI08oG6QgfeOABk1ZoooAKKKKA&#10;CiiigAooooAKKKKACiiigAooooAKKKKACiiigAori/ibHfy+HLKPSr17LUH1O2jt51Yja7PtGcdR&#10;83I5rP07Ur7xrb6IZrc2uqaJq4Gr2+7b5ZWKQZH95WLIR1698ZoA9EqKK5t55Jo4Z45HhbZKqOCU&#10;bAOGx0OCDg+tcevjoSeMovC2oaZLYtfCZbWX7UpkfYMlii8xhhkqc5OOgqz4Y8Ef8I3rGpagNa1G&#10;7+2TGTyp5cqBtA+buzcHnjjAxxQBl/GxVf4Tazujd8eSRt/hPmpyfavkCvoz426vqmswavoWnyJB&#10;p2jQQ3Wos5w07SMPLRR3AyCT0z9Bn5zoA+tfgR/ySmw/67z/APoZrnf2kNXe38NaRpKOVF5ctK4H&#10;8SxgcH2y4P4V554Nh0G58KR293pXjDVL9zIETTQxggOeCoBGT3PWtf4qadrVz8LPBmra1bTw6ha+&#10;ZaXKzff5+4ze5Eeee55oA8YooooAK0NDu7iy1yzntb+TT5RKFF1GSGiDcFuMdiaz61vC+ltrfirS&#10;tMWPf9puo42X/ZLDcfoBk0Ae0eO/gG0elxX3heWa6vIk/wBKhuJMvct1LqTxu/2eh7c9fCb2wvNN&#10;untb61ntbhOGimjKMPwNfeksscELyyuscaKWZ2OAoHUk9hXmOu/GbwPFd/Y4oJ9dnUkBbS2Ei59i&#10;xAP1XNAHy1Y6fe6ndJbWFpPdTucLHDGXY/gK+ivhJ8HJdAuovEPiSNP7QQZtbTIYQH+8x6FvQdvr&#10;007H42+FbC5+y6jomqaEz8/vrMKuPUhTn9K9N0vVbDW9PjvtMu4bq1kHyyxNkH29j7UAfE/jDWJd&#10;f8Yatqkr7zcXTlT6IDhR+CgD8KxK2/GGlvovjLWdOeMR+RdyKqjps3Erj22kGsSgAooooA9/+BWs&#10;Sz+A/FekSPlLSMzxA9hJGwI+mUz+NegfBXy/+FTaL5Ywf327jGW81687+BGlyReCfF2quhCXEfkR&#10;k99kblv/AEMflXpXwdOfhPoP/XOT/wBGvQBxngvSE13Wfi7pB+Vry8eEOR0LNOAfwPNVk1Yz/DTw&#10;nqdzE6z+E9Zht9TTGWhSPMZJH0KfrWp8OXvF8Y/FMadHC94uoBoFnYhC+6bAYjnGRUHhe68ReFrf&#10;XItc8D6rqGq6vdSTzParHJbSkjAU4OFXk5znrQB6ZYeKNE8SveWGia1DcXMUWWktjvEW7gNnG0nP&#10;b2rCPg/xj/0Ue9/8Ftv/AIVL8MvBf/CHeHpBcRQpqd/Kbi7EQG2Mn7sa4/hUHH1JrtaAOa0DQ9f0&#10;q9efVfFlxq1uYyogls4ogrZB3ZUZ6AjHvXLt4a1XxXv1bTfihfNZuzbPsKII0H935SOR7816bXg2&#10;nXF98O9Z1XxTaK8/hm51i6tdStI1/wCPXbMypIg9Mcfp3GADt/Bmiak0ttq1t8Q73W9M3MGikiRk&#10;lxkY3HJGD6elZvi3w/qVrrKXNx8RtXsI9TvlgtbS3QYRnPyqPm6D1xWPaeKrzQfhtotxo9/YWsVz&#10;JqE6iW3aaWYLM5RY4lwcEH5mOAoxXb6La6R8SfCOia7ruj2s1w8YkAZchGDcgd9pK9D24OeaAKum&#10;eGtQ8HSza7rPjnVdQ0+0gkklguQNhAU89TyO3vXyz4v1qPxF4u1TWIYXhiu52lSNzlgD0zX1X8U9&#10;Oup/h5NZ6baPLbRyQm5t7cYc2yMCyoPXAHHoDXy94+1LT9Y8capqGlMGsZ5FaEhCuF2KMYPTGMUA&#10;anwi1aw0P4k6bqGp3UdraRpMHlkOFXMTAfqQK928eeOdE1/4X+Jx4e1WG8mht0SYRggqjuFPUDIw&#10;T0rwH4XWeoX/AMQdOt9Lks47tllKNeQ+bGMRtnK9+M496+g7X4X3T6d4nk1jUra71TWrT7MrW9sI&#10;YoAoO3Cjr820n6UAfJlFTXlpPYXs9ndRNFcQSNHLG3VWBwR+dQ0AFFFOjjeaVIokZ5HYKqqMkk9A&#10;KAPrH4M2Vjf/AAitIZdLijiufOjuAUGLkbmUsfXI459PSvKviB8DNX0S6kvfDUEupaYxLCBPmmg9&#10;sdXHoRz6jufoDwToj+GPA+k6VcOPMtbcecc8Bzlm59ASa4vVPizqGq6tNpPw/wBAfXJoTtlvXJW3&#10;Q/XjI9yw9s0AfL8umX9vKYprG5jkU4KPEwIP0IrsPCPwm8VeLLiMrYSWNiSN93doUUD1UHlvw49x&#10;XtDXHxwVPPFnoDEc/ZwRk+2S39afo/xkmsdWj0bx5ocug3jnC3GD5De/PQe4LD1IoA8o+M/h2y8I&#10;6joWgachFtBp/ml2+9LI0jBnb3O1fpgCvMa+jP2i/Dz3uj6X4ktR5iWpME7Lz8j4KN9M5H/AhXzn&#10;QAUUUUAdF4Blnh+IXh57dS0v9oQALnGQXAI/ImvoDwz/AMnK+MP+wdH/AOgwV5T8DfDEmu/ECC/Z&#10;D9j0ofaJG7b+RGv1zz/wE16t4ZH/ABkr4v8A+wdH/wCgwUAHjnj48+BT6xyD/wBCr12vKPiBGF+M&#10;nw9m7s8yflj/ABr1egAooooAKKKKACiiigAooooAKKKKACiiigAooooAKKKKACiiigAooooAKKKK&#10;ACiiigAooooAKKKKAMrXdFGtw2UZnMP2W+gvM7N27y3DbeoxnGM1PNZS/wBoQ3NrJDApYm7XyAWn&#10;XaQo3ZBBBwc88cVeooA8usvhvrkPi7TdZnvtNkaz1C4u5LgI/n3Cy4G1uw2qMDsK9RoooA8m+Onh&#10;Cx1LwhdeIlLQ6jYRqC6dJoi4GxvUAnI9K+Wa+yfi9/ySnX/+uK/+jFr42oA+tfgR/wAkqsP+u8//&#10;AKGa7LxR4dtPFfhu90W94iuY9ocDJjYcqw9wQDXGfAY5+FdkPS4mH/j5r0ugD4X8S+G9S8J65PpO&#10;qQGOeI/K38Mi9nU9wf8APNZFfZ/xAHgeTSli8aPZLCcmLzmxKPUx7fn/ACr5+udJ+D9zfFLXxJrl&#10;nET96S28xB9MLux9RQB5jX0P8Cvhtc6fMPFus27QylCthDIMMFYYMhHbIOB7En0rovh98OvhsFj1&#10;PRbiPXJ4iD508wkMbdiYwAFPpkZr0LxLqTaP4W1bU0+/aWcsy/VUJH6igDy/xDcX3xX8b3HhLT7m&#10;S28M6Uw/tS4iPM8gP+rB+oIHbgnnAr07QfDOjeGbJbTR9OgtIwMEovzP7s3Vj9TXF/AvTUs/hna3&#10;nW41CaW4mc8ljvKDJ+ij8zXpVAFTUtLsNYs3s9Rs4Lu3f70cyBl/Xv7149rGi3XwW1ZfEfh9pp/C&#10;9zKqajpzMW8nJwHUn8gTznAJOePbKztf0mHXfD2oaVOAY7u3eI57Ejg/gcH8KAPF/jT4Al8Sw23j&#10;Tw3F9rElupuY4RlpI8ZSRR34OCOuAPQ1889K+tvgXqkmo/DK2hmfc9hPJa8nkAEMB+AcD6AUnjX4&#10;V+AtVlk1XVXXR5ZDmS5iuFgV29SGBXPvjJoA+Sq1/DfhrU/FetQ6VpUBlnkPzN/DGvdmPYD/ADzX&#10;smn/AAt+FD3e1/HSXPPyxi/gTPtnHP4V7R4Y8LaD4W04W+hWUUEMmGaRTuaX0LOeT/L0oApWPhy2&#10;8J/DiTRbQ7ktrGUM5GDI5UlmP1JJrH+CbSN8J9HD7MKZguxs8ea559DnNdnrQzoWoD1tpP8A0E1w&#10;HwEH/FrbX3uZv/QqAKPwnP8AxcT4mf8AYTX/ANDnr1uvJPhN/wAlD+Jh/wComv8A6Mnr1ugAoooo&#10;AKxNN8L2On6ZqGnu0l5b6hcTXE63O0hjKcuuAANvJ4rbopAcJcfCvSHsNJs7S/1KyTS47iKB4JEL&#10;GOYnepLKc8Egd8fnXT+HdBtfDOgWmjWTyvbWqlUaZgXIJJ5IAHf0rUrjdR+H7ahf3F2PGHiq186Q&#10;v5NtqAWNMnOFG04A7CmB2VfF/wAUrSCx+JuvwW8SxRC53BFGACyhj+pNfUuieCZNF1SK9PivxJfh&#10;AR9nvr0SRNkEcjaOmcjnrXzF8Xxj4r6//wBdk/8ARa0AXvgb/wAla0r/AHJ//RT19dV8ifA3/krW&#10;k/7k/wD6KevrugDxv4vfCFvEjP4g8PxKNWA/0i3yALkDuOwcfr9evzdqGmX+lXTW2o2VxaTr1jnj&#10;KN+Rr7J8afEXQPA1uDqc7SXbjMVnBhpXHrjoo9z+Ga8b1X9oma/Zo18KWEltnhLuQy5/QCgDxezs&#10;rrULpLWytprm4kOEihQuzH2A5r6G+Enwam0a8h8ReJolF5H81rZHDeUezv23eg7devSDwd8d/DcV&#10;yLfUfDkGiiQ4NzYoCn1ZQoIH0zXudpd21/aRXVpPHPbyqGjljYMrA9wRQB5l8VNUvtZ1nSPh5o87&#10;Q3GrHzL6ZesdsM5H47WPvtx3r0HQdB07w1o8Gl6XbrDbQrgAdWPdmPcnua8w8OGS8/aW8TSXce17&#10;bTgsCk5wv7kAj6gk/wDAq9hoAKxvE/hfS/FuizaXqtuskTg7Hx88TdmU9iP/AKx4rZooA8f+F9zN&#10;Iuv/AAy8TqLp9NBSMSdJbY8Y9cDKkegYeleZePvgprnhu7lutFt5tU0kklDEu6aIejKOTj+8PxxX&#10;qmqKLP8AaX0VrVeb3SXF1j0AkwT/AN8IPwr0bXvEOleGdLfUdYvI7W2Tjc3JY+igck+woA+FZIpI&#10;ZGjkRkdTgqwwQfpXV+Efhv4k8Y3caWNhJDaEjfeTqViQeoJ+8fYZr21vjXPq07P4d+H+q6xbocC4&#10;2kfoqPj86sxfHSGwuo4fFHhPV9DEhwryIWH1IZVOPoDQB3fgzwfpvgnQI9L05Sed807D5pn7sf6D&#10;sK4Tw1/ycr4v/wCwbF/6DBXp2kaxp2vadHqGl3kV3ayfdkjOR9D6H2PNeZeHAn/DSfixkkD7tMjz&#10;g5wcQAj9KALHxF4+K/w4/wCvm4/lHXqdeV/Efj4q/Dg/9PNx/wC069UoAKKKKACiiigAooooAKKK&#10;KACiiigAooooAKKKKACiiigAooooAKKKKACiiigAooooAKKKKACiiigAooooAKKKKAOJ+L3/ACSn&#10;X/8Argv/AKMWvjavrD43+KdJ0vwRe6Jc3B/tHUYgIIUXJwHBLN6Dj8e3Q18n0AfWHwC3f8KugyOP&#10;tU2Ppn/9dbXxM8fweAvDn2lVWXUbkmOzhboWA5Zv9lcjPrkDvmuO+B3i/QLTwTp+h3OqW8WpyXMi&#10;pbOcMxZvlA+ua83+P2pzXnxMms3Y+VY28Uca9huXeT9fm/QUAeeavrGoa9qc2o6ndSXN3McvJIc/&#10;gPQDsBwKo0UUAX9G1rUfD+pxajpV3Ja3URyrxnqPQjoR7Hivq7wf4qt/ir8O9QgkVIb6S3ezvIh0&#10;VnQgMO+05yPoR2r5Cr1n9nvVnsviFJp5ciK/tHXZ2Lp84P4AP+dAHq3wK1PzPA8mhXHyX+jXUtvP&#10;C33lBcsCfxLD/gJr1CvKvGXhHXfD3il/HfgpBLdOuNR0zHF0vcqB1PA465GRk5B0NA+NPhHV4gl9&#10;dnSL5flltr4FdrdwH6dfXB9hQB3mo3q6dpl3fNFJKttC8xjiXLuFBOFHcnFeNR/FbxbD4duvFEtl&#10;o19orgjy7K4Pn2DMdqCUN15Izgd88V3mtfFXwVodsZZtetLlsZWKycTu3t8uQPxIryV/AupfF7X7&#10;rX4dLj8M6TJERE7xfvLt+odlBGc92/8AQjzQBY+H/j608I/Cq3tLHy9S8R395KLbT4jucOxABkA5&#10;A4B98jHcjp9J+Eceu3g1T4g6rNq2sSKJGskn2RQKeigLzj6YHXr1ry/Q7UT/ABOu1169fR7y3mWx&#10;tdS0mJVt4rtcKobjGGCtkcZJOcDOPTfB+nXOifGm8tZvEba7dXWktLfysgUxOsihVwCQvHRe2fpQ&#10;B0tz8G/AVzbmI6BHFxw8U0isPx3fzridQ8NeJvg8x1nw1qE+qeG423Xem3By0ad2GOP+BAAjuCM1&#10;7jTJYkmieKVFeN1KsrDIYHqCKAMSLWrLxF4Jk1bT5N9rdWbuhPUfKcg+4OQfcVyXwGH/ABauy/6+&#10;Jv8A0M1ieAC3h3VvHvgguxt7MPd2asclY3Xp+Rj/ABJrb+Ax/wCLV2X/AF3m/wDQzQBQ+E3/ACUH&#10;4l/9hRf/AEZPXrVeT/CxDF8R/iVGwwTqMb49i0x/rXofiDR59b09bW31e+0thIHM9kwVyACNuSDx&#10;zn8BQBq0Vwo+HV8OT498Vn6XSD/2Sun0PSZNG0/7LLql9qLby3n3sgeTntkAcUAadFcZqHgO7v8A&#10;Uri7Xxp4ltkmkLrBb3Sqkef4VG08U/TPA1xp2owXb+MPEt2sThjBc3atG/swCAkfjQB2FFcrrfg2&#10;41jU5LyPxX4g09XAH2eyuVSJcDGQCp69etUYvh7dRyKx8c+LHwc4a8Qg/wDkOgDuK+OPjD/yVjX/&#10;APrqn/otK+nPiB4zXwV4e+2R2/2u/mcR2tqMkyN1J45wFBJP09a+U/iJrNr4i8b32s2Z/c3iQy7c&#10;5KN5SBlPuGBH4UAbnwN/5K1pP+5P/wCiXr6Z8c+KYvB3hC/1lwryRJtgjbo8rcKPpnk+wNfKfwt1&#10;d9D+Iem3sVhcX8oEiJbW+N8jNGygDP1rtfi749l8XeGorJtKudNksdTaK6hmcNhwh2jI78tQB5Lq&#10;uq3ut6pcalqNw9xd3D75JHPJP9AOgHYVToooAK9Z+B/j250LxPB4fu52bStRfy0RjxDMfulfTceC&#10;PcHtXk1SW88lrcxXELFZYnDow7EHINAH0v42d/BHxl0XxjJldJ1GL7Beydo2xjJ9sbG/4A1exqyu&#10;gdGDKwyCDkEVl6to1h4o8PyadqtuJba6jG9ehU9QQexB6GvK47X4kfC1lttOgPirw2h/dRYP2iFf&#10;7oxkj8Aw9hQB7TXlvxdn1q2m0y4F5qlj4bi3Ne3ekvieKQ8IWHBMY9vU98VUX46xuPIj8Ga82odP&#10;swi7+mev/jtQy6X8Qfigywa7CPDPhskGW1jbNxcD+6c8/mAPY0AcL4H8U6tF4sv/AB5rNre65ptn&#10;CbB7+BVVol42uY8g/dBz/vEk5qaHxf4e8V+IP+En8b3DXNutz9n0vQYfn8tcj95IMgY5Gcn5iDwQ&#10;AK6P4ueBdB8J+B59S0IXWmSuY7WWK2lbyrlSekgJ9ATnueuc1yOk3el+LvCVv4W0jwtbDxSDBENR&#10;tYF2CJCrGZ3xlTgYb1J/CgD6fhhit4UhhjSOJBtVEUAKPQAdKivbC01K0ktL62hubeQYeKZAysPc&#10;GrFFAHh2pafL8FfGVrq2mPIfCOqzCG8tmYsLdz0I+gyQeuAQexrX8Ogf8NJ+KnBBV9KiYEem2Cum&#10;+LOnw6j8L9djmA/dW/nofRkIYfyx+NeafBnUZdV+Jdxdz581vD0KMSeW2eSmfx25/GgDrfiQP+Lo&#10;fDc/9Pdx/wC0q9Sryn4q3dtp3jr4fX15PHBbwXk7SSyNhVGI+Sa9Osb+01OxhvbG4juLWZd0csbb&#10;lYexoAsUVi6x4v8AD2gXCW+raxZ2kzjIjkkAbHqR1A9zxVuXXNJgsoL2bVLKO0nx5M73Cqkmem1i&#10;cH8KAL9FFFABRRRQAUUUUAFFFFABRRRQAUUUUAFFFFABRRRQAUUUUAFFFFABRRRQAUUUUAFFFFAB&#10;RRRQAUUUUAfOPiy10bVvC/jjV/ET7PE9vqXlQRM2HgjBAiRB3RlLEnv17V4dX1J8dPBOm6r4VufE&#10;oHkalp6AmRR/rk3AbW+mcg18t0Ae0/CTQdX1/SNJ+y6VYpYafry3s+pySDzTsVSYlUDOORz059qx&#10;/j9ps1n8TJrt1IivbaKSNux2rsI+vy/qK9T/AGdv+Sc3P/YSl/8AQI66H4p+Ak8d+GDDAFXVLTMt&#10;m54BOOUJ9GwPxANAHx1RU97ZXOnXk1newSQXMLFJIpF2spHYioKACvV/2fNIe++Ih1DafK0+1dy3&#10;bc42AfkzH8K800rSr7W9Sg07TbaS5u522pGgyT7+w9SeBX1h4O8M6f8ACT4f3l1fSLJcJGbq+mT+&#10;NgOEXPYdB6kk96AOu8QeJNI8L6c1/rN9FawDhS3LOfRVHLH2FeK63408O+Nr2Sax+Fl/r6jhrxUM&#10;TsB7xqx+mTW94G8Ly/EK4HjrxpGLnzmP9m6c/MMEQPB2nrnHGevU5yMevxxpFGscaKiKMKqjAA9B&#10;QB4L4S8S/C7R9Vjtr7whN4f1Dd8r6lE0oQ9vmckr9cAe9e8xSxzwpLC6yRuoZHQ5DA9CD3FZ+ueH&#10;tJ8Sae1jq9jDdwMOBIvKn1U9VPuK8z8MT3vwx8dQ+Cr+5kuPD+qEvpFxKeYnzzET9ePqVPG40Ac5&#10;o/grT/EfxA8ZeEdVubi3gi1JNViihYBnU788kHjEqe9e16B4X0XwvZ/ZtG06G1Q/eZRl392Y8t+J&#10;rz34oaLqmg+IbH4i+HYTNc2KeXqFuP8AlrD/AHjj0BIPp8p/hrt/CPjXRfGmlpeaXcqZNo862cgS&#10;wn0Zf69DQB0VFFedePfiTDpefD/hr/iZeJ7r91DBb/OICf4nPQEdcficCgDzi41G4uvin451bTPE&#10;Oi6YyR/YWXUXx56BQreWM8kGIfmKvfCS88b2ngOP+wx4cnsfPkKQ3s0iT7s8jj5cZ6Z9a7nw38Kt&#10;F0nwYlpqul6fqGrtG8lxdTwLIxlbJ4YjOB0/DPeuS+D/AMPvCviL4fW9/q2jw3V008qmVmYHAbAH&#10;BFAHIWD+Mrf4i+JvFdvHAk+kSrcapZQXBKyxEHKr2YBVY89MZHNezeM/G8ln4F07VNAZGudamgtr&#10;GSRchGlBIYj1AB49a810LwHNf/FHxZoWk3g0zw3C8Md/bROd80RXcI1JyQCQwJyOCeucV6t448Gx&#10;+IfB0WkadLFYT2Ukc2nt0SKSMYUfTGR7e9ADLPwPe6dcWN3beK9ZkuY5Va7F1OZYrpc/MPLPCcZA&#10;24x79aztM1TVP+F56xpE2ozy6aNKW5itmxtjYtGOOPr+db2ial4rvEhi1XQbewkTAnn+1rIr46mN&#10;V55/2iMZ74wcSz0XU4PjbqevzQImky6UtrFOZk+ZwyHG3O4dG5x2oAv+GNH8Xaf4h1KfWNfhvdNm&#10;lZooDCQwyBjac/KB0xyDgnqSa7GmJNE5wkiMfQMDTWurdGKtPEpHBBcCgCWio0uIJDhJo2PorA0P&#10;PDGcPKin0LAUAcH8QEudG17Q/GaW73ljpQlivYEG5o4pAAZVHquOfb2ya+WvF9zpl34v1afRoUh0&#10;17lzbrGCF2Z4IB5APXHbOK+4BLBOCgkjkBGCoYHNfGnxS06z0n4la3ZWFulvaxyqUijGFXKKxwOw&#10;yTxQBH8NdHj1/wCIWk6ZLd3VokzufPtJNkqFY2YbWwcHK4r2j4n/AA0sdJ+Fd2uixTyzW14NQuJp&#10;pDJLLwVck+wbP4E15B8JCV+Knh8g4/0gj/xxq+yZI0ljaORVdGBVlYZBB6g0AfAVFewfE34Lahod&#10;5Pqvhy2kvNJcl2t4gWktvUY6svoRyO/TJ8gZWRirAhgcEEcigBK6HwN4fl8UeNNL0qOMuks6tNxw&#10;sSnLk/gD+OKp6D4a1jxNfpZ6Pp811KxwSi/KnuzdFHua+q/hj8MrTwDprSyslzrFwoFxcAcKOuxM&#10;/wAOe/c/gAAdR4k8S6X4T0WXVNWuBDbx8KBy0jdlUdyf88V5hHqPxT+IhFzpIh8LaG/MUkwzNKvY&#10;9CfyCj3NQrNa+Pvi5qWoatNEvhjwoPLVbhgsTT5wWbPGNysfoq+tet6Tr+j67E8mk6naXqRnDm3l&#10;V9p98dKAPNbnwR8UtLjFxpPj8X8yjJgvLcKrewJ3j+VT+FfinqEWup4Z8eaYNI1ZyFguAMQznoB1&#10;IGexBIJ44r0BPEmiSabdajFqtpLZWjFbieKUOkRGMhiM4IyKw/HnhrSfHPhSSyea2Nw0fnWFwHGV&#10;cjKkHup4B9QfpQBP8SNCk8SfD7WdMgXdO8HmRKByzoQ4A+pXH41jfBg6LN8O7GfSrSC3n2+VfbB8&#10;7TJwS56kn7w9A1S/CLxRceJfBMaX7MdS06Q2dyX+8xXox98EZ9wa53xF4c8R/D/xPdeLPBVr9u06&#10;8O/UtIGeT1LoBz6njkEngjgAHr9FecaF8bvB2rRhby8fSrscPBeIRtPf5hx+eD7VHrXxv8L2Z+za&#10;L9p1zUXO2K3s4mwzdhuI/wDQQaAK/wAedbNj4EXSLcs15q1wsCRpyzIDubA78hR/wKvGfD6+GNE8&#10;ZSxX974gsbJdOjUyWweGczkIXBAGQmd+B7CvbfB/g/WdW8QL418b7f7TC4sNPX7lknrj+9z+HU89&#10;GaYB/wANH60f+oEn/ocdAHlPiWXwRqfibwtBb+JNY1HTWuWGof2nPKRAhKYwXUbc/Nkj0r1/4UNb&#10;RxeJrfSJPN0GDU2GnlSWQAqC6oT1UMePrWP8YNKs9a8beAdNv0L2t1c3EUqqxUkHyu4r0/RtGsPD&#10;+kW+l6bAILS3XaiDn6knuSeSaAOA+Dlvbax4Nvdav4o7nUdVu5jfvKoYthsCM5/hAx8vTms74xaD&#10;puh/B5bCyg2W9peI1urHcYyzsSATz0Zh9K6+08Cvo+qX91oGuXWm21/KZ57MRRyxiQ9WTcPlJ/Ee&#10;3AxJ4z8EJ4x8KR6FNqVxCqypK1wVEjuVz16DknPH5UAXdV8GaBrt6t9qNiZrjYE3+fIvA6cKwHf0&#10;ratbaGytIbW3TZDCgRFyThQMAZPNSKNqgZzgYpaACiiigAooooAKKKKACiiigAooooAKKKKACiii&#10;gAooooAKKKKACiiigAooooAKKKKACiiigAooooA4n4vf8kp1/wD64L/6MWvjavsn4u/8kp1//rgv&#10;/oxa+NqAPqT9nb/knNz/ANhKX/0COvW68k/Z2/5Jzc/9hKX/ANAjp3i/xXr3irxTJ4I8ETeQ8P8A&#10;yE9UHS3HdVI6HtxzngYwTQB0Hj3Sfh9qyCPxZcabb3IXCSyXCwzqPY5yR7HIrhNK+Dnww1m6A03x&#10;Rc3rdfIhv4GOPoEzium0f4FeEbKPzNVjudYvH5knuZmUFu5CqR+pP1o1f4EeDr1N+mxXWk3S8pNb&#10;TswDdiQ5P6YoA67wx4J8PeD4Gj0XTo7dnGJJiS8j/Vjzj26Vwf7Q+pyWfw/t7ONiPtt6iPjoUVWb&#10;H/fQX8qXw34o1/wR4ntvB3ja4+1292dumauc/vD0COT36DnkEjqCDVv496JLq3w3e4gTc+nXCXTA&#10;DnZgq35bsn/doAz9Ii8ZT/DRPFcOvGyuYrM3FnpUFtH9lWBBlYyCCxJVeDu4yKpzfEq41HW/AGqN&#10;qq6VpWowzPqEbuFi3Rkggk9iwIH1FP8ACup+Mbr4VWeg2Xh0XT3NiYLXU1u4xAsTAgFxncGQHG3H&#10;Vaevw1vdK17wFZ/2ZFqukaXBNHfySBGj3yliTsY5IDNkcdhQBo6V4lvPE3xT8Q6Zonibdp39kiS1&#10;khCTRwTZRSwB4bHPBPc1jfFzwzr1p4LXXL/xVLfzaVcRTRL9iihwxZU3AqM9SDjOOK6fRfDF7pHx&#10;o1TU7bRkttDn01II5ofLRA4KE/IDnsR0rO+Od893o2k+ErI77/Wr2NRGP7inqfbcV/I+lAHpml3g&#10;1LR7K924FzbpNt9Nyg4/WvOvF/wp8JmZ9bttTPha8BJN3bzCKPPqVJAH/AStbXjnxnbfD7w5aW9r&#10;B9p1OdRbadZqMl2AABIHOBx06kgd65XSfg7c+I5k1v4iapdahqEvzfYo5NsUIP8ABkfyXA+vWgDm&#10;o9Mj1dl0y7+OCz2xOHj8woZB6bmkwfxzXrng3wH4c8HWmdGtw8sqjfeSMHkkH+90A9hgVSufhD4E&#10;urMWx8PW8agYDxMyOP8AgQOT+Oa4698LeIvhGG1nwrf3GqeHojvvNJumyyJ3ZCPT1ABHfcM0Aezu&#10;Mow9q8z+Av8AyS+3H/T1N/6FXc6Frtj4m0C21fTZd9tcx7lz1U9CpHYg5B+lcN8BuPhjAPS6m/8A&#10;QqAMHSPCNn4o+L3jtr6W7jjtntwptbloSSyd9p5Hy11knwa8HXODeW19dsOjT38zEfT5qoeBmI+M&#10;PxDTsWtD+SN/jXp1AFTTNNttJ0u3060V1treMRxh3LEKOnJ5NcSvwT8Aq5ZtFdyTn5rub/4uvQaK&#10;AOY8P/D3wv4W1JtQ0XSxaXLRGFnE0jZQkEjDMR1UVQvfhJ4H1G/uL670JZLm4laWVzczDc7HJOA+&#10;OpNdtRSA4/Svhd4N0TU4NS07RVgu7dt0UgnlbacY6FiO9GrfC7wbrmqT6lqOirPeXDbpZDcSruOM&#10;dAwHQCuwooA5HSPhh4N0LVINS03RUgvICWjk8+VtpII6FiOhNfM/xi/5Kxr/AP11j/8ARSV9jV8c&#10;/GL/AJKxr/8A11j/APRSUwIfhN/yVPw//wBfB/8AQWr7M6V8Z/Cb/kqfh/8A6+D/AOgtXuvxD1fU&#10;/E/i20+HOgXLWxmj87VrpOsUP938QRn13KOhNAGn4k+M/hbQbtrC1efV78Hb5Fgu8BvQt0/LJrlr&#10;r4o2cji88WfC6+t7X+G6mtRNx/wNF/nXpvhfwVoHg+yW30iwjifGHuGAaWT3Zuv4dPQVvlQwIIBB&#10;4IPegDmfB3i7wt4lsdnhu5twsQy1qkflNGPdMDj3HHvXTnpXlPjn4a/Ypz4v8Er/AGdrtnmZoIFx&#10;HcgfeG3puIzx0boRk5rsfAni638beFLbV4VEcpzHcQg58uUfeH05BHsRQB84eAL6XW/H+laFfqFg&#10;m1ia/u1Y8TShcqrD2KnA/wBs17J4xt10T4t+C9T0xBDc6lJLZ3ixjAniAUgsB1xknPsPSuG1Pw1Z&#10;eHvjHPp2qSz2Wn61OL3TNRhYK1tc5yMMcjG4spB7MhPavYtL8HJba2muarqVzq+qxRGGCe4VEWBD&#10;12IgABPc8k0AeTaDe69YfD3xrpuneGlvtPN5fo979tjjEa7cMdh5bAGeOvSu18AeC/DOs+CdC1e/&#10;0KynvpLKJXlePO7YNoJHTOAOe9bmk/D+10jwtregxajdvFq0s0sszbd6GVQrBeMdB+tRX99pvwp+&#10;G6LLcvPHYQmK2EpAedznavGPXt0AJoA5z4WfJ8QfiLFbhBZLqKkBe0m6TcB/ntW34t+LfhvwpenT&#10;i0+o6mDtNpZLvZT6MegPtyfavMLC71zwX4AtbOzDnxf4yvDMn9+GNsAMfRjuz7bj/dr1vwN8PdI8&#10;F2C+VGtxqsi5ur6QZkkY9cE9Fz2/PJoA8+v/ABlc6ruvdR+CVxdRN8xmmg3yEepBhz+tdL4C+IHg&#10;PU7v+ztM06DQdSY7PsstskBc+isvBPscH2r0yuQ8cfDzRvGtg4uIUg1JVzb38a4kjYdMkfeX2P4Y&#10;PNAHX15bp8ip+0nqyMwBfQ1Cg9zvjP8AjV74WeKdR1G2v/DXiEn+3tEk8mZmOTNH0V89+nXvwe9Z&#10;9lFG/wC0tqTSIrMmhq0ZI+6dyDI/AkfjQAz4qt5fxC+Gzf8AUTZfzaEV6vXknxd48cfDY/8AUXH/&#10;AKMhr1ugAooooAKKKKACiiigAooooAKKKKACiiigAooooAKKKKACiiigAooooAKKKKACiiigAooo&#10;oAKKKKACiiigAooooA4/4q20l18LvEMceNwtTIcnspDH9Aa+MK+2/iF/yTjxJ/2DZ/8A0A18SUAf&#10;Q3ws1xvDfwE8QavHjzba5nMWem8pGq/+PEV3Hwa0BNH+H1neON17qv8AptxK3LPu5XJ/3cfiT615&#10;z4E0+TVP2bfE9rEpaTz5pFUdTsWJ8f8AjtesfC3U4dU+GWgSwsD5Vols49GjGw/+g5/GgDr6KKKA&#10;OI+LPh2LxD8PdSyn+lWMZvLZx95XQZOPqMj8aveBdWPi34daVfXyLK13amO4VxkSEEo+R6Eqfzqz&#10;441SDRvA2tX1wwCJZyKAf4mZSqr+LED8ay/hLZS2Hws0CCZdrmAy49ndnH6MKAOJP9vfBXUp/s1n&#10;cav4JnkMu2P5pbEnr+H14PqDnPc6X8VfBGrW6yxeIrKAkZKXb+Qy+x34/TNS+N/iHoXgWzV9TlaW&#10;6lBMNnDgySe/svuf1r521n4qaZqd89xH8P8Aw4oY5zNEXc+5K7cn8KAPb9d+M3hqwH2bRZJNd1ST&#10;5YbWxQsGbtlsYx9Mn2qDwP4J1i48SP448ZSK+tTJttbNfuWaHt9cEjHbJySTx5t4P+N+k6HcBLjw&#10;Zp1jE/Dz6UgRwPdTy3/fQr6F0TXNN8R6VDqelXSXNpKPldex7gjqCPQ0AeFeIvFEMPxj1nXrq3+2&#10;nRFi0/S7QnAe5foT6AHzTn2Fehap4r8T+DJ9Lu/FH9lXGk3s6208ljFJG1pIwyCdzHenBycA/wAq&#10;8q1vw1eX3xQ8W2NrEJNWhuodXs4icfaEU5ZFJ74kB+qEV6L4vkuvidpmn+H9N0nUrWGS5jm1G4vr&#10;VoFtkXqg3Ab3yf4cj3oA6Hw/4k1fU/H/AIp0O6NitppQh8gxxsJG81dwLEtggDrgDk1leDvFfi7x&#10;h4VF/BaaG8y3U1tOszSxIVXGCAA+c5Oc1S0bwnbav8UfGV1r2hXDQymAWM80TrGyImx9rjA5wvH+&#10;Bq58EtMvtI8EXNpf2FzZSrqErLHcRNGxUhcEA9R7+1AGR8J/tvh3xt4r8G3iQxpEy38ENu7NHEHx&#10;kKWAOMMg5Har/wAA2c/DhlYKFW+mCkHkjjr6c5rjNI17xbq/xh8Vav4esNLuJbYGwZLmXYvlLJhW&#10;HIJJ8vn6/Srfwc1zxRZ+DbmPS/C8Wq2sd/KGddQSBw5CkgKwwRyOc0AWdNk8Vf8AC5/G8fhc6OJW&#10;8hpv7TEhXAUAbdh68nrXYY+Lv9/wX/3zdf415Lb6x4ws/jD4i17TdGkjltkWbUtNeZGPkbUyMg4J&#10;xhhjJ/UH0fWvFJ8Z+IfCmgaJqM1tpmq27393PA5SV4lz+6DDlTuVg2Of6gHo+l/2j/Zdv/a32b+0&#10;Ng8/7Lu8rd327ucfWuKcfFze21/Bu3PGVuc4qm8svgL4k6Jo9pdXc+i68kqfZbid5jbzIAdyMxLA&#10;HIBGfU1x/hnxpFafCrxLZ3+qarJqge8W3lMdxKV+QBMSgELgjuwx1oA9P0D/AIWD/aif8JC/hs6f&#10;tO77As/m7scY38Yz1qpqX/C0Tqdz/Zh8Jiw8xvs/2n7QZNmeN2OM49Kk8NWWqav8O/DckfiC9tLh&#10;rKKWWeNY5XlLIDhjIrev1rqtNtbizsUgur+a+mXObiZEVm57hAF46dKAOU0tfib/AGnb/wBrS+Ff&#10;sG8ef9lS48zb327uM/WpNeX4jnV5v+Efk8NrpuF8r7aJvNzgbs7eOuce2K7KigDl9Lj8cJrkf9qX&#10;Ggy6R5fzm3jlWfft7ZO3G7P4e9fMfxljeP4s67vUrueJhkdQYk5r7Er5I+OqkfFfUjzzFAf/ACGt&#10;AGX8Jf8Akqnh/wD6+D/6A1e2/B5f7S8WeOdfn+a4m1E26k9UQMxwPbG0f8BFeI/Cb/kqfh//AK+D&#10;/wCgtXtngeT/AIRD4x+J/DFyfLh1Z/7QsS3AbOWKj8GYf9szQB7BRRRQAV5V8Mrb+xfiN4/0SIgW&#10;qXUVzEi9E8wM2B+BUfhXqFzcQ2lrLc3EixQwoZJHY4CqBkk/hXl3wcE+sX/ivxjKjJDrF9ttg3Xy&#10;492D/wCPAfVTQB2/i/wdpXjXRW03VYzgHdFMnDwv/eU/06GvPbf/AIWj8PUFqttB4s0aLiOQy+Xc&#10;RqOgJJz/AOhfXtXSfEz4l2fgDTUREW51a5Um3tyeAP77/wCz/M8epHyz4i8Y6/4rumn1jU57gE5W&#10;LdtjT/dQcCgD6KX4l+ONYRoNE+Hk0dz0827uh5aH34XP5ipdF+GWra3rUPiD4iaimpXUJ3W+nRf8&#10;e8HfkdD24xzjktXyzBcz2syzW80kMqnKvGxVh9CK9g+HPxx1PSbyHTfFFw99prkKLqT5pYPcnq6+&#10;uefT0oAtfEzxRd6X8WNbvLeNjc6XpSW9lJxiBpNmZPqBKwHuRXXeI/A9n4X+Ha+JNHmng8RadCl2&#10;2omZme4bILiTJwwOTwfb3zn/ABL0vTrT4kaVrWoAP4f8QWp069mQjCkj5H3dOP3bA/7Brs5/Auua&#10;rotr4c1bxDDPoUOxZDDbFLm6jQgqjvvIA4GSBk496AONt9bhX4y6fr40i+uHv/DcV49vZR+Y6yPg&#10;biuRwF+X8q1vAmnf8JHN4sT7TrmjoNca5EKTGCZdyAlXHOASc49hXXw+DPs3xFXxRBdokC6YNPFm&#10;IegDAghs+w4xU3hnwvc6DrXiDUbjU1u/7WuRcCMQeX5OAQBncd3G0dunvQB57/Z0Hg39oHSBFf3c&#10;yavp8i3Mt7ceYxKhsZY9v3aAZq8kwj/aaZQf9dou3j8D/wCy1zGuxXnxE+Kl/qGmaBBr+j6LCLEx&#10;S3QgSV/mJKv3IYn8AD3Fcp/Zw034qLbJ4c8Q6JstSTY6Nd+fdJ8p+ZHzyvqKAPVPi4u7xp8OPX+2&#10;B/6HFXq6srDKkEeoNfKXjKRtR1zw3bjXPFDo11s3a1AYpLUlkG5G4yfX02ivavhPHLplprvhwXL3&#10;dlo+otBa3LdWUgMVOOMqxOfrQB6JRRRQAUUUUAFFFFABRRRQAUUUUAFFFFABXEeN/in4e8DH7Pdy&#10;PdaiV3Czt8FgD0LE8KPrz7GrXxI8Yr4I8HXOprta8ciG0RujSt0J9gAT+FfGl5eXOoXs15dzPNcz&#10;uZJJHOSzHkk0Ae13P7SuqNPm18PWccP92Wdnb8wB/Kup8MftDaFqc6W2uWMulSMcCZX82LPucAr+&#10;R+tfMlFAH33b3EN3bx3FvKk0MihkkjYMrA9CCOoqSvm74AeOp7PWP+ETvpi1ndBns9x/1UoGSo9A&#10;wyfqPc19D3+pWGlW4uNRvbazhLBRJcSrGpb0ySBng0AWqKzbPxBouoo72Wr2FyqffaG5Rwv1weKs&#10;2uo2N9AJ7S8t7iEsUEkUqupb0yDjPtQBZorDuvGGhWfiG20KfUIVv7hHdE3DAC8kMf4TjOM+hq2n&#10;iDRpba5uY9WsXgtRm4kS4QrD/vEH5fxoA0aK5mT4ieDYgS3ifSjj+7cq38jW3pmqWOs6fFqGm3Ud&#10;zaS58uWM5VsEg/qCKALdFZOq+JdM0XU9M0+/maGbU5DFbMUJVnGPlJHQncMZ61pJPDJI8aSo0iff&#10;UMCV+o7UASUVzbePPDy+FbjxIb0/2ZBI0TyGNgxcNt2hcZJJrcs7221C1jubWVZIpFDgqc8EZFAF&#10;iis/TNb07WWvF0+5Wc2Vw9rcAKR5cq/eXkdvUcULrenPr0mhrcqdSjtxctBtORGTt3Zxjr75oA0K&#10;K5u98f8AhTT7i6tp9ctPtNqsjTQxvvddgJcbVycgA5HXitS11zS725htbe9he5lthdJBu/eeUcYc&#10;r1A5FAGX8Qv+SceJP+wbP/6Aa+JK+2/iF/yTjxJ/2DZ//QDXxJQB9R/s7gN8N7pSAQdRlBB/3I6p&#10;JPcfBTxPcpNBNN4J1SbzI5IlLGxlPUEenb3AGMkEG5+zsJh8PbreIxCdQkMZU/MfkTOfyr1e6tbe&#10;9tZLa6gjnglXa8UihlYehB60AV9K1nTdcsUvdLvoLu3bpJC4YfQ+h9jzUmoanY6TZvd6jeQWtun3&#10;pZnCKPxNefXfwQ8Mtevd6Td6rosr9RYXW1fyIJ/AHFFt8EPDX2lLjVrzVtZkToL+7LL/AOOgH9aA&#10;Oe1S9ufjT4lttL0uOaPwbp8wkvLxlKC6cfwr+HT0zk9hXqniLWrPwn4WvdVmRVt7GDKxrwCeioPT&#10;JwPxrRsrK106zjtLK3it7eIbUiiQKqj2Ary39oe4kh+HEEaFgs+oRI+OhAR25/FRQB81a9rl/wCJ&#10;NaudV1OYy3Vw25j2UdlA7ADgCs6iigArvvhR49n8F+KIUmmP9kXjrHdxk8LngSD0K9/UZHpXA0UA&#10;fXHxJ8KalPe6f4y8MKDr2k8+UB/x9Q85T3OC3HcMR1xWr4N+JWg+MYFjhnW01QfLNp9w22RWHULn&#10;7w9x+IFbnhaR5vCOiyyMXd7CBmY9STGuTWJ4o+F/hXxbMbm/0/yr09bq1by5D9ccMfqDQB2BIUEk&#10;gAckmvNPGfxTt4Xbw94PH9seIrnMUYtvnjgJ/iZuhI9Ogxziq4+BekSfurvxH4hurTtbyXY2/j8v&#10;+Fdt4a8GaB4Rt2i0XTYrYuMPLy0j/Vjyfp0oA5Dwx8F/DVl4dtode06HUdUYGS5uGd+XJyQMEcDp&#10;nv171xXwc+H2geJ/Cl9e6jHdmaPUZIV8m6kjG0IhHCkep5r6C7V5J+zyc+BNS/7C0v8A6LioA8ze&#10;V/CPxc8Q6Lo+oW+m2t1EbJ7y/lZhBGVRi+4nJYYIH1rvZYPBGmW/hqfw14w0aDUNA3LG1zcrtuUf&#10;PmK5HIySxyAcZPFT+E9NstR+Ofjlb2zt7lESIqs0SuASF6ZFenf8Iv4f/wCgFpn/AICR/wCFAHMa&#10;Jot14l8VWnjTVbqwkgtoGj0u2sJjNEm7h5DIVXcx5HAwPwrktEuvDuheAPEXhqTxjohu9Qlutknn&#10;ELGJVC/NxnI5r2W3t4LSBILeGOGFBhY41Cqo9gOlZx8MaAzFjoemlickm0jyT+VAHOfD3W9Ag8P6&#10;T4btfEGnahf21v5ZW2lzv29SB1xitW78feFLHU302612zivEk8toS3Kt6H3rUtdE0qxmE1ppllby&#10;gYDwwKjY+oFMm8O6LczvPPo+nyyucvI9sjMx9SSOaQGdY+PfC2pyxx2Wt20zyTi3RVJy0h6KOOen&#10;0qtrXxM8H+HdVm0zVdZW3vYdvmReRIxXIDDlVI6EGtqHw/o1tMk0GkWEUqHKOlsilT6ggcVYbTbB&#10;7hrhrK2adsbpTEpY4GOTjPSmBzOkfFLwZrupwabputrPeTttij8iVdxxnqygdq+fPjyMfFS897eE&#10;/wDjgr6vW3hQgpFGpHQhQK+Ufj3/AMlTuv8Ar2h/9BoAxfhN/wAlT8P/APXyf/QWr6Z+IPgUeLrG&#10;3ubG4+w67p7ebY3i5BVuu1iOdpx+B59Qfmb4Tf8AJU/D/wD18H/0Fq+zKAPINP8AjFeeHJ00j4ha&#10;Ldafep8v22CPfFNj+LA/9lyPYdK6G4+NHgKC089db844+WKK3kLn2wVGPxxXc3Nrb3kJhuYIp4j1&#10;SVAyn8DWdY+F9A0y4a4sdE062mY5MkNsiNn6gUAeaXUnin4vkWcVpc+H/CBIM004xcXi5zgDsP09&#10;z0r1bS9MtNG0u206whWG1toxHGg7AfzPvVugjIIoA+JviD4ik8UeOdV1NnLRNMY7fngRL8q4/AZ+&#10;pNczVi/tZbHUbm0nUrNBK0Tg9mUkH9RVegAooooA+kvhStt8RvhLeeGdcDSrYy+THJn541I3RsD6&#10;qdwHsMdKltPEvjP4VoNM8SaXPrugw/Lb6naDLxoOgcew7Nj6kVX/AGa7aRPD+uXRU+VJdRxqfUqp&#10;J/8AQhXuFAHmS/HrwK1r5pur1XxnyTatv/T5f1rKufFfi74nwtpvhTS7jRdGm+WfV7z5XKdxGB3x&#10;6E/VeternS9PafzzYWpl6+YYV3fnirdAGL4V8Mad4Q0CDSNMjKwx8u7felc9XY+p/wAB2rzthn9p&#10;9PbSP6GvXq8kx/xk79NHoAzfj5p51jWPBGlCXyvtt5JBvxnbuaFc474zXrHhzw9YeFtCttI02PZb&#10;wLjJ+87d2Y9yTXnPxfgdvGPw5uBjYmsKh9ctJER/6Ca9boAKKKKACiiigAooooAKKKKACiiigAoo&#10;ooA+e/2l7mb7T4etckQbJpMdi2UH6D+deCV9LftGaDPfeGdN1mCMuNPmZJsfwpJj5j7blUf8Cr5p&#10;oAKKKKANXwxdy2HirSLuBiJYbyJ1I9Q4r6y+JMU80Xh5LbYbg6mRAJBlfN+zT+Xn23Yr5p+F2gTe&#10;IviJpFskZaGCdbqc44WOMhjn6kBfxr6h8e+G28T22iWRt3mto9UjmuQkvllYxHICwIIPBZenNAHi&#10;vha28KxeL7JG8L3erxroY822ithO63QlKyu6kgcHIz24x2re8H6bpt5+z7r6XcMQWKa7ljFwdvlT&#10;KuI+T0YHaPxxXR2Pw81Tw78RxeeGIbWx0lNJNsk9zmcGQybyCu9XJz3zj+VVLL4e6/B8HdU8OXMM&#10;cmpXOoicokq7ZE86Mk5zgZVScGgDw61toYvE+lQPplrLaqkc81q+oxFZwEzITLuwm7aTtJ44H1+h&#10;Ph7qekaZ8J9NvdP0ia98z9zdQ6bbCSUyZOd44zgY5PYj1qtqvwP069vtX1SDUp47+6czWihFWK3k&#10;ByvAHIGMfQmtz4WeGdW8NaFqS61DbQXl9qMl2YLYjy4wwUYGOAPlJx2GKAOB8Y69D4g8XaL4dl8N&#10;a3aaPMjz3VjHYrFc3ZXJUDByUBUE8jv6DHomh6jZt4V1O1u/C95oGi2UJRYZ02mSIqd2FTkHrnBJ&#10;JPXJrPutA8Ran8aNL1qexgg0fSreVY7lZgxn3oRgr1BBb6cda7y/uJrWykmt7OS8mUDbBEyqznOO&#10;rEAevXoO/SgD58/s7R5LzxFf+J/7W0mCztVvdD0ye+kEiKcgSplid5dR8v8ACW57Y1/h/aP4W8K6&#10;1q/jLTbrTxNbJK+rxXMhmuUlbIB2tkSBiOcA88+p3vEnw3134g3Y1HXby10mS1jI062tB53lsSDu&#10;lcgbunQcfrnpdD/4T2K01CHxBBo11JDAfscts7L9okA4DgjAB4yRjHpQB816W16ul6dc7rdtLN3d&#10;SJBqV4XgmkSPcpaHPUZwD/EzAHjr6b8FtQTQ9QvfD02rWRiuNPj1JWjVQySMgZlLdyqkHHOOfetW&#10;z+H2u654cstG1zRdNsmNzJNqGoFkknkRpjKUi2g7ckgEk8AdDW/4W8C3HhnxBd2J0nSLvw9J5j2t&#10;y0a/aYA/WJsjLryRyen5UAeCRalDc+HvEFw1xqs99eajmK4knMNqu9smRtpAaQj+HHA5xgGvRvhf&#10;Ha698RzqNpq2rN/ZumRQvHcSqxJyVaJmA+eMEBh+HPFddonwttJ4dYg8RWyyW0ur3l1Z20cg8tY5&#10;Qqq+AOGABA/u5qz4K8I694f8RX1xqUlpcW0Onw6fYyw5V5Y42YqZB2bBAJoA8U1G6juvFfihBdCT&#10;y5talWDyQPLDJgPv6tuwRjttz/FWn8J7vXYvGWg6cmmxWBuEa5lvriFzNeW4U4UM38GAMBcDKg84&#10;rq2+Fvi7+z4rSa4064jTTbzaVyji5ueXQkkhgD0bjjtWx4O+G2seH/FWgapciwEVppjWtwIZJC3m&#10;EdfmJB+owPagDs/iF/yTjxJ/2DZ//QDXxLX238Qefhz4k/7Blx/6LNfElAH0/wDs6Lcr4EvTJJG1&#10;u18xiVTllO1d279MV7BXif7NiuPC+ssQdhvVAPbOwZ/mK9soAKKKKACuM+KvhuTxR8PNSsreMyXc&#10;Si4t1AyS6HOB7kbh+NdnRQB8AEYODRX0F8VPgndXmoz694UhWQzEvc2AIU7u7R5456lfXp1wPCL/&#10;AEu/0u4MGoWVzaTA4KTxMh/IigCpWr4a0K58TeI7DRrQHzbqUJuAzsXqzH2AyfwqfQPBviHxPOse&#10;kaTc3IJwZQm2Nfq5+UfnX098L/hbaeBLI3V00dzrU64lnX7sS/3Ez29T3oA7+ztYrGygtIF2wwRr&#10;Eg9FUYH6CpqKKACiiigAPSvJP2eRjwHqX/YWl/8ARcdet14B8IPiD4X8I+FdQ0/W9UFrdNqcsqx+&#10;RI+VKoAcqpHVT+VAHTeCOPjt48H/AEzhP6LXrNeNfDbV7DXvjJ4y1TS5/Psri3hMcmxl3YCg8MAR&#10;yDXU3fwp0q8upbh9b8RqZXLlU1Jtoyc4HHSgDvKK4jS/hhpek6nb30Or69K8Dh1SfUGZGI7MMcj2&#10;roPEXh+DxLpYsLm7vbVBIJPMs5zE+RnjI7c9KANeivO/+FPaTnJ8QeJv/Bkf/ia3rXwTZ2nha68P&#10;x6jqrQXLFmuHui065x918cD5R27mgDpqK87T4O6Mjh/7c8SEg551E/8AxNdBo3gjS9E0+/soJ9Qm&#10;jvk8uZri8d2xgj5Tn5fvHkY/SgDpK+Tvj3/yVK5/69of/Qa9xn+DHgy4vnu5rO6d3jKsGu5CCSMb&#10;+Tnd+OPavnf4r+G7Hwp44l0vTjObdLeNwZpN7ZI55oAi+E7Bfil4fLEAfacc+6mvs2vij4ceT/ws&#10;nw556M6f2hDgKcHduG0/QNg/hX2vQAUUUUAFFFFAHzD8dfANxo/iCXxNZQl9Nv33TlR/qZj1z7N1&#10;z6kj0rx6vvm7tLe/tJbS7gjnt5lKSRSKGVgeoIrxPxN+znYXc73HhzU2stxz9luVMkY9gw+YD67q&#10;APnKrOn6fd6rqEFhYwPPdTuEjjQZLE17Np/7NmsvPjUtdsIYc9bZHlY/gwWvX/BPwz8P+Boy+nwt&#10;PfOu17y4w0hHoOyj2H45oAveBfC0Xg7whY6MhDSxpvnkH8crcsfpngewFdHRRQAUUUUAFeTMpX9p&#10;pSRw2jZH6/4V6zXjPj3xFB4Q+Nmla3dWV5c266OYmFrGGYkySY6kD9aANX4t/wDIb8An/qPw/wDo&#10;S16jXgPiT4gWXj3xL4NtdN0nVoGtdaglka6gCrt3qOoY179QAUUUUAFFFFABRRRQAUUUUAFFFFAB&#10;RRRQBBeWdvqFlNZ3cKTW86GOSNxkMpGCDXyj8RPhBrPhG8nvNPglvtELFkmjG54V9JAORj+90Pt0&#10;r61ooA+AR15zWroHhjWfFF8tno+nzXUhIDFF+RPdm6KPrX2fdeEPDN7OZ7rw9pU8xOTJJZxsx+pI&#10;rUtbS2sYFgtLeK3hX7scSBVH4CgDi/hj8OrfwDorJI6T6pdYa6nUccdEX/ZH6nn0A7qiigAooooA&#10;KKKKACiiigAooooAKKKKACiiigAooooAgvLO31CxnsruJZba4jaKWNujKwwQfwrkh8JfAY/5lu0/&#10;N/8AGu0ooAz9H0PS/D9j9i0mxhs7bcX8uJcAsepPqeB+VaFFFABRRRQAUUUUAFRz28NzEY54Y5Yz&#10;1V1DD8jUleaQ+NPHet3F4+geFdPewt7uW2Wa5vsGQxsVJxwR0oA9KVVVQqgAAYAA6UtYXg3xC3ir&#10;wlYa09uLd7lW3xBtwVldkOD6ZU1u0AFFFFABRRRQAVl/8I1oJYt/Ymm7ick/ZUyT+ValFAFW002x&#10;sN32Oyt7fd97yYlTP1wKtUUUAFFFFABRWX4k1V9D8M6pqscayvZ2sk6oxwGKqSAfyrzLVvFnxO0/&#10;wiPFki+GE03yIrjyI1maXZJtwDnjPzDPNAHsNFFFABVafTrK6k8y4s7eZ8Y3SRKxx9SKs0UAVItL&#10;0+CUSw2FrHIvRkhUEfiBVuiigAooooAKKKKACiiuF+IPiDXtL1Pw5pegTWkNxq1zJC0tzEXVdoBH&#10;APvQB3VFec6ZrHjPS/iBpeg+Ib7S7y3v7eaUNa27IyFAO5PvXo1ABRRRQAUUUUAFFFFABRRRQAUU&#10;UUAFFFFABRRRQAUUUUAFFFFABRRRQAUUV514r+JNzb603hrwdpn9ta8P9b/zxtv985HPtkAdznig&#10;D0WivKI/DfxfvkNxdeM9PsZG5FvBaq6r7ElP8aq3Ou/FPwIftWu2tp4k0hOZp7NAksa+uABj/vkj&#10;3FAHsNFY/hrxNpfi3RYtU0mfzYH4ZTw8bd1YdiP88VsUAFFFFABRRRQAUUUUAFFFFABRRRQAUUUU&#10;AFFFFABRRRQAUUUUAFFFFABRRRQAVxHwxkD6HqoH8GtXq/8AkUn+tdvXnvwkctpXiMH+HxDeD9VP&#10;9aAJ/g6SfhfpeSD+8uMY/wCu8ld3Xn/wWOfhnZD0uLgf+RWr0CgAooooAKKKKACiiigAooooAKKK&#10;KAOb+IP/ACTrxH/2DZ//AEA1yXihGm/ZyUKpY/2NaNgDsBGT+grtvGNsLvwTrtuWKiTT51yO37s1&#10;yuoDd+z4R6eHE/8ARAoA9EU5UH2par2E6XWn21xE6vHLErqynIIIzkGrFABRRRQAUUUUAFFFFABR&#10;RRQAV518Qf8Akffh9/2EJv8A0Ba9Frzn4g/8j78Pv+whN/6CtAE+un/i9XhIf9ON5/IV39cBrn/J&#10;avCf/XhefyFd/QAUUUUAFFFFABRRRQAUUUUAFFFFABRRRQAUUUUAFFFFABRRRQAUUUUAcV8U/FM/&#10;hTwTPcWOf7Ru3W0tNoyRI+eR7gAke+KtfD/wbb+DfDUNqFDahMBLfXB5aWU8nJ7gZIH59Sa5P4sO&#10;ZPG3w6tJB/o0mq73z0LK0W0f+PGvV6ACjrRRQB5Dc26fDT4uWM9mvk6B4mbyJoV4SG5z8pA7ZLD/&#10;AL6b0Fd74r8XWvhOKyaeyvLyW8mMMMVoqliQpYk7mAxgVyPxxVf+EY0ST/lomt2+w9wcPUvxXuLK&#10;1vPC8upPKlibueOd4lZmVGgdSQFBPAOeBQBah+KkN9Hpg03w5q11cajbSXUVv+6RhEjbdxy+OSMj&#10;1FWIPifpbeBIfF09hfx2DytE6xxiRosMVy2DgDIxn3FeW20B8Y674Wim8Pyaqlp4fO+3W4NrwsrR&#10;o5bIIyFBx/telXLC6hs/2Zntp4ZWkvJ5bSCOPk+a0zbfwBH6UAbS/HzTn8XpaxWF5LpD2uRttj9p&#10;E+ScBd2CpXHvXoGjeMI/EHht9b07R9Ukg/5YxOkaSXA9UBfGPqR04zXzG096/wAQDNLq92dQjnWx&#10;S+jiiEvnBBEFKb9uzgruzyOepxXu/wAOtR1LUvhZoo8OraxT2o+zTjUUYqSnDFdhz1x+tAFnXvid&#10;N4ftEuL3whrUfmyCKEO0OZHPRQFdjn6A11Vlrgk8NRazqdpNpYMXmTQTjLw+oOP8PwFeZagPGEvx&#10;i0uKZ9CkvY9KkktwY5fJjBfDNjOd/AGc4xXoelW/iay0i+bVb2z1PUDue2SGHyEHHCE5PGe55x60&#10;Acvrfxg0PTdc0q1tLm2u7K4kKX0oZle0HG1yNv3eea6XSvHXh3WnvxY6gJIrCPzJ52jZIgvPIdgA&#10;RweRxXk2t31/8PLzxAmufZ9U1nxNZxtbXHlAR+bny3hOf4FDKRnAIUZrq/DHgvxL4E8HXtjZ3Fvr&#10;k1ysXlWV22yGAkHzRkk7lJPTjOKAK918cNO/4RG11DTraO+1mZyrabHI26NV3FnPy5wFXPTv7V3f&#10;hbxdpvi7Qjq9h5qWquyMZ02YKgEn3HPX2NfMuq6FqGm+FfD+vy/2pPDNZTxSvZ/u4rZSzLEm8Kcg&#10;liSDyQcZrvfharWNp4lFn4Z1i40S809Xtlukyk7xxlZI8dCXctjGeOKAO80P4t+HdR0i9v7+5SxF&#10;pcvDIgDSlU3YRztXgN+WavaT8QLHVfH2o+F08gG3gjlt5lmybjcgZgFx2B9a+cwmtW3wzS3+xwrZ&#10;X1y8rtaQ/wCkeTExEolIH3A5jxnpivZPhpHdXnjjXr/V9PsY7yGwsVguIEH72Jlf94p/2woJ9MAd&#10;qALQ+MHnRag0Ph+4jFtY3F5HLPMoSYRMEIGMnqa6rw54ztPE9/PFp9neGyjiV0v5IWSGdj1WMsAW&#10;x6189aTZ3FnpOs6hPpcVtDqOg3z290kpZroGePll3HbtzjgDI5561ufCG0vZ/iPpQ1LULm/jttFN&#10;zZ+Y0qrbg7U2qGwCACRxlfTOKAPo6iiigAooooAKKKKACiiigArzr4Rf8g7xQPTxFd/ySrV38WfD&#10;trrV5pAt9WuL20cpNHb2LuQQcZ+nv3qD4SQXUeja9c3NldWi3mt3N1Cl1EY3aNgmDtPPr+VAB8Ff&#10;+Sa2v/Xzcf8Ao1q9Crxb4cfEPwr4U8JDSNa1X7JfQXc++FreViuZCRyqkV6l4e8T6N4rsZL3RL0X&#10;dvHIYmcRsmGwDjDAHoRQBr0UUUAFFFFABRRRQAUUUUAFFFRXEwtraWco8gjQvsjXczYGcAdzQBQ8&#10;Sf8AIr6v/wBeU3/oBri5zu/Z5yTn/inF/wDRAqjN8WbbxPpGoWmieFfEt75kUluZY7NSiOVIwxDH&#10;HUVrTaXfxfAh9MktZft6aF5JtwuX3iLG3A6ntigDsdDMbaBpzRKqxm1iKhRgAbRjAq/XmOnfFXRd&#10;E8NWMepabrtuLW2iilkk051RWChfvHjrXoGjava69o9rqlkZDbXKb4zIhRiPoaAL1FFFABRRRQAU&#10;UUUAFFFFABXnXxBH/Fd/D8/9RCX/ANBWtvx54zPgfR4tSbSbi/iaURuYnCiLPQsT0BPGa5SZ/E/j&#10;TxX4U1GTws+nadp9y1y9y1/DMroy8YCnJ6ds9aANfXP+S0eEz/04Xn8lrvq868bnUdK8f+GvENto&#10;uoapaWsFzDMlhF5jqXA28ZH+Qal034sWN/4ptvDkvh7XrPUbjBCXNsi7F67mw+QvHXFAHoFFFFAB&#10;RRRQAUUUUAFFFFABRRRQAUUUUAFFFFABRRRQAUUUUAFFFFAHnXxk0S71DwjDq2mqW1DRLlL+IAZJ&#10;Vfvflw3/AAGuv8NeILPxR4es9YsWBhuYwxXOSjfxKfcHIrVIDAggEHqDXkl74O8U/D7VrnV/AWy9&#10;0m4cy3OiTHG09zH/APW56DDUAeuUV5ND8fNCt1MOt6NrGmXyf6y3eENg+xJB/MCqlz8RfGXjfNl4&#10;G8OXNlbyfK2q367Qg9R/CD+LH2oAseN5v+E3+J+geELJvMttKmGo6m68qm3G1D74OP8AgY9DXoOt&#10;aFJqmtaDfx3CxDTLl5mUrkyBo2TA9PvVm+AvAtt4K0uVTO15ql4/m3t7J96V/wAecDJ/MnvXW0Ac&#10;u/hCUPr97batNb6tqrJsvEjBNsiY8tFU8EDnP97J6VjQ/DLHgTS/Dk2rEy2d+t+9ysAAkYSM5G3P&#10;A+bHXt07V6DRQByd/wDDfwveabqVpHpcNtJqDeZLcQjEokzuDhuxDc46Vc8F+FovBvhmDRo7p7ox&#10;s7vO67S7MxJOMnHXHXtXQUUAcjY+Cp7f4h3Piu61qa7V7Zre3tJIgBbqzBiAwPI4OBjv1rpr1LqS&#10;ylSynjguWXEcssZkVD6lQRn8xViigDij8MNCvo7qTxB52t6hdJskvLxvmQdcRAYEYB6bfzNLoHgK&#10;58Padqdjb+KNVuILmAw2gumEn2PggFfUjI9BxXaUUAcZpvw9tra20O1vr+a9s9GiQW9qUCRNMv8A&#10;y1cclj6AnA960NE8IxeH9d1K/stRuxaX7tK2nMQYY5WOWdOMjPPHTn2GOjooAwPD3hHT/D2iyaWg&#10;+0wyNLvadFJZJGLFDxyvzHiqWg+ArHw2dX+wX18RqESQoJ5fM+yxoGCpGTztG84Bz2rrKKAPPZvh&#10;HpRt7iK3v72MPpX9mQrK/mpApxudVPc4GQCB19a0dC+HWn6D4httYg1HU55bex+xLHc3BkXbkHPP&#10;I6dBge1djRQAUUUUAFFFFABRRRQAUUUUAch4p8FHVNQi17Q7w6X4it12x3SjKTL/AM85V/iX9R74&#10;xTPDnjpLy5n0fxFAuj69aRmSeCVwI5UA5lic8MnBPqOfTNdlWJrPhrw94ugh/tSxtr+OByY3z90g&#10;4I3Kc4yOR045oA5G4vtQ+J0sthpDyWPhMEx3Wo7dsl+OjRw56J2L9+g7577TNMstG06Gw062jtrW&#10;FdscUYwAP6n371NHHBZWqxxpHBbwphVUBVRQPyAAqQEMAQQQeQRQAtFFFABRRRQAUUUUAFFFFABR&#10;RRQBw+v+C7y31aTxL4PuUsdZbm4tn/4974DtIvZvRh/9emWfxV0NdKuZNb36Vqtn8lzpk3M2/sIx&#10;/wAtAexHrziu7rMm0vRdT1OK/ltLK5vrFiscxRWkhb0z1B56UAcjaeHtU8b3kOq+L4fs2lxsJLLQ&#10;s5Gez3B/ib/Y6Dv3r0BVVFCqAFAwAOgpJJEhieSR1SNAWZmOAoHUk1Ha3dtfW0dzaXEVxbyDKSxO&#10;HVh6gjg0ATUUUUAFFFFABRRRQAUUUUARz28N1byQXESSwyKVeN1DKwPUEHqK89l0fWPhzM954chn&#10;1Pw2zFrjR926W1z1e3J6j1Q/h149FZlRSzEBQMkk8AVVTVdPl0xtSivraSxVDIblJVaMKOp3A4wM&#10;UAcRefEZdfjh03wKq6hqtygZ5pUZYbFDwWlyPvDnC9Sf13fCfg608MRTXDyvfavdnfe6jMMyTN6f&#10;7KjsorZ077BPbLfaesPk3irOJYlA80MAQxPfIxyaTVdY0/RLQXep3cdrbl1jEkhwNzHAFAF2iiig&#10;AooooAKKKKACiiigAooooAKKKKACiiigAooooAKKKKACiiigAooooAY8UchBeNWK8jcM4p9FFABR&#10;RRQAUUUUAFFFFABRRRQAUUUUAFFFFABRRRQAUUUUAFFFFABRRRQAUUUUAFFFFAHhOseLb/RdR8X6&#10;xo1teafqMcccN3Y3h3x/aGlRIpYhzuLR7zjAHA61D8INW1gahpVrrN7f29reGabTYLe3jFtdE72l&#10;LuozkHOF4xgfSno2pDTfEEwuJ5Nf/wCEkfZD9n82e4jiXbEseQQgBP38YAz9C/wHoN34B8bafpni&#10;SC+unuog+mTxFnt7aZ1/fKVHAbtu9Oeh4ANL4pePdat7C98Nf8Ipcx/2lZzeVP8Aa0ZvLUfOxRA3&#10;AXJOSOK1vhx4p1jxNY6FHpdgkGg6faLb391csPMnmWILsiAPQNgknr/Or48sb+xsPEXifU4JLi5m&#10;spdK0y1tELi3ikyPMc/3mzk9gMDnNO0DwX4m8MX2k6l4bltUs7u0t11bTLtmRRIEUNImAcNwc+/r&#10;ngA9WooooAKKKKACiiigAooooAKKKKAPEtb8Q+KLH4kalDomiLaXz2+L65ml8y1EIYeVdHptIRXB&#10;B/XGK534ca7rU+qWB0/xHaJPrms3E2o25s1LkKocnOchWHAwBgnr1rqdc8K65qer/ExIjqEcN1Bb&#10;PbOkfN0VhY+SjHgpuODjnoPXNLwr4N8eeF7vS/EdnpmnSXE1tHY3mlhhEVhVVCyM5JG87cnGfoew&#10;B13xR8T61omlR2Fhp1jcHVPMtUMk7Fwuwl22BQMBc5O7jjiuR+D3iDX9e0jSdE0lrWx07RiDqE0m&#10;JJbgM7MERf4QRwW/Lpg9j410q9gl1TxJJZ3GqvFZNZadZ2i5aBZFxJKQfvMTgcdFH1xzfh34Z61Z&#10;aD4a1zRL1dI8RQWoju4blCY50LFtsijkEAgfgOhANAHs1FIudo3YzjnFLQAUUUUAFFFFABRRRQBW&#10;1AXZ065GnmEXvlN5BmBKb8fLuxzjOM4r5h8S3mpnwdq0ljCdKt9R1F4rvS7Y+bE5hH76ZH/gTcyA&#10;qMg4644r6b1a2+2aPe2w8zM0Dp+7Yq3KkcEcg+9eLWXgTWrvwf4b0SOwu7W/Flcw3c85AgtoppSX&#10;JHV5CoACjpkE9qAL/wAI1l0nWpdIvt97qD6Wl1aaiL1pYWtcqEQIf9XjI4x2/PmPjB4o8U3l5e6F&#10;Nb6ebDT3t5pjalnIkYkoCzAckdgOneu++HXhW98B63qeiHR/OtJyZbfW1YEugHyxyLnII56ce3es&#10;fxd4H1yLRrfS7G0l1TUdW1RL3UtVVlRY2U8DZ1CAHjnjB9aAOn+H+o674tnbxbd6nDFpVzEYrfSb&#10;c+YIiDyzuQPnyDwB0Ir0CuI0vwBL4e8ZS6voWrPZ6XdsZL3SjFvjdyPvIcjZzz09unA7egAooooA&#10;KKKKACiiigAooooAKKKKACiiigAooooAKKKKACiiigAooooAKKKKACiiigAooooAKKKKACiiigAo&#10;oooAKKKKACiiigAooooAKKKKACiiigAooooAKKKKADFFFFABRRRQAUUUUAFFFFABRRRQAUUUUAFF&#10;FFABRRRQAUUUUAFFFFABRRRQAUUUUAFFFFABRRRQAUUUUAFFFFABRRRQAUUUUAFFFFABRRRQAUUU&#10;UAFFFFABRRRQAUUUUAFFFFAH/9kBAAD//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CgAAAAAAh07iQAAAAAAAAAAAAAAAAAoAAABk&#10;cnMvX3JlbHMvUEsDBBQAAAAIAIdO4kBYYLMbtAAAACIBAAAZAAAAZHJzL19yZWxzL2Uyb0RvYy54&#10;bWwucmVsc4WPywrCMBBF94L/EGZv07oQkaZuRHAr9QOGZJpGmwdJFPv3BtwoCC7nXu45TLt/2ok9&#10;KCbjnYCmqoGRk14ZpwVc+uNqCyxldAon70jATAn23XLRnmnCXEZpNCGxQnFJwJhz2HGe5EgWU+UD&#10;udIMPlrM5YyaB5Q31MTXdb3h8ZMB3ReTnZSAeFINsH4Oxfyf7YfBSDp4ebfk8g8FN7a4CxCjpizA&#10;kjL4DpvqGkgD71r+9Vn3AlBLAwQUAAAACACHTuJA2Tk3hxMBAABIAgAAEwAAAFtDb250ZW50X1R5&#10;cGVzXS54bWyVkk1OwzAQhfdI3MHyFsUOXSCEmnRBChILqFA5gGVPEpf4Rx4T2tvjpK0EVVqJpT3z&#10;vXlv7PliazrSQ0DtbEFvWU4JWOmUtk1BP9ZP2T0lGIVVonMWCroDpIvy+mq+3nlAkmiLBW1j9A+c&#10;o2zBCGTOg02V2gUjYjqGhnshP0UDfJbnd1w6G8HGLA4atJxXUIuvLpLlNl3vnWw8NJQ87huHWQXV&#10;ZhAYC3ySeVk9TyJs4xs6jQTo8IQR3ndaipgWwnurTsJkhyAskWMPttrjTUp7ZsJQ+Zvj94AD95Ze&#10;IGgFZCVCfBUmpeUqIFfu2wbo2WWRwaXBzNW1lsCqgFXC3qE/ujqnDjNXOflf8eVIHbX5+A/KH1BL&#10;AQIUABQAAAAIAIdO4kDZOTeHEwEAAEgCAAATAAAAAAAAAAEAIAAAAD/QAABbQ29udGVudF9UeXBl&#10;c10ueG1sUEsBAhQACgAAAAAAh07iQAAAAAAAAAAAAAAAAAYAAAAAAAAAAAAQAAAADs4AAF9yZWxz&#10;L1BLAQIUABQAAAAIAIdO4kCKFGY80QAAAJQBAAALAAAAAAAAAAEAIAAAADLOAABfcmVscy8ucmVs&#10;c1BLAQIUAAoAAAAAAIdO4kAAAAAAAAAAAAAAAAAEAAAAAAAAAAAAEAAAAAAAAABkcnMvUEsBAhQA&#10;CgAAAAAAh07iQAAAAAAAAAAAAAAAAAoAAAAAAAAAAAAQAAAALM8AAGRycy9fcmVscy9QSwECFAAU&#10;AAAACACHTuJAWGCzG7QAAAAiAQAAGQAAAAAAAAABACAAAABUzwAAZHJzL19yZWxzL2Uyb0RvYy54&#10;bWwucmVsc1BLAQIUABQAAAAIAIdO4kBpVLTD3AAAAAsBAAAPAAAAAAAAAAEAIAAAACIAAABkcnMv&#10;ZG93bnJldi54bWxQSwECFAAUAAAACACHTuJAJaZzDvwCAAAFBwAADgAAAAAAAAABACAAAAArAQAA&#10;ZHJzL2Uyb0RvYy54bWxQSwECFAAKAAAAAACHTuJAAAAAAAAAAAAAAAAACgAAAAAAAAAAABAAAABT&#10;BAAAZHJzL21lZGlhL1BLAQIUABQAAAAIAIdO4kCky7KuYMkAAFbJAAAVAAAAAAAAAAEAIAAAAHsE&#10;AABkcnMvbWVkaWEvaW1hZ2UxLmpwZWdQSwUGAAAAAAoACgBTAgAAg9EAAAAA&#10;">
                      <o:lock v:ext="edit" aspectratio="f"/>
                      <v:shape id="图片 572" o:spid="_x0000_s1026" o:spt="75" alt="01ce0070-ecd3-4137-82a5-5e73f88b7c49" type="#_x0000_t75" style="position:absolute;left:5933;top:1122655;height:3665;width:4628;" filled="f" o:preferrelative="t" stroked="f" coordsize="21600,21600" o:gfxdata="UEsDBAoAAAAAAIdO4kAAAAAAAAAAAAAAAAAEAAAAZHJzL1BLAwQUAAAACACHTuJAWwnjdLwAAADb&#10;AAAADwAAAGRycy9kb3ducmV2LnhtbEVPS2sCMRC+F/ofwhR662YVKrI1uwdRKB4K2nrobdiMm31k&#10;sk3SVf+9EQq9zcf3nFV1sYOYyIfWsYJZloMgrp1uuVHw9bl9WYIIEVnj4JgUXClAVT4+rLDQ7sx7&#10;mg6xESmEQ4EKTIxjIWWoDVkMmRuJE3dy3mJM0DdSezyncDvIeZ4vpMWWU4PBkdaG6v7waxVIGbfL&#10;zWnyx+5nv+s+dq9m6r+Ven6a5W8gIl3iv/jP/a7T/Dncf0kHyPIG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FsJ43S8AAAA&#10;2wAAAA8AAAAAAAAAAQAgAAAAIgAAAGRycy9kb3ducmV2LnhtbFBLAQIUABQAAAAIAIdO4kAzLwWe&#10;OwAAADkAAAAQAAAAAAAAAAEAIAAAAAsBAABkcnMvc2hhcGV4bWwueG1sUEsFBgAAAAAGAAYAWwEA&#10;ALUDAAAAAA==&#10;">
                        <v:fill on="f" focussize="0,0"/>
                        <v:stroke on="f"/>
                        <v:imagedata r:id="rId19" o:title=""/>
                        <o:lock v:ext="edit" aspectratio="t"/>
                      </v:shape>
                      <v:shape id="文本框 3" o:spid="_x0000_s1026" o:spt="202" type="#_x0000_t202" style="position:absolute;left:7511;top:1126279;height:464;width:1843;" filled="f" stroked="f" coordsize="21600,21600" o:gfxdata="UEsDBAoAAAAAAIdO4kAAAAAAAAAAAAAAAAAEAAAAZHJzL1BLAwQUAAAACACHTuJA9Hz9vr4AAADb&#10;AAAADwAAAGRycy9kb3ducmV2LnhtbEWPQWsCMRCF74X+hzCF3mqiB9GtUUQqFAql63rwON2Mu8HN&#10;ZLtJ1f77zkHwNsN78943i9U1dOpMQ/KRLYxHBhRxHZ3nxsK+2r7MQKWM7LCLTBb+KMFq+fiwwMLF&#10;C5d03uVGSQinAi20OfeF1qluKWAaxZ5YtGMcAmZZh0a7AS8SHjo9MWaqA3qWhhZ72rRUn3a/wcL6&#10;wOWb//n8/iqPpa+queGP6cna56exeQWV6Zrv5tv1uxN8gZVfZAC9/A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9Hz9vr4A&#10;AADb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14:paraId="15ACE86C">
                              <w:pPr>
                                <w:ind w:left="0" w:leftChars="0" w:firstLine="0" w:firstLineChars="0"/>
                                <w:jc w:val="center"/>
                                <w:rPr>
                                  <w:rFonts w:hint="default" w:ascii="Times New Roman" w:hAnsi="Times New Roman" w:eastAsia="黑体" w:cs="Times New Roman"/>
                                  <w:sz w:val="21"/>
                                  <w:szCs w:val="21"/>
                                  <w:lang w:val="en-US" w:eastAsia="zh-CN"/>
                                </w:rPr>
                              </w:pPr>
                              <w:r>
                                <w:rPr>
                                  <w:rFonts w:hint="default" w:ascii="Times New Roman" w:hAnsi="Times New Roman" w:eastAsia="黑体" w:cs="Times New Roman"/>
                                  <w:sz w:val="21"/>
                                  <w:szCs w:val="21"/>
                                  <w:lang w:val="en-US" w:eastAsia="zh-CN"/>
                                </w:rPr>
                                <w:t>EDI工作原理图</w:t>
                              </w:r>
                            </w:p>
                          </w:txbxContent>
                        </v:textbox>
                      </v:shape>
                      <w10:wrap type="square"/>
                    </v:group>
                  </w:pict>
                </mc:Fallback>
              </mc:AlternateContent>
            </w:r>
            <w:r>
              <w:rPr>
                <w:rFonts w:hint="default" w:ascii="Times New Roman" w:hAnsi="Times New Roman" w:cs="Times New Roman"/>
                <w:color w:val="auto"/>
                <w:sz w:val="24"/>
                <w:lang w:val="en-US" w:eastAsia="zh-CN"/>
              </w:rPr>
              <w:t>电去离子（EDI）</w:t>
            </w:r>
            <w:r>
              <w:rPr>
                <w:rFonts w:hint="default" w:ascii="Times New Roman" w:hAnsi="Times New Roman" w:cs="Times New Roman"/>
                <w:color w:val="auto"/>
                <w:sz w:val="24"/>
                <w:szCs w:val="24"/>
                <w:highlight w:val="none"/>
                <w:lang w:val="en-US" w:eastAsia="zh-CN"/>
              </w:rPr>
              <w:t>又称连续电除盐技术，</w:t>
            </w:r>
            <w:r>
              <w:rPr>
                <w:rFonts w:hint="default" w:ascii="Times New Roman" w:hAnsi="Times New Roman" w:cs="Times New Roman"/>
                <w:color w:val="auto"/>
                <w:sz w:val="24"/>
                <w:lang w:val="en-US" w:eastAsia="zh-CN"/>
              </w:rPr>
              <w:t>主要是在直流电场的作用下，通过隔板的水中电介质离子发生定向移动，利用交换膜对离子的选择透过作用来对水质进行提纯的一种科学的水处理技术。</w:t>
            </w:r>
          </w:p>
          <w:p w14:paraId="51557CA5">
            <w:pPr>
              <w:spacing w:line="360" w:lineRule="auto"/>
              <w:ind w:firstLine="480" w:firstLineChars="200"/>
              <w:jc w:val="both"/>
              <w:outlineLvl w:val="9"/>
              <w:rPr>
                <w:rFonts w:hint="default" w:ascii="Times New Roman" w:hAnsi="Times New Roman" w:cs="Times New Roman"/>
                <w:color w:val="auto"/>
                <w:sz w:val="24"/>
                <w:lang w:val="en-US" w:eastAsia="zh-CN"/>
              </w:rPr>
            </w:pPr>
            <w:r>
              <w:rPr>
                <w:rFonts w:hint="default" w:ascii="Times New Roman" w:hAnsi="Times New Roman" w:cs="Times New Roman"/>
                <w:color w:val="auto"/>
                <w:sz w:val="24"/>
                <w:lang w:val="en-US" w:eastAsia="zh-CN"/>
              </w:rPr>
              <w:t>电渗析器的一对电极之间，通常由阴膜，阳膜和隔板（甲、乙）多组交替排列，构成浓室和淡室（即阳离子可透过阳膜，阴离子可透过阴膜）。淡室水中阳离子向负极迁移透过阳膜，被浓室中的阴膜截留；水中阴离子向正极方向迁移阴膜，被浓室中的阳膜截留，这样通过淡室的水中离子数逐渐减少，成为淡水，而浓室的水中，由于浓室的阴阳离子不断涌进，电介质离子浓度不断升高，而成为浓水，从而达到淡化、提纯、浓缩或精制的目的。</w:t>
            </w:r>
          </w:p>
          <w:p w14:paraId="5F7CF5F6">
            <w:pPr>
              <w:pStyle w:val="66"/>
              <w:spacing w:line="360" w:lineRule="auto"/>
              <w:ind w:firstLine="482"/>
              <w:jc w:val="both"/>
              <w:rPr>
                <w:rFonts w:hint="eastAsia" w:ascii="Times New Roman" w:hAnsi="Times New Roman" w:eastAsia="宋体" w:cs="Times New Roman"/>
                <w:b/>
                <w:bCs/>
                <w:color w:val="auto"/>
                <w:lang w:val="en-US" w:eastAsia="zh-CN"/>
              </w:rPr>
            </w:pPr>
            <w:r>
              <w:rPr>
                <w:rFonts w:hint="default" w:ascii="Times New Roman" w:hAnsi="Times New Roman" w:cs="Times New Roman"/>
                <w:color w:val="auto"/>
                <w:sz w:val="24"/>
                <w:highlight w:val="none"/>
              </w:rPr>
              <w:t>项目EDI系统主要技术参数为：设计回收率</w:t>
            </w:r>
            <w:r>
              <w:rPr>
                <w:rFonts w:hint="default" w:ascii="Times New Roman" w:hAnsi="Times New Roman" w:cs="Times New Roman"/>
                <w:color w:val="auto"/>
                <w:sz w:val="24"/>
                <w:highlight w:val="none"/>
                <w:lang w:val="en-US" w:eastAsia="zh-CN"/>
              </w:rPr>
              <w:t>90</w:t>
            </w:r>
            <w:r>
              <w:rPr>
                <w:rFonts w:hint="default" w:ascii="Times New Roman" w:hAnsi="Times New Roman" w:cs="Times New Roman"/>
                <w:color w:val="auto"/>
                <w:sz w:val="24"/>
                <w:highlight w:val="none"/>
              </w:rPr>
              <w:t>%、设计水温25℃。</w:t>
            </w:r>
          </w:p>
          <w:p w14:paraId="710DFE33">
            <w:pPr>
              <w:pStyle w:val="66"/>
              <w:spacing w:line="360" w:lineRule="auto"/>
              <w:ind w:firstLine="482"/>
              <w:rPr>
                <w:rFonts w:hint="eastAsia" w:ascii="Times New Roman" w:hAnsi="Times New Roman" w:eastAsia="宋体" w:cs="Times New Roman"/>
                <w:b/>
                <w:bCs/>
                <w:color w:val="auto"/>
                <w:lang w:val="en-US" w:eastAsia="zh-CN"/>
              </w:rPr>
            </w:pPr>
            <w:r>
              <w:rPr>
                <w:rFonts w:hint="eastAsia" w:ascii="Times New Roman" w:hAnsi="Times New Roman" w:eastAsia="宋体" w:cs="Times New Roman"/>
                <w:b/>
                <w:bCs/>
                <w:color w:val="auto"/>
                <w:lang w:val="en-US" w:eastAsia="zh-CN"/>
              </w:rPr>
              <w:t>9、厂区平面布置合理性分析</w:t>
            </w:r>
          </w:p>
          <w:p w14:paraId="2BF88643">
            <w:pPr>
              <w:pStyle w:val="66"/>
              <w:keepNext w:val="0"/>
              <w:keepLines w:val="0"/>
              <w:pageBreakBefore w:val="0"/>
              <w:widowControl w:val="0"/>
              <w:kinsoku/>
              <w:wordWrap/>
              <w:overflowPunct/>
              <w:topLinePunct w:val="0"/>
              <w:autoSpaceDE w:val="0"/>
              <w:autoSpaceDN w:val="0"/>
              <w:bidi w:val="0"/>
              <w:spacing w:line="360" w:lineRule="auto"/>
              <w:ind w:firstLine="480" w:firstLineChars="200"/>
              <w:jc w:val="both"/>
              <w:textAlignment w:val="auto"/>
              <w:rPr>
                <w:rFonts w:hint="eastAsia" w:ascii="Times New Roman" w:hAnsi="Times New Roman" w:eastAsia="宋体" w:cs="Times New Roman"/>
                <w:color w:val="auto"/>
              </w:rPr>
            </w:pPr>
            <w:r>
              <w:rPr>
                <w:rFonts w:hint="eastAsia" w:ascii="Times New Roman" w:hAnsi="Times New Roman" w:eastAsia="宋体" w:cs="Times New Roman"/>
                <w:color w:val="auto"/>
              </w:rPr>
              <w:t>根据本项目建设规模，结合项目整体物流交通、地块形状、外部交通条件以及地块内部衔接的关系，本着节约用地、合理分区的原则，地块</w:t>
            </w:r>
            <w:r>
              <w:rPr>
                <w:rFonts w:hint="eastAsia" w:cs="Times New Roman"/>
                <w:color w:val="auto"/>
                <w:lang w:val="en-US" w:eastAsia="zh-CN"/>
              </w:rPr>
              <w:t>主要</w:t>
            </w:r>
            <w:r>
              <w:rPr>
                <w:rFonts w:hint="eastAsia" w:ascii="Times New Roman" w:hAnsi="Times New Roman" w:eastAsia="宋体" w:cs="Times New Roman"/>
                <w:color w:val="auto"/>
              </w:rPr>
              <w:t>分为电池生产区、</w:t>
            </w:r>
            <w:r>
              <w:rPr>
                <w:rFonts w:hint="eastAsia" w:cs="Times New Roman"/>
                <w:color w:val="auto"/>
                <w:lang w:val="en-US" w:eastAsia="zh-CN"/>
              </w:rPr>
              <w:t>集成区</w:t>
            </w:r>
            <w:r>
              <w:rPr>
                <w:rFonts w:hint="eastAsia" w:ascii="Times New Roman" w:hAnsi="Times New Roman" w:eastAsia="宋体" w:cs="Times New Roman"/>
                <w:color w:val="auto"/>
              </w:rPr>
              <w:t>。</w:t>
            </w:r>
          </w:p>
          <w:p w14:paraId="4F98D0EA">
            <w:pPr>
              <w:pStyle w:val="66"/>
              <w:keepNext w:val="0"/>
              <w:keepLines w:val="0"/>
              <w:pageBreakBefore w:val="0"/>
              <w:widowControl w:val="0"/>
              <w:kinsoku/>
              <w:wordWrap/>
              <w:overflowPunct/>
              <w:topLinePunct w:val="0"/>
              <w:autoSpaceDE w:val="0"/>
              <w:autoSpaceDN w:val="0"/>
              <w:bidi w:val="0"/>
              <w:spacing w:line="360" w:lineRule="auto"/>
              <w:ind w:firstLine="480" w:firstLineChars="200"/>
              <w:jc w:val="both"/>
              <w:textAlignment w:val="auto"/>
              <w:rPr>
                <w:rFonts w:hint="eastAsia" w:ascii="Times New Roman" w:hAnsi="Times New Roman" w:eastAsia="宋体" w:cs="Times New Roman"/>
                <w:color w:val="auto"/>
              </w:rPr>
            </w:pPr>
            <w:r>
              <w:rPr>
                <w:rFonts w:hint="eastAsia" w:ascii="Times New Roman" w:hAnsi="Times New Roman" w:eastAsia="宋体" w:cs="Times New Roman"/>
                <w:color w:val="auto"/>
              </w:rPr>
              <w:t>电池生产区：位于场地东北部，为三个分区中占比最大的区域，整体</w:t>
            </w:r>
            <w:r>
              <w:rPr>
                <w:rFonts w:hint="eastAsia" w:cs="Times New Roman"/>
                <w:color w:val="auto"/>
                <w:lang w:eastAsia="zh-CN"/>
              </w:rPr>
              <w:t>呈“L”形</w:t>
            </w:r>
            <w:r>
              <w:rPr>
                <w:rFonts w:hint="eastAsia" w:ascii="Times New Roman" w:hAnsi="Times New Roman" w:eastAsia="宋体" w:cs="Times New Roman"/>
                <w:color w:val="auto"/>
              </w:rPr>
              <w:t>布局，根据工艺生产流线，从东向西布置两栋建筑物：电芯车间——集成车间，两栋厂房之间通过雨棚相连，整体工艺路线短接顺畅，无迂回效率高。在电芯车间的仓库区及集成车间的出货区前，布置各自的物流广场，方便主要物流的进出。</w:t>
            </w:r>
          </w:p>
          <w:p w14:paraId="60E6BDE1">
            <w:pPr>
              <w:pStyle w:val="66"/>
              <w:keepNext w:val="0"/>
              <w:keepLines w:val="0"/>
              <w:pageBreakBefore w:val="0"/>
              <w:widowControl w:val="0"/>
              <w:kinsoku/>
              <w:wordWrap/>
              <w:overflowPunct/>
              <w:topLinePunct w:val="0"/>
              <w:autoSpaceDE w:val="0"/>
              <w:autoSpaceDN w:val="0"/>
              <w:bidi w:val="0"/>
              <w:spacing w:line="360" w:lineRule="auto"/>
              <w:ind w:firstLine="480" w:firstLineChars="200"/>
              <w:jc w:val="both"/>
              <w:textAlignment w:val="auto"/>
              <w:rPr>
                <w:rFonts w:hint="eastAsia" w:ascii="Times New Roman" w:hAnsi="Times New Roman" w:eastAsia="宋体" w:cs="Times New Roman"/>
                <w:color w:val="auto"/>
              </w:rPr>
            </w:pPr>
            <w:r>
              <w:rPr>
                <w:rFonts w:hint="eastAsia" w:cs="Times New Roman"/>
                <w:color w:val="auto"/>
                <w:lang w:val="en-US" w:eastAsia="zh-CN"/>
              </w:rPr>
              <w:t>集成区：</w:t>
            </w:r>
            <w:r>
              <w:rPr>
                <w:rFonts w:hint="eastAsia" w:ascii="Times New Roman" w:hAnsi="Times New Roman" w:eastAsia="宋体" w:cs="Times New Roman"/>
                <w:color w:val="auto"/>
              </w:rPr>
              <w:t>集成车间西侧靠近城市道路部分布置若干研发用房，与南侧研发</w:t>
            </w:r>
            <w:r>
              <w:rPr>
                <w:rFonts w:hint="eastAsia" w:cs="Times New Roman"/>
                <w:color w:val="auto"/>
                <w:lang w:val="en-US" w:eastAsia="zh-CN"/>
              </w:rPr>
              <w:t>办公区</w:t>
            </w:r>
            <w:r>
              <w:rPr>
                <w:rFonts w:hint="eastAsia" w:ascii="Times New Roman" w:hAnsi="Times New Roman" w:eastAsia="宋体" w:cs="Times New Roman"/>
                <w:color w:val="auto"/>
              </w:rPr>
              <w:t>形成呼应。</w:t>
            </w:r>
          </w:p>
          <w:p w14:paraId="40DDF106">
            <w:pPr>
              <w:pStyle w:val="66"/>
              <w:keepNext w:val="0"/>
              <w:keepLines w:val="0"/>
              <w:pageBreakBefore w:val="0"/>
              <w:widowControl w:val="0"/>
              <w:kinsoku/>
              <w:wordWrap/>
              <w:overflowPunct/>
              <w:topLinePunct w:val="0"/>
              <w:autoSpaceDE w:val="0"/>
              <w:autoSpaceDN w:val="0"/>
              <w:bidi w:val="0"/>
              <w:spacing w:line="360" w:lineRule="auto"/>
              <w:ind w:firstLine="480" w:firstLineChars="200"/>
              <w:jc w:val="both"/>
              <w:textAlignment w:val="auto"/>
              <w:rPr>
                <w:rFonts w:hint="default" w:ascii="Times New Roman" w:hAnsi="Times New Roman" w:eastAsia="宋体" w:cs="Times New Roman"/>
                <w:color w:val="auto"/>
              </w:rPr>
            </w:pPr>
            <w:r>
              <w:rPr>
                <w:rFonts w:hint="default" w:ascii="Times New Roman" w:hAnsi="Times New Roman" w:cs="Times New Roman"/>
                <w:color w:val="auto"/>
                <w:szCs w:val="32"/>
              </w:rPr>
              <w:t>综上分析，本项目功能区分区明确、间距合理，避免了相互干扰，也满足功能分区要求及办公要求，组织协作良好。评价认为，本项目总平面布置是合理的</w:t>
            </w:r>
            <w:r>
              <w:rPr>
                <w:rFonts w:hint="eastAsia" w:ascii="Times New Roman" w:hAnsi="Times New Roman" w:eastAsia="宋体" w:cs="Times New Roman"/>
                <w:color w:val="auto"/>
              </w:rPr>
              <w:t>。</w:t>
            </w:r>
          </w:p>
          <w:p w14:paraId="72933463">
            <w:pPr>
              <w:pStyle w:val="66"/>
              <w:spacing w:line="360" w:lineRule="auto"/>
              <w:ind w:firstLine="482"/>
              <w:rPr>
                <w:rFonts w:hint="eastAsia" w:ascii="Times New Roman" w:hAnsi="Times New Roman" w:eastAsia="宋体" w:cs="Times New Roman"/>
                <w:b/>
                <w:bCs/>
                <w:color w:val="auto"/>
                <w:lang w:val="en-US" w:eastAsia="zh-CN"/>
              </w:rPr>
            </w:pPr>
            <w:r>
              <w:rPr>
                <w:rFonts w:hint="eastAsia" w:ascii="Times New Roman" w:hAnsi="Times New Roman" w:eastAsia="宋体" w:cs="Times New Roman"/>
                <w:b/>
                <w:bCs/>
                <w:color w:val="auto"/>
                <w:lang w:val="en-US" w:eastAsia="zh-CN"/>
              </w:rPr>
              <w:t>10、</w:t>
            </w:r>
            <w:r>
              <w:rPr>
                <w:rFonts w:hint="eastAsia" w:cs="Times New Roman"/>
                <w:b/>
                <w:bCs/>
                <w:color w:val="auto"/>
                <w:lang w:val="en-US" w:eastAsia="zh-CN"/>
              </w:rPr>
              <w:t>VOCs</w:t>
            </w:r>
            <w:r>
              <w:rPr>
                <w:rFonts w:hint="eastAsia" w:ascii="Times New Roman" w:hAnsi="Times New Roman" w:eastAsia="宋体" w:cs="Times New Roman"/>
                <w:b/>
                <w:bCs/>
                <w:color w:val="auto"/>
                <w:lang w:val="en-US" w:eastAsia="zh-CN"/>
              </w:rPr>
              <w:t>平衡</w:t>
            </w:r>
          </w:p>
          <w:p w14:paraId="55C15E9C">
            <w:pPr>
              <w:pStyle w:val="66"/>
              <w:keepNext w:val="0"/>
              <w:keepLines w:val="0"/>
              <w:pageBreakBefore w:val="0"/>
              <w:widowControl w:val="0"/>
              <w:kinsoku/>
              <w:wordWrap/>
              <w:overflowPunct/>
              <w:topLinePunct w:val="0"/>
              <w:autoSpaceDE w:val="0"/>
              <w:autoSpaceDN w:val="0"/>
              <w:bidi w:val="0"/>
              <w:spacing w:line="360" w:lineRule="auto"/>
              <w:ind w:firstLine="480" w:firstLineChars="200"/>
              <w:textAlignment w:val="auto"/>
              <w:rPr>
                <w:rFonts w:hint="eastAsia" w:ascii="Times New Roman" w:hAnsi="Times New Roman" w:eastAsia="宋体" w:cs="Times New Roman"/>
                <w:color w:val="auto"/>
              </w:rPr>
            </w:pPr>
            <w:r>
              <w:rPr>
                <w:rFonts w:hint="eastAsia" w:ascii="Times New Roman" w:hAnsi="Times New Roman" w:eastAsia="宋体" w:cs="Times New Roman"/>
                <w:color w:val="auto"/>
                <w:lang w:eastAsia="zh-CN"/>
              </w:rPr>
              <w:t>（</w:t>
            </w:r>
            <w:r>
              <w:rPr>
                <w:rFonts w:hint="eastAsia" w:ascii="Times New Roman" w:hAnsi="Times New Roman" w:eastAsia="宋体" w:cs="Times New Roman"/>
                <w:color w:val="auto"/>
                <w:lang w:val="en-US" w:eastAsia="zh-CN"/>
              </w:rPr>
              <w:t>1</w:t>
            </w:r>
            <w:r>
              <w:rPr>
                <w:rFonts w:hint="eastAsia" w:ascii="Times New Roman" w:hAnsi="Times New Roman" w:eastAsia="宋体" w:cs="Times New Roman"/>
                <w:color w:val="auto"/>
                <w:lang w:eastAsia="zh-CN"/>
              </w:rPr>
              <w:t>）</w:t>
            </w:r>
            <w:r>
              <w:rPr>
                <w:rFonts w:hint="default" w:ascii="Times New Roman" w:hAnsi="Times New Roman" w:eastAsia="宋体" w:cs="Times New Roman"/>
                <w:color w:val="auto"/>
                <w:lang w:val="en-US" w:eastAsia="zh-CN"/>
              </w:rPr>
              <w:t>VOC</w:t>
            </w:r>
            <w:r>
              <w:rPr>
                <w:rFonts w:hint="eastAsia" w:ascii="Times New Roman" w:hAnsi="Times New Roman" w:eastAsia="宋体" w:cs="Times New Roman"/>
                <w:color w:val="auto"/>
                <w:lang w:val="en-US" w:eastAsia="zh-CN"/>
              </w:rPr>
              <w:t>s</w:t>
            </w:r>
            <w:r>
              <w:rPr>
                <w:rFonts w:hint="eastAsia" w:ascii="Times New Roman" w:hAnsi="Times New Roman" w:eastAsia="宋体" w:cs="Times New Roman"/>
                <w:color w:val="auto"/>
              </w:rPr>
              <w:t>平衡</w:t>
            </w:r>
          </w:p>
          <w:p w14:paraId="685E8CE2">
            <w:pPr>
              <w:pStyle w:val="66"/>
              <w:keepNext w:val="0"/>
              <w:keepLines w:val="0"/>
              <w:pageBreakBefore w:val="0"/>
              <w:widowControl w:val="0"/>
              <w:kinsoku/>
              <w:wordWrap/>
              <w:overflowPunct/>
              <w:topLinePunct w:val="0"/>
              <w:autoSpaceDE w:val="0"/>
              <w:autoSpaceDN w:val="0"/>
              <w:bidi w:val="0"/>
              <w:spacing w:line="360" w:lineRule="auto"/>
              <w:ind w:firstLine="480" w:firstLineChars="200"/>
              <w:textAlignment w:val="auto"/>
              <w:rPr>
                <w:rFonts w:hint="default" w:ascii="Times New Roman" w:hAnsi="Times New Roman" w:eastAsia="宋体" w:cs="Times New Roman"/>
                <w:color w:val="auto"/>
                <w:lang w:val="en-US" w:eastAsia="zh-CN"/>
              </w:rPr>
            </w:pPr>
            <w:r>
              <w:rPr>
                <w:rFonts w:hint="eastAsia" w:cs="Times New Roman"/>
                <w:color w:val="auto"/>
                <w:lang w:val="en-US" w:eastAsia="zh-CN"/>
              </w:rPr>
              <w:t>本项目VOCs平衡详见下图。</w:t>
            </w:r>
          </w:p>
          <w:p w14:paraId="04FCB32A">
            <w:pPr>
              <w:pStyle w:val="66"/>
              <w:keepNext w:val="0"/>
              <w:keepLines w:val="0"/>
              <w:pageBreakBefore w:val="0"/>
              <w:widowControl w:val="0"/>
              <w:kinsoku/>
              <w:wordWrap/>
              <w:overflowPunct/>
              <w:topLinePunct w:val="0"/>
              <w:autoSpaceDE w:val="0"/>
              <w:autoSpaceDN w:val="0"/>
              <w:bidi w:val="0"/>
              <w:adjustRightInd w:val="0"/>
              <w:snapToGrid w:val="0"/>
              <w:spacing w:line="360" w:lineRule="auto"/>
              <w:ind w:left="0" w:leftChars="0" w:firstLine="0" w:firstLineChars="0"/>
              <w:textAlignment w:val="auto"/>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lang w:val="en-US" w:eastAsia="zh-CN"/>
              </w:rPr>
              <w:object>
                <v:shape id="_x0000_i1028" o:spt="75" type="#_x0000_t75" style="height:149.25pt;width:387.25pt;" o:ole="t" filled="f" o:preferrelative="t" stroked="f" coordsize="21600,21600">
                  <v:path/>
                  <v:fill on="f" focussize="0,0"/>
                  <v:stroke on="f"/>
                  <v:imagedata r:id="rId21" o:title=""/>
                  <o:lock v:ext="edit" aspectratio="f"/>
                  <w10:wrap type="none"/>
                  <w10:anchorlock/>
                </v:shape>
                <o:OLEObject Type="Embed" ProgID="Visio.Drawing.15" ShapeID="_x0000_i1028" DrawAspect="Content" ObjectID="_1468075728" r:id="rId20">
                  <o:LockedField>false</o:LockedField>
                </o:OLEObject>
              </w:object>
            </w:r>
          </w:p>
          <w:p w14:paraId="75A4D2AA">
            <w:pPr>
              <w:pStyle w:val="66"/>
              <w:keepNext w:val="0"/>
              <w:keepLines w:val="0"/>
              <w:pageBreakBefore w:val="0"/>
              <w:widowControl w:val="0"/>
              <w:kinsoku/>
              <w:wordWrap/>
              <w:overflowPunct/>
              <w:topLinePunct w:val="0"/>
              <w:autoSpaceDE w:val="0"/>
              <w:autoSpaceDN w:val="0"/>
              <w:bidi w:val="0"/>
              <w:adjustRightInd w:val="0"/>
              <w:snapToGrid w:val="0"/>
              <w:spacing w:line="360" w:lineRule="auto"/>
              <w:ind w:left="0" w:leftChars="0" w:firstLine="0" w:firstLineChars="0"/>
              <w:jc w:val="center"/>
              <w:textAlignment w:val="auto"/>
              <w:rPr>
                <w:rFonts w:hint="default" w:ascii="Times New Roman" w:hAnsi="Times New Roman" w:eastAsia="宋体" w:cs="Times New Roman"/>
                <w:b/>
                <w:bCs/>
                <w:color w:val="auto"/>
                <w:sz w:val="21"/>
                <w:szCs w:val="21"/>
                <w:lang w:val="en-US" w:eastAsia="zh-CN"/>
              </w:rPr>
            </w:pPr>
            <w:r>
              <w:rPr>
                <w:rFonts w:hint="eastAsia" w:ascii="Times New Roman" w:hAnsi="Times New Roman" w:eastAsia="宋体" w:cs="Times New Roman"/>
                <w:b/>
                <w:bCs/>
                <w:color w:val="auto"/>
                <w:sz w:val="21"/>
                <w:szCs w:val="21"/>
                <w:lang w:val="en-US" w:eastAsia="zh-CN"/>
              </w:rPr>
              <w:t>图2-</w:t>
            </w:r>
            <w:r>
              <w:rPr>
                <w:rFonts w:hint="eastAsia" w:cs="Times New Roman"/>
                <w:b/>
                <w:bCs/>
                <w:color w:val="auto"/>
                <w:sz w:val="21"/>
                <w:szCs w:val="21"/>
                <w:lang w:val="en-US" w:eastAsia="zh-CN"/>
              </w:rPr>
              <w:t>4</w:t>
            </w:r>
            <w:r>
              <w:rPr>
                <w:rFonts w:hint="eastAsia" w:ascii="Times New Roman" w:hAnsi="Times New Roman" w:eastAsia="宋体" w:cs="Times New Roman"/>
                <w:b/>
                <w:bCs/>
                <w:color w:val="auto"/>
                <w:sz w:val="21"/>
                <w:szCs w:val="21"/>
                <w:lang w:val="en-US" w:eastAsia="zh-CN"/>
              </w:rPr>
              <w:t xml:space="preserve"> 本项目VOCs平衡图（单位：t/a）</w:t>
            </w:r>
          </w:p>
          <w:p w14:paraId="6AB08D58">
            <w:pPr>
              <w:pStyle w:val="66"/>
              <w:keepNext w:val="0"/>
              <w:keepLines w:val="0"/>
              <w:pageBreakBefore w:val="0"/>
              <w:widowControl w:val="0"/>
              <w:kinsoku/>
              <w:wordWrap/>
              <w:overflowPunct/>
              <w:topLinePunct w:val="0"/>
              <w:autoSpaceDE w:val="0"/>
              <w:autoSpaceDN w:val="0"/>
              <w:bidi w:val="0"/>
              <w:adjustRightInd w:val="0"/>
              <w:snapToGrid w:val="0"/>
              <w:spacing w:line="360" w:lineRule="auto"/>
              <w:ind w:left="0" w:leftChars="0" w:firstLine="480" w:firstLineChars="200"/>
              <w:textAlignment w:val="auto"/>
              <w:rPr>
                <w:rFonts w:hint="default" w:ascii="Times New Roman" w:hAnsi="Times New Roman" w:eastAsia="宋体" w:cs="Times New Roman"/>
                <w:color w:val="auto"/>
                <w:lang w:eastAsia="zh-CN"/>
              </w:rPr>
            </w:pPr>
            <w:r>
              <w:rPr>
                <w:rFonts w:hint="default" w:ascii="Times New Roman" w:hAnsi="Times New Roman" w:eastAsia="宋体" w:cs="Times New Roman"/>
                <w:color w:val="auto"/>
                <w:lang w:val="en-US" w:eastAsia="zh-CN"/>
              </w:rPr>
              <w:t>（2）</w:t>
            </w:r>
            <w:r>
              <w:rPr>
                <w:rFonts w:hint="eastAsia" w:cs="Times New Roman"/>
                <w:color w:val="auto"/>
                <w:lang w:val="en-US" w:eastAsia="zh-CN"/>
              </w:rPr>
              <w:t>溶剂（NMP）</w:t>
            </w:r>
            <w:r>
              <w:rPr>
                <w:rFonts w:hint="default" w:ascii="Times New Roman" w:hAnsi="Times New Roman" w:eastAsia="宋体" w:cs="Times New Roman"/>
                <w:color w:val="auto"/>
                <w:lang w:eastAsia="zh-CN"/>
              </w:rPr>
              <w:t>平衡</w:t>
            </w:r>
          </w:p>
          <w:p w14:paraId="04FED692">
            <w:pPr>
              <w:pStyle w:val="66"/>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textAlignment w:val="auto"/>
              <w:rPr>
                <w:rFonts w:hint="default" w:ascii="Times New Roman" w:hAnsi="Times New Roman" w:eastAsia="宋体" w:cs="Times New Roman"/>
                <w:color w:val="auto"/>
                <w:lang w:eastAsia="zh-CN"/>
              </w:rPr>
            </w:pPr>
            <w:r>
              <w:rPr>
                <w:rFonts w:hint="eastAsia" w:cs="Times New Roman"/>
                <w:color w:val="auto"/>
                <w:lang w:val="en-US" w:eastAsia="zh-CN"/>
              </w:rPr>
              <w:t>本项目溶剂（NMP）</w:t>
            </w:r>
            <w:r>
              <w:rPr>
                <w:rFonts w:hint="default" w:ascii="Times New Roman" w:hAnsi="Times New Roman" w:eastAsia="宋体" w:cs="Times New Roman"/>
                <w:color w:val="auto"/>
                <w:lang w:eastAsia="zh-CN"/>
              </w:rPr>
              <w:t>平衡见下表所示。</w:t>
            </w:r>
          </w:p>
          <w:p w14:paraId="54E70F59">
            <w:pPr>
              <w:pStyle w:val="68"/>
              <w:rPr>
                <w:rFonts w:hint="default" w:ascii="Times New Roman" w:hAnsi="Times New Roman" w:eastAsia="宋体" w:cs="Times New Roman"/>
                <w:b/>
                <w:bCs/>
                <w:color w:val="auto"/>
              </w:rPr>
            </w:pPr>
            <w:r>
              <w:rPr>
                <w:rFonts w:hint="default" w:ascii="Times New Roman" w:hAnsi="Times New Roman" w:eastAsia="宋体" w:cs="Times New Roman"/>
                <w:b/>
                <w:bCs/>
                <w:color w:val="auto"/>
              </w:rPr>
              <w:t>表2-</w:t>
            </w:r>
            <w:r>
              <w:rPr>
                <w:rFonts w:hint="eastAsia" w:eastAsia="宋体" w:cs="Times New Roman"/>
                <w:b/>
                <w:bCs/>
                <w:color w:val="auto"/>
                <w:lang w:val="en-US" w:eastAsia="zh-CN"/>
              </w:rPr>
              <w:t>8</w:t>
            </w:r>
            <w:r>
              <w:rPr>
                <w:rFonts w:hint="default" w:ascii="Times New Roman" w:hAnsi="Times New Roman" w:eastAsia="宋体" w:cs="Times New Roman"/>
                <w:b/>
                <w:bCs/>
                <w:color w:val="auto"/>
              </w:rPr>
              <w:t xml:space="preserve"> 项目</w:t>
            </w:r>
            <w:r>
              <w:rPr>
                <w:rFonts w:hint="eastAsia" w:ascii="Times New Roman" w:hAnsi="Times New Roman" w:eastAsia="宋体" w:cs="Times New Roman"/>
                <w:b/>
                <w:bCs/>
                <w:color w:val="auto"/>
                <w:lang w:val="en-US" w:eastAsia="zh-CN"/>
              </w:rPr>
              <w:t>溶剂（NMP）</w:t>
            </w:r>
            <w:r>
              <w:rPr>
                <w:rFonts w:hint="default" w:ascii="Times New Roman" w:hAnsi="Times New Roman" w:eastAsia="宋体" w:cs="Times New Roman"/>
                <w:b/>
                <w:bCs/>
                <w:color w:val="auto"/>
              </w:rPr>
              <w:t>平衡</w:t>
            </w:r>
          </w:p>
          <w:tbl>
            <w:tblPr>
              <w:tblStyle w:val="41"/>
              <w:tblW w:w="4996" w:type="pct"/>
              <w:jc w:val="center"/>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108" w:type="dxa"/>
                <w:bottom w:w="0" w:type="dxa"/>
                <w:right w:w="108" w:type="dxa"/>
              </w:tblCellMar>
            </w:tblPr>
            <w:tblGrid>
              <w:gridCol w:w="1147"/>
              <w:gridCol w:w="1792"/>
              <w:gridCol w:w="538"/>
              <w:gridCol w:w="2425"/>
              <w:gridCol w:w="1852"/>
            </w:tblGrid>
            <w:tr w14:paraId="692C340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tblHeader/>
                <w:jc w:val="center"/>
              </w:trPr>
              <w:tc>
                <w:tcPr>
                  <w:tcW w:w="1895" w:type="pct"/>
                  <w:gridSpan w:val="2"/>
                  <w:tcBorders>
                    <w:tl2br w:val="nil"/>
                    <w:tr2bl w:val="nil"/>
                  </w:tcBorders>
                  <w:vAlign w:val="center"/>
                </w:tcPr>
                <w:p w14:paraId="013F0EAC">
                  <w:pPr>
                    <w:pStyle w:val="70"/>
                    <w:spacing w:line="240" w:lineRule="auto"/>
                    <w:rPr>
                      <w:rFonts w:hint="default" w:ascii="Times New Roman" w:hAnsi="Times New Roman" w:eastAsia="宋体" w:cs="Times New Roman"/>
                      <w:b/>
                      <w:color w:val="auto"/>
                      <w:sz w:val="21"/>
                      <w:szCs w:val="21"/>
                      <w:lang w:val="en-US" w:eastAsia="zh-CN"/>
                    </w:rPr>
                  </w:pPr>
                  <w:r>
                    <w:rPr>
                      <w:rFonts w:hint="default" w:ascii="Times New Roman" w:hAnsi="Times New Roman" w:eastAsia="宋体" w:cs="Times New Roman"/>
                      <w:b/>
                      <w:color w:val="auto"/>
                      <w:sz w:val="21"/>
                      <w:szCs w:val="21"/>
                      <w:lang w:val="en-US" w:eastAsia="zh-CN"/>
                    </w:rPr>
                    <w:t>输  入</w:t>
                  </w:r>
                </w:p>
              </w:tc>
              <w:tc>
                <w:tcPr>
                  <w:tcW w:w="3104" w:type="pct"/>
                  <w:gridSpan w:val="3"/>
                  <w:tcBorders>
                    <w:tl2br w:val="nil"/>
                    <w:tr2bl w:val="nil"/>
                  </w:tcBorders>
                  <w:vAlign w:val="center"/>
                </w:tcPr>
                <w:p w14:paraId="67014DF1">
                  <w:pPr>
                    <w:pStyle w:val="70"/>
                    <w:spacing w:line="240" w:lineRule="auto"/>
                    <w:rPr>
                      <w:rFonts w:hint="default" w:ascii="Times New Roman" w:hAnsi="Times New Roman" w:eastAsia="宋体" w:cs="Times New Roman"/>
                      <w:b/>
                      <w:color w:val="auto"/>
                      <w:sz w:val="21"/>
                      <w:szCs w:val="21"/>
                      <w:lang w:val="en-US" w:eastAsia="zh-CN"/>
                    </w:rPr>
                  </w:pPr>
                  <w:r>
                    <w:rPr>
                      <w:rFonts w:hint="default" w:ascii="Times New Roman" w:hAnsi="Times New Roman" w:eastAsia="宋体" w:cs="Times New Roman"/>
                      <w:b/>
                      <w:color w:val="auto"/>
                      <w:sz w:val="21"/>
                      <w:szCs w:val="21"/>
                      <w:lang w:val="en-US" w:eastAsia="zh-CN"/>
                    </w:rPr>
                    <w:t>输 出</w:t>
                  </w:r>
                </w:p>
              </w:tc>
            </w:tr>
            <w:tr w14:paraId="23CFF89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tblHeader/>
                <w:jc w:val="center"/>
              </w:trPr>
              <w:tc>
                <w:tcPr>
                  <w:tcW w:w="739" w:type="pct"/>
                  <w:tcBorders>
                    <w:tl2br w:val="nil"/>
                    <w:tr2bl w:val="nil"/>
                  </w:tcBorders>
                  <w:vAlign w:val="center"/>
                </w:tcPr>
                <w:p w14:paraId="6D24C4DB">
                  <w:pPr>
                    <w:pStyle w:val="7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物料名称</w:t>
                  </w:r>
                </w:p>
              </w:tc>
              <w:tc>
                <w:tcPr>
                  <w:tcW w:w="1155" w:type="pct"/>
                  <w:tcBorders>
                    <w:tl2br w:val="nil"/>
                    <w:tr2bl w:val="nil"/>
                  </w:tcBorders>
                  <w:vAlign w:val="center"/>
                </w:tcPr>
                <w:p w14:paraId="44BD3DB4">
                  <w:pPr>
                    <w:pStyle w:val="7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投入量（t/a）</w:t>
                  </w:r>
                </w:p>
              </w:tc>
              <w:tc>
                <w:tcPr>
                  <w:tcW w:w="1910" w:type="pct"/>
                  <w:gridSpan w:val="2"/>
                  <w:tcBorders>
                    <w:tl2br w:val="nil"/>
                    <w:tr2bl w:val="nil"/>
                  </w:tcBorders>
                  <w:vAlign w:val="center"/>
                </w:tcPr>
                <w:p w14:paraId="36EE8629">
                  <w:pPr>
                    <w:pStyle w:val="7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产出项目</w:t>
                  </w:r>
                </w:p>
              </w:tc>
              <w:tc>
                <w:tcPr>
                  <w:tcW w:w="1194" w:type="pct"/>
                  <w:tcBorders>
                    <w:tl2br w:val="nil"/>
                    <w:tr2bl w:val="nil"/>
                  </w:tcBorders>
                  <w:vAlign w:val="center"/>
                </w:tcPr>
                <w:p w14:paraId="735CEB17">
                  <w:pPr>
                    <w:pStyle w:val="7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产出量（t/a）</w:t>
                  </w:r>
                </w:p>
              </w:tc>
            </w:tr>
            <w:tr w14:paraId="56C2EF1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739" w:type="pct"/>
                  <w:tcBorders>
                    <w:tl2br w:val="nil"/>
                    <w:tr2bl w:val="nil"/>
                  </w:tcBorders>
                  <w:shd w:val="clear" w:color="auto" w:fill="auto"/>
                  <w:vAlign w:val="center"/>
                </w:tcPr>
                <w:p w14:paraId="1AB4A1A5">
                  <w:pPr>
                    <w:pStyle w:val="7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NMP溶剂</w:t>
                  </w:r>
                </w:p>
              </w:tc>
              <w:tc>
                <w:tcPr>
                  <w:tcW w:w="1792" w:type="dxa"/>
                  <w:tcBorders>
                    <w:tl2br w:val="nil"/>
                    <w:tr2bl w:val="nil"/>
                  </w:tcBorders>
                  <w:shd w:val="clear" w:color="auto" w:fill="auto"/>
                  <w:vAlign w:val="center"/>
                </w:tcPr>
                <w:p w14:paraId="5E551C8E">
                  <w:pPr>
                    <w:pStyle w:val="7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lang w:val="en-US" w:eastAsia="zh-CN"/>
                    </w:rPr>
                    <w:t>1070.5</w:t>
                  </w:r>
                </w:p>
              </w:tc>
              <w:tc>
                <w:tcPr>
                  <w:tcW w:w="1910" w:type="pct"/>
                  <w:gridSpan w:val="2"/>
                  <w:tcBorders>
                    <w:tl2br w:val="nil"/>
                    <w:tr2bl w:val="nil"/>
                  </w:tcBorders>
                  <w:noWrap/>
                  <w:vAlign w:val="center"/>
                </w:tcPr>
                <w:p w14:paraId="2663555C">
                  <w:pPr>
                    <w:pStyle w:val="7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涂布烘干废气</w:t>
                  </w:r>
                </w:p>
              </w:tc>
              <w:tc>
                <w:tcPr>
                  <w:tcW w:w="1852" w:type="dxa"/>
                  <w:tcBorders>
                    <w:tl2br w:val="nil"/>
                    <w:tr2bl w:val="nil"/>
                  </w:tcBorders>
                  <w:noWrap/>
                  <w:vAlign w:val="center"/>
                </w:tcPr>
                <w:p w14:paraId="27180D2E">
                  <w:pPr>
                    <w:pStyle w:val="70"/>
                    <w:jc w:val="center"/>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1328.84</w:t>
                  </w:r>
                </w:p>
              </w:tc>
            </w:tr>
            <w:tr w14:paraId="30302D2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10" w:hRule="atLeast"/>
                <w:jc w:val="center"/>
              </w:trPr>
              <w:tc>
                <w:tcPr>
                  <w:tcW w:w="739" w:type="pct"/>
                  <w:tcBorders>
                    <w:tl2br w:val="nil"/>
                    <w:tr2bl w:val="nil"/>
                  </w:tcBorders>
                  <w:vAlign w:val="center"/>
                </w:tcPr>
                <w:p w14:paraId="4DB86D7F">
                  <w:pPr>
                    <w:pStyle w:val="7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聚酰亚胺浆料</w:t>
                  </w:r>
                </w:p>
              </w:tc>
              <w:tc>
                <w:tcPr>
                  <w:tcW w:w="1792" w:type="dxa"/>
                  <w:tcBorders>
                    <w:tl2br w:val="nil"/>
                    <w:tr2bl w:val="nil"/>
                  </w:tcBorders>
                  <w:vAlign w:val="center"/>
                </w:tcPr>
                <w:p w14:paraId="5B4F3BC3">
                  <w:pPr>
                    <w:pStyle w:val="7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lang w:val="en-US" w:eastAsia="zh-CN"/>
                    </w:rPr>
                    <w:t>14.9（其中NMP13.71）</w:t>
                  </w:r>
                </w:p>
              </w:tc>
              <w:tc>
                <w:tcPr>
                  <w:tcW w:w="346" w:type="pct"/>
                  <w:vMerge w:val="restart"/>
                  <w:tcBorders>
                    <w:tl2br w:val="nil"/>
                    <w:tr2bl w:val="nil"/>
                  </w:tcBorders>
                  <w:noWrap/>
                  <w:vAlign w:val="center"/>
                </w:tcPr>
                <w:p w14:paraId="5BF459EF">
                  <w:pPr>
                    <w:pStyle w:val="7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其中</w:t>
                  </w:r>
                </w:p>
              </w:tc>
              <w:tc>
                <w:tcPr>
                  <w:tcW w:w="1563" w:type="pct"/>
                  <w:tcBorders>
                    <w:tl2br w:val="nil"/>
                    <w:tr2bl w:val="nil"/>
                  </w:tcBorders>
                  <w:noWrap/>
                  <w:vAlign w:val="center"/>
                </w:tcPr>
                <w:p w14:paraId="01A9B760">
                  <w:pPr>
                    <w:pStyle w:val="7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回收量（未考虑冷凝回收过程带入水分）</w:t>
                  </w:r>
                </w:p>
              </w:tc>
              <w:tc>
                <w:tcPr>
                  <w:tcW w:w="1852" w:type="dxa"/>
                  <w:tcBorders>
                    <w:tl2br w:val="nil"/>
                    <w:tr2bl w:val="nil"/>
                  </w:tcBorders>
                  <w:noWrap/>
                  <w:vAlign w:val="center"/>
                </w:tcPr>
                <w:p w14:paraId="49643329">
                  <w:pPr>
                    <w:pStyle w:val="70"/>
                    <w:jc w:val="center"/>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1327.51</w:t>
                  </w:r>
                </w:p>
              </w:tc>
            </w:tr>
            <w:tr w14:paraId="59737E3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1147" w:type="dxa"/>
                  <w:tcBorders>
                    <w:tl2br w:val="nil"/>
                    <w:tr2bl w:val="nil"/>
                  </w:tcBorders>
                  <w:vAlign w:val="center"/>
                </w:tcPr>
                <w:p w14:paraId="7BE9F7A2">
                  <w:pPr>
                    <w:pStyle w:val="7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碳纳米管导电浆料</w:t>
                  </w:r>
                </w:p>
              </w:tc>
              <w:tc>
                <w:tcPr>
                  <w:tcW w:w="1792" w:type="dxa"/>
                  <w:tcBorders>
                    <w:tl2br w:val="nil"/>
                    <w:tr2bl w:val="nil"/>
                  </w:tcBorders>
                  <w:vAlign w:val="center"/>
                </w:tcPr>
                <w:p w14:paraId="0EC7F9DB">
                  <w:pPr>
                    <w:pStyle w:val="7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lang w:val="en-US" w:eastAsia="zh-CN"/>
                    </w:rPr>
                    <w:t>257.5（其中NMP244.63）</w:t>
                  </w:r>
                </w:p>
              </w:tc>
              <w:tc>
                <w:tcPr>
                  <w:tcW w:w="346" w:type="pct"/>
                  <w:vMerge w:val="continue"/>
                  <w:tcBorders>
                    <w:tl2br w:val="nil"/>
                    <w:tr2bl w:val="nil"/>
                  </w:tcBorders>
                  <w:noWrap/>
                  <w:vAlign w:val="center"/>
                </w:tcPr>
                <w:p w14:paraId="60D03B03">
                  <w:pPr>
                    <w:pStyle w:val="70"/>
                    <w:jc w:val="center"/>
                    <w:rPr>
                      <w:rFonts w:hint="default" w:ascii="Times New Roman" w:hAnsi="Times New Roman" w:eastAsia="宋体" w:cs="Times New Roman"/>
                      <w:color w:val="auto"/>
                      <w:sz w:val="21"/>
                      <w:szCs w:val="21"/>
                      <w:lang w:val="en-US" w:eastAsia="zh-CN"/>
                    </w:rPr>
                  </w:pPr>
                </w:p>
              </w:tc>
              <w:tc>
                <w:tcPr>
                  <w:tcW w:w="1563" w:type="pct"/>
                  <w:tcBorders>
                    <w:tl2br w:val="nil"/>
                    <w:tr2bl w:val="nil"/>
                  </w:tcBorders>
                  <w:noWrap/>
                  <w:vAlign w:val="center"/>
                </w:tcPr>
                <w:p w14:paraId="5DA7C06C">
                  <w:pPr>
                    <w:pStyle w:val="7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废气排放量</w:t>
                  </w:r>
                </w:p>
              </w:tc>
              <w:tc>
                <w:tcPr>
                  <w:tcW w:w="1852" w:type="dxa"/>
                  <w:tcBorders>
                    <w:tl2br w:val="nil"/>
                    <w:tr2bl w:val="nil"/>
                  </w:tcBorders>
                  <w:noWrap/>
                  <w:vAlign w:val="center"/>
                </w:tcPr>
                <w:p w14:paraId="75567498">
                  <w:pPr>
                    <w:pStyle w:val="70"/>
                    <w:jc w:val="center"/>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1.33</w:t>
                  </w:r>
                </w:p>
              </w:tc>
            </w:tr>
            <w:tr w14:paraId="68BC424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739" w:type="pct"/>
                  <w:tcBorders>
                    <w:tl2br w:val="nil"/>
                    <w:tr2bl w:val="nil"/>
                  </w:tcBorders>
                  <w:vAlign w:val="center"/>
                </w:tcPr>
                <w:p w14:paraId="64004709">
                  <w:pPr>
                    <w:pStyle w:val="70"/>
                    <w:jc w:val="center"/>
                    <w:rPr>
                      <w:rFonts w:hint="eastAsia" w:ascii="Times New Roman" w:hAnsi="Times New Roman" w:eastAsia="宋体" w:cs="Times New Roman"/>
                      <w:color w:val="auto"/>
                      <w:sz w:val="21"/>
                      <w:szCs w:val="21"/>
                      <w:lang w:val="en-US" w:eastAsia="zh-CN"/>
                    </w:rPr>
                  </w:pPr>
                </w:p>
              </w:tc>
              <w:tc>
                <w:tcPr>
                  <w:tcW w:w="1155" w:type="pct"/>
                  <w:tcBorders>
                    <w:tl2br w:val="nil"/>
                    <w:tr2bl w:val="nil"/>
                  </w:tcBorders>
                  <w:vAlign w:val="center"/>
                </w:tcPr>
                <w:p w14:paraId="2DD5DEA6">
                  <w:pPr>
                    <w:pStyle w:val="70"/>
                    <w:jc w:val="center"/>
                    <w:rPr>
                      <w:rFonts w:hint="eastAsia" w:ascii="Times New Roman" w:hAnsi="Times New Roman" w:eastAsia="宋体" w:cs="Times New Roman"/>
                      <w:color w:val="auto"/>
                      <w:sz w:val="21"/>
                      <w:szCs w:val="21"/>
                      <w:lang w:val="en-US" w:eastAsia="zh-CN"/>
                    </w:rPr>
                  </w:pPr>
                </w:p>
              </w:tc>
              <w:tc>
                <w:tcPr>
                  <w:tcW w:w="1910" w:type="pct"/>
                  <w:gridSpan w:val="2"/>
                  <w:tcBorders>
                    <w:tl2br w:val="nil"/>
                    <w:tr2bl w:val="nil"/>
                  </w:tcBorders>
                  <w:noWrap/>
                  <w:vAlign w:val="center"/>
                </w:tcPr>
                <w:p w14:paraId="089A356D">
                  <w:pPr>
                    <w:pStyle w:val="70"/>
                    <w:jc w:val="center"/>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进入产品</w:t>
                  </w:r>
                </w:p>
              </w:tc>
              <w:tc>
                <w:tcPr>
                  <w:tcW w:w="1852" w:type="dxa"/>
                  <w:tcBorders>
                    <w:tl2br w:val="nil"/>
                    <w:tr2bl w:val="nil"/>
                  </w:tcBorders>
                  <w:noWrap/>
                  <w:vAlign w:val="center"/>
                </w:tcPr>
                <w:p w14:paraId="3D7F16D6">
                  <w:pPr>
                    <w:pStyle w:val="70"/>
                    <w:jc w:val="center"/>
                    <w:rPr>
                      <w:rFonts w:hint="default" w:cs="Times New Roman"/>
                      <w:color w:val="auto"/>
                      <w:sz w:val="21"/>
                      <w:szCs w:val="21"/>
                      <w:lang w:val="en-US" w:eastAsia="zh-CN"/>
                    </w:rPr>
                  </w:pPr>
                  <w:r>
                    <w:rPr>
                      <w:rFonts w:hint="eastAsia" w:cs="Times New Roman"/>
                      <w:color w:val="auto"/>
                      <w:sz w:val="21"/>
                      <w:szCs w:val="21"/>
                      <w:lang w:val="en-US" w:eastAsia="zh-CN"/>
                    </w:rPr>
                    <w:t>14.06</w:t>
                  </w:r>
                </w:p>
              </w:tc>
            </w:tr>
            <w:tr w14:paraId="4130EF7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739" w:type="pct"/>
                  <w:tcBorders>
                    <w:tl2br w:val="nil"/>
                    <w:tr2bl w:val="nil"/>
                  </w:tcBorders>
                  <w:noWrap/>
                  <w:vAlign w:val="center"/>
                </w:tcPr>
                <w:p w14:paraId="69581DD4">
                  <w:pPr>
                    <w:pStyle w:val="7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合计</w:t>
                  </w:r>
                </w:p>
              </w:tc>
              <w:tc>
                <w:tcPr>
                  <w:tcW w:w="1155" w:type="pct"/>
                  <w:tcBorders>
                    <w:tl2br w:val="nil"/>
                    <w:tr2bl w:val="nil"/>
                  </w:tcBorders>
                  <w:vAlign w:val="center"/>
                </w:tcPr>
                <w:p w14:paraId="05B54E2E">
                  <w:pPr>
                    <w:pStyle w:val="70"/>
                    <w:spacing w:line="240" w:lineRule="auto"/>
                    <w:jc w:val="center"/>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1342.9（NMP1328.84）</w:t>
                  </w:r>
                </w:p>
              </w:tc>
              <w:tc>
                <w:tcPr>
                  <w:tcW w:w="1910" w:type="pct"/>
                  <w:gridSpan w:val="2"/>
                  <w:tcBorders>
                    <w:tl2br w:val="nil"/>
                    <w:tr2bl w:val="nil"/>
                  </w:tcBorders>
                  <w:noWrap/>
                  <w:vAlign w:val="center"/>
                </w:tcPr>
                <w:p w14:paraId="4A7FCED9">
                  <w:pPr>
                    <w:pStyle w:val="7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合计</w:t>
                  </w:r>
                </w:p>
              </w:tc>
              <w:tc>
                <w:tcPr>
                  <w:tcW w:w="1194" w:type="pct"/>
                  <w:tcBorders>
                    <w:tl2br w:val="nil"/>
                    <w:tr2bl w:val="nil"/>
                  </w:tcBorders>
                  <w:noWrap/>
                  <w:vAlign w:val="center"/>
                </w:tcPr>
                <w:p w14:paraId="2536D253">
                  <w:pPr>
                    <w:pStyle w:val="70"/>
                    <w:spacing w:line="240" w:lineRule="auto"/>
                    <w:jc w:val="center"/>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1342.9（NMP1328.84）</w:t>
                  </w:r>
                </w:p>
              </w:tc>
            </w:tr>
          </w:tbl>
          <w:p w14:paraId="548754B3">
            <w:pPr>
              <w:keepNext w:val="0"/>
              <w:keepLines w:val="0"/>
              <w:pageBreakBefore w:val="0"/>
              <w:widowControl w:val="0"/>
              <w:kinsoku/>
              <w:wordWrap/>
              <w:overflowPunct/>
              <w:topLinePunct w:val="0"/>
              <w:autoSpaceDE/>
              <w:autoSpaceDN/>
              <w:bidi w:val="0"/>
              <w:adjustRightInd/>
              <w:snapToGrid/>
              <w:spacing w:line="240" w:lineRule="auto"/>
              <w:ind w:firstLine="420"/>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注：NMP冷凝回收过程，空气中水分会随NMP一同被冷凝，故产生</w:t>
            </w:r>
            <w:r>
              <w:rPr>
                <w:rFonts w:hint="default" w:ascii="Times New Roman" w:hAnsi="Times New Roman" w:cs="Times New Roman"/>
                <w:color w:val="auto"/>
                <w:sz w:val="21"/>
                <w:szCs w:val="21"/>
                <w:lang w:eastAsia="zh-CN"/>
              </w:rPr>
              <w:t>NMP回收液</w:t>
            </w:r>
            <w:r>
              <w:rPr>
                <w:rFonts w:hint="default" w:ascii="Times New Roman" w:hAnsi="Times New Roman" w:cs="Times New Roman"/>
                <w:color w:val="auto"/>
                <w:sz w:val="21"/>
                <w:szCs w:val="21"/>
              </w:rPr>
              <w:t>为NMP及水的混合物，物料平衡中未考虑冷凝回收过程带入的水分。</w:t>
            </w:r>
          </w:p>
          <w:p w14:paraId="71F086FB">
            <w:pPr>
              <w:pStyle w:val="66"/>
              <w:keepNext w:val="0"/>
              <w:keepLines w:val="0"/>
              <w:pageBreakBefore w:val="0"/>
              <w:widowControl w:val="0"/>
              <w:kinsoku/>
              <w:wordWrap/>
              <w:overflowPunct/>
              <w:topLinePunct w:val="0"/>
              <w:autoSpaceDE w:val="0"/>
              <w:autoSpaceDN w:val="0"/>
              <w:bidi w:val="0"/>
              <w:adjustRightInd w:val="0"/>
              <w:snapToGrid w:val="0"/>
              <w:spacing w:line="360" w:lineRule="auto"/>
              <w:ind w:left="0" w:leftChars="0" w:firstLine="480" w:firstLineChars="200"/>
              <w:textAlignment w:val="auto"/>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lang w:val="en-US" w:eastAsia="zh-CN"/>
              </w:rPr>
              <w:t>（</w:t>
            </w:r>
            <w:r>
              <w:rPr>
                <w:rFonts w:hint="eastAsia" w:ascii="Times New Roman" w:hAnsi="Times New Roman" w:eastAsia="宋体" w:cs="Times New Roman"/>
                <w:color w:val="auto"/>
                <w:lang w:val="en-US" w:eastAsia="zh-CN"/>
              </w:rPr>
              <w:t>3</w:t>
            </w:r>
            <w:r>
              <w:rPr>
                <w:rFonts w:hint="default" w:ascii="Times New Roman" w:hAnsi="Times New Roman" w:eastAsia="宋体" w:cs="Times New Roman"/>
                <w:color w:val="auto"/>
                <w:lang w:val="en-US" w:eastAsia="zh-CN"/>
              </w:rPr>
              <w:t>）</w:t>
            </w:r>
            <w:r>
              <w:rPr>
                <w:rFonts w:hint="eastAsia" w:cs="Times New Roman"/>
                <w:color w:val="auto"/>
                <w:lang w:val="en-US" w:eastAsia="zh-CN"/>
              </w:rPr>
              <w:t>电</w:t>
            </w:r>
            <w:r>
              <w:rPr>
                <w:rFonts w:hint="eastAsia" w:ascii="Times New Roman" w:hAnsi="Times New Roman" w:eastAsia="宋体" w:cs="Times New Roman"/>
                <w:color w:val="auto"/>
                <w:lang w:val="en-US" w:eastAsia="zh-CN"/>
              </w:rPr>
              <w:t>解液</w:t>
            </w:r>
            <w:r>
              <w:rPr>
                <w:rFonts w:hint="default" w:ascii="Times New Roman" w:hAnsi="Times New Roman" w:eastAsia="宋体" w:cs="Times New Roman"/>
                <w:color w:val="auto"/>
                <w:lang w:val="en-US" w:eastAsia="zh-CN"/>
              </w:rPr>
              <w:t>平衡</w:t>
            </w:r>
          </w:p>
          <w:p w14:paraId="74484FE1">
            <w:pPr>
              <w:pStyle w:val="66"/>
              <w:keepNext w:val="0"/>
              <w:keepLines w:val="0"/>
              <w:pageBreakBefore w:val="0"/>
              <w:widowControl w:val="0"/>
              <w:kinsoku/>
              <w:wordWrap/>
              <w:overflowPunct/>
              <w:topLinePunct w:val="0"/>
              <w:autoSpaceDE w:val="0"/>
              <w:autoSpaceDN w:val="0"/>
              <w:bidi w:val="0"/>
              <w:adjustRightInd w:val="0"/>
              <w:snapToGrid w:val="0"/>
              <w:spacing w:line="360" w:lineRule="auto"/>
              <w:ind w:left="0" w:leftChars="0" w:firstLine="480" w:firstLineChars="200"/>
              <w:textAlignment w:val="auto"/>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本项目电解液</w:t>
            </w:r>
            <w:r>
              <w:rPr>
                <w:rFonts w:hint="default" w:ascii="Times New Roman" w:hAnsi="Times New Roman" w:eastAsia="宋体" w:cs="Times New Roman"/>
                <w:color w:val="auto"/>
                <w:lang w:val="en-US" w:eastAsia="zh-CN"/>
              </w:rPr>
              <w:t>平衡见下表所示。</w:t>
            </w:r>
          </w:p>
          <w:p w14:paraId="15768C93">
            <w:pPr>
              <w:pStyle w:val="68"/>
              <w:rPr>
                <w:rFonts w:hint="default" w:ascii="Times New Roman" w:hAnsi="Times New Roman" w:eastAsia="宋体" w:cs="Times New Roman"/>
                <w:b/>
                <w:bCs/>
                <w:color w:val="auto"/>
              </w:rPr>
            </w:pPr>
            <w:r>
              <w:rPr>
                <w:rFonts w:hint="default" w:ascii="Times New Roman" w:hAnsi="Times New Roman" w:eastAsia="宋体" w:cs="Times New Roman"/>
                <w:b/>
                <w:bCs/>
                <w:color w:val="auto"/>
              </w:rPr>
              <w:t>表2-</w:t>
            </w:r>
            <w:r>
              <w:rPr>
                <w:rFonts w:hint="eastAsia" w:eastAsia="宋体" w:cs="Times New Roman"/>
                <w:b/>
                <w:bCs/>
                <w:color w:val="auto"/>
                <w:lang w:val="en-US" w:eastAsia="zh-CN"/>
              </w:rPr>
              <w:t>9</w:t>
            </w:r>
            <w:r>
              <w:rPr>
                <w:rFonts w:hint="default" w:ascii="Times New Roman" w:hAnsi="Times New Roman" w:eastAsia="宋体" w:cs="Times New Roman"/>
                <w:b/>
                <w:bCs/>
                <w:color w:val="auto"/>
              </w:rPr>
              <w:t xml:space="preserve"> 项目</w:t>
            </w:r>
            <w:r>
              <w:rPr>
                <w:rFonts w:hint="eastAsia" w:ascii="Times New Roman" w:hAnsi="Times New Roman" w:eastAsia="宋体" w:cs="Times New Roman"/>
                <w:b/>
                <w:bCs/>
                <w:color w:val="auto"/>
                <w:lang w:val="en-US" w:eastAsia="zh-CN"/>
              </w:rPr>
              <w:t>电解液</w:t>
            </w:r>
            <w:r>
              <w:rPr>
                <w:rFonts w:hint="default" w:ascii="Times New Roman" w:hAnsi="Times New Roman" w:eastAsia="宋体" w:cs="Times New Roman"/>
                <w:b/>
                <w:bCs/>
                <w:color w:val="auto"/>
              </w:rPr>
              <w:t>平衡</w:t>
            </w:r>
          </w:p>
          <w:tbl>
            <w:tblPr>
              <w:tblStyle w:val="41"/>
              <w:tblW w:w="4996" w:type="pct"/>
              <w:jc w:val="center"/>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108" w:type="dxa"/>
                <w:bottom w:w="0" w:type="dxa"/>
                <w:right w:w="108" w:type="dxa"/>
              </w:tblCellMar>
            </w:tblPr>
            <w:tblGrid>
              <w:gridCol w:w="1147"/>
              <w:gridCol w:w="1568"/>
              <w:gridCol w:w="762"/>
              <w:gridCol w:w="2425"/>
              <w:gridCol w:w="1852"/>
            </w:tblGrid>
            <w:tr w14:paraId="082DA93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tblHeader/>
                <w:jc w:val="center"/>
              </w:trPr>
              <w:tc>
                <w:tcPr>
                  <w:tcW w:w="1750" w:type="pct"/>
                  <w:gridSpan w:val="2"/>
                  <w:tcBorders>
                    <w:tl2br w:val="nil"/>
                    <w:tr2bl w:val="nil"/>
                  </w:tcBorders>
                  <w:vAlign w:val="center"/>
                </w:tcPr>
                <w:p w14:paraId="18E02747">
                  <w:pPr>
                    <w:pStyle w:val="70"/>
                    <w:spacing w:line="240" w:lineRule="auto"/>
                    <w:rPr>
                      <w:rFonts w:hint="default" w:ascii="Times New Roman" w:hAnsi="Times New Roman" w:eastAsia="宋体" w:cs="Times New Roman"/>
                      <w:b/>
                      <w:color w:val="auto"/>
                      <w:sz w:val="21"/>
                      <w:szCs w:val="21"/>
                      <w:lang w:val="en-US" w:eastAsia="zh-CN"/>
                    </w:rPr>
                  </w:pPr>
                  <w:r>
                    <w:rPr>
                      <w:rFonts w:hint="default" w:ascii="Times New Roman" w:hAnsi="Times New Roman" w:eastAsia="宋体" w:cs="Times New Roman"/>
                      <w:b/>
                      <w:color w:val="auto"/>
                      <w:sz w:val="21"/>
                      <w:szCs w:val="21"/>
                      <w:lang w:val="en-US" w:eastAsia="zh-CN"/>
                    </w:rPr>
                    <w:t>输  入</w:t>
                  </w:r>
                </w:p>
              </w:tc>
              <w:tc>
                <w:tcPr>
                  <w:tcW w:w="3249" w:type="pct"/>
                  <w:gridSpan w:val="3"/>
                  <w:tcBorders>
                    <w:tl2br w:val="nil"/>
                    <w:tr2bl w:val="nil"/>
                  </w:tcBorders>
                  <w:vAlign w:val="center"/>
                </w:tcPr>
                <w:p w14:paraId="762B7566">
                  <w:pPr>
                    <w:pStyle w:val="70"/>
                    <w:spacing w:line="240" w:lineRule="auto"/>
                    <w:rPr>
                      <w:rFonts w:hint="default" w:ascii="Times New Roman" w:hAnsi="Times New Roman" w:eastAsia="宋体" w:cs="Times New Roman"/>
                      <w:b/>
                      <w:color w:val="auto"/>
                      <w:sz w:val="21"/>
                      <w:szCs w:val="21"/>
                      <w:lang w:val="en-US" w:eastAsia="zh-CN"/>
                    </w:rPr>
                  </w:pPr>
                  <w:r>
                    <w:rPr>
                      <w:rFonts w:hint="default" w:ascii="Times New Roman" w:hAnsi="Times New Roman" w:eastAsia="宋体" w:cs="Times New Roman"/>
                      <w:b/>
                      <w:color w:val="auto"/>
                      <w:sz w:val="21"/>
                      <w:szCs w:val="21"/>
                      <w:lang w:val="en-US" w:eastAsia="zh-CN"/>
                    </w:rPr>
                    <w:t>输 出</w:t>
                  </w:r>
                </w:p>
              </w:tc>
            </w:tr>
            <w:tr w14:paraId="3CB4BB3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tblHeader/>
                <w:jc w:val="center"/>
              </w:trPr>
              <w:tc>
                <w:tcPr>
                  <w:tcW w:w="739" w:type="pct"/>
                  <w:tcBorders>
                    <w:tl2br w:val="nil"/>
                    <w:tr2bl w:val="nil"/>
                  </w:tcBorders>
                  <w:vAlign w:val="center"/>
                </w:tcPr>
                <w:p w14:paraId="0361CF46">
                  <w:pPr>
                    <w:pStyle w:val="7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物料名称</w:t>
                  </w:r>
                </w:p>
              </w:tc>
              <w:tc>
                <w:tcPr>
                  <w:tcW w:w="1011" w:type="pct"/>
                  <w:tcBorders>
                    <w:tl2br w:val="nil"/>
                    <w:tr2bl w:val="nil"/>
                  </w:tcBorders>
                  <w:vAlign w:val="center"/>
                </w:tcPr>
                <w:p w14:paraId="686997A7">
                  <w:pPr>
                    <w:pStyle w:val="7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投入量（t/a）</w:t>
                  </w:r>
                </w:p>
              </w:tc>
              <w:tc>
                <w:tcPr>
                  <w:tcW w:w="2055" w:type="pct"/>
                  <w:gridSpan w:val="2"/>
                  <w:tcBorders>
                    <w:tl2br w:val="nil"/>
                    <w:tr2bl w:val="nil"/>
                  </w:tcBorders>
                  <w:vAlign w:val="center"/>
                </w:tcPr>
                <w:p w14:paraId="5C0E0CB7">
                  <w:pPr>
                    <w:pStyle w:val="7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产出项目</w:t>
                  </w:r>
                </w:p>
              </w:tc>
              <w:tc>
                <w:tcPr>
                  <w:tcW w:w="1194" w:type="pct"/>
                  <w:tcBorders>
                    <w:tl2br w:val="nil"/>
                    <w:tr2bl w:val="nil"/>
                  </w:tcBorders>
                  <w:vAlign w:val="center"/>
                </w:tcPr>
                <w:p w14:paraId="18F0533E">
                  <w:pPr>
                    <w:pStyle w:val="7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产出量（t/a）</w:t>
                  </w:r>
                </w:p>
              </w:tc>
            </w:tr>
            <w:tr w14:paraId="73E32B4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739" w:type="pct"/>
                  <w:tcBorders>
                    <w:tl2br w:val="nil"/>
                    <w:tr2bl w:val="nil"/>
                  </w:tcBorders>
                  <w:shd w:val="clear" w:color="auto" w:fill="auto"/>
                  <w:vAlign w:val="center"/>
                </w:tcPr>
                <w:p w14:paraId="39651CD3">
                  <w:pPr>
                    <w:pStyle w:val="70"/>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电解液</w:t>
                  </w:r>
                </w:p>
              </w:tc>
              <w:tc>
                <w:tcPr>
                  <w:tcW w:w="1011" w:type="pct"/>
                  <w:tcBorders>
                    <w:tl2br w:val="nil"/>
                    <w:tr2bl w:val="nil"/>
                  </w:tcBorders>
                  <w:shd w:val="clear" w:color="auto" w:fill="auto"/>
                  <w:vAlign w:val="center"/>
                </w:tcPr>
                <w:p w14:paraId="6EA7D0C3">
                  <w:pPr>
                    <w:pStyle w:val="70"/>
                    <w:jc w:val="center"/>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1122.4</w:t>
                  </w:r>
                </w:p>
              </w:tc>
              <w:tc>
                <w:tcPr>
                  <w:tcW w:w="2055" w:type="pct"/>
                  <w:gridSpan w:val="2"/>
                  <w:tcBorders>
                    <w:tl2br w:val="nil"/>
                    <w:tr2bl w:val="nil"/>
                  </w:tcBorders>
                  <w:noWrap/>
                  <w:vAlign w:val="center"/>
                </w:tcPr>
                <w:p w14:paraId="1C432C4A">
                  <w:pPr>
                    <w:pStyle w:val="70"/>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注液</w:t>
                  </w:r>
                  <w:r>
                    <w:rPr>
                      <w:rFonts w:hint="default" w:ascii="Times New Roman" w:hAnsi="Times New Roman" w:eastAsia="宋体" w:cs="Times New Roman"/>
                      <w:color w:val="auto"/>
                      <w:sz w:val="21"/>
                      <w:szCs w:val="21"/>
                      <w:lang w:val="en-US" w:eastAsia="zh-CN"/>
                    </w:rPr>
                    <w:t>废气</w:t>
                  </w:r>
                </w:p>
              </w:tc>
              <w:tc>
                <w:tcPr>
                  <w:tcW w:w="1194" w:type="pct"/>
                  <w:tcBorders>
                    <w:tl2br w:val="nil"/>
                    <w:tr2bl w:val="nil"/>
                  </w:tcBorders>
                  <w:noWrap/>
                  <w:vAlign w:val="center"/>
                </w:tcPr>
                <w:p w14:paraId="3222AEDF">
                  <w:pPr>
                    <w:pStyle w:val="70"/>
                    <w:jc w:val="center"/>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1.1224</w:t>
                  </w:r>
                </w:p>
              </w:tc>
            </w:tr>
            <w:tr w14:paraId="6DFC676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10" w:hRule="atLeast"/>
                <w:jc w:val="center"/>
              </w:trPr>
              <w:tc>
                <w:tcPr>
                  <w:tcW w:w="739" w:type="pct"/>
                  <w:tcBorders>
                    <w:tl2br w:val="nil"/>
                    <w:tr2bl w:val="nil"/>
                  </w:tcBorders>
                  <w:vAlign w:val="center"/>
                </w:tcPr>
                <w:p w14:paraId="330A6BBD">
                  <w:pPr>
                    <w:pStyle w:val="70"/>
                    <w:jc w:val="center"/>
                    <w:rPr>
                      <w:rFonts w:hint="default" w:ascii="Times New Roman" w:hAnsi="Times New Roman" w:eastAsia="宋体" w:cs="Times New Roman"/>
                      <w:color w:val="auto"/>
                      <w:sz w:val="21"/>
                      <w:szCs w:val="21"/>
                      <w:lang w:val="en-US" w:eastAsia="zh-CN"/>
                    </w:rPr>
                  </w:pPr>
                </w:p>
              </w:tc>
              <w:tc>
                <w:tcPr>
                  <w:tcW w:w="1011" w:type="pct"/>
                  <w:tcBorders>
                    <w:tl2br w:val="nil"/>
                    <w:tr2bl w:val="nil"/>
                  </w:tcBorders>
                  <w:vAlign w:val="center"/>
                </w:tcPr>
                <w:p w14:paraId="09C1436C">
                  <w:pPr>
                    <w:pStyle w:val="70"/>
                    <w:jc w:val="center"/>
                    <w:rPr>
                      <w:rFonts w:hint="default" w:ascii="Times New Roman" w:hAnsi="Times New Roman" w:eastAsia="宋体" w:cs="Times New Roman"/>
                      <w:color w:val="auto"/>
                      <w:sz w:val="21"/>
                      <w:szCs w:val="21"/>
                      <w:lang w:val="en-US" w:eastAsia="zh-CN"/>
                    </w:rPr>
                  </w:pPr>
                </w:p>
              </w:tc>
              <w:tc>
                <w:tcPr>
                  <w:tcW w:w="491" w:type="pct"/>
                  <w:vMerge w:val="restart"/>
                  <w:tcBorders>
                    <w:tl2br w:val="nil"/>
                    <w:tr2bl w:val="nil"/>
                  </w:tcBorders>
                  <w:noWrap/>
                  <w:vAlign w:val="center"/>
                </w:tcPr>
                <w:p w14:paraId="12E0D4EB">
                  <w:pPr>
                    <w:pStyle w:val="7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其中</w:t>
                  </w:r>
                </w:p>
              </w:tc>
              <w:tc>
                <w:tcPr>
                  <w:tcW w:w="1563" w:type="pct"/>
                  <w:tcBorders>
                    <w:tl2br w:val="nil"/>
                    <w:tr2bl w:val="nil"/>
                  </w:tcBorders>
                  <w:noWrap/>
                  <w:vAlign w:val="center"/>
                </w:tcPr>
                <w:p w14:paraId="456910C9">
                  <w:pPr>
                    <w:pStyle w:val="70"/>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活性炭吸附量</w:t>
                  </w:r>
                </w:p>
              </w:tc>
              <w:tc>
                <w:tcPr>
                  <w:tcW w:w="1194" w:type="pct"/>
                  <w:tcBorders>
                    <w:tl2br w:val="nil"/>
                    <w:tr2bl w:val="nil"/>
                  </w:tcBorders>
                  <w:noWrap/>
                  <w:vAlign w:val="center"/>
                </w:tcPr>
                <w:p w14:paraId="428FBBCE">
                  <w:pPr>
                    <w:pStyle w:val="70"/>
                    <w:jc w:val="center"/>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0.7624</w:t>
                  </w:r>
                </w:p>
              </w:tc>
            </w:tr>
            <w:tr w14:paraId="23259FE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739" w:type="pct"/>
                  <w:tcBorders>
                    <w:tl2br w:val="nil"/>
                    <w:tr2bl w:val="nil"/>
                  </w:tcBorders>
                  <w:vAlign w:val="center"/>
                </w:tcPr>
                <w:p w14:paraId="22506724">
                  <w:pPr>
                    <w:pStyle w:val="70"/>
                    <w:jc w:val="center"/>
                    <w:rPr>
                      <w:rFonts w:hint="default" w:ascii="Times New Roman" w:hAnsi="Times New Roman" w:eastAsia="宋体" w:cs="Times New Roman"/>
                      <w:color w:val="auto"/>
                      <w:sz w:val="21"/>
                      <w:szCs w:val="21"/>
                      <w:lang w:val="en-US" w:eastAsia="zh-CN"/>
                    </w:rPr>
                  </w:pPr>
                </w:p>
              </w:tc>
              <w:tc>
                <w:tcPr>
                  <w:tcW w:w="1011" w:type="pct"/>
                  <w:tcBorders>
                    <w:tl2br w:val="nil"/>
                    <w:tr2bl w:val="nil"/>
                  </w:tcBorders>
                  <w:vAlign w:val="center"/>
                </w:tcPr>
                <w:p w14:paraId="0109D163">
                  <w:pPr>
                    <w:pStyle w:val="70"/>
                    <w:jc w:val="center"/>
                    <w:rPr>
                      <w:rFonts w:hint="default" w:ascii="Times New Roman" w:hAnsi="Times New Roman" w:eastAsia="宋体" w:cs="Times New Roman"/>
                      <w:color w:val="auto"/>
                      <w:sz w:val="21"/>
                      <w:szCs w:val="21"/>
                      <w:lang w:val="en-US" w:eastAsia="zh-CN"/>
                    </w:rPr>
                  </w:pPr>
                </w:p>
              </w:tc>
              <w:tc>
                <w:tcPr>
                  <w:tcW w:w="491" w:type="pct"/>
                  <w:vMerge w:val="continue"/>
                  <w:tcBorders>
                    <w:tl2br w:val="nil"/>
                    <w:tr2bl w:val="nil"/>
                  </w:tcBorders>
                  <w:noWrap/>
                  <w:vAlign w:val="center"/>
                </w:tcPr>
                <w:p w14:paraId="5ECD172F">
                  <w:pPr>
                    <w:pStyle w:val="70"/>
                    <w:jc w:val="center"/>
                    <w:rPr>
                      <w:rFonts w:hint="default" w:ascii="Times New Roman" w:hAnsi="Times New Roman" w:eastAsia="宋体" w:cs="Times New Roman"/>
                      <w:color w:val="auto"/>
                      <w:sz w:val="21"/>
                      <w:szCs w:val="21"/>
                      <w:lang w:val="en-US" w:eastAsia="zh-CN"/>
                    </w:rPr>
                  </w:pPr>
                </w:p>
              </w:tc>
              <w:tc>
                <w:tcPr>
                  <w:tcW w:w="1563" w:type="pct"/>
                  <w:tcBorders>
                    <w:tl2br w:val="nil"/>
                    <w:tr2bl w:val="nil"/>
                  </w:tcBorders>
                  <w:noWrap/>
                  <w:vAlign w:val="center"/>
                </w:tcPr>
                <w:p w14:paraId="181D91E0">
                  <w:pPr>
                    <w:pStyle w:val="7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废气排放量</w:t>
                  </w:r>
                </w:p>
              </w:tc>
              <w:tc>
                <w:tcPr>
                  <w:tcW w:w="1194" w:type="pct"/>
                  <w:tcBorders>
                    <w:tl2br w:val="nil"/>
                    <w:tr2bl w:val="nil"/>
                  </w:tcBorders>
                  <w:noWrap/>
                  <w:vAlign w:val="center"/>
                </w:tcPr>
                <w:p w14:paraId="0590E878">
                  <w:pPr>
                    <w:pStyle w:val="70"/>
                    <w:jc w:val="center"/>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0.36</w:t>
                  </w:r>
                </w:p>
              </w:tc>
            </w:tr>
            <w:tr w14:paraId="6EC9B0F8">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739" w:type="pct"/>
                  <w:tcBorders>
                    <w:tl2br w:val="nil"/>
                    <w:tr2bl w:val="nil"/>
                  </w:tcBorders>
                  <w:vAlign w:val="center"/>
                </w:tcPr>
                <w:p w14:paraId="6F0CE173">
                  <w:pPr>
                    <w:pStyle w:val="70"/>
                    <w:jc w:val="center"/>
                    <w:rPr>
                      <w:rFonts w:hint="default" w:ascii="Times New Roman" w:hAnsi="Times New Roman" w:eastAsia="宋体" w:cs="Times New Roman"/>
                      <w:color w:val="auto"/>
                      <w:sz w:val="21"/>
                      <w:szCs w:val="21"/>
                      <w:lang w:val="en-US" w:eastAsia="zh-CN"/>
                    </w:rPr>
                  </w:pPr>
                </w:p>
              </w:tc>
              <w:tc>
                <w:tcPr>
                  <w:tcW w:w="1011" w:type="pct"/>
                  <w:tcBorders>
                    <w:tl2br w:val="nil"/>
                    <w:tr2bl w:val="nil"/>
                  </w:tcBorders>
                  <w:vAlign w:val="center"/>
                </w:tcPr>
                <w:p w14:paraId="28FFAB95">
                  <w:pPr>
                    <w:pStyle w:val="70"/>
                    <w:jc w:val="center"/>
                    <w:rPr>
                      <w:rFonts w:hint="default" w:ascii="Times New Roman" w:hAnsi="Times New Roman" w:eastAsia="宋体" w:cs="Times New Roman"/>
                      <w:color w:val="auto"/>
                      <w:sz w:val="21"/>
                      <w:szCs w:val="21"/>
                      <w:lang w:val="en-US" w:eastAsia="zh-CN"/>
                    </w:rPr>
                  </w:pPr>
                </w:p>
              </w:tc>
              <w:tc>
                <w:tcPr>
                  <w:tcW w:w="2055" w:type="pct"/>
                  <w:gridSpan w:val="2"/>
                  <w:tcBorders>
                    <w:tl2br w:val="nil"/>
                    <w:tr2bl w:val="nil"/>
                  </w:tcBorders>
                  <w:noWrap/>
                  <w:vAlign w:val="center"/>
                </w:tcPr>
                <w:p w14:paraId="42EA2386">
                  <w:pPr>
                    <w:pStyle w:val="70"/>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进入产品</w:t>
                  </w:r>
                </w:p>
              </w:tc>
              <w:tc>
                <w:tcPr>
                  <w:tcW w:w="1194" w:type="pct"/>
                  <w:tcBorders>
                    <w:tl2br w:val="nil"/>
                    <w:tr2bl w:val="nil"/>
                  </w:tcBorders>
                  <w:noWrap/>
                  <w:vAlign w:val="center"/>
                </w:tcPr>
                <w:p w14:paraId="726F0097">
                  <w:pPr>
                    <w:pStyle w:val="70"/>
                    <w:jc w:val="center"/>
                    <w:rPr>
                      <w:rFonts w:hint="default" w:cs="Times New Roman"/>
                      <w:color w:val="auto"/>
                      <w:sz w:val="21"/>
                      <w:szCs w:val="21"/>
                      <w:lang w:val="en-US" w:eastAsia="zh-CN"/>
                    </w:rPr>
                  </w:pPr>
                  <w:r>
                    <w:rPr>
                      <w:rFonts w:hint="eastAsia" w:cs="Times New Roman"/>
                      <w:color w:val="auto"/>
                      <w:sz w:val="21"/>
                      <w:szCs w:val="21"/>
                      <w:lang w:val="en-US" w:eastAsia="zh-CN"/>
                    </w:rPr>
                    <w:t>1121.2776</w:t>
                  </w:r>
                </w:p>
              </w:tc>
            </w:tr>
            <w:tr w14:paraId="0A88A31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739" w:type="pct"/>
                  <w:tcBorders>
                    <w:tl2br w:val="nil"/>
                    <w:tr2bl w:val="nil"/>
                  </w:tcBorders>
                  <w:noWrap/>
                  <w:vAlign w:val="center"/>
                </w:tcPr>
                <w:p w14:paraId="56D3B218">
                  <w:pPr>
                    <w:pStyle w:val="7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合计</w:t>
                  </w:r>
                </w:p>
              </w:tc>
              <w:tc>
                <w:tcPr>
                  <w:tcW w:w="1011" w:type="pct"/>
                  <w:tcBorders>
                    <w:tl2br w:val="nil"/>
                    <w:tr2bl w:val="nil"/>
                  </w:tcBorders>
                  <w:vAlign w:val="center"/>
                </w:tcPr>
                <w:p w14:paraId="437C5FEC">
                  <w:pPr>
                    <w:pStyle w:val="70"/>
                    <w:jc w:val="center"/>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1122.4</w:t>
                  </w:r>
                </w:p>
              </w:tc>
              <w:tc>
                <w:tcPr>
                  <w:tcW w:w="2055" w:type="pct"/>
                  <w:gridSpan w:val="2"/>
                  <w:tcBorders>
                    <w:tl2br w:val="nil"/>
                    <w:tr2bl w:val="nil"/>
                  </w:tcBorders>
                  <w:noWrap/>
                  <w:vAlign w:val="center"/>
                </w:tcPr>
                <w:p w14:paraId="43C7D4E4">
                  <w:pPr>
                    <w:pStyle w:val="7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合计</w:t>
                  </w:r>
                </w:p>
              </w:tc>
              <w:tc>
                <w:tcPr>
                  <w:tcW w:w="1194" w:type="pct"/>
                  <w:tcBorders>
                    <w:tl2br w:val="nil"/>
                    <w:tr2bl w:val="nil"/>
                  </w:tcBorders>
                  <w:noWrap/>
                  <w:vAlign w:val="center"/>
                </w:tcPr>
                <w:p w14:paraId="5F57B2C0">
                  <w:pPr>
                    <w:pStyle w:val="70"/>
                    <w:jc w:val="center"/>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1122.4</w:t>
                  </w:r>
                </w:p>
              </w:tc>
            </w:tr>
          </w:tbl>
          <w:p w14:paraId="2FCB6D6C">
            <w:pPr>
              <w:pStyle w:val="66"/>
              <w:keepNext w:val="0"/>
              <w:keepLines w:val="0"/>
              <w:pageBreakBefore w:val="0"/>
              <w:widowControl w:val="0"/>
              <w:kinsoku/>
              <w:wordWrap/>
              <w:overflowPunct/>
              <w:topLinePunct w:val="0"/>
              <w:autoSpaceDE w:val="0"/>
              <w:autoSpaceDN w:val="0"/>
              <w:bidi w:val="0"/>
              <w:adjustRightInd w:val="0"/>
              <w:snapToGrid w:val="0"/>
              <w:spacing w:line="360" w:lineRule="auto"/>
              <w:ind w:left="0" w:leftChars="0" w:firstLine="482" w:firstLineChars="200"/>
              <w:textAlignment w:val="auto"/>
              <w:rPr>
                <w:rFonts w:hint="eastAsia" w:ascii="Times New Roman" w:hAnsi="Times New Roman" w:eastAsia="宋体" w:cs="Times New Roman"/>
                <w:b/>
                <w:bCs/>
                <w:color w:val="auto"/>
                <w:lang w:val="en-US" w:eastAsia="zh-CN"/>
              </w:rPr>
            </w:pPr>
            <w:r>
              <w:rPr>
                <w:rFonts w:hint="eastAsia" w:ascii="Times New Roman" w:hAnsi="Times New Roman" w:eastAsia="宋体" w:cs="Times New Roman"/>
                <w:b/>
                <w:bCs/>
                <w:color w:val="auto"/>
                <w:lang w:val="en-US" w:eastAsia="zh-CN"/>
              </w:rPr>
              <w:t>11、物料平衡</w:t>
            </w:r>
          </w:p>
          <w:p w14:paraId="4F78A66C">
            <w:pPr>
              <w:pStyle w:val="68"/>
              <w:shd w:val="clear"/>
              <w:rPr>
                <w:rFonts w:hint="default" w:ascii="Times New Roman" w:hAnsi="Times New Roman" w:eastAsia="宋体" w:cs="Times New Roman"/>
                <w:b/>
                <w:bCs/>
                <w:color w:val="auto"/>
              </w:rPr>
            </w:pPr>
            <w:r>
              <w:rPr>
                <w:rFonts w:hint="default" w:ascii="Times New Roman" w:hAnsi="Times New Roman" w:eastAsia="宋体" w:cs="Times New Roman"/>
                <w:b/>
                <w:bCs/>
                <w:color w:val="auto"/>
              </w:rPr>
              <w:t>表2-</w:t>
            </w:r>
            <w:r>
              <w:rPr>
                <w:rFonts w:hint="eastAsia" w:eastAsia="宋体" w:cs="Times New Roman"/>
                <w:b/>
                <w:bCs/>
                <w:color w:val="auto"/>
                <w:lang w:val="en-US" w:eastAsia="zh-CN"/>
              </w:rPr>
              <w:t>10</w:t>
            </w:r>
            <w:r>
              <w:rPr>
                <w:rFonts w:hint="default" w:ascii="Times New Roman" w:hAnsi="Times New Roman" w:eastAsia="宋体" w:cs="Times New Roman"/>
                <w:b/>
                <w:bCs/>
                <w:color w:val="auto"/>
              </w:rPr>
              <w:t xml:space="preserve"> 项目</w:t>
            </w:r>
            <w:r>
              <w:rPr>
                <w:rFonts w:hint="eastAsia" w:ascii="Times New Roman" w:hAnsi="Times New Roman" w:eastAsia="宋体" w:cs="Times New Roman"/>
                <w:b/>
                <w:bCs/>
                <w:color w:val="auto"/>
                <w:lang w:val="en-US" w:eastAsia="zh-CN"/>
              </w:rPr>
              <w:t>物料</w:t>
            </w:r>
            <w:r>
              <w:rPr>
                <w:rFonts w:hint="default" w:ascii="Times New Roman" w:hAnsi="Times New Roman" w:eastAsia="宋体" w:cs="Times New Roman"/>
                <w:b/>
                <w:bCs/>
                <w:color w:val="auto"/>
              </w:rPr>
              <w:t>平衡</w:t>
            </w:r>
          </w:p>
          <w:tbl>
            <w:tblPr>
              <w:tblStyle w:val="41"/>
              <w:tblW w:w="4996" w:type="pct"/>
              <w:jc w:val="center"/>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108" w:type="dxa"/>
                <w:bottom w:w="0" w:type="dxa"/>
                <w:right w:w="108" w:type="dxa"/>
              </w:tblCellMar>
            </w:tblPr>
            <w:tblGrid>
              <w:gridCol w:w="1147"/>
              <w:gridCol w:w="1568"/>
              <w:gridCol w:w="847"/>
              <w:gridCol w:w="2340"/>
              <w:gridCol w:w="1852"/>
            </w:tblGrid>
            <w:tr w14:paraId="5B3712E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tblHeader/>
                <w:jc w:val="center"/>
              </w:trPr>
              <w:tc>
                <w:tcPr>
                  <w:tcW w:w="1750" w:type="pct"/>
                  <w:gridSpan w:val="2"/>
                  <w:tcBorders>
                    <w:tl2br w:val="nil"/>
                    <w:tr2bl w:val="nil"/>
                  </w:tcBorders>
                  <w:vAlign w:val="center"/>
                </w:tcPr>
                <w:p w14:paraId="13D98A6B">
                  <w:pPr>
                    <w:pStyle w:val="70"/>
                    <w:shd w:val="clear"/>
                    <w:spacing w:line="240" w:lineRule="auto"/>
                    <w:rPr>
                      <w:rFonts w:hint="default" w:ascii="Times New Roman" w:hAnsi="Times New Roman" w:eastAsia="宋体" w:cs="Times New Roman"/>
                      <w:b/>
                      <w:color w:val="auto"/>
                      <w:sz w:val="21"/>
                      <w:szCs w:val="21"/>
                      <w:lang w:val="en-US" w:eastAsia="zh-CN"/>
                    </w:rPr>
                  </w:pPr>
                  <w:r>
                    <w:rPr>
                      <w:rFonts w:hint="default" w:ascii="Times New Roman" w:hAnsi="Times New Roman" w:eastAsia="宋体" w:cs="Times New Roman"/>
                      <w:b/>
                      <w:color w:val="auto"/>
                      <w:sz w:val="21"/>
                      <w:szCs w:val="21"/>
                      <w:lang w:val="en-US" w:eastAsia="zh-CN"/>
                    </w:rPr>
                    <w:t>输  入</w:t>
                  </w:r>
                </w:p>
              </w:tc>
              <w:tc>
                <w:tcPr>
                  <w:tcW w:w="3249" w:type="pct"/>
                  <w:gridSpan w:val="3"/>
                  <w:tcBorders>
                    <w:tl2br w:val="nil"/>
                    <w:tr2bl w:val="nil"/>
                  </w:tcBorders>
                  <w:vAlign w:val="center"/>
                </w:tcPr>
                <w:p w14:paraId="67898233">
                  <w:pPr>
                    <w:pStyle w:val="70"/>
                    <w:shd w:val="clear"/>
                    <w:spacing w:line="240" w:lineRule="auto"/>
                    <w:rPr>
                      <w:rFonts w:hint="default" w:ascii="Times New Roman" w:hAnsi="Times New Roman" w:eastAsia="宋体" w:cs="Times New Roman"/>
                      <w:b/>
                      <w:color w:val="auto"/>
                      <w:sz w:val="21"/>
                      <w:szCs w:val="21"/>
                      <w:lang w:val="en-US" w:eastAsia="zh-CN"/>
                    </w:rPr>
                  </w:pPr>
                  <w:r>
                    <w:rPr>
                      <w:rFonts w:hint="default" w:ascii="Times New Roman" w:hAnsi="Times New Roman" w:eastAsia="宋体" w:cs="Times New Roman"/>
                      <w:b/>
                      <w:color w:val="auto"/>
                      <w:sz w:val="21"/>
                      <w:szCs w:val="21"/>
                      <w:lang w:val="en-US" w:eastAsia="zh-CN"/>
                    </w:rPr>
                    <w:t>输 出</w:t>
                  </w:r>
                </w:p>
              </w:tc>
            </w:tr>
            <w:tr w14:paraId="7BCFCC8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tblHeader/>
                <w:jc w:val="center"/>
              </w:trPr>
              <w:tc>
                <w:tcPr>
                  <w:tcW w:w="739" w:type="pct"/>
                  <w:tcBorders>
                    <w:tl2br w:val="nil"/>
                    <w:tr2bl w:val="nil"/>
                  </w:tcBorders>
                  <w:vAlign w:val="center"/>
                </w:tcPr>
                <w:p w14:paraId="5F96CB15">
                  <w:pPr>
                    <w:pStyle w:val="70"/>
                    <w:shd w:val="clear"/>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物料名称</w:t>
                  </w:r>
                </w:p>
              </w:tc>
              <w:tc>
                <w:tcPr>
                  <w:tcW w:w="1011" w:type="pct"/>
                  <w:tcBorders>
                    <w:tl2br w:val="nil"/>
                    <w:tr2bl w:val="nil"/>
                  </w:tcBorders>
                  <w:vAlign w:val="center"/>
                </w:tcPr>
                <w:p w14:paraId="54BA046C">
                  <w:pPr>
                    <w:pStyle w:val="70"/>
                    <w:shd w:val="clear"/>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投入量（t/a）</w:t>
                  </w:r>
                </w:p>
              </w:tc>
              <w:tc>
                <w:tcPr>
                  <w:tcW w:w="2055" w:type="pct"/>
                  <w:gridSpan w:val="2"/>
                  <w:tcBorders>
                    <w:tl2br w:val="nil"/>
                    <w:tr2bl w:val="nil"/>
                  </w:tcBorders>
                  <w:vAlign w:val="center"/>
                </w:tcPr>
                <w:p w14:paraId="32353C5F">
                  <w:pPr>
                    <w:pStyle w:val="7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产出项目</w:t>
                  </w:r>
                </w:p>
              </w:tc>
              <w:tc>
                <w:tcPr>
                  <w:tcW w:w="1194" w:type="pct"/>
                  <w:tcBorders>
                    <w:tl2br w:val="nil"/>
                    <w:tr2bl w:val="nil"/>
                  </w:tcBorders>
                  <w:vAlign w:val="center"/>
                </w:tcPr>
                <w:p w14:paraId="6FAA0098">
                  <w:pPr>
                    <w:pStyle w:val="7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产出量（t/a）</w:t>
                  </w:r>
                </w:p>
              </w:tc>
            </w:tr>
            <w:tr w14:paraId="4609623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739" w:type="pct"/>
                  <w:tcBorders>
                    <w:tl2br w:val="nil"/>
                    <w:tr2bl w:val="nil"/>
                  </w:tcBorders>
                  <w:shd w:val="clear" w:color="auto" w:fill="auto"/>
                  <w:vAlign w:val="center"/>
                </w:tcPr>
                <w:p w14:paraId="5DC029A5">
                  <w:pPr>
                    <w:pStyle w:val="70"/>
                    <w:shd w:val="clear"/>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磷酸铁锂</w:t>
                  </w:r>
                </w:p>
              </w:tc>
              <w:tc>
                <w:tcPr>
                  <w:tcW w:w="1568" w:type="dxa"/>
                  <w:tcBorders>
                    <w:tl2br w:val="nil"/>
                    <w:tr2bl w:val="nil"/>
                  </w:tcBorders>
                  <w:shd w:val="clear" w:color="auto" w:fill="auto"/>
                  <w:vAlign w:val="center"/>
                </w:tcPr>
                <w:p w14:paraId="1CED96BB">
                  <w:pPr>
                    <w:pStyle w:val="70"/>
                    <w:shd w:val="clear"/>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2051.3</w:t>
                  </w:r>
                </w:p>
              </w:tc>
              <w:tc>
                <w:tcPr>
                  <w:tcW w:w="2055" w:type="pct"/>
                  <w:gridSpan w:val="2"/>
                  <w:tcBorders>
                    <w:tl2br w:val="nil"/>
                    <w:tr2bl w:val="nil"/>
                  </w:tcBorders>
                  <w:noWrap/>
                  <w:vAlign w:val="center"/>
                </w:tcPr>
                <w:p w14:paraId="6FF75635">
                  <w:pPr>
                    <w:pStyle w:val="70"/>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进入产品</w:t>
                  </w:r>
                </w:p>
              </w:tc>
              <w:tc>
                <w:tcPr>
                  <w:tcW w:w="1852" w:type="dxa"/>
                  <w:tcBorders>
                    <w:tl2br w:val="nil"/>
                    <w:tr2bl w:val="nil"/>
                  </w:tcBorders>
                  <w:shd w:val="clear" w:color="auto" w:fill="auto"/>
                  <w:noWrap/>
                  <w:vAlign w:val="center"/>
                </w:tcPr>
                <w:p w14:paraId="7C0A5887">
                  <w:pPr>
                    <w:pStyle w:val="70"/>
                    <w:jc w:val="center"/>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5409.1596</w:t>
                  </w:r>
                </w:p>
              </w:tc>
            </w:tr>
            <w:tr w14:paraId="1A9DA98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739" w:type="pct"/>
                  <w:tcBorders>
                    <w:tl2br w:val="nil"/>
                    <w:tr2bl w:val="nil"/>
                  </w:tcBorders>
                  <w:vAlign w:val="center"/>
                </w:tcPr>
                <w:p w14:paraId="35A0E7CA">
                  <w:pPr>
                    <w:pStyle w:val="70"/>
                    <w:shd w:val="clear"/>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聚偏二氟乙烯</w:t>
                  </w:r>
                </w:p>
              </w:tc>
              <w:tc>
                <w:tcPr>
                  <w:tcW w:w="1568" w:type="dxa"/>
                  <w:tcBorders>
                    <w:tl2br w:val="nil"/>
                    <w:tr2bl w:val="nil"/>
                  </w:tcBorders>
                  <w:vAlign w:val="center"/>
                </w:tcPr>
                <w:p w14:paraId="35F8F070">
                  <w:pPr>
                    <w:pStyle w:val="70"/>
                    <w:shd w:val="clear"/>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49.4</w:t>
                  </w:r>
                </w:p>
              </w:tc>
              <w:tc>
                <w:tcPr>
                  <w:tcW w:w="2055" w:type="pct"/>
                  <w:gridSpan w:val="2"/>
                  <w:tcBorders>
                    <w:tl2br w:val="nil"/>
                    <w:tr2bl w:val="nil"/>
                  </w:tcBorders>
                  <w:noWrap/>
                  <w:vAlign w:val="center"/>
                </w:tcPr>
                <w:p w14:paraId="08FC1BB0">
                  <w:pPr>
                    <w:pStyle w:val="70"/>
                    <w:shd w:val="clear"/>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涂布烘干废气</w:t>
                  </w:r>
                </w:p>
              </w:tc>
              <w:tc>
                <w:tcPr>
                  <w:tcW w:w="1852" w:type="dxa"/>
                  <w:tcBorders>
                    <w:tl2br w:val="nil"/>
                    <w:tr2bl w:val="nil"/>
                  </w:tcBorders>
                  <w:noWrap/>
                  <w:vAlign w:val="center"/>
                </w:tcPr>
                <w:p w14:paraId="4D4AF7CF">
                  <w:pPr>
                    <w:pStyle w:val="70"/>
                    <w:jc w:val="center"/>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1328.84</w:t>
                  </w:r>
                </w:p>
              </w:tc>
            </w:tr>
            <w:tr w14:paraId="11F8987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10" w:hRule="atLeast"/>
                <w:jc w:val="center"/>
              </w:trPr>
              <w:tc>
                <w:tcPr>
                  <w:tcW w:w="739" w:type="pct"/>
                  <w:tcBorders>
                    <w:tl2br w:val="nil"/>
                    <w:tr2bl w:val="nil"/>
                  </w:tcBorders>
                  <w:vAlign w:val="center"/>
                </w:tcPr>
                <w:p w14:paraId="1276909C">
                  <w:pPr>
                    <w:pStyle w:val="70"/>
                    <w:shd w:val="clear"/>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人造石墨</w:t>
                  </w:r>
                </w:p>
              </w:tc>
              <w:tc>
                <w:tcPr>
                  <w:tcW w:w="1568" w:type="dxa"/>
                  <w:tcBorders>
                    <w:tl2br w:val="nil"/>
                    <w:tr2bl w:val="nil"/>
                  </w:tcBorders>
                  <w:vAlign w:val="center"/>
                </w:tcPr>
                <w:p w14:paraId="0FB834EF">
                  <w:pPr>
                    <w:pStyle w:val="70"/>
                    <w:shd w:val="clear"/>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1018.9</w:t>
                  </w:r>
                </w:p>
              </w:tc>
              <w:tc>
                <w:tcPr>
                  <w:tcW w:w="546" w:type="pct"/>
                  <w:vMerge w:val="restart"/>
                  <w:tcBorders>
                    <w:tl2br w:val="nil"/>
                    <w:tr2bl w:val="nil"/>
                  </w:tcBorders>
                  <w:noWrap/>
                  <w:vAlign w:val="center"/>
                </w:tcPr>
                <w:p w14:paraId="01CDA50C">
                  <w:pPr>
                    <w:pStyle w:val="70"/>
                    <w:shd w:val="clear"/>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其中</w:t>
                  </w:r>
                </w:p>
              </w:tc>
              <w:tc>
                <w:tcPr>
                  <w:tcW w:w="1508" w:type="pct"/>
                  <w:tcBorders>
                    <w:tl2br w:val="nil"/>
                    <w:tr2bl w:val="nil"/>
                  </w:tcBorders>
                  <w:noWrap/>
                  <w:vAlign w:val="center"/>
                </w:tcPr>
                <w:p w14:paraId="355F1F40">
                  <w:pPr>
                    <w:pStyle w:val="70"/>
                    <w:shd w:val="clear"/>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回收量（未考虑冷凝回收过程带入水分）</w:t>
                  </w:r>
                </w:p>
              </w:tc>
              <w:tc>
                <w:tcPr>
                  <w:tcW w:w="1852" w:type="dxa"/>
                  <w:tcBorders>
                    <w:tl2br w:val="nil"/>
                    <w:tr2bl w:val="nil"/>
                  </w:tcBorders>
                  <w:noWrap/>
                  <w:vAlign w:val="center"/>
                </w:tcPr>
                <w:p w14:paraId="6E7BA534">
                  <w:pPr>
                    <w:pStyle w:val="70"/>
                    <w:jc w:val="center"/>
                    <w:rPr>
                      <w:rFonts w:hint="default" w:cs="Times New Roman"/>
                      <w:color w:val="auto"/>
                      <w:sz w:val="21"/>
                      <w:szCs w:val="21"/>
                      <w:lang w:val="en-US" w:eastAsia="zh-CN"/>
                    </w:rPr>
                  </w:pPr>
                  <w:r>
                    <w:rPr>
                      <w:rFonts w:hint="eastAsia" w:cs="Times New Roman"/>
                      <w:color w:val="auto"/>
                      <w:sz w:val="21"/>
                      <w:szCs w:val="21"/>
                      <w:lang w:val="en-US" w:eastAsia="zh-CN"/>
                    </w:rPr>
                    <w:t>1327.51</w:t>
                  </w:r>
                </w:p>
              </w:tc>
            </w:tr>
            <w:tr w14:paraId="3AEEFEB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10" w:hRule="atLeast"/>
                <w:jc w:val="center"/>
              </w:trPr>
              <w:tc>
                <w:tcPr>
                  <w:tcW w:w="739" w:type="pct"/>
                  <w:tcBorders>
                    <w:tl2br w:val="nil"/>
                    <w:tr2bl w:val="nil"/>
                  </w:tcBorders>
                  <w:vAlign w:val="center"/>
                </w:tcPr>
                <w:p w14:paraId="43FB21F1">
                  <w:pPr>
                    <w:pStyle w:val="70"/>
                    <w:shd w:val="clear"/>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电解液</w:t>
                  </w:r>
                </w:p>
              </w:tc>
              <w:tc>
                <w:tcPr>
                  <w:tcW w:w="1568" w:type="dxa"/>
                  <w:tcBorders>
                    <w:tl2br w:val="nil"/>
                    <w:tr2bl w:val="nil"/>
                  </w:tcBorders>
                  <w:vAlign w:val="center"/>
                </w:tcPr>
                <w:p w14:paraId="37D5EC96">
                  <w:pPr>
                    <w:pStyle w:val="70"/>
                    <w:shd w:val="clear"/>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1122.4</w:t>
                  </w:r>
                </w:p>
              </w:tc>
              <w:tc>
                <w:tcPr>
                  <w:tcW w:w="546" w:type="pct"/>
                  <w:vMerge w:val="continue"/>
                  <w:tcBorders>
                    <w:tl2br w:val="nil"/>
                    <w:tr2bl w:val="nil"/>
                  </w:tcBorders>
                  <w:noWrap/>
                  <w:vAlign w:val="center"/>
                </w:tcPr>
                <w:p w14:paraId="3BE8F2ED">
                  <w:pPr>
                    <w:pStyle w:val="70"/>
                    <w:shd w:val="clear"/>
                    <w:jc w:val="center"/>
                    <w:rPr>
                      <w:rFonts w:hint="default" w:ascii="Times New Roman" w:hAnsi="Times New Roman" w:eastAsia="宋体" w:cs="Times New Roman"/>
                      <w:color w:val="auto"/>
                      <w:sz w:val="21"/>
                      <w:szCs w:val="21"/>
                      <w:lang w:val="en-US" w:eastAsia="zh-CN"/>
                    </w:rPr>
                  </w:pPr>
                </w:p>
              </w:tc>
              <w:tc>
                <w:tcPr>
                  <w:tcW w:w="1508" w:type="pct"/>
                  <w:tcBorders>
                    <w:tl2br w:val="nil"/>
                    <w:tr2bl w:val="nil"/>
                  </w:tcBorders>
                  <w:noWrap/>
                  <w:vAlign w:val="center"/>
                </w:tcPr>
                <w:p w14:paraId="3FEBB3D8">
                  <w:pPr>
                    <w:pStyle w:val="70"/>
                    <w:shd w:val="clear"/>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废气排放量</w:t>
                  </w:r>
                </w:p>
              </w:tc>
              <w:tc>
                <w:tcPr>
                  <w:tcW w:w="1852" w:type="dxa"/>
                  <w:tcBorders>
                    <w:tl2br w:val="nil"/>
                    <w:tr2bl w:val="nil"/>
                  </w:tcBorders>
                  <w:noWrap/>
                  <w:vAlign w:val="center"/>
                </w:tcPr>
                <w:p w14:paraId="0CA2258A">
                  <w:pPr>
                    <w:pStyle w:val="70"/>
                    <w:jc w:val="center"/>
                    <w:rPr>
                      <w:rFonts w:hint="eastAsia" w:cs="Times New Roman"/>
                      <w:color w:val="auto"/>
                      <w:sz w:val="21"/>
                      <w:szCs w:val="21"/>
                      <w:lang w:val="en-US" w:eastAsia="zh-CN"/>
                    </w:rPr>
                  </w:pPr>
                  <w:r>
                    <w:rPr>
                      <w:rFonts w:hint="eastAsia" w:cs="Times New Roman"/>
                      <w:color w:val="auto"/>
                      <w:sz w:val="21"/>
                      <w:szCs w:val="21"/>
                      <w:lang w:val="en-US" w:eastAsia="zh-CN"/>
                    </w:rPr>
                    <w:t>1.33</w:t>
                  </w:r>
                </w:p>
              </w:tc>
            </w:tr>
            <w:tr w14:paraId="0034C7E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10" w:hRule="atLeast"/>
                <w:jc w:val="center"/>
              </w:trPr>
              <w:tc>
                <w:tcPr>
                  <w:tcW w:w="739" w:type="pct"/>
                  <w:tcBorders>
                    <w:tl2br w:val="nil"/>
                    <w:tr2bl w:val="nil"/>
                  </w:tcBorders>
                  <w:vAlign w:val="center"/>
                </w:tcPr>
                <w:p w14:paraId="0F6F0C5A">
                  <w:pPr>
                    <w:pStyle w:val="70"/>
                    <w:shd w:val="clear"/>
                    <w:jc w:val="center"/>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隔膜</w:t>
                  </w:r>
                </w:p>
              </w:tc>
              <w:tc>
                <w:tcPr>
                  <w:tcW w:w="1568" w:type="dxa"/>
                  <w:tcBorders>
                    <w:tl2br w:val="nil"/>
                    <w:tr2bl w:val="nil"/>
                  </w:tcBorders>
                  <w:vAlign w:val="center"/>
                </w:tcPr>
                <w:p w14:paraId="3F1D1D34">
                  <w:pPr>
                    <w:pStyle w:val="70"/>
                    <w:shd w:val="clear"/>
                    <w:jc w:val="center"/>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145.6</w:t>
                  </w:r>
                </w:p>
              </w:tc>
              <w:tc>
                <w:tcPr>
                  <w:tcW w:w="2055" w:type="pct"/>
                  <w:gridSpan w:val="2"/>
                  <w:tcBorders>
                    <w:tl2br w:val="nil"/>
                    <w:tr2bl w:val="nil"/>
                  </w:tcBorders>
                  <w:noWrap/>
                  <w:vAlign w:val="center"/>
                </w:tcPr>
                <w:p w14:paraId="5C1A425E">
                  <w:pPr>
                    <w:pStyle w:val="70"/>
                    <w:shd w:val="clear"/>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注液</w:t>
                  </w:r>
                  <w:r>
                    <w:rPr>
                      <w:rFonts w:hint="default" w:ascii="Times New Roman" w:hAnsi="Times New Roman" w:eastAsia="宋体" w:cs="Times New Roman"/>
                      <w:color w:val="auto"/>
                      <w:sz w:val="21"/>
                      <w:szCs w:val="21"/>
                      <w:lang w:val="en-US" w:eastAsia="zh-CN"/>
                    </w:rPr>
                    <w:t>废气</w:t>
                  </w:r>
                </w:p>
              </w:tc>
              <w:tc>
                <w:tcPr>
                  <w:tcW w:w="1852" w:type="dxa"/>
                  <w:tcBorders>
                    <w:tl2br w:val="nil"/>
                    <w:tr2bl w:val="nil"/>
                  </w:tcBorders>
                  <w:noWrap/>
                  <w:vAlign w:val="center"/>
                </w:tcPr>
                <w:p w14:paraId="484D43E8">
                  <w:pPr>
                    <w:pStyle w:val="70"/>
                    <w:shd w:val="clear"/>
                    <w:jc w:val="center"/>
                    <w:rPr>
                      <w:rFonts w:hint="eastAsia" w:cs="Times New Roman"/>
                      <w:color w:val="auto"/>
                      <w:sz w:val="21"/>
                      <w:szCs w:val="21"/>
                      <w:lang w:val="en-US" w:eastAsia="zh-CN"/>
                    </w:rPr>
                  </w:pPr>
                  <w:r>
                    <w:rPr>
                      <w:rFonts w:hint="eastAsia" w:cs="Times New Roman"/>
                      <w:color w:val="auto"/>
                      <w:sz w:val="21"/>
                      <w:szCs w:val="21"/>
                      <w:lang w:val="en-US" w:eastAsia="zh-CN"/>
                    </w:rPr>
                    <w:t>1.1224</w:t>
                  </w:r>
                </w:p>
              </w:tc>
            </w:tr>
            <w:tr w14:paraId="7AC4430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10" w:hRule="atLeast"/>
                <w:jc w:val="center"/>
              </w:trPr>
              <w:tc>
                <w:tcPr>
                  <w:tcW w:w="739" w:type="pct"/>
                  <w:tcBorders>
                    <w:tl2br w:val="nil"/>
                    <w:tr2bl w:val="nil"/>
                  </w:tcBorders>
                  <w:vAlign w:val="center"/>
                </w:tcPr>
                <w:p w14:paraId="1A3513A7">
                  <w:pPr>
                    <w:pStyle w:val="70"/>
                    <w:shd w:val="clear"/>
                    <w:jc w:val="center"/>
                    <w:rPr>
                      <w:rFonts w:hint="default" w:cs="Times New Roman"/>
                      <w:color w:val="auto"/>
                      <w:sz w:val="21"/>
                      <w:szCs w:val="21"/>
                      <w:lang w:val="en-US" w:eastAsia="zh-CN"/>
                    </w:rPr>
                  </w:pPr>
                  <w:r>
                    <w:rPr>
                      <w:rFonts w:hint="eastAsia" w:cs="Times New Roman"/>
                      <w:color w:val="auto"/>
                      <w:sz w:val="21"/>
                      <w:szCs w:val="21"/>
                      <w:lang w:val="en-US" w:eastAsia="zh-CN"/>
                    </w:rPr>
                    <w:t>铝塑膜</w:t>
                  </w:r>
                </w:p>
              </w:tc>
              <w:tc>
                <w:tcPr>
                  <w:tcW w:w="1568" w:type="dxa"/>
                  <w:tcBorders>
                    <w:tl2br w:val="nil"/>
                    <w:tr2bl w:val="nil"/>
                  </w:tcBorders>
                  <w:vAlign w:val="center"/>
                </w:tcPr>
                <w:p w14:paraId="034F3FCA">
                  <w:pPr>
                    <w:pStyle w:val="70"/>
                    <w:shd w:val="clear"/>
                    <w:jc w:val="center"/>
                    <w:rPr>
                      <w:rFonts w:hint="default" w:cs="Times New Roman"/>
                      <w:color w:val="auto"/>
                      <w:sz w:val="21"/>
                      <w:szCs w:val="21"/>
                      <w:lang w:val="en-US" w:eastAsia="zh-CN"/>
                    </w:rPr>
                  </w:pPr>
                  <w:r>
                    <w:rPr>
                      <w:rFonts w:hint="eastAsia" w:cs="Times New Roman"/>
                      <w:color w:val="auto"/>
                      <w:sz w:val="21"/>
                      <w:szCs w:val="21"/>
                      <w:lang w:val="en-US" w:eastAsia="zh-CN"/>
                    </w:rPr>
                    <w:t>144.8</w:t>
                  </w:r>
                </w:p>
              </w:tc>
              <w:tc>
                <w:tcPr>
                  <w:tcW w:w="2055" w:type="pct"/>
                  <w:gridSpan w:val="2"/>
                  <w:tcBorders>
                    <w:tl2br w:val="nil"/>
                    <w:tr2bl w:val="nil"/>
                  </w:tcBorders>
                  <w:shd w:val="clear" w:color="auto" w:fill="auto"/>
                  <w:noWrap/>
                  <w:vAlign w:val="center"/>
                </w:tcPr>
                <w:p w14:paraId="4F400182">
                  <w:pPr>
                    <w:pStyle w:val="70"/>
                    <w:shd w:val="clear"/>
                    <w:jc w:val="center"/>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废边角料</w:t>
                  </w:r>
                </w:p>
              </w:tc>
              <w:tc>
                <w:tcPr>
                  <w:tcW w:w="1852" w:type="dxa"/>
                  <w:tcBorders>
                    <w:tl2br w:val="nil"/>
                    <w:tr2bl w:val="nil"/>
                  </w:tcBorders>
                  <w:shd w:val="clear" w:color="auto" w:fill="auto"/>
                  <w:noWrap/>
                  <w:vAlign w:val="center"/>
                </w:tcPr>
                <w:p w14:paraId="21147A5D">
                  <w:pPr>
                    <w:pStyle w:val="70"/>
                    <w:shd w:val="clear"/>
                    <w:jc w:val="center"/>
                    <w:rPr>
                      <w:rFonts w:hint="default" w:cs="Times New Roman"/>
                      <w:color w:val="auto"/>
                      <w:sz w:val="21"/>
                      <w:szCs w:val="21"/>
                      <w:lang w:val="en-US" w:eastAsia="zh-CN"/>
                    </w:rPr>
                  </w:pPr>
                  <w:r>
                    <w:rPr>
                      <w:rFonts w:hint="eastAsia" w:cs="Times New Roman"/>
                      <w:color w:val="auto"/>
                      <w:sz w:val="21"/>
                      <w:szCs w:val="21"/>
                      <w:lang w:val="en-US" w:eastAsia="zh-CN"/>
                    </w:rPr>
                    <w:t>0.2</w:t>
                  </w:r>
                </w:p>
              </w:tc>
            </w:tr>
            <w:tr w14:paraId="220BEF0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10" w:hRule="atLeast"/>
                <w:jc w:val="center"/>
              </w:trPr>
              <w:tc>
                <w:tcPr>
                  <w:tcW w:w="739" w:type="pct"/>
                  <w:tcBorders>
                    <w:tl2br w:val="nil"/>
                    <w:tr2bl w:val="nil"/>
                  </w:tcBorders>
                  <w:vAlign w:val="center"/>
                </w:tcPr>
                <w:p w14:paraId="7B6B08C3">
                  <w:pPr>
                    <w:pStyle w:val="70"/>
                    <w:shd w:val="clear"/>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正极耳</w:t>
                  </w:r>
                </w:p>
              </w:tc>
              <w:tc>
                <w:tcPr>
                  <w:tcW w:w="1568" w:type="dxa"/>
                  <w:tcBorders>
                    <w:tl2br w:val="nil"/>
                    <w:tr2bl w:val="nil"/>
                  </w:tcBorders>
                  <w:vAlign w:val="center"/>
                </w:tcPr>
                <w:p w14:paraId="7512C450">
                  <w:pPr>
                    <w:pStyle w:val="70"/>
                    <w:shd w:val="clear"/>
                    <w:jc w:val="center"/>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20.5</w:t>
                  </w:r>
                </w:p>
              </w:tc>
              <w:tc>
                <w:tcPr>
                  <w:tcW w:w="2055" w:type="pct"/>
                  <w:gridSpan w:val="2"/>
                  <w:tcBorders>
                    <w:tl2br w:val="nil"/>
                    <w:tr2bl w:val="nil"/>
                  </w:tcBorders>
                  <w:shd w:val="clear" w:color="auto" w:fill="auto"/>
                  <w:noWrap/>
                  <w:vAlign w:val="center"/>
                </w:tcPr>
                <w:p w14:paraId="79369666">
                  <w:pPr>
                    <w:pStyle w:val="70"/>
                    <w:shd w:val="clear"/>
                    <w:jc w:val="center"/>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废隔膜、废极片</w:t>
                  </w:r>
                </w:p>
              </w:tc>
              <w:tc>
                <w:tcPr>
                  <w:tcW w:w="1852" w:type="dxa"/>
                  <w:tcBorders>
                    <w:tl2br w:val="nil"/>
                    <w:tr2bl w:val="nil"/>
                  </w:tcBorders>
                  <w:shd w:val="clear" w:color="auto" w:fill="auto"/>
                  <w:noWrap/>
                  <w:vAlign w:val="center"/>
                </w:tcPr>
                <w:p w14:paraId="29C5606C">
                  <w:pPr>
                    <w:pStyle w:val="70"/>
                    <w:shd w:val="clear"/>
                    <w:jc w:val="center"/>
                    <w:rPr>
                      <w:rFonts w:hint="default" w:cs="Times New Roman"/>
                      <w:color w:val="auto"/>
                      <w:sz w:val="21"/>
                      <w:szCs w:val="21"/>
                      <w:lang w:val="en-US" w:eastAsia="zh-CN"/>
                    </w:rPr>
                  </w:pPr>
                  <w:r>
                    <w:rPr>
                      <w:rFonts w:hint="eastAsia" w:cs="Times New Roman"/>
                      <w:color w:val="auto"/>
                      <w:sz w:val="21"/>
                      <w:szCs w:val="21"/>
                      <w:lang w:val="en-US" w:eastAsia="zh-CN"/>
                    </w:rPr>
                    <w:t>0.565</w:t>
                  </w:r>
                </w:p>
              </w:tc>
            </w:tr>
            <w:tr w14:paraId="0455AF8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10" w:hRule="atLeast"/>
                <w:jc w:val="center"/>
              </w:trPr>
              <w:tc>
                <w:tcPr>
                  <w:tcW w:w="739" w:type="pct"/>
                  <w:tcBorders>
                    <w:tl2br w:val="nil"/>
                    <w:tr2bl w:val="nil"/>
                  </w:tcBorders>
                  <w:vAlign w:val="center"/>
                </w:tcPr>
                <w:p w14:paraId="34CE8665">
                  <w:pPr>
                    <w:pStyle w:val="70"/>
                    <w:shd w:val="clear"/>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负极耳</w:t>
                  </w:r>
                </w:p>
              </w:tc>
              <w:tc>
                <w:tcPr>
                  <w:tcW w:w="1568" w:type="dxa"/>
                  <w:tcBorders>
                    <w:tl2br w:val="nil"/>
                    <w:tr2bl w:val="nil"/>
                  </w:tcBorders>
                  <w:vAlign w:val="center"/>
                </w:tcPr>
                <w:p w14:paraId="7395D83E">
                  <w:pPr>
                    <w:pStyle w:val="70"/>
                    <w:shd w:val="clear"/>
                    <w:jc w:val="center"/>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16.4</w:t>
                  </w:r>
                </w:p>
              </w:tc>
              <w:tc>
                <w:tcPr>
                  <w:tcW w:w="2055" w:type="pct"/>
                  <w:gridSpan w:val="2"/>
                  <w:tcBorders>
                    <w:tl2br w:val="nil"/>
                    <w:tr2bl w:val="nil"/>
                  </w:tcBorders>
                  <w:shd w:val="clear" w:color="auto" w:fill="auto"/>
                  <w:noWrap/>
                  <w:vAlign w:val="center"/>
                </w:tcPr>
                <w:p w14:paraId="2CB85705">
                  <w:pPr>
                    <w:pStyle w:val="70"/>
                    <w:shd w:val="clear"/>
                    <w:jc w:val="center"/>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废NMP包装桶</w:t>
                  </w:r>
                </w:p>
              </w:tc>
              <w:tc>
                <w:tcPr>
                  <w:tcW w:w="1852" w:type="dxa"/>
                  <w:tcBorders>
                    <w:tl2br w:val="nil"/>
                    <w:tr2bl w:val="nil"/>
                  </w:tcBorders>
                  <w:shd w:val="clear" w:color="auto" w:fill="auto"/>
                  <w:noWrap/>
                  <w:vAlign w:val="center"/>
                </w:tcPr>
                <w:p w14:paraId="3A3C0E8C">
                  <w:pPr>
                    <w:pStyle w:val="70"/>
                    <w:shd w:val="clear"/>
                    <w:jc w:val="center"/>
                    <w:rPr>
                      <w:rFonts w:hint="default" w:cs="Times New Roman"/>
                      <w:color w:val="auto"/>
                      <w:sz w:val="21"/>
                      <w:szCs w:val="21"/>
                      <w:lang w:val="en-US" w:eastAsia="zh-CN"/>
                    </w:rPr>
                  </w:pPr>
                  <w:r>
                    <w:rPr>
                      <w:rFonts w:hint="eastAsia" w:cs="Times New Roman"/>
                      <w:color w:val="auto"/>
                      <w:sz w:val="21"/>
                      <w:szCs w:val="21"/>
                      <w:lang w:val="en-US" w:eastAsia="zh-CN"/>
                    </w:rPr>
                    <w:t>3</w:t>
                  </w:r>
                </w:p>
              </w:tc>
            </w:tr>
            <w:tr w14:paraId="2A0DF62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10" w:hRule="atLeast"/>
                <w:jc w:val="center"/>
              </w:trPr>
              <w:tc>
                <w:tcPr>
                  <w:tcW w:w="739" w:type="pct"/>
                  <w:tcBorders>
                    <w:tl2br w:val="nil"/>
                    <w:tr2bl w:val="nil"/>
                  </w:tcBorders>
                  <w:vAlign w:val="center"/>
                </w:tcPr>
                <w:p w14:paraId="11622D5B">
                  <w:pPr>
                    <w:pStyle w:val="70"/>
                    <w:shd w:val="clear"/>
                    <w:jc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碳纳米管</w:t>
                  </w:r>
                </w:p>
              </w:tc>
              <w:tc>
                <w:tcPr>
                  <w:tcW w:w="1568" w:type="dxa"/>
                  <w:tcBorders>
                    <w:tl2br w:val="nil"/>
                    <w:tr2bl w:val="nil"/>
                  </w:tcBorders>
                  <w:vAlign w:val="center"/>
                </w:tcPr>
                <w:p w14:paraId="553D49D8">
                  <w:pPr>
                    <w:pStyle w:val="70"/>
                    <w:shd w:val="clear"/>
                    <w:jc w:val="center"/>
                    <w:rPr>
                      <w:rFonts w:hint="default" w:cs="Times New Roman"/>
                      <w:color w:val="auto"/>
                      <w:sz w:val="21"/>
                      <w:szCs w:val="21"/>
                      <w:highlight w:val="none"/>
                      <w:lang w:val="en-US" w:eastAsia="zh-CN"/>
                    </w:rPr>
                  </w:pPr>
                  <w:r>
                    <w:rPr>
                      <w:rFonts w:hint="eastAsia" w:ascii="Times New Roman" w:hAnsi="Times New Roman" w:eastAsia="宋体" w:cs="Times New Roman"/>
                      <w:color w:val="auto"/>
                      <w:sz w:val="21"/>
                      <w:szCs w:val="21"/>
                      <w:lang w:val="en-US" w:eastAsia="zh-CN"/>
                    </w:rPr>
                    <w:t>257.5</w:t>
                  </w:r>
                </w:p>
              </w:tc>
              <w:tc>
                <w:tcPr>
                  <w:tcW w:w="2055" w:type="pct"/>
                  <w:gridSpan w:val="2"/>
                  <w:tcBorders>
                    <w:tl2br w:val="nil"/>
                    <w:tr2bl w:val="nil"/>
                  </w:tcBorders>
                  <w:shd w:val="clear" w:color="auto" w:fill="auto"/>
                  <w:noWrap/>
                  <w:vAlign w:val="center"/>
                </w:tcPr>
                <w:p w14:paraId="7A911353">
                  <w:pPr>
                    <w:pStyle w:val="70"/>
                    <w:shd w:val="clear"/>
                    <w:jc w:val="center"/>
                    <w:rPr>
                      <w:rFonts w:hint="eastAsia" w:ascii="Times New Roman" w:hAnsi="Times New Roman" w:eastAsia="宋体" w:cs="Times New Roman"/>
                      <w:color w:val="auto"/>
                      <w:kern w:val="0"/>
                      <w:sz w:val="21"/>
                      <w:szCs w:val="21"/>
                      <w:lang w:val="en-US" w:eastAsia="zh-CN" w:bidi="ar-SA"/>
                    </w:rPr>
                  </w:pPr>
                  <w:r>
                    <w:rPr>
                      <w:rFonts w:hint="eastAsia" w:cs="Times New Roman"/>
                      <w:color w:val="auto"/>
                      <w:sz w:val="21"/>
                      <w:szCs w:val="21"/>
                      <w:lang w:val="en-US" w:eastAsia="zh-CN"/>
                    </w:rPr>
                    <w:t>不合格品</w:t>
                  </w:r>
                </w:p>
              </w:tc>
              <w:tc>
                <w:tcPr>
                  <w:tcW w:w="1852" w:type="dxa"/>
                  <w:tcBorders>
                    <w:tl2br w:val="nil"/>
                    <w:tr2bl w:val="nil"/>
                  </w:tcBorders>
                  <w:shd w:val="clear" w:color="auto" w:fill="auto"/>
                  <w:noWrap/>
                  <w:vAlign w:val="center"/>
                </w:tcPr>
                <w:p w14:paraId="14554237">
                  <w:pPr>
                    <w:pStyle w:val="70"/>
                    <w:shd w:val="clear"/>
                    <w:jc w:val="center"/>
                    <w:rPr>
                      <w:rFonts w:hint="eastAsia" w:ascii="Times New Roman" w:hAnsi="Times New Roman" w:eastAsia="宋体" w:cs="Times New Roman"/>
                      <w:color w:val="auto"/>
                      <w:kern w:val="0"/>
                      <w:sz w:val="21"/>
                      <w:szCs w:val="21"/>
                      <w:lang w:val="en-US" w:eastAsia="zh-CN" w:bidi="ar-SA"/>
                    </w:rPr>
                  </w:pPr>
                  <w:r>
                    <w:rPr>
                      <w:rFonts w:hint="eastAsia" w:cs="Times New Roman"/>
                      <w:color w:val="auto"/>
                      <w:sz w:val="21"/>
                      <w:szCs w:val="21"/>
                      <w:lang w:val="en-US" w:eastAsia="zh-CN"/>
                    </w:rPr>
                    <w:t>0.7</w:t>
                  </w:r>
                </w:p>
              </w:tc>
            </w:tr>
            <w:tr w14:paraId="6820B8E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10" w:hRule="atLeast"/>
                <w:jc w:val="center"/>
              </w:trPr>
              <w:tc>
                <w:tcPr>
                  <w:tcW w:w="739" w:type="pct"/>
                  <w:tcBorders>
                    <w:tl2br w:val="nil"/>
                    <w:tr2bl w:val="nil"/>
                  </w:tcBorders>
                  <w:vAlign w:val="center"/>
                </w:tcPr>
                <w:p w14:paraId="39492AB7">
                  <w:pPr>
                    <w:pStyle w:val="70"/>
                    <w:shd w:val="clear"/>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N-甲基吡咯烷酮</w:t>
                  </w:r>
                </w:p>
              </w:tc>
              <w:tc>
                <w:tcPr>
                  <w:tcW w:w="1568" w:type="dxa"/>
                  <w:tcBorders>
                    <w:tl2br w:val="nil"/>
                    <w:tr2bl w:val="nil"/>
                  </w:tcBorders>
                  <w:vAlign w:val="center"/>
                </w:tcPr>
                <w:p w14:paraId="2D82C0B2">
                  <w:pPr>
                    <w:pStyle w:val="70"/>
                    <w:shd w:val="clear"/>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lang w:val="en-US" w:eastAsia="zh-CN"/>
                    </w:rPr>
                    <w:t>1070.5</w:t>
                  </w:r>
                </w:p>
              </w:tc>
              <w:tc>
                <w:tcPr>
                  <w:tcW w:w="2055" w:type="pct"/>
                  <w:gridSpan w:val="2"/>
                  <w:tcBorders>
                    <w:tl2br w:val="nil"/>
                    <w:tr2bl w:val="nil"/>
                  </w:tcBorders>
                  <w:shd w:val="clear" w:color="auto" w:fill="auto"/>
                  <w:noWrap/>
                  <w:vAlign w:val="center"/>
                </w:tcPr>
                <w:p w14:paraId="10996D23">
                  <w:pPr>
                    <w:pStyle w:val="70"/>
                    <w:shd w:val="clear"/>
                    <w:jc w:val="center"/>
                    <w:rPr>
                      <w:rFonts w:hint="default" w:ascii="Times New Roman" w:hAnsi="Times New Roman" w:eastAsia="宋体" w:cs="Times New Roman"/>
                      <w:color w:val="auto"/>
                      <w:kern w:val="0"/>
                      <w:sz w:val="21"/>
                      <w:szCs w:val="21"/>
                      <w:lang w:val="en-US" w:eastAsia="zh-CN" w:bidi="ar-SA"/>
                    </w:rPr>
                  </w:pPr>
                  <w:r>
                    <w:rPr>
                      <w:rFonts w:hint="eastAsia" w:cs="Times New Roman"/>
                      <w:color w:val="auto"/>
                      <w:sz w:val="21"/>
                      <w:szCs w:val="21"/>
                      <w:lang w:val="en-US" w:eastAsia="zh-CN"/>
                    </w:rPr>
                    <w:t>除尘器收集粉尘</w:t>
                  </w:r>
                </w:p>
              </w:tc>
              <w:tc>
                <w:tcPr>
                  <w:tcW w:w="1852" w:type="dxa"/>
                  <w:tcBorders>
                    <w:tl2br w:val="nil"/>
                    <w:tr2bl w:val="nil"/>
                  </w:tcBorders>
                  <w:shd w:val="clear" w:color="auto" w:fill="auto"/>
                  <w:noWrap/>
                  <w:vAlign w:val="center"/>
                </w:tcPr>
                <w:p w14:paraId="74E3BDAF">
                  <w:pPr>
                    <w:pStyle w:val="70"/>
                    <w:shd w:val="clear"/>
                    <w:jc w:val="center"/>
                    <w:rPr>
                      <w:rFonts w:hint="default" w:ascii="Times New Roman" w:hAnsi="Times New Roman" w:eastAsia="宋体" w:cs="Times New Roman"/>
                      <w:color w:val="auto"/>
                      <w:kern w:val="0"/>
                      <w:sz w:val="21"/>
                      <w:szCs w:val="21"/>
                      <w:lang w:val="en-US" w:eastAsia="zh-CN" w:bidi="ar-SA"/>
                    </w:rPr>
                  </w:pPr>
                  <w:r>
                    <w:rPr>
                      <w:rFonts w:hint="eastAsia" w:cs="Times New Roman"/>
                      <w:color w:val="auto"/>
                      <w:sz w:val="21"/>
                      <w:szCs w:val="21"/>
                      <w:lang w:val="en-US" w:eastAsia="zh-CN"/>
                    </w:rPr>
                    <w:t>0.133</w:t>
                  </w:r>
                </w:p>
              </w:tc>
            </w:tr>
            <w:tr w14:paraId="564998F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10" w:hRule="atLeast"/>
                <w:jc w:val="center"/>
              </w:trPr>
              <w:tc>
                <w:tcPr>
                  <w:tcW w:w="739" w:type="pct"/>
                  <w:tcBorders>
                    <w:tl2br w:val="nil"/>
                    <w:tr2bl w:val="nil"/>
                  </w:tcBorders>
                  <w:vAlign w:val="center"/>
                </w:tcPr>
                <w:p w14:paraId="18C51B36">
                  <w:pPr>
                    <w:pStyle w:val="70"/>
                    <w:shd w:val="clear"/>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勃姆石</w:t>
                  </w:r>
                </w:p>
              </w:tc>
              <w:tc>
                <w:tcPr>
                  <w:tcW w:w="1568" w:type="dxa"/>
                  <w:tcBorders>
                    <w:tl2br w:val="nil"/>
                    <w:tr2bl w:val="nil"/>
                  </w:tcBorders>
                  <w:vAlign w:val="center"/>
                </w:tcPr>
                <w:p w14:paraId="04DB850E">
                  <w:pPr>
                    <w:pStyle w:val="70"/>
                    <w:shd w:val="clear"/>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4.8</w:t>
                  </w:r>
                </w:p>
              </w:tc>
              <w:tc>
                <w:tcPr>
                  <w:tcW w:w="2055" w:type="pct"/>
                  <w:gridSpan w:val="2"/>
                  <w:tcBorders>
                    <w:tl2br w:val="nil"/>
                    <w:tr2bl w:val="nil"/>
                  </w:tcBorders>
                  <w:shd w:val="clear" w:color="auto" w:fill="auto"/>
                  <w:noWrap/>
                  <w:vAlign w:val="center"/>
                </w:tcPr>
                <w:p w14:paraId="1FEBC1A5">
                  <w:pPr>
                    <w:pStyle w:val="70"/>
                    <w:shd w:val="clear"/>
                    <w:jc w:val="center"/>
                    <w:rPr>
                      <w:rFonts w:hint="default" w:ascii="Times New Roman" w:hAnsi="Times New Roman" w:eastAsia="宋体" w:cs="Times New Roman"/>
                      <w:color w:val="auto"/>
                      <w:kern w:val="0"/>
                      <w:sz w:val="21"/>
                      <w:szCs w:val="21"/>
                      <w:lang w:val="en-US" w:eastAsia="zh-CN" w:bidi="ar-SA"/>
                    </w:rPr>
                  </w:pPr>
                  <w:r>
                    <w:rPr>
                      <w:rFonts w:hint="eastAsia" w:cs="Times New Roman"/>
                      <w:color w:val="auto"/>
                      <w:sz w:val="21"/>
                      <w:szCs w:val="21"/>
                      <w:lang w:val="en-US" w:eastAsia="zh-CN"/>
                    </w:rPr>
                    <w:t>沾染危险物质的废包装材料</w:t>
                  </w:r>
                </w:p>
              </w:tc>
              <w:tc>
                <w:tcPr>
                  <w:tcW w:w="1852" w:type="dxa"/>
                  <w:tcBorders>
                    <w:tl2br w:val="nil"/>
                    <w:tr2bl w:val="nil"/>
                  </w:tcBorders>
                  <w:shd w:val="clear" w:color="auto" w:fill="auto"/>
                  <w:noWrap/>
                  <w:vAlign w:val="center"/>
                </w:tcPr>
                <w:p w14:paraId="318A6FD5">
                  <w:pPr>
                    <w:pStyle w:val="70"/>
                    <w:shd w:val="clear"/>
                    <w:jc w:val="center"/>
                    <w:rPr>
                      <w:rFonts w:hint="default" w:ascii="Times New Roman" w:hAnsi="Times New Roman" w:eastAsia="宋体" w:cs="Times New Roman"/>
                      <w:color w:val="auto"/>
                      <w:kern w:val="0"/>
                      <w:sz w:val="21"/>
                      <w:szCs w:val="21"/>
                      <w:lang w:val="en-US" w:eastAsia="zh-CN" w:bidi="ar-SA"/>
                    </w:rPr>
                  </w:pPr>
                  <w:r>
                    <w:rPr>
                      <w:rFonts w:hint="eastAsia" w:cs="Times New Roman"/>
                      <w:color w:val="auto"/>
                      <w:sz w:val="21"/>
                      <w:szCs w:val="21"/>
                      <w:lang w:val="en-US" w:eastAsia="zh-CN"/>
                    </w:rPr>
                    <w:t>3</w:t>
                  </w:r>
                </w:p>
              </w:tc>
            </w:tr>
            <w:tr w14:paraId="435722D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10" w:hRule="atLeast"/>
                <w:jc w:val="center"/>
              </w:trPr>
              <w:tc>
                <w:tcPr>
                  <w:tcW w:w="739" w:type="pct"/>
                  <w:tcBorders>
                    <w:tl2br w:val="nil"/>
                    <w:tr2bl w:val="nil"/>
                  </w:tcBorders>
                  <w:vAlign w:val="center"/>
                </w:tcPr>
                <w:p w14:paraId="61C60B9A">
                  <w:pPr>
                    <w:pStyle w:val="70"/>
                    <w:shd w:val="clear"/>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碳黑</w:t>
                  </w:r>
                </w:p>
              </w:tc>
              <w:tc>
                <w:tcPr>
                  <w:tcW w:w="1568" w:type="dxa"/>
                  <w:tcBorders>
                    <w:tl2br w:val="nil"/>
                    <w:tr2bl w:val="nil"/>
                  </w:tcBorders>
                  <w:vAlign w:val="center"/>
                </w:tcPr>
                <w:p w14:paraId="14DC8C25">
                  <w:pPr>
                    <w:pStyle w:val="70"/>
                    <w:shd w:val="clear"/>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43.1</w:t>
                  </w:r>
                </w:p>
              </w:tc>
              <w:tc>
                <w:tcPr>
                  <w:tcW w:w="2055" w:type="pct"/>
                  <w:gridSpan w:val="2"/>
                  <w:tcBorders>
                    <w:tl2br w:val="nil"/>
                    <w:tr2bl w:val="nil"/>
                  </w:tcBorders>
                  <w:shd w:val="clear" w:color="auto" w:fill="auto"/>
                  <w:noWrap/>
                  <w:vAlign w:val="center"/>
                </w:tcPr>
                <w:p w14:paraId="5F40C01D">
                  <w:pPr>
                    <w:pStyle w:val="70"/>
                    <w:shd w:val="clear"/>
                    <w:jc w:val="center"/>
                    <w:rPr>
                      <w:rFonts w:hint="default" w:ascii="Times New Roman" w:hAnsi="Times New Roman" w:eastAsia="宋体" w:cs="Times New Roman"/>
                      <w:color w:val="auto"/>
                      <w:kern w:val="0"/>
                      <w:sz w:val="21"/>
                      <w:szCs w:val="21"/>
                      <w:lang w:val="en-US" w:eastAsia="zh-CN" w:bidi="ar-SA"/>
                    </w:rPr>
                  </w:pPr>
                  <w:r>
                    <w:rPr>
                      <w:rFonts w:hint="eastAsia" w:cs="Times New Roman"/>
                      <w:color w:val="auto"/>
                      <w:sz w:val="21"/>
                      <w:szCs w:val="21"/>
                      <w:lang w:val="en-US" w:eastAsia="zh-CN"/>
                    </w:rPr>
                    <w:t>废电解液</w:t>
                  </w:r>
                </w:p>
              </w:tc>
              <w:tc>
                <w:tcPr>
                  <w:tcW w:w="1852" w:type="dxa"/>
                  <w:tcBorders>
                    <w:tl2br w:val="nil"/>
                    <w:tr2bl w:val="nil"/>
                  </w:tcBorders>
                  <w:shd w:val="clear" w:color="auto" w:fill="auto"/>
                  <w:noWrap/>
                  <w:vAlign w:val="center"/>
                </w:tcPr>
                <w:p w14:paraId="046108ED">
                  <w:pPr>
                    <w:pStyle w:val="70"/>
                    <w:shd w:val="clear"/>
                    <w:jc w:val="center"/>
                    <w:rPr>
                      <w:rFonts w:hint="default" w:ascii="Times New Roman" w:hAnsi="Times New Roman" w:eastAsia="宋体" w:cs="Times New Roman"/>
                      <w:color w:val="auto"/>
                      <w:kern w:val="0"/>
                      <w:sz w:val="21"/>
                      <w:szCs w:val="21"/>
                      <w:lang w:val="en-US" w:eastAsia="zh-CN" w:bidi="ar-SA"/>
                    </w:rPr>
                  </w:pPr>
                  <w:r>
                    <w:rPr>
                      <w:rFonts w:hint="eastAsia" w:cs="Times New Roman"/>
                      <w:color w:val="auto"/>
                      <w:sz w:val="21"/>
                      <w:szCs w:val="21"/>
                      <w:lang w:val="en-US" w:eastAsia="zh-CN"/>
                    </w:rPr>
                    <w:t>1.2</w:t>
                  </w:r>
                </w:p>
              </w:tc>
            </w:tr>
            <w:tr w14:paraId="465C5DC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10" w:hRule="atLeast"/>
                <w:jc w:val="center"/>
              </w:trPr>
              <w:tc>
                <w:tcPr>
                  <w:tcW w:w="739" w:type="pct"/>
                  <w:tcBorders>
                    <w:tl2br w:val="nil"/>
                    <w:tr2bl w:val="nil"/>
                  </w:tcBorders>
                  <w:shd w:val="clear" w:color="auto" w:fill="auto"/>
                  <w:vAlign w:val="center"/>
                </w:tcPr>
                <w:p w14:paraId="7B90D08E">
                  <w:pPr>
                    <w:pStyle w:val="70"/>
                    <w:shd w:val="clear"/>
                    <w:jc w:val="center"/>
                    <w:rPr>
                      <w:rFonts w:hint="default"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sz w:val="21"/>
                      <w:szCs w:val="21"/>
                      <w:lang w:val="en-US" w:eastAsia="zh-CN"/>
                    </w:rPr>
                    <w:t>羧甲基纤维素</w:t>
                  </w:r>
                </w:p>
              </w:tc>
              <w:tc>
                <w:tcPr>
                  <w:tcW w:w="1568" w:type="dxa"/>
                  <w:tcBorders>
                    <w:tl2br w:val="nil"/>
                    <w:tr2bl w:val="nil"/>
                  </w:tcBorders>
                  <w:shd w:val="clear" w:color="auto" w:fill="auto"/>
                  <w:vAlign w:val="center"/>
                </w:tcPr>
                <w:p w14:paraId="5465A54B">
                  <w:pPr>
                    <w:pStyle w:val="70"/>
                    <w:shd w:val="clear"/>
                    <w:jc w:val="center"/>
                    <w:rPr>
                      <w:rFonts w:hint="default"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sz w:val="21"/>
                      <w:szCs w:val="21"/>
                      <w:lang w:val="en-US" w:eastAsia="zh-CN"/>
                    </w:rPr>
                    <w:t>14.5</w:t>
                  </w:r>
                </w:p>
              </w:tc>
              <w:tc>
                <w:tcPr>
                  <w:tcW w:w="2055" w:type="pct"/>
                  <w:gridSpan w:val="2"/>
                  <w:tcBorders>
                    <w:tl2br w:val="nil"/>
                    <w:tr2bl w:val="nil"/>
                  </w:tcBorders>
                  <w:shd w:val="clear" w:color="auto" w:fill="auto"/>
                  <w:noWrap/>
                  <w:vAlign w:val="center"/>
                </w:tcPr>
                <w:p w14:paraId="4637ADA8">
                  <w:pPr>
                    <w:pStyle w:val="70"/>
                    <w:shd w:val="clear"/>
                    <w:jc w:val="center"/>
                    <w:rPr>
                      <w:rFonts w:hint="default" w:ascii="Times New Roman" w:hAnsi="Times New Roman" w:eastAsia="宋体" w:cs="Times New Roman"/>
                      <w:color w:val="auto"/>
                      <w:kern w:val="0"/>
                      <w:sz w:val="21"/>
                      <w:szCs w:val="21"/>
                      <w:lang w:val="en-US" w:eastAsia="zh-CN" w:bidi="ar-SA"/>
                    </w:rPr>
                  </w:pPr>
                  <w:r>
                    <w:rPr>
                      <w:rFonts w:hint="eastAsia" w:cs="Times New Roman"/>
                      <w:color w:val="auto"/>
                      <w:sz w:val="21"/>
                      <w:szCs w:val="21"/>
                      <w:lang w:val="en-US" w:eastAsia="zh-CN"/>
                    </w:rPr>
                    <w:t>废包装材料</w:t>
                  </w:r>
                </w:p>
              </w:tc>
              <w:tc>
                <w:tcPr>
                  <w:tcW w:w="1852" w:type="dxa"/>
                  <w:tcBorders>
                    <w:tl2br w:val="nil"/>
                    <w:tr2bl w:val="nil"/>
                  </w:tcBorders>
                  <w:shd w:val="clear" w:color="auto" w:fill="auto"/>
                  <w:noWrap/>
                  <w:vAlign w:val="center"/>
                </w:tcPr>
                <w:p w14:paraId="29CA5FC0">
                  <w:pPr>
                    <w:pStyle w:val="70"/>
                    <w:shd w:val="clear"/>
                    <w:jc w:val="center"/>
                    <w:rPr>
                      <w:rFonts w:hint="default" w:ascii="Times New Roman" w:hAnsi="Times New Roman" w:eastAsia="宋体" w:cs="Times New Roman"/>
                      <w:color w:val="auto"/>
                      <w:kern w:val="0"/>
                      <w:sz w:val="21"/>
                      <w:szCs w:val="21"/>
                      <w:lang w:val="en-US" w:eastAsia="zh-CN" w:bidi="ar-SA"/>
                    </w:rPr>
                  </w:pPr>
                  <w:r>
                    <w:rPr>
                      <w:rFonts w:hint="eastAsia" w:cs="Times New Roman"/>
                      <w:color w:val="auto"/>
                      <w:sz w:val="21"/>
                      <w:szCs w:val="21"/>
                      <w:lang w:val="en-US" w:eastAsia="zh-CN"/>
                    </w:rPr>
                    <w:t>0.2</w:t>
                  </w:r>
                </w:p>
              </w:tc>
            </w:tr>
            <w:tr w14:paraId="683C76F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10" w:hRule="atLeast"/>
                <w:jc w:val="center"/>
              </w:trPr>
              <w:tc>
                <w:tcPr>
                  <w:tcW w:w="739" w:type="pct"/>
                  <w:tcBorders>
                    <w:tl2br w:val="nil"/>
                    <w:tr2bl w:val="nil"/>
                  </w:tcBorders>
                  <w:shd w:val="clear" w:color="auto" w:fill="auto"/>
                  <w:vAlign w:val="center"/>
                </w:tcPr>
                <w:p w14:paraId="13886B7A">
                  <w:pPr>
                    <w:shd w:val="clear"/>
                    <w:jc w:val="center"/>
                    <w:rPr>
                      <w:rFonts w:hint="default" w:ascii="Times New Roman" w:hAnsi="Times New Roman" w:eastAsia="宋体" w:cs="Times New Roman"/>
                      <w:color w:val="auto"/>
                      <w:kern w:val="2"/>
                      <w:sz w:val="21"/>
                      <w:szCs w:val="21"/>
                      <w:lang w:val="en-US" w:eastAsia="zh-CN" w:bidi="ar-SA"/>
                    </w:rPr>
                  </w:pPr>
                  <w:r>
                    <w:rPr>
                      <w:rFonts w:hint="eastAsia"/>
                      <w:color w:val="auto"/>
                      <w:szCs w:val="21"/>
                    </w:rPr>
                    <w:t>数字胶带</w:t>
                  </w:r>
                </w:p>
              </w:tc>
              <w:tc>
                <w:tcPr>
                  <w:tcW w:w="1568" w:type="dxa"/>
                  <w:tcBorders>
                    <w:tl2br w:val="nil"/>
                    <w:tr2bl w:val="nil"/>
                  </w:tcBorders>
                  <w:shd w:val="clear" w:color="auto" w:fill="auto"/>
                  <w:vAlign w:val="center"/>
                </w:tcPr>
                <w:p w14:paraId="0DD3BE01">
                  <w:pPr>
                    <w:shd w:val="clear"/>
                    <w:jc w:val="center"/>
                    <w:rPr>
                      <w:rFonts w:hint="default" w:ascii="Times New Roman" w:hAnsi="Times New Roman" w:eastAsia="宋体" w:cs="Times New Roman"/>
                      <w:color w:val="auto"/>
                      <w:kern w:val="2"/>
                      <w:sz w:val="21"/>
                      <w:szCs w:val="21"/>
                      <w:lang w:val="en-US" w:eastAsia="zh-CN" w:bidi="ar-SA"/>
                    </w:rPr>
                  </w:pPr>
                  <w:r>
                    <w:rPr>
                      <w:rFonts w:hint="eastAsia"/>
                      <w:color w:val="auto"/>
                      <w:szCs w:val="21"/>
                    </w:rPr>
                    <w:t>1.1</w:t>
                  </w:r>
                </w:p>
              </w:tc>
              <w:tc>
                <w:tcPr>
                  <w:tcW w:w="2055" w:type="pct"/>
                  <w:gridSpan w:val="2"/>
                  <w:tcBorders>
                    <w:tl2br w:val="nil"/>
                    <w:tr2bl w:val="nil"/>
                  </w:tcBorders>
                  <w:shd w:val="clear" w:color="auto" w:fill="auto"/>
                  <w:noWrap/>
                  <w:vAlign w:val="center"/>
                </w:tcPr>
                <w:p w14:paraId="6D14BA06">
                  <w:pPr>
                    <w:pStyle w:val="70"/>
                    <w:shd w:val="clear"/>
                    <w:jc w:val="center"/>
                    <w:rPr>
                      <w:rFonts w:hint="default" w:ascii="Times New Roman" w:hAnsi="Times New Roman" w:eastAsia="宋体" w:cs="Times New Roman"/>
                      <w:color w:val="auto"/>
                      <w:kern w:val="0"/>
                      <w:sz w:val="21"/>
                      <w:szCs w:val="21"/>
                      <w:lang w:val="en-US" w:eastAsia="zh-CN" w:bidi="ar-SA"/>
                    </w:rPr>
                  </w:pPr>
                  <w:r>
                    <w:rPr>
                      <w:rFonts w:hint="eastAsia" w:cs="Times New Roman"/>
                      <w:color w:val="auto"/>
                      <w:sz w:val="21"/>
                      <w:szCs w:val="21"/>
                      <w:lang w:val="en-US" w:eastAsia="zh-CN"/>
                    </w:rPr>
                    <w:t>沾染危险物质的废组件</w:t>
                  </w:r>
                </w:p>
              </w:tc>
              <w:tc>
                <w:tcPr>
                  <w:tcW w:w="1852" w:type="dxa"/>
                  <w:tcBorders>
                    <w:tl2br w:val="nil"/>
                    <w:tr2bl w:val="nil"/>
                  </w:tcBorders>
                  <w:shd w:val="clear" w:color="auto" w:fill="auto"/>
                  <w:noWrap/>
                  <w:vAlign w:val="center"/>
                </w:tcPr>
                <w:p w14:paraId="16BDEF91">
                  <w:pPr>
                    <w:pStyle w:val="70"/>
                    <w:shd w:val="clear"/>
                    <w:jc w:val="center"/>
                    <w:rPr>
                      <w:rFonts w:hint="default" w:ascii="Times New Roman" w:hAnsi="Times New Roman" w:eastAsia="宋体" w:cs="Times New Roman"/>
                      <w:color w:val="auto"/>
                      <w:kern w:val="0"/>
                      <w:sz w:val="21"/>
                      <w:szCs w:val="21"/>
                      <w:lang w:val="en-US" w:eastAsia="zh-CN" w:bidi="ar-SA"/>
                    </w:rPr>
                  </w:pPr>
                  <w:r>
                    <w:rPr>
                      <w:rFonts w:hint="eastAsia" w:cs="Times New Roman"/>
                      <w:color w:val="auto"/>
                      <w:sz w:val="21"/>
                      <w:szCs w:val="21"/>
                      <w:lang w:val="en-US" w:eastAsia="zh-CN"/>
                    </w:rPr>
                    <w:t>1</w:t>
                  </w:r>
                </w:p>
              </w:tc>
            </w:tr>
            <w:tr w14:paraId="6A78DFE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10" w:hRule="atLeast"/>
                <w:jc w:val="center"/>
              </w:trPr>
              <w:tc>
                <w:tcPr>
                  <w:tcW w:w="739" w:type="pct"/>
                  <w:tcBorders>
                    <w:tl2br w:val="nil"/>
                    <w:tr2bl w:val="nil"/>
                  </w:tcBorders>
                  <w:shd w:val="clear" w:color="auto" w:fill="auto"/>
                  <w:vAlign w:val="center"/>
                </w:tcPr>
                <w:p w14:paraId="018FA420">
                  <w:pPr>
                    <w:shd w:val="clear"/>
                    <w:jc w:val="center"/>
                    <w:rPr>
                      <w:rFonts w:hint="eastAsia" w:ascii="Times New Roman" w:hAnsi="Times New Roman" w:eastAsia="宋体" w:cs="Times New Roman"/>
                      <w:color w:val="auto"/>
                      <w:kern w:val="2"/>
                      <w:sz w:val="21"/>
                      <w:szCs w:val="21"/>
                      <w:lang w:val="en-US" w:eastAsia="zh-CN" w:bidi="ar-SA"/>
                    </w:rPr>
                  </w:pPr>
                  <w:r>
                    <w:rPr>
                      <w:rFonts w:hint="eastAsia"/>
                      <w:color w:val="auto"/>
                      <w:szCs w:val="21"/>
                    </w:rPr>
                    <w:t>焊接保护胶带</w:t>
                  </w:r>
                </w:p>
              </w:tc>
              <w:tc>
                <w:tcPr>
                  <w:tcW w:w="1568" w:type="dxa"/>
                  <w:tcBorders>
                    <w:tl2br w:val="nil"/>
                    <w:tr2bl w:val="nil"/>
                  </w:tcBorders>
                  <w:shd w:val="clear" w:color="auto" w:fill="auto"/>
                  <w:vAlign w:val="center"/>
                </w:tcPr>
                <w:p w14:paraId="41BFFC56">
                  <w:pPr>
                    <w:shd w:val="clear"/>
                    <w:jc w:val="center"/>
                    <w:rPr>
                      <w:rFonts w:hint="eastAsia" w:ascii="Times New Roman" w:hAnsi="Times New Roman" w:eastAsia="宋体" w:cs="Times New Roman"/>
                      <w:color w:val="auto"/>
                      <w:kern w:val="2"/>
                      <w:sz w:val="21"/>
                      <w:szCs w:val="21"/>
                      <w:lang w:val="en-US" w:eastAsia="zh-CN" w:bidi="ar-SA"/>
                    </w:rPr>
                  </w:pPr>
                  <w:r>
                    <w:rPr>
                      <w:rFonts w:hint="eastAsia"/>
                      <w:color w:val="auto"/>
                      <w:szCs w:val="21"/>
                    </w:rPr>
                    <w:t>0.92</w:t>
                  </w:r>
                </w:p>
              </w:tc>
              <w:tc>
                <w:tcPr>
                  <w:tcW w:w="2055" w:type="pct"/>
                  <w:gridSpan w:val="2"/>
                  <w:tcBorders>
                    <w:tl2br w:val="nil"/>
                    <w:tr2bl w:val="nil"/>
                  </w:tcBorders>
                  <w:shd w:val="clear" w:color="auto" w:fill="auto"/>
                  <w:noWrap/>
                  <w:vAlign w:val="center"/>
                </w:tcPr>
                <w:p w14:paraId="2ECF7E51">
                  <w:pPr>
                    <w:pStyle w:val="70"/>
                    <w:shd w:val="clear"/>
                    <w:jc w:val="center"/>
                    <w:rPr>
                      <w:rFonts w:hint="default" w:ascii="Times New Roman" w:hAnsi="Times New Roman" w:eastAsia="宋体" w:cs="Times New Roman"/>
                      <w:color w:val="auto"/>
                      <w:kern w:val="0"/>
                      <w:sz w:val="21"/>
                      <w:szCs w:val="21"/>
                      <w:lang w:val="en-US" w:eastAsia="zh-CN" w:bidi="ar-SA"/>
                    </w:rPr>
                  </w:pPr>
                  <w:r>
                    <w:rPr>
                      <w:rFonts w:hint="eastAsia" w:cs="Times New Roman"/>
                      <w:color w:val="auto"/>
                      <w:sz w:val="21"/>
                      <w:szCs w:val="21"/>
                      <w:lang w:val="en-US" w:eastAsia="zh-CN"/>
                    </w:rPr>
                    <w:t>废浆料</w:t>
                  </w:r>
                </w:p>
              </w:tc>
              <w:tc>
                <w:tcPr>
                  <w:tcW w:w="1852" w:type="dxa"/>
                  <w:tcBorders>
                    <w:tl2br w:val="nil"/>
                    <w:tr2bl w:val="nil"/>
                  </w:tcBorders>
                  <w:shd w:val="clear" w:color="auto" w:fill="auto"/>
                  <w:noWrap/>
                  <w:vAlign w:val="center"/>
                </w:tcPr>
                <w:p w14:paraId="489806E0">
                  <w:pPr>
                    <w:pStyle w:val="70"/>
                    <w:shd w:val="clear"/>
                    <w:jc w:val="center"/>
                    <w:rPr>
                      <w:rFonts w:hint="default" w:ascii="Times New Roman" w:hAnsi="Times New Roman" w:eastAsia="宋体" w:cs="Times New Roman"/>
                      <w:color w:val="auto"/>
                      <w:kern w:val="0"/>
                      <w:sz w:val="21"/>
                      <w:szCs w:val="21"/>
                      <w:lang w:val="en-US" w:eastAsia="zh-CN" w:bidi="ar-SA"/>
                    </w:rPr>
                  </w:pPr>
                  <w:r>
                    <w:rPr>
                      <w:rFonts w:hint="eastAsia" w:cs="Times New Roman"/>
                      <w:color w:val="auto"/>
                      <w:sz w:val="21"/>
                      <w:szCs w:val="21"/>
                      <w:lang w:val="en-US" w:eastAsia="zh-CN"/>
                    </w:rPr>
                    <w:t>0.2</w:t>
                  </w:r>
                </w:p>
              </w:tc>
            </w:tr>
            <w:tr w14:paraId="4CDB618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10" w:hRule="atLeast"/>
                <w:jc w:val="center"/>
              </w:trPr>
              <w:tc>
                <w:tcPr>
                  <w:tcW w:w="739" w:type="pct"/>
                  <w:tcBorders>
                    <w:tl2br w:val="nil"/>
                    <w:tr2bl w:val="nil"/>
                  </w:tcBorders>
                  <w:shd w:val="clear" w:color="auto" w:fill="auto"/>
                  <w:vAlign w:val="center"/>
                </w:tcPr>
                <w:p w14:paraId="671C0EAD">
                  <w:pPr>
                    <w:shd w:val="clear"/>
                    <w:jc w:val="center"/>
                    <w:rPr>
                      <w:rFonts w:hint="eastAsia" w:ascii="Times New Roman" w:hAnsi="Times New Roman" w:eastAsia="宋体" w:cs="Times New Roman"/>
                      <w:color w:val="auto"/>
                      <w:kern w:val="2"/>
                      <w:sz w:val="21"/>
                      <w:szCs w:val="21"/>
                      <w:lang w:val="en-US" w:eastAsia="zh-CN" w:bidi="ar-SA"/>
                    </w:rPr>
                  </w:pPr>
                  <w:r>
                    <w:rPr>
                      <w:rFonts w:hint="eastAsia"/>
                      <w:color w:val="auto"/>
                      <w:szCs w:val="21"/>
                    </w:rPr>
                    <w:t>保护膜</w:t>
                  </w:r>
                </w:p>
              </w:tc>
              <w:tc>
                <w:tcPr>
                  <w:tcW w:w="1568" w:type="dxa"/>
                  <w:tcBorders>
                    <w:tl2br w:val="nil"/>
                    <w:tr2bl w:val="nil"/>
                  </w:tcBorders>
                  <w:shd w:val="clear" w:color="auto" w:fill="auto"/>
                  <w:vAlign w:val="center"/>
                </w:tcPr>
                <w:p w14:paraId="305503F8">
                  <w:pPr>
                    <w:shd w:val="clear"/>
                    <w:jc w:val="center"/>
                    <w:rPr>
                      <w:rFonts w:hint="eastAsia" w:ascii="Times New Roman" w:hAnsi="Times New Roman" w:eastAsia="宋体" w:cs="Times New Roman"/>
                      <w:color w:val="auto"/>
                      <w:kern w:val="2"/>
                      <w:sz w:val="21"/>
                      <w:szCs w:val="21"/>
                      <w:lang w:val="en-US" w:eastAsia="zh-CN" w:bidi="ar-SA"/>
                    </w:rPr>
                  </w:pPr>
                  <w:r>
                    <w:rPr>
                      <w:rFonts w:hint="eastAsia"/>
                      <w:color w:val="auto"/>
                      <w:szCs w:val="21"/>
                    </w:rPr>
                    <w:t>20.1</w:t>
                  </w:r>
                </w:p>
              </w:tc>
              <w:tc>
                <w:tcPr>
                  <w:tcW w:w="2055" w:type="pct"/>
                  <w:gridSpan w:val="2"/>
                  <w:tcBorders>
                    <w:tl2br w:val="nil"/>
                    <w:tr2bl w:val="nil"/>
                  </w:tcBorders>
                  <w:noWrap/>
                  <w:vAlign w:val="center"/>
                </w:tcPr>
                <w:p w14:paraId="16908BBC">
                  <w:pPr>
                    <w:pStyle w:val="70"/>
                    <w:shd w:val="clear"/>
                    <w:jc w:val="center"/>
                    <w:rPr>
                      <w:rFonts w:hint="default" w:ascii="Times New Roman" w:hAnsi="Times New Roman" w:eastAsia="宋体" w:cs="Times New Roman"/>
                      <w:color w:val="auto"/>
                      <w:sz w:val="21"/>
                      <w:szCs w:val="21"/>
                      <w:lang w:val="en-US" w:eastAsia="zh-CN"/>
                    </w:rPr>
                  </w:pPr>
                </w:p>
              </w:tc>
              <w:tc>
                <w:tcPr>
                  <w:tcW w:w="1852" w:type="dxa"/>
                  <w:tcBorders>
                    <w:tl2br w:val="nil"/>
                    <w:tr2bl w:val="nil"/>
                  </w:tcBorders>
                  <w:noWrap/>
                  <w:vAlign w:val="center"/>
                </w:tcPr>
                <w:p w14:paraId="2837F177">
                  <w:pPr>
                    <w:pStyle w:val="70"/>
                    <w:shd w:val="clear"/>
                    <w:jc w:val="center"/>
                    <w:rPr>
                      <w:rFonts w:hint="default" w:cs="Times New Roman"/>
                      <w:color w:val="auto"/>
                      <w:sz w:val="21"/>
                      <w:szCs w:val="21"/>
                      <w:lang w:val="en-US" w:eastAsia="zh-CN"/>
                    </w:rPr>
                  </w:pPr>
                </w:p>
              </w:tc>
            </w:tr>
            <w:tr w14:paraId="192107F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10" w:hRule="atLeast"/>
                <w:jc w:val="center"/>
              </w:trPr>
              <w:tc>
                <w:tcPr>
                  <w:tcW w:w="739" w:type="pct"/>
                  <w:tcBorders>
                    <w:tl2br w:val="nil"/>
                    <w:tr2bl w:val="nil"/>
                  </w:tcBorders>
                  <w:shd w:val="clear" w:color="auto" w:fill="auto"/>
                  <w:vAlign w:val="center"/>
                </w:tcPr>
                <w:p w14:paraId="4E77ED91">
                  <w:pPr>
                    <w:pStyle w:val="70"/>
                    <w:shd w:val="clear"/>
                    <w:jc w:val="center"/>
                    <w:rPr>
                      <w:rFonts w:hint="eastAsia"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sz w:val="21"/>
                      <w:szCs w:val="21"/>
                      <w:lang w:val="en-US" w:eastAsia="zh-CN"/>
                    </w:rPr>
                    <w:t>聚酰亚胺</w:t>
                  </w:r>
                </w:p>
              </w:tc>
              <w:tc>
                <w:tcPr>
                  <w:tcW w:w="1568" w:type="dxa"/>
                  <w:tcBorders>
                    <w:tl2br w:val="nil"/>
                    <w:tr2bl w:val="nil"/>
                  </w:tcBorders>
                  <w:shd w:val="clear" w:color="auto" w:fill="auto"/>
                  <w:vAlign w:val="center"/>
                </w:tcPr>
                <w:p w14:paraId="0CA61497">
                  <w:pPr>
                    <w:pStyle w:val="70"/>
                    <w:shd w:val="clear"/>
                    <w:jc w:val="center"/>
                    <w:rPr>
                      <w:rFonts w:hint="eastAsia"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sz w:val="21"/>
                      <w:szCs w:val="21"/>
                      <w:lang w:val="en-US" w:eastAsia="zh-CN"/>
                    </w:rPr>
                    <w:t>14.9</w:t>
                  </w:r>
                </w:p>
              </w:tc>
              <w:tc>
                <w:tcPr>
                  <w:tcW w:w="2055" w:type="pct"/>
                  <w:gridSpan w:val="2"/>
                  <w:tcBorders>
                    <w:tl2br w:val="nil"/>
                    <w:tr2bl w:val="nil"/>
                  </w:tcBorders>
                  <w:noWrap/>
                  <w:vAlign w:val="center"/>
                </w:tcPr>
                <w:p w14:paraId="651C7DF4">
                  <w:pPr>
                    <w:pStyle w:val="70"/>
                    <w:shd w:val="clear"/>
                    <w:jc w:val="center"/>
                    <w:rPr>
                      <w:rFonts w:hint="default" w:ascii="Times New Roman" w:hAnsi="Times New Roman" w:eastAsia="宋体" w:cs="Times New Roman"/>
                      <w:color w:val="auto"/>
                      <w:sz w:val="21"/>
                      <w:szCs w:val="21"/>
                      <w:lang w:val="en-US" w:eastAsia="zh-CN"/>
                    </w:rPr>
                  </w:pPr>
                </w:p>
              </w:tc>
              <w:tc>
                <w:tcPr>
                  <w:tcW w:w="1852" w:type="dxa"/>
                  <w:tcBorders>
                    <w:tl2br w:val="nil"/>
                    <w:tr2bl w:val="nil"/>
                  </w:tcBorders>
                  <w:noWrap/>
                  <w:vAlign w:val="center"/>
                </w:tcPr>
                <w:p w14:paraId="63A29F27">
                  <w:pPr>
                    <w:pStyle w:val="70"/>
                    <w:shd w:val="clear"/>
                    <w:jc w:val="center"/>
                    <w:rPr>
                      <w:rFonts w:hint="eastAsia" w:cs="Times New Roman"/>
                      <w:color w:val="auto"/>
                      <w:sz w:val="21"/>
                      <w:szCs w:val="21"/>
                      <w:lang w:val="en-US" w:eastAsia="zh-CN"/>
                    </w:rPr>
                  </w:pPr>
                </w:p>
              </w:tc>
            </w:tr>
            <w:tr w14:paraId="5CC2FE8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10" w:hRule="atLeast"/>
                <w:jc w:val="center"/>
              </w:trPr>
              <w:tc>
                <w:tcPr>
                  <w:tcW w:w="739" w:type="pct"/>
                  <w:tcBorders>
                    <w:tl2br w:val="nil"/>
                    <w:tr2bl w:val="nil"/>
                  </w:tcBorders>
                  <w:shd w:val="clear" w:color="auto" w:fill="auto"/>
                  <w:vAlign w:val="center"/>
                </w:tcPr>
                <w:p w14:paraId="2F3A2308">
                  <w:pPr>
                    <w:pStyle w:val="70"/>
                    <w:shd w:val="clear"/>
                    <w:jc w:val="center"/>
                    <w:rPr>
                      <w:rFonts w:hint="default"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sz w:val="21"/>
                      <w:szCs w:val="21"/>
                      <w:lang w:val="en-US" w:eastAsia="zh-CN"/>
                    </w:rPr>
                    <w:t>丁苯橡胶</w:t>
                  </w:r>
                </w:p>
              </w:tc>
              <w:tc>
                <w:tcPr>
                  <w:tcW w:w="1568" w:type="dxa"/>
                  <w:tcBorders>
                    <w:tl2br w:val="nil"/>
                    <w:tr2bl w:val="nil"/>
                  </w:tcBorders>
                  <w:shd w:val="clear" w:color="auto" w:fill="auto"/>
                  <w:vAlign w:val="center"/>
                </w:tcPr>
                <w:p w14:paraId="0F9456B6">
                  <w:pPr>
                    <w:pStyle w:val="70"/>
                    <w:shd w:val="clear"/>
                    <w:jc w:val="center"/>
                    <w:rPr>
                      <w:rFonts w:hint="default"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sz w:val="21"/>
                      <w:szCs w:val="21"/>
                      <w:lang w:val="en-US" w:eastAsia="zh-CN"/>
                    </w:rPr>
                    <w:t>40.4</w:t>
                  </w:r>
                </w:p>
              </w:tc>
              <w:tc>
                <w:tcPr>
                  <w:tcW w:w="2055" w:type="pct"/>
                  <w:gridSpan w:val="2"/>
                  <w:tcBorders>
                    <w:tl2br w:val="nil"/>
                    <w:tr2bl w:val="nil"/>
                  </w:tcBorders>
                  <w:noWrap/>
                  <w:vAlign w:val="center"/>
                </w:tcPr>
                <w:p w14:paraId="66A0C518">
                  <w:pPr>
                    <w:pStyle w:val="70"/>
                    <w:shd w:val="clear"/>
                    <w:jc w:val="center"/>
                    <w:rPr>
                      <w:rFonts w:hint="default" w:ascii="Times New Roman" w:hAnsi="Times New Roman" w:eastAsia="宋体" w:cs="Times New Roman"/>
                      <w:color w:val="auto"/>
                      <w:sz w:val="21"/>
                      <w:szCs w:val="21"/>
                      <w:lang w:val="en-US" w:eastAsia="zh-CN"/>
                    </w:rPr>
                  </w:pPr>
                </w:p>
              </w:tc>
              <w:tc>
                <w:tcPr>
                  <w:tcW w:w="1852" w:type="dxa"/>
                  <w:tcBorders>
                    <w:tl2br w:val="nil"/>
                    <w:tr2bl w:val="nil"/>
                  </w:tcBorders>
                  <w:noWrap/>
                  <w:vAlign w:val="center"/>
                </w:tcPr>
                <w:p w14:paraId="5824AFBE">
                  <w:pPr>
                    <w:pStyle w:val="70"/>
                    <w:shd w:val="clear"/>
                    <w:jc w:val="center"/>
                    <w:rPr>
                      <w:rFonts w:hint="eastAsia" w:cs="Times New Roman"/>
                      <w:color w:val="auto"/>
                      <w:sz w:val="21"/>
                      <w:szCs w:val="21"/>
                      <w:lang w:val="en-US" w:eastAsia="zh-CN"/>
                    </w:rPr>
                  </w:pPr>
                </w:p>
              </w:tc>
            </w:tr>
            <w:tr w14:paraId="2580A37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10" w:hRule="atLeast"/>
                <w:jc w:val="center"/>
              </w:trPr>
              <w:tc>
                <w:tcPr>
                  <w:tcW w:w="739" w:type="pct"/>
                  <w:tcBorders>
                    <w:tl2br w:val="nil"/>
                    <w:tr2bl w:val="nil"/>
                  </w:tcBorders>
                  <w:shd w:val="clear" w:color="auto" w:fill="auto"/>
                  <w:vAlign w:val="center"/>
                </w:tcPr>
                <w:p w14:paraId="7457455A">
                  <w:pPr>
                    <w:pStyle w:val="70"/>
                    <w:shd w:val="clear"/>
                    <w:jc w:val="center"/>
                    <w:rPr>
                      <w:rFonts w:hint="default"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sz w:val="21"/>
                      <w:szCs w:val="21"/>
                      <w:lang w:val="en-US" w:eastAsia="zh-CN"/>
                    </w:rPr>
                    <w:t>铜箔</w:t>
                  </w:r>
                </w:p>
              </w:tc>
              <w:tc>
                <w:tcPr>
                  <w:tcW w:w="1568" w:type="dxa"/>
                  <w:tcBorders>
                    <w:tl2br w:val="nil"/>
                    <w:tr2bl w:val="nil"/>
                  </w:tcBorders>
                  <w:shd w:val="clear" w:color="auto" w:fill="auto"/>
                  <w:vAlign w:val="center"/>
                </w:tcPr>
                <w:p w14:paraId="4F4DE81B">
                  <w:pPr>
                    <w:pStyle w:val="70"/>
                    <w:shd w:val="clear"/>
                    <w:jc w:val="center"/>
                    <w:rPr>
                      <w:rFonts w:hint="default"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sz w:val="21"/>
                      <w:szCs w:val="21"/>
                      <w:lang w:val="en-US" w:eastAsia="zh-CN"/>
                    </w:rPr>
                    <w:t>434.8</w:t>
                  </w:r>
                </w:p>
              </w:tc>
              <w:tc>
                <w:tcPr>
                  <w:tcW w:w="2055" w:type="pct"/>
                  <w:gridSpan w:val="2"/>
                  <w:tcBorders>
                    <w:tl2br w:val="nil"/>
                    <w:tr2bl w:val="nil"/>
                  </w:tcBorders>
                  <w:noWrap/>
                  <w:vAlign w:val="center"/>
                </w:tcPr>
                <w:p w14:paraId="69315D7A">
                  <w:pPr>
                    <w:pStyle w:val="70"/>
                    <w:shd w:val="clear"/>
                    <w:jc w:val="center"/>
                    <w:rPr>
                      <w:rFonts w:hint="default" w:ascii="Times New Roman" w:hAnsi="Times New Roman" w:eastAsia="宋体" w:cs="Times New Roman"/>
                      <w:color w:val="auto"/>
                      <w:sz w:val="21"/>
                      <w:szCs w:val="21"/>
                      <w:lang w:val="en-US" w:eastAsia="zh-CN"/>
                    </w:rPr>
                  </w:pPr>
                </w:p>
              </w:tc>
              <w:tc>
                <w:tcPr>
                  <w:tcW w:w="1852" w:type="dxa"/>
                  <w:tcBorders>
                    <w:tl2br w:val="nil"/>
                    <w:tr2bl w:val="nil"/>
                  </w:tcBorders>
                  <w:noWrap/>
                  <w:vAlign w:val="center"/>
                </w:tcPr>
                <w:p w14:paraId="255918F6">
                  <w:pPr>
                    <w:pStyle w:val="70"/>
                    <w:shd w:val="clear"/>
                    <w:jc w:val="center"/>
                    <w:rPr>
                      <w:rFonts w:hint="eastAsia" w:cs="Times New Roman"/>
                      <w:color w:val="auto"/>
                      <w:sz w:val="21"/>
                      <w:szCs w:val="21"/>
                      <w:lang w:val="en-US" w:eastAsia="zh-CN"/>
                    </w:rPr>
                  </w:pPr>
                </w:p>
              </w:tc>
            </w:tr>
            <w:tr w14:paraId="1D10992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10" w:hRule="atLeast"/>
                <w:jc w:val="center"/>
              </w:trPr>
              <w:tc>
                <w:tcPr>
                  <w:tcW w:w="739" w:type="pct"/>
                  <w:tcBorders>
                    <w:tl2br w:val="nil"/>
                    <w:tr2bl w:val="nil"/>
                  </w:tcBorders>
                  <w:shd w:val="clear" w:color="auto" w:fill="auto"/>
                  <w:vAlign w:val="center"/>
                </w:tcPr>
                <w:p w14:paraId="59960F7A">
                  <w:pPr>
                    <w:pStyle w:val="70"/>
                    <w:shd w:val="clear"/>
                    <w:jc w:val="center"/>
                    <w:rPr>
                      <w:rFonts w:hint="default"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sz w:val="21"/>
                      <w:szCs w:val="21"/>
                      <w:lang w:val="en-US" w:eastAsia="zh-CN"/>
                    </w:rPr>
                    <w:t>铝箔</w:t>
                  </w:r>
                </w:p>
              </w:tc>
              <w:tc>
                <w:tcPr>
                  <w:tcW w:w="1568" w:type="dxa"/>
                  <w:tcBorders>
                    <w:tl2br w:val="nil"/>
                    <w:tr2bl w:val="nil"/>
                  </w:tcBorders>
                  <w:shd w:val="clear" w:color="auto" w:fill="auto"/>
                  <w:vAlign w:val="center"/>
                </w:tcPr>
                <w:p w14:paraId="23837E4C">
                  <w:pPr>
                    <w:pStyle w:val="70"/>
                    <w:shd w:val="clear"/>
                    <w:jc w:val="center"/>
                    <w:rPr>
                      <w:rFonts w:hint="default"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sz w:val="21"/>
                      <w:szCs w:val="21"/>
                      <w:lang w:val="en-US" w:eastAsia="zh-CN"/>
                    </w:rPr>
                    <w:t>277.4</w:t>
                  </w:r>
                </w:p>
              </w:tc>
              <w:tc>
                <w:tcPr>
                  <w:tcW w:w="2055" w:type="pct"/>
                  <w:gridSpan w:val="2"/>
                  <w:tcBorders>
                    <w:tl2br w:val="nil"/>
                    <w:tr2bl w:val="nil"/>
                  </w:tcBorders>
                  <w:noWrap/>
                  <w:vAlign w:val="center"/>
                </w:tcPr>
                <w:p w14:paraId="0672B388">
                  <w:pPr>
                    <w:pStyle w:val="70"/>
                    <w:shd w:val="clear"/>
                    <w:jc w:val="center"/>
                    <w:rPr>
                      <w:rFonts w:hint="default" w:ascii="Times New Roman" w:hAnsi="Times New Roman" w:eastAsia="宋体" w:cs="Times New Roman"/>
                      <w:color w:val="auto"/>
                      <w:sz w:val="21"/>
                      <w:szCs w:val="21"/>
                      <w:lang w:val="en-US" w:eastAsia="zh-CN"/>
                    </w:rPr>
                  </w:pPr>
                </w:p>
              </w:tc>
              <w:tc>
                <w:tcPr>
                  <w:tcW w:w="1852" w:type="dxa"/>
                  <w:tcBorders>
                    <w:tl2br w:val="nil"/>
                    <w:tr2bl w:val="nil"/>
                  </w:tcBorders>
                  <w:noWrap/>
                  <w:vAlign w:val="center"/>
                </w:tcPr>
                <w:p w14:paraId="57BE3948">
                  <w:pPr>
                    <w:pStyle w:val="70"/>
                    <w:shd w:val="clear"/>
                    <w:jc w:val="center"/>
                    <w:rPr>
                      <w:rFonts w:hint="eastAsia" w:cs="Times New Roman"/>
                      <w:color w:val="auto"/>
                      <w:sz w:val="21"/>
                      <w:szCs w:val="21"/>
                      <w:lang w:val="en-US" w:eastAsia="zh-CN"/>
                    </w:rPr>
                  </w:pPr>
                </w:p>
              </w:tc>
            </w:tr>
            <w:tr w14:paraId="33DC931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739" w:type="pct"/>
                  <w:tcBorders>
                    <w:tl2br w:val="nil"/>
                    <w:tr2bl w:val="nil"/>
                  </w:tcBorders>
                  <w:shd w:val="clear" w:color="auto" w:fill="auto"/>
                  <w:vAlign w:val="center"/>
                </w:tcPr>
                <w:p w14:paraId="162D29D9">
                  <w:pPr>
                    <w:pStyle w:val="70"/>
                    <w:shd w:val="clear"/>
                    <w:jc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z w:val="21"/>
                      <w:szCs w:val="21"/>
                      <w:lang w:val="en-US" w:eastAsia="zh-CN"/>
                    </w:rPr>
                    <w:t>合计</w:t>
                  </w:r>
                </w:p>
              </w:tc>
              <w:tc>
                <w:tcPr>
                  <w:tcW w:w="1568" w:type="dxa"/>
                  <w:tcBorders>
                    <w:tl2br w:val="nil"/>
                    <w:tr2bl w:val="nil"/>
                  </w:tcBorders>
                  <w:shd w:val="clear" w:color="auto" w:fill="auto"/>
                  <w:vAlign w:val="center"/>
                </w:tcPr>
                <w:p w14:paraId="08B02169">
                  <w:pPr>
                    <w:pStyle w:val="70"/>
                    <w:shd w:val="clear"/>
                    <w:jc w:val="center"/>
                    <w:rPr>
                      <w:rFonts w:hint="default" w:ascii="Times New Roman" w:hAnsi="Times New Roman" w:eastAsia="宋体" w:cs="Times New Roman"/>
                      <w:color w:val="auto"/>
                      <w:kern w:val="0"/>
                      <w:sz w:val="21"/>
                      <w:szCs w:val="21"/>
                      <w:lang w:val="en-US" w:eastAsia="zh-CN" w:bidi="ar-SA"/>
                    </w:rPr>
                  </w:pPr>
                  <w:r>
                    <w:rPr>
                      <w:rFonts w:hint="eastAsia" w:cs="Times New Roman"/>
                      <w:color w:val="auto"/>
                      <w:sz w:val="21"/>
                      <w:szCs w:val="21"/>
                      <w:lang w:val="en-US" w:eastAsia="zh-CN"/>
                    </w:rPr>
                    <w:t>6749.32</w:t>
                  </w:r>
                </w:p>
              </w:tc>
              <w:tc>
                <w:tcPr>
                  <w:tcW w:w="2055" w:type="pct"/>
                  <w:gridSpan w:val="2"/>
                  <w:tcBorders>
                    <w:tl2br w:val="nil"/>
                    <w:tr2bl w:val="nil"/>
                  </w:tcBorders>
                  <w:shd w:val="clear" w:color="auto" w:fill="auto"/>
                  <w:noWrap/>
                  <w:vAlign w:val="center"/>
                </w:tcPr>
                <w:p w14:paraId="788BBD80">
                  <w:pPr>
                    <w:pStyle w:val="70"/>
                    <w:shd w:val="clear"/>
                    <w:jc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z w:val="21"/>
                      <w:szCs w:val="21"/>
                      <w:lang w:val="en-US" w:eastAsia="zh-CN"/>
                    </w:rPr>
                    <w:t>合计</w:t>
                  </w:r>
                </w:p>
              </w:tc>
              <w:tc>
                <w:tcPr>
                  <w:tcW w:w="1852" w:type="dxa"/>
                  <w:tcBorders>
                    <w:tl2br w:val="nil"/>
                    <w:tr2bl w:val="nil"/>
                  </w:tcBorders>
                  <w:shd w:val="clear" w:color="auto" w:fill="auto"/>
                  <w:noWrap/>
                  <w:vAlign w:val="center"/>
                </w:tcPr>
                <w:p w14:paraId="2E324EDD">
                  <w:pPr>
                    <w:pStyle w:val="70"/>
                    <w:shd w:val="clear"/>
                    <w:jc w:val="center"/>
                    <w:rPr>
                      <w:rFonts w:hint="default" w:ascii="Times New Roman" w:hAnsi="Times New Roman" w:eastAsia="宋体" w:cs="Times New Roman"/>
                      <w:color w:val="auto"/>
                      <w:kern w:val="0"/>
                      <w:sz w:val="21"/>
                      <w:szCs w:val="21"/>
                      <w:lang w:val="en-US" w:eastAsia="zh-CN" w:bidi="ar-SA"/>
                    </w:rPr>
                  </w:pPr>
                  <w:r>
                    <w:rPr>
                      <w:rFonts w:hint="eastAsia" w:cs="Times New Roman"/>
                      <w:color w:val="auto"/>
                      <w:sz w:val="21"/>
                      <w:szCs w:val="21"/>
                      <w:lang w:val="en-US" w:eastAsia="zh-CN"/>
                    </w:rPr>
                    <w:t>6749.32</w:t>
                  </w:r>
                </w:p>
              </w:tc>
            </w:tr>
          </w:tbl>
          <w:p w14:paraId="56BAAD1B">
            <w:pPr>
              <w:pStyle w:val="66"/>
              <w:keepNext w:val="0"/>
              <w:keepLines w:val="0"/>
              <w:pageBreakBefore w:val="0"/>
              <w:widowControl w:val="0"/>
              <w:kinsoku/>
              <w:wordWrap/>
              <w:overflowPunct/>
              <w:topLinePunct w:val="0"/>
              <w:autoSpaceDE w:val="0"/>
              <w:autoSpaceDN w:val="0"/>
              <w:bidi w:val="0"/>
              <w:adjustRightInd w:val="0"/>
              <w:snapToGrid w:val="0"/>
              <w:spacing w:line="360" w:lineRule="auto"/>
              <w:ind w:left="0" w:leftChars="0" w:firstLine="482" w:firstLineChars="200"/>
              <w:textAlignment w:val="auto"/>
              <w:rPr>
                <w:rFonts w:hint="eastAsia" w:ascii="Times New Roman" w:hAnsi="Times New Roman" w:eastAsia="宋体" w:cs="Times New Roman"/>
                <w:b/>
                <w:bCs/>
                <w:color w:val="auto"/>
                <w:lang w:val="en-US" w:eastAsia="zh-CN"/>
              </w:rPr>
            </w:pPr>
            <w:r>
              <w:rPr>
                <w:rFonts w:hint="eastAsia" w:cs="Times New Roman"/>
                <w:b/>
                <w:bCs/>
                <w:color w:val="auto"/>
                <w:lang w:val="en-US" w:eastAsia="zh-CN"/>
              </w:rPr>
              <w:t>12</w:t>
            </w:r>
            <w:r>
              <w:rPr>
                <w:rFonts w:hint="eastAsia" w:ascii="Times New Roman" w:hAnsi="Times New Roman" w:eastAsia="宋体" w:cs="Times New Roman"/>
                <w:b/>
                <w:bCs/>
                <w:color w:val="auto"/>
                <w:lang w:val="en-US" w:eastAsia="zh-CN"/>
              </w:rPr>
              <w:t>、</w:t>
            </w:r>
            <w:r>
              <w:rPr>
                <w:rFonts w:hint="eastAsia" w:cs="Times New Roman"/>
                <w:b/>
                <w:bCs/>
                <w:color w:val="auto"/>
                <w:lang w:val="en-US" w:eastAsia="zh-CN"/>
              </w:rPr>
              <w:t>氟</w:t>
            </w:r>
            <w:r>
              <w:rPr>
                <w:rFonts w:hint="eastAsia" w:ascii="Times New Roman" w:hAnsi="Times New Roman" w:eastAsia="宋体" w:cs="Times New Roman"/>
                <w:b/>
                <w:bCs/>
                <w:color w:val="auto"/>
                <w:lang w:val="en-US" w:eastAsia="zh-CN"/>
              </w:rPr>
              <w:t>平衡</w:t>
            </w:r>
          </w:p>
          <w:p w14:paraId="06D1C46C">
            <w:pPr>
              <w:keepNext w:val="0"/>
              <w:keepLines w:val="0"/>
              <w:pageBreakBefore w:val="0"/>
              <w:widowControl w:val="0"/>
              <w:kinsoku/>
              <w:wordWrap/>
              <w:overflowPunct/>
              <w:topLinePunct w:val="0"/>
              <w:autoSpaceDE/>
              <w:autoSpaceDN/>
              <w:bidi w:val="0"/>
              <w:adjustRightInd/>
              <w:snapToGrid/>
              <w:spacing w:line="360" w:lineRule="auto"/>
              <w:ind w:firstLine="420"/>
              <w:textAlignment w:val="auto"/>
              <w:rPr>
                <w:rFonts w:hint="eastAsia" w:cs="Times New Roman"/>
                <w:color w:val="auto"/>
                <w:sz w:val="24"/>
                <w:szCs w:val="24"/>
                <w:lang w:val="en-US" w:eastAsia="zh-CN"/>
              </w:rPr>
            </w:pPr>
            <w:r>
              <w:rPr>
                <w:rFonts w:hint="eastAsia" w:cs="Times New Roman"/>
                <w:color w:val="auto"/>
                <w:sz w:val="24"/>
                <w:szCs w:val="24"/>
                <w:lang w:val="en-US" w:eastAsia="zh-CN"/>
              </w:rPr>
              <w:t>根据建设单位提供资料，本项目氟平衡见下表。</w:t>
            </w:r>
          </w:p>
          <w:p w14:paraId="538B4F20">
            <w:pPr>
              <w:pStyle w:val="68"/>
              <w:shd w:val="clear"/>
              <w:spacing w:line="240" w:lineRule="auto"/>
              <w:rPr>
                <w:rFonts w:hint="default" w:ascii="Times New Roman" w:hAnsi="Times New Roman" w:eastAsia="宋体" w:cs="Times New Roman"/>
                <w:b/>
                <w:bCs/>
                <w:color w:val="auto"/>
              </w:rPr>
            </w:pPr>
            <w:r>
              <w:rPr>
                <w:rFonts w:hint="default" w:ascii="Times New Roman" w:hAnsi="Times New Roman" w:eastAsia="宋体" w:cs="Times New Roman"/>
                <w:b/>
                <w:bCs/>
                <w:color w:val="auto"/>
              </w:rPr>
              <w:t>表2-</w:t>
            </w:r>
            <w:r>
              <w:rPr>
                <w:rFonts w:hint="eastAsia" w:eastAsia="宋体" w:cs="Times New Roman"/>
                <w:b/>
                <w:bCs/>
                <w:color w:val="auto"/>
                <w:lang w:val="en-US" w:eastAsia="zh-CN"/>
              </w:rPr>
              <w:t>11</w:t>
            </w:r>
            <w:r>
              <w:rPr>
                <w:rFonts w:hint="default" w:ascii="Times New Roman" w:hAnsi="Times New Roman" w:eastAsia="宋体" w:cs="Times New Roman"/>
                <w:b/>
                <w:bCs/>
                <w:color w:val="auto"/>
              </w:rPr>
              <w:t xml:space="preserve"> 项目</w:t>
            </w:r>
            <w:r>
              <w:rPr>
                <w:rFonts w:hint="eastAsia" w:ascii="Times New Roman" w:hAnsi="Times New Roman" w:eastAsia="宋体" w:cs="Times New Roman"/>
                <w:b/>
                <w:bCs/>
                <w:color w:val="auto"/>
                <w:lang w:val="en-US" w:eastAsia="zh-CN"/>
              </w:rPr>
              <w:t>氟</w:t>
            </w:r>
            <w:r>
              <w:rPr>
                <w:rFonts w:hint="default" w:ascii="Times New Roman" w:hAnsi="Times New Roman" w:eastAsia="宋体" w:cs="Times New Roman"/>
                <w:b/>
                <w:bCs/>
                <w:color w:val="auto"/>
              </w:rPr>
              <w:t>平衡</w:t>
            </w:r>
          </w:p>
          <w:tbl>
            <w:tblPr>
              <w:tblStyle w:val="42"/>
              <w:tblW w:w="7994" w:type="dxa"/>
              <w:tblInd w:w="5"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998"/>
              <w:gridCol w:w="1998"/>
              <w:gridCol w:w="1999"/>
              <w:gridCol w:w="1999"/>
            </w:tblGrid>
            <w:tr w14:paraId="7CAEE64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998" w:type="dxa"/>
                  <w:shd w:val="clear" w:color="auto" w:fill="auto"/>
                  <w:noWrap w:val="0"/>
                  <w:vAlign w:val="center"/>
                </w:tcPr>
                <w:p w14:paraId="03FCA221">
                  <w:pPr>
                    <w:autoSpaceDE w:val="0"/>
                    <w:autoSpaceDN w:val="0"/>
                    <w:adjustRightInd w:val="0"/>
                    <w:snapToGrid w:val="0"/>
                    <w:spacing w:line="280" w:lineRule="exact"/>
                    <w:jc w:val="center"/>
                    <w:rPr>
                      <w:rFonts w:hint="default" w:ascii="宋体" w:hAnsi="宋体" w:eastAsia="宋体" w:cs="宋体"/>
                      <w:b/>
                      <w:bCs/>
                      <w:color w:val="auto"/>
                      <w:kern w:val="0"/>
                      <w:sz w:val="21"/>
                      <w:szCs w:val="21"/>
                      <w:highlight w:val="none"/>
                      <w:lang w:val="en-US" w:eastAsia="zh-CN"/>
                    </w:rPr>
                  </w:pPr>
                  <w:r>
                    <w:rPr>
                      <w:rFonts w:hint="eastAsia" w:ascii="宋体" w:hAnsi="宋体" w:eastAsia="宋体" w:cs="宋体"/>
                      <w:b/>
                      <w:bCs/>
                      <w:color w:val="auto"/>
                      <w:kern w:val="0"/>
                      <w:sz w:val="21"/>
                      <w:szCs w:val="21"/>
                      <w:highlight w:val="none"/>
                      <w:lang w:val="en-US" w:eastAsia="zh-CN"/>
                    </w:rPr>
                    <w:t>物料</w:t>
                  </w:r>
                </w:p>
              </w:tc>
              <w:tc>
                <w:tcPr>
                  <w:tcW w:w="1998" w:type="dxa"/>
                  <w:shd w:val="clear" w:color="auto" w:fill="auto"/>
                  <w:noWrap w:val="0"/>
                  <w:vAlign w:val="center"/>
                </w:tcPr>
                <w:p w14:paraId="2EDF7CBF">
                  <w:pPr>
                    <w:autoSpaceDE w:val="0"/>
                    <w:autoSpaceDN w:val="0"/>
                    <w:adjustRightInd w:val="0"/>
                    <w:snapToGrid w:val="0"/>
                    <w:spacing w:line="280" w:lineRule="exact"/>
                    <w:jc w:val="center"/>
                    <w:rPr>
                      <w:rFonts w:hint="default" w:ascii="Times New Roman" w:hAnsi="Times New Roman" w:eastAsia="宋体" w:cs="Times New Roman"/>
                      <w:b/>
                      <w:bCs/>
                      <w:color w:val="auto"/>
                      <w:kern w:val="0"/>
                      <w:sz w:val="21"/>
                      <w:szCs w:val="21"/>
                      <w:highlight w:val="none"/>
                      <w:lang w:val="en-US" w:eastAsia="zh-CN"/>
                    </w:rPr>
                  </w:pPr>
                  <w:r>
                    <w:rPr>
                      <w:rFonts w:hint="default" w:ascii="Times New Roman" w:hAnsi="Times New Roman" w:eastAsia="宋体" w:cs="Times New Roman"/>
                      <w:b/>
                      <w:bCs/>
                      <w:color w:val="auto"/>
                      <w:kern w:val="0"/>
                      <w:sz w:val="21"/>
                      <w:szCs w:val="21"/>
                      <w:highlight w:val="none"/>
                      <w:lang w:val="en-US" w:eastAsia="zh-CN"/>
                    </w:rPr>
                    <w:t>F投入量（t/a）</w:t>
                  </w:r>
                </w:p>
              </w:tc>
              <w:tc>
                <w:tcPr>
                  <w:tcW w:w="1999" w:type="dxa"/>
                  <w:shd w:val="clear" w:color="auto" w:fill="auto"/>
                  <w:noWrap w:val="0"/>
                  <w:vAlign w:val="center"/>
                </w:tcPr>
                <w:p w14:paraId="2ACEF1F5">
                  <w:pPr>
                    <w:autoSpaceDE w:val="0"/>
                    <w:autoSpaceDN w:val="0"/>
                    <w:adjustRightInd w:val="0"/>
                    <w:snapToGrid w:val="0"/>
                    <w:spacing w:line="280" w:lineRule="exact"/>
                    <w:jc w:val="center"/>
                    <w:rPr>
                      <w:rFonts w:hint="default" w:ascii="Times New Roman" w:hAnsi="Times New Roman" w:eastAsia="宋体" w:cs="Times New Roman"/>
                      <w:b/>
                      <w:bCs/>
                      <w:color w:val="auto"/>
                      <w:kern w:val="0"/>
                      <w:sz w:val="21"/>
                      <w:szCs w:val="21"/>
                      <w:highlight w:val="none"/>
                      <w:lang w:val="en-US" w:eastAsia="zh-CN"/>
                    </w:rPr>
                  </w:pPr>
                  <w:r>
                    <w:rPr>
                      <w:rFonts w:hint="default" w:ascii="Times New Roman" w:hAnsi="Times New Roman" w:eastAsia="宋体" w:cs="Times New Roman"/>
                      <w:b/>
                      <w:bCs/>
                      <w:color w:val="auto"/>
                      <w:kern w:val="0"/>
                      <w:sz w:val="21"/>
                      <w:szCs w:val="21"/>
                      <w:highlight w:val="none"/>
                      <w:lang w:val="en-US" w:eastAsia="zh-CN"/>
                    </w:rPr>
                    <w:t>物料</w:t>
                  </w:r>
                </w:p>
              </w:tc>
              <w:tc>
                <w:tcPr>
                  <w:tcW w:w="1999" w:type="dxa"/>
                  <w:shd w:val="clear" w:color="auto" w:fill="auto"/>
                  <w:noWrap w:val="0"/>
                  <w:vAlign w:val="center"/>
                </w:tcPr>
                <w:p w14:paraId="5BD49742">
                  <w:pPr>
                    <w:autoSpaceDE w:val="0"/>
                    <w:autoSpaceDN w:val="0"/>
                    <w:adjustRightInd w:val="0"/>
                    <w:snapToGrid w:val="0"/>
                    <w:spacing w:line="280" w:lineRule="exact"/>
                    <w:jc w:val="center"/>
                    <w:rPr>
                      <w:rFonts w:hint="default" w:ascii="Times New Roman" w:hAnsi="Times New Roman" w:eastAsia="宋体" w:cs="Times New Roman"/>
                      <w:b/>
                      <w:bCs/>
                      <w:color w:val="auto"/>
                      <w:kern w:val="0"/>
                      <w:sz w:val="21"/>
                      <w:szCs w:val="21"/>
                      <w:highlight w:val="none"/>
                      <w:lang w:val="en-US" w:eastAsia="zh-CN"/>
                    </w:rPr>
                  </w:pPr>
                  <w:r>
                    <w:rPr>
                      <w:rFonts w:hint="default" w:ascii="Times New Roman" w:hAnsi="Times New Roman" w:eastAsia="宋体" w:cs="Times New Roman"/>
                      <w:b/>
                      <w:bCs/>
                      <w:color w:val="auto"/>
                      <w:kern w:val="0"/>
                      <w:sz w:val="21"/>
                      <w:szCs w:val="21"/>
                      <w:highlight w:val="none"/>
                      <w:lang w:val="en-US" w:eastAsia="zh-CN"/>
                    </w:rPr>
                    <w:t>产出量（t/a）</w:t>
                  </w:r>
                </w:p>
              </w:tc>
            </w:tr>
            <w:tr w14:paraId="7D1E887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54" w:hRule="atLeast"/>
              </w:trPr>
              <w:tc>
                <w:tcPr>
                  <w:tcW w:w="1998" w:type="dxa"/>
                  <w:noWrap w:val="0"/>
                  <w:vAlign w:val="center"/>
                </w:tcPr>
                <w:p w14:paraId="137390DD">
                  <w:pPr>
                    <w:keepNext w:val="0"/>
                    <w:keepLines w:val="0"/>
                    <w:pageBreakBefore w:val="0"/>
                    <w:widowControl w:val="0"/>
                    <w:kinsoku/>
                    <w:wordWrap/>
                    <w:overflowPunct/>
                    <w:topLinePunct w:val="0"/>
                    <w:autoSpaceDE w:val="0"/>
                    <w:autoSpaceDN w:val="0"/>
                    <w:bidi w:val="0"/>
                    <w:adjustRightInd w:val="0"/>
                    <w:snapToGrid w:val="0"/>
                    <w:spacing w:line="280" w:lineRule="exact"/>
                    <w:jc w:val="center"/>
                    <w:textAlignment w:val="auto"/>
                    <w:rPr>
                      <w:rFonts w:hint="default" w:ascii="Times New Roman" w:hAnsi="Times New Roman" w:eastAsia="宋体" w:cs="Times New Roman"/>
                      <w:b w:val="0"/>
                      <w:bCs w:val="0"/>
                      <w:color w:val="auto"/>
                      <w:kern w:val="0"/>
                      <w:sz w:val="21"/>
                      <w:szCs w:val="21"/>
                      <w:highlight w:val="none"/>
                      <w:vertAlign w:val="baseline"/>
                      <w:lang w:val="en-US" w:eastAsia="zh-CN"/>
                    </w:rPr>
                  </w:pPr>
                  <w:r>
                    <w:rPr>
                      <w:rFonts w:hint="eastAsia" w:ascii="Times New Roman" w:hAnsi="Times New Roman" w:eastAsia="宋体" w:cs="Times New Roman"/>
                      <w:b w:val="0"/>
                      <w:bCs w:val="0"/>
                      <w:color w:val="auto"/>
                      <w:kern w:val="0"/>
                      <w:sz w:val="21"/>
                      <w:szCs w:val="21"/>
                      <w:highlight w:val="none"/>
                      <w:vertAlign w:val="baseline"/>
                      <w:lang w:val="en-US" w:eastAsia="zh-CN"/>
                    </w:rPr>
                    <w:t>电解液</w:t>
                  </w:r>
                </w:p>
              </w:tc>
              <w:tc>
                <w:tcPr>
                  <w:tcW w:w="1998" w:type="dxa"/>
                  <w:noWrap w:val="0"/>
                  <w:vAlign w:val="center"/>
                </w:tcPr>
                <w:p w14:paraId="5FC07EE5">
                  <w:pPr>
                    <w:keepNext w:val="0"/>
                    <w:keepLines w:val="0"/>
                    <w:pageBreakBefore w:val="0"/>
                    <w:widowControl w:val="0"/>
                    <w:kinsoku/>
                    <w:wordWrap/>
                    <w:overflowPunct/>
                    <w:topLinePunct w:val="0"/>
                    <w:autoSpaceDE w:val="0"/>
                    <w:autoSpaceDN w:val="0"/>
                    <w:bidi w:val="0"/>
                    <w:adjustRightInd w:val="0"/>
                    <w:snapToGrid w:val="0"/>
                    <w:spacing w:line="280" w:lineRule="exact"/>
                    <w:jc w:val="center"/>
                    <w:textAlignment w:val="auto"/>
                    <w:rPr>
                      <w:rFonts w:hint="default" w:ascii="Times New Roman" w:hAnsi="Times New Roman" w:eastAsia="宋体" w:cs="Times New Roman"/>
                      <w:b w:val="0"/>
                      <w:bCs w:val="0"/>
                      <w:color w:val="auto"/>
                      <w:kern w:val="0"/>
                      <w:sz w:val="21"/>
                      <w:szCs w:val="21"/>
                      <w:highlight w:val="none"/>
                      <w:vertAlign w:val="baseline"/>
                      <w:lang w:val="en-US" w:eastAsia="zh-CN"/>
                    </w:rPr>
                  </w:pPr>
                  <w:r>
                    <w:rPr>
                      <w:rFonts w:hint="eastAsia" w:ascii="Times New Roman" w:hAnsi="Times New Roman" w:eastAsia="宋体" w:cs="Times New Roman"/>
                      <w:b w:val="0"/>
                      <w:bCs w:val="0"/>
                      <w:color w:val="auto"/>
                      <w:kern w:val="0"/>
                      <w:sz w:val="21"/>
                      <w:szCs w:val="21"/>
                      <w:highlight w:val="none"/>
                      <w:vertAlign w:val="baseline"/>
                      <w:lang w:val="en-US" w:eastAsia="zh-CN"/>
                    </w:rPr>
                    <w:t>252.54</w:t>
                  </w:r>
                </w:p>
              </w:tc>
              <w:tc>
                <w:tcPr>
                  <w:tcW w:w="1999" w:type="dxa"/>
                  <w:shd w:val="clear" w:color="auto" w:fill="auto"/>
                  <w:noWrap w:val="0"/>
                  <w:vAlign w:val="center"/>
                </w:tcPr>
                <w:p w14:paraId="1AC68305">
                  <w:pPr>
                    <w:keepNext w:val="0"/>
                    <w:keepLines w:val="0"/>
                    <w:pageBreakBefore w:val="0"/>
                    <w:widowControl w:val="0"/>
                    <w:kinsoku/>
                    <w:wordWrap/>
                    <w:overflowPunct/>
                    <w:topLinePunct w:val="0"/>
                    <w:autoSpaceDE w:val="0"/>
                    <w:autoSpaceDN w:val="0"/>
                    <w:bidi w:val="0"/>
                    <w:adjustRightInd w:val="0"/>
                    <w:snapToGrid w:val="0"/>
                    <w:spacing w:line="280" w:lineRule="exact"/>
                    <w:jc w:val="center"/>
                    <w:textAlignment w:val="auto"/>
                    <w:rPr>
                      <w:rFonts w:hint="default" w:ascii="Times New Roman" w:hAnsi="Times New Roman" w:eastAsia="宋体" w:cs="Times New Roman"/>
                      <w:b w:val="0"/>
                      <w:bCs w:val="0"/>
                      <w:color w:val="auto"/>
                      <w:kern w:val="0"/>
                      <w:sz w:val="21"/>
                      <w:szCs w:val="21"/>
                      <w:highlight w:val="none"/>
                      <w:vertAlign w:val="baseline"/>
                      <w:lang w:val="en-US" w:eastAsia="zh-CN" w:bidi="ar-SA"/>
                    </w:rPr>
                  </w:pPr>
                  <w:r>
                    <w:rPr>
                      <w:rFonts w:hint="eastAsia" w:ascii="Times New Roman" w:hAnsi="Times New Roman" w:eastAsia="宋体" w:cs="Times New Roman"/>
                      <w:b w:val="0"/>
                      <w:bCs w:val="0"/>
                      <w:color w:val="auto"/>
                      <w:kern w:val="0"/>
                      <w:sz w:val="21"/>
                      <w:szCs w:val="21"/>
                      <w:highlight w:val="none"/>
                      <w:vertAlign w:val="baseline"/>
                      <w:lang w:val="en-US" w:eastAsia="zh-CN"/>
                    </w:rPr>
                    <w:t>进入产品</w:t>
                  </w:r>
                </w:p>
              </w:tc>
              <w:tc>
                <w:tcPr>
                  <w:tcW w:w="1999" w:type="dxa"/>
                  <w:noWrap w:val="0"/>
                  <w:vAlign w:val="center"/>
                </w:tcPr>
                <w:p w14:paraId="2561E9C3">
                  <w:pPr>
                    <w:keepNext w:val="0"/>
                    <w:keepLines w:val="0"/>
                    <w:pageBreakBefore w:val="0"/>
                    <w:widowControl w:val="0"/>
                    <w:kinsoku/>
                    <w:wordWrap/>
                    <w:overflowPunct/>
                    <w:topLinePunct w:val="0"/>
                    <w:autoSpaceDE w:val="0"/>
                    <w:autoSpaceDN w:val="0"/>
                    <w:bidi w:val="0"/>
                    <w:adjustRightInd w:val="0"/>
                    <w:snapToGrid w:val="0"/>
                    <w:spacing w:line="280" w:lineRule="exact"/>
                    <w:jc w:val="center"/>
                    <w:textAlignment w:val="auto"/>
                    <w:rPr>
                      <w:rFonts w:hint="default" w:ascii="Times New Roman" w:hAnsi="Times New Roman" w:eastAsia="宋体" w:cs="Times New Roman"/>
                      <w:b w:val="0"/>
                      <w:bCs w:val="0"/>
                      <w:color w:val="auto"/>
                      <w:kern w:val="0"/>
                      <w:sz w:val="21"/>
                      <w:szCs w:val="21"/>
                      <w:highlight w:val="none"/>
                      <w:vertAlign w:val="baseline"/>
                      <w:lang w:val="en-US" w:eastAsia="zh-CN"/>
                    </w:rPr>
                  </w:pPr>
                  <w:r>
                    <w:rPr>
                      <w:rFonts w:hint="eastAsia" w:cs="Times New Roman"/>
                      <w:b w:val="0"/>
                      <w:bCs w:val="0"/>
                      <w:color w:val="auto"/>
                      <w:kern w:val="0"/>
                      <w:sz w:val="21"/>
                      <w:szCs w:val="21"/>
                      <w:highlight w:val="none"/>
                      <w:vertAlign w:val="baseline"/>
                      <w:lang w:val="en-US" w:eastAsia="zh-CN"/>
                    </w:rPr>
                    <w:t>281</w:t>
                  </w:r>
                </w:p>
              </w:tc>
            </w:tr>
            <w:tr w14:paraId="040239A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95" w:hRule="atLeast"/>
              </w:trPr>
              <w:tc>
                <w:tcPr>
                  <w:tcW w:w="1998" w:type="dxa"/>
                  <w:noWrap w:val="0"/>
                  <w:vAlign w:val="center"/>
                </w:tcPr>
                <w:p w14:paraId="1AD5DDAA">
                  <w:pPr>
                    <w:keepNext w:val="0"/>
                    <w:keepLines w:val="0"/>
                    <w:pageBreakBefore w:val="0"/>
                    <w:widowControl w:val="0"/>
                    <w:kinsoku/>
                    <w:wordWrap/>
                    <w:overflowPunct/>
                    <w:topLinePunct w:val="0"/>
                    <w:autoSpaceDE w:val="0"/>
                    <w:autoSpaceDN w:val="0"/>
                    <w:bidi w:val="0"/>
                    <w:adjustRightInd w:val="0"/>
                    <w:snapToGrid w:val="0"/>
                    <w:spacing w:line="280" w:lineRule="exact"/>
                    <w:jc w:val="center"/>
                    <w:textAlignment w:val="auto"/>
                    <w:rPr>
                      <w:rFonts w:hint="default" w:ascii="Times New Roman" w:hAnsi="Times New Roman" w:eastAsia="宋体" w:cs="Times New Roman"/>
                      <w:b w:val="0"/>
                      <w:bCs w:val="0"/>
                      <w:color w:val="auto"/>
                      <w:kern w:val="0"/>
                      <w:sz w:val="21"/>
                      <w:szCs w:val="21"/>
                      <w:highlight w:val="none"/>
                      <w:vertAlign w:val="baseline"/>
                      <w:lang w:val="en-US" w:eastAsia="zh-CN"/>
                    </w:rPr>
                  </w:pPr>
                  <w:r>
                    <w:rPr>
                      <w:rFonts w:hint="eastAsia" w:ascii="Times New Roman" w:hAnsi="Times New Roman" w:eastAsia="宋体" w:cs="Times New Roman"/>
                      <w:color w:val="auto"/>
                      <w:sz w:val="21"/>
                      <w:szCs w:val="21"/>
                      <w:lang w:val="en-US" w:eastAsia="zh-CN"/>
                    </w:rPr>
                    <w:t>聚偏二氟乙烯</w:t>
                  </w:r>
                </w:p>
              </w:tc>
              <w:tc>
                <w:tcPr>
                  <w:tcW w:w="1998" w:type="dxa"/>
                  <w:noWrap w:val="0"/>
                  <w:vAlign w:val="center"/>
                </w:tcPr>
                <w:p w14:paraId="35EE7764">
                  <w:pPr>
                    <w:keepNext w:val="0"/>
                    <w:keepLines w:val="0"/>
                    <w:pageBreakBefore w:val="0"/>
                    <w:widowControl w:val="0"/>
                    <w:kinsoku/>
                    <w:wordWrap/>
                    <w:overflowPunct/>
                    <w:topLinePunct w:val="0"/>
                    <w:autoSpaceDE w:val="0"/>
                    <w:autoSpaceDN w:val="0"/>
                    <w:bidi w:val="0"/>
                    <w:adjustRightInd w:val="0"/>
                    <w:snapToGrid w:val="0"/>
                    <w:spacing w:line="280" w:lineRule="exact"/>
                    <w:jc w:val="center"/>
                    <w:textAlignment w:val="auto"/>
                    <w:rPr>
                      <w:rFonts w:hint="default" w:ascii="Times New Roman" w:hAnsi="Times New Roman" w:eastAsia="宋体" w:cs="Times New Roman"/>
                      <w:b w:val="0"/>
                      <w:bCs w:val="0"/>
                      <w:color w:val="auto"/>
                      <w:kern w:val="0"/>
                      <w:sz w:val="21"/>
                      <w:szCs w:val="21"/>
                      <w:highlight w:val="none"/>
                      <w:vertAlign w:val="baseline"/>
                      <w:lang w:val="en-US" w:eastAsia="zh-CN"/>
                    </w:rPr>
                  </w:pPr>
                  <w:r>
                    <w:rPr>
                      <w:rFonts w:hint="eastAsia" w:ascii="Times New Roman" w:hAnsi="Times New Roman" w:eastAsia="宋体" w:cs="Times New Roman"/>
                      <w:b w:val="0"/>
                      <w:bCs w:val="0"/>
                      <w:color w:val="auto"/>
                      <w:kern w:val="0"/>
                      <w:sz w:val="21"/>
                      <w:szCs w:val="21"/>
                      <w:highlight w:val="none"/>
                      <w:vertAlign w:val="baseline"/>
                      <w:lang w:val="en-US" w:eastAsia="zh-CN"/>
                    </w:rPr>
                    <w:t>29</w:t>
                  </w:r>
                </w:p>
              </w:tc>
              <w:tc>
                <w:tcPr>
                  <w:tcW w:w="1999" w:type="dxa"/>
                  <w:shd w:val="clear" w:color="auto" w:fill="auto"/>
                  <w:noWrap w:val="0"/>
                  <w:vAlign w:val="center"/>
                </w:tcPr>
                <w:p w14:paraId="5F7E684F">
                  <w:pPr>
                    <w:keepNext w:val="0"/>
                    <w:keepLines w:val="0"/>
                    <w:pageBreakBefore w:val="0"/>
                    <w:widowControl w:val="0"/>
                    <w:kinsoku/>
                    <w:wordWrap/>
                    <w:overflowPunct/>
                    <w:topLinePunct w:val="0"/>
                    <w:autoSpaceDE w:val="0"/>
                    <w:autoSpaceDN w:val="0"/>
                    <w:bidi w:val="0"/>
                    <w:adjustRightInd w:val="0"/>
                    <w:snapToGrid w:val="0"/>
                    <w:spacing w:line="280" w:lineRule="exact"/>
                    <w:jc w:val="center"/>
                    <w:textAlignment w:val="auto"/>
                    <w:rPr>
                      <w:rFonts w:hint="default" w:ascii="Times New Roman" w:hAnsi="Times New Roman" w:eastAsia="宋体" w:cs="Times New Roman"/>
                      <w:b w:val="0"/>
                      <w:bCs w:val="0"/>
                      <w:color w:val="auto"/>
                      <w:kern w:val="0"/>
                      <w:sz w:val="21"/>
                      <w:szCs w:val="21"/>
                      <w:highlight w:val="none"/>
                      <w:vertAlign w:val="baseline"/>
                      <w:lang w:val="en-US" w:eastAsia="zh-CN" w:bidi="ar-SA"/>
                    </w:rPr>
                  </w:pPr>
                  <w:r>
                    <w:rPr>
                      <w:rFonts w:hint="eastAsia" w:ascii="Times New Roman" w:hAnsi="Times New Roman" w:eastAsia="宋体" w:cs="Times New Roman"/>
                      <w:b w:val="0"/>
                      <w:bCs w:val="0"/>
                      <w:color w:val="auto"/>
                      <w:kern w:val="0"/>
                      <w:sz w:val="21"/>
                      <w:szCs w:val="21"/>
                      <w:highlight w:val="none"/>
                      <w:vertAlign w:val="baseline"/>
                      <w:lang w:val="en-US" w:eastAsia="zh-CN"/>
                    </w:rPr>
                    <w:t>废水</w:t>
                  </w:r>
                </w:p>
              </w:tc>
              <w:tc>
                <w:tcPr>
                  <w:tcW w:w="1999" w:type="dxa"/>
                  <w:noWrap w:val="0"/>
                  <w:vAlign w:val="center"/>
                </w:tcPr>
                <w:p w14:paraId="7F475910">
                  <w:pPr>
                    <w:keepNext w:val="0"/>
                    <w:keepLines w:val="0"/>
                    <w:pageBreakBefore w:val="0"/>
                    <w:widowControl w:val="0"/>
                    <w:kinsoku/>
                    <w:wordWrap/>
                    <w:overflowPunct/>
                    <w:topLinePunct w:val="0"/>
                    <w:autoSpaceDE w:val="0"/>
                    <w:autoSpaceDN w:val="0"/>
                    <w:bidi w:val="0"/>
                    <w:adjustRightInd w:val="0"/>
                    <w:snapToGrid w:val="0"/>
                    <w:spacing w:line="280" w:lineRule="exact"/>
                    <w:jc w:val="center"/>
                    <w:textAlignment w:val="auto"/>
                    <w:rPr>
                      <w:rFonts w:hint="default" w:ascii="Times New Roman" w:hAnsi="Times New Roman" w:eastAsia="宋体" w:cs="Times New Roman"/>
                      <w:b w:val="0"/>
                      <w:bCs w:val="0"/>
                      <w:color w:val="auto"/>
                      <w:kern w:val="0"/>
                      <w:sz w:val="21"/>
                      <w:szCs w:val="21"/>
                      <w:highlight w:val="none"/>
                      <w:vertAlign w:val="baseline"/>
                      <w:lang w:val="en-US" w:eastAsia="zh-CN"/>
                    </w:rPr>
                  </w:pPr>
                  <w:r>
                    <w:rPr>
                      <w:rFonts w:hint="eastAsia" w:cs="Times New Roman"/>
                      <w:b w:val="0"/>
                      <w:bCs w:val="0"/>
                      <w:color w:val="auto"/>
                      <w:kern w:val="0"/>
                      <w:sz w:val="21"/>
                      <w:szCs w:val="21"/>
                      <w:highlight w:val="none"/>
                      <w:vertAlign w:val="baseline"/>
                      <w:lang w:val="en-US" w:eastAsia="zh-CN"/>
                    </w:rPr>
                    <w:t>0.228</w:t>
                  </w:r>
                </w:p>
              </w:tc>
            </w:tr>
            <w:tr w14:paraId="2EBF5D2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998" w:type="dxa"/>
                  <w:noWrap w:val="0"/>
                  <w:vAlign w:val="center"/>
                </w:tcPr>
                <w:p w14:paraId="28B00800">
                  <w:pPr>
                    <w:keepNext w:val="0"/>
                    <w:keepLines w:val="0"/>
                    <w:pageBreakBefore w:val="0"/>
                    <w:widowControl w:val="0"/>
                    <w:kinsoku/>
                    <w:wordWrap/>
                    <w:overflowPunct/>
                    <w:topLinePunct w:val="0"/>
                    <w:autoSpaceDE w:val="0"/>
                    <w:autoSpaceDN w:val="0"/>
                    <w:bidi w:val="0"/>
                    <w:adjustRightInd w:val="0"/>
                    <w:snapToGrid w:val="0"/>
                    <w:spacing w:line="280" w:lineRule="exact"/>
                    <w:jc w:val="center"/>
                    <w:textAlignment w:val="auto"/>
                    <w:rPr>
                      <w:rFonts w:hint="eastAsia" w:ascii="Times New Roman" w:hAnsi="Times New Roman" w:eastAsia="宋体" w:cs="Times New Roman"/>
                      <w:color w:val="auto"/>
                      <w:sz w:val="21"/>
                      <w:szCs w:val="21"/>
                      <w:lang w:val="en-US" w:eastAsia="zh-CN"/>
                    </w:rPr>
                  </w:pPr>
                </w:p>
              </w:tc>
              <w:tc>
                <w:tcPr>
                  <w:tcW w:w="1998" w:type="dxa"/>
                  <w:noWrap w:val="0"/>
                  <w:vAlign w:val="center"/>
                </w:tcPr>
                <w:p w14:paraId="0498C5DA">
                  <w:pPr>
                    <w:keepNext w:val="0"/>
                    <w:keepLines w:val="0"/>
                    <w:pageBreakBefore w:val="0"/>
                    <w:widowControl w:val="0"/>
                    <w:kinsoku/>
                    <w:wordWrap/>
                    <w:overflowPunct/>
                    <w:topLinePunct w:val="0"/>
                    <w:autoSpaceDE w:val="0"/>
                    <w:autoSpaceDN w:val="0"/>
                    <w:bidi w:val="0"/>
                    <w:adjustRightInd w:val="0"/>
                    <w:snapToGrid w:val="0"/>
                    <w:spacing w:line="280" w:lineRule="exact"/>
                    <w:jc w:val="center"/>
                    <w:textAlignment w:val="auto"/>
                    <w:rPr>
                      <w:rFonts w:hint="default" w:ascii="Times New Roman" w:hAnsi="Times New Roman" w:eastAsia="宋体" w:cs="Times New Roman"/>
                      <w:b w:val="0"/>
                      <w:bCs w:val="0"/>
                      <w:color w:val="auto"/>
                      <w:kern w:val="0"/>
                      <w:sz w:val="21"/>
                      <w:szCs w:val="21"/>
                      <w:highlight w:val="none"/>
                      <w:vertAlign w:val="baseline"/>
                      <w:lang w:val="en-US" w:eastAsia="zh-CN"/>
                    </w:rPr>
                  </w:pPr>
                </w:p>
              </w:tc>
              <w:tc>
                <w:tcPr>
                  <w:tcW w:w="1999" w:type="dxa"/>
                  <w:shd w:val="clear" w:color="auto" w:fill="auto"/>
                  <w:noWrap w:val="0"/>
                  <w:vAlign w:val="center"/>
                </w:tcPr>
                <w:p w14:paraId="51F2829C">
                  <w:pPr>
                    <w:keepNext w:val="0"/>
                    <w:keepLines w:val="0"/>
                    <w:pageBreakBefore w:val="0"/>
                    <w:widowControl w:val="0"/>
                    <w:kinsoku/>
                    <w:wordWrap/>
                    <w:overflowPunct/>
                    <w:topLinePunct w:val="0"/>
                    <w:autoSpaceDE w:val="0"/>
                    <w:autoSpaceDN w:val="0"/>
                    <w:bidi w:val="0"/>
                    <w:adjustRightInd w:val="0"/>
                    <w:snapToGrid w:val="0"/>
                    <w:spacing w:line="280" w:lineRule="exact"/>
                    <w:jc w:val="center"/>
                    <w:textAlignment w:val="auto"/>
                    <w:rPr>
                      <w:rFonts w:hint="eastAsia" w:ascii="Times New Roman" w:hAnsi="Times New Roman" w:eastAsia="宋体" w:cs="Times New Roman"/>
                      <w:b w:val="0"/>
                      <w:bCs w:val="0"/>
                      <w:color w:val="auto"/>
                      <w:kern w:val="0"/>
                      <w:sz w:val="21"/>
                      <w:szCs w:val="21"/>
                      <w:highlight w:val="none"/>
                      <w:vertAlign w:val="baseline"/>
                      <w:lang w:val="en-US" w:eastAsia="zh-CN" w:bidi="ar-SA"/>
                    </w:rPr>
                  </w:pPr>
                  <w:r>
                    <w:rPr>
                      <w:rFonts w:hint="eastAsia" w:ascii="Times New Roman" w:hAnsi="Times New Roman" w:eastAsia="宋体" w:cs="Times New Roman"/>
                      <w:b w:val="0"/>
                      <w:bCs w:val="0"/>
                      <w:color w:val="auto"/>
                      <w:kern w:val="0"/>
                      <w:sz w:val="21"/>
                      <w:szCs w:val="21"/>
                      <w:highlight w:val="none"/>
                      <w:vertAlign w:val="baseline"/>
                      <w:lang w:val="en-US" w:eastAsia="zh-CN"/>
                    </w:rPr>
                    <w:t>固废</w:t>
                  </w:r>
                </w:p>
              </w:tc>
              <w:tc>
                <w:tcPr>
                  <w:tcW w:w="1999" w:type="dxa"/>
                  <w:noWrap w:val="0"/>
                  <w:vAlign w:val="center"/>
                </w:tcPr>
                <w:p w14:paraId="69B9006E">
                  <w:pPr>
                    <w:keepNext w:val="0"/>
                    <w:keepLines w:val="0"/>
                    <w:pageBreakBefore w:val="0"/>
                    <w:widowControl w:val="0"/>
                    <w:kinsoku/>
                    <w:wordWrap/>
                    <w:overflowPunct/>
                    <w:topLinePunct w:val="0"/>
                    <w:autoSpaceDE w:val="0"/>
                    <w:autoSpaceDN w:val="0"/>
                    <w:bidi w:val="0"/>
                    <w:adjustRightInd w:val="0"/>
                    <w:snapToGrid w:val="0"/>
                    <w:spacing w:line="280" w:lineRule="exact"/>
                    <w:jc w:val="center"/>
                    <w:textAlignment w:val="auto"/>
                    <w:rPr>
                      <w:rFonts w:hint="default" w:ascii="Times New Roman" w:hAnsi="Times New Roman" w:eastAsia="宋体" w:cs="Times New Roman"/>
                      <w:b w:val="0"/>
                      <w:bCs w:val="0"/>
                      <w:color w:val="auto"/>
                      <w:kern w:val="0"/>
                      <w:sz w:val="21"/>
                      <w:szCs w:val="21"/>
                      <w:highlight w:val="none"/>
                      <w:vertAlign w:val="baseline"/>
                      <w:lang w:val="en-US" w:eastAsia="zh-CN"/>
                    </w:rPr>
                  </w:pPr>
                  <w:r>
                    <w:rPr>
                      <w:rFonts w:hint="eastAsia" w:cs="Times New Roman"/>
                      <w:b w:val="0"/>
                      <w:bCs w:val="0"/>
                      <w:color w:val="auto"/>
                      <w:kern w:val="0"/>
                      <w:sz w:val="21"/>
                      <w:szCs w:val="21"/>
                      <w:highlight w:val="none"/>
                      <w:vertAlign w:val="baseline"/>
                      <w:lang w:val="en-US" w:eastAsia="zh-CN"/>
                    </w:rPr>
                    <w:t>0.312</w:t>
                  </w:r>
                </w:p>
              </w:tc>
            </w:tr>
            <w:tr w14:paraId="41D9057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998" w:type="dxa"/>
                  <w:noWrap w:val="0"/>
                  <w:vAlign w:val="center"/>
                </w:tcPr>
                <w:p w14:paraId="1DEFF802">
                  <w:pPr>
                    <w:keepNext w:val="0"/>
                    <w:keepLines w:val="0"/>
                    <w:pageBreakBefore w:val="0"/>
                    <w:widowControl w:val="0"/>
                    <w:kinsoku/>
                    <w:wordWrap/>
                    <w:overflowPunct/>
                    <w:topLinePunct w:val="0"/>
                    <w:autoSpaceDE w:val="0"/>
                    <w:autoSpaceDN w:val="0"/>
                    <w:bidi w:val="0"/>
                    <w:adjustRightInd w:val="0"/>
                    <w:snapToGrid w:val="0"/>
                    <w:spacing w:line="280" w:lineRule="exact"/>
                    <w:jc w:val="center"/>
                    <w:textAlignment w:val="auto"/>
                    <w:rPr>
                      <w:rFonts w:hint="default" w:ascii="Times New Roman" w:hAnsi="Times New Roman" w:eastAsia="宋体" w:cs="Times New Roman"/>
                      <w:b w:val="0"/>
                      <w:bCs w:val="0"/>
                      <w:color w:val="auto"/>
                      <w:kern w:val="0"/>
                      <w:sz w:val="21"/>
                      <w:szCs w:val="21"/>
                      <w:highlight w:val="none"/>
                      <w:vertAlign w:val="baseline"/>
                      <w:lang w:val="en-US" w:eastAsia="zh-CN"/>
                    </w:rPr>
                  </w:pPr>
                  <w:r>
                    <w:rPr>
                      <w:rFonts w:hint="eastAsia" w:ascii="Times New Roman" w:hAnsi="Times New Roman" w:eastAsia="宋体" w:cs="Times New Roman"/>
                      <w:b w:val="0"/>
                      <w:bCs w:val="0"/>
                      <w:color w:val="auto"/>
                      <w:kern w:val="0"/>
                      <w:sz w:val="21"/>
                      <w:szCs w:val="21"/>
                      <w:highlight w:val="none"/>
                      <w:vertAlign w:val="baseline"/>
                      <w:lang w:val="en-US" w:eastAsia="zh-CN"/>
                    </w:rPr>
                    <w:t>合计</w:t>
                  </w:r>
                </w:p>
              </w:tc>
              <w:tc>
                <w:tcPr>
                  <w:tcW w:w="1998" w:type="dxa"/>
                  <w:noWrap w:val="0"/>
                  <w:vAlign w:val="center"/>
                </w:tcPr>
                <w:p w14:paraId="13EECBBF">
                  <w:pPr>
                    <w:keepNext w:val="0"/>
                    <w:keepLines w:val="0"/>
                    <w:pageBreakBefore w:val="0"/>
                    <w:widowControl w:val="0"/>
                    <w:kinsoku/>
                    <w:wordWrap/>
                    <w:overflowPunct/>
                    <w:topLinePunct w:val="0"/>
                    <w:autoSpaceDE w:val="0"/>
                    <w:autoSpaceDN w:val="0"/>
                    <w:bidi w:val="0"/>
                    <w:adjustRightInd w:val="0"/>
                    <w:snapToGrid w:val="0"/>
                    <w:spacing w:line="280" w:lineRule="exact"/>
                    <w:jc w:val="center"/>
                    <w:textAlignment w:val="auto"/>
                    <w:rPr>
                      <w:rFonts w:hint="default" w:ascii="Times New Roman" w:hAnsi="Times New Roman" w:eastAsia="宋体" w:cs="Times New Roman"/>
                      <w:b w:val="0"/>
                      <w:bCs w:val="0"/>
                      <w:color w:val="auto"/>
                      <w:kern w:val="0"/>
                      <w:sz w:val="21"/>
                      <w:szCs w:val="21"/>
                      <w:highlight w:val="none"/>
                      <w:vertAlign w:val="baseline"/>
                      <w:lang w:val="en-US" w:eastAsia="zh-CN"/>
                    </w:rPr>
                  </w:pPr>
                  <w:r>
                    <w:rPr>
                      <w:rFonts w:hint="eastAsia" w:ascii="Times New Roman" w:hAnsi="Times New Roman" w:eastAsia="宋体" w:cs="Times New Roman"/>
                      <w:b w:val="0"/>
                      <w:bCs w:val="0"/>
                      <w:color w:val="auto"/>
                      <w:kern w:val="0"/>
                      <w:sz w:val="21"/>
                      <w:szCs w:val="21"/>
                      <w:highlight w:val="none"/>
                      <w:vertAlign w:val="baseline"/>
                      <w:lang w:val="en-US" w:eastAsia="zh-CN"/>
                    </w:rPr>
                    <w:t>281.54</w:t>
                  </w:r>
                </w:p>
              </w:tc>
              <w:tc>
                <w:tcPr>
                  <w:tcW w:w="1999" w:type="dxa"/>
                  <w:noWrap w:val="0"/>
                  <w:vAlign w:val="center"/>
                </w:tcPr>
                <w:p w14:paraId="2F01CCD9">
                  <w:pPr>
                    <w:keepNext w:val="0"/>
                    <w:keepLines w:val="0"/>
                    <w:pageBreakBefore w:val="0"/>
                    <w:widowControl w:val="0"/>
                    <w:kinsoku/>
                    <w:wordWrap/>
                    <w:overflowPunct/>
                    <w:topLinePunct w:val="0"/>
                    <w:autoSpaceDE w:val="0"/>
                    <w:autoSpaceDN w:val="0"/>
                    <w:bidi w:val="0"/>
                    <w:adjustRightInd w:val="0"/>
                    <w:snapToGrid w:val="0"/>
                    <w:spacing w:line="280" w:lineRule="exact"/>
                    <w:jc w:val="center"/>
                    <w:textAlignment w:val="auto"/>
                    <w:rPr>
                      <w:rFonts w:hint="default" w:ascii="Times New Roman" w:hAnsi="Times New Roman" w:eastAsia="宋体" w:cs="Times New Roman"/>
                      <w:b w:val="0"/>
                      <w:bCs w:val="0"/>
                      <w:color w:val="auto"/>
                      <w:kern w:val="0"/>
                      <w:sz w:val="21"/>
                      <w:szCs w:val="21"/>
                      <w:highlight w:val="none"/>
                      <w:vertAlign w:val="baseline"/>
                      <w:lang w:val="en-US" w:eastAsia="zh-CN"/>
                    </w:rPr>
                  </w:pPr>
                  <w:r>
                    <w:rPr>
                      <w:rFonts w:hint="eastAsia" w:ascii="Times New Roman" w:hAnsi="Times New Roman" w:eastAsia="宋体" w:cs="Times New Roman"/>
                      <w:b w:val="0"/>
                      <w:bCs w:val="0"/>
                      <w:color w:val="auto"/>
                      <w:kern w:val="0"/>
                      <w:sz w:val="21"/>
                      <w:szCs w:val="21"/>
                      <w:highlight w:val="none"/>
                      <w:vertAlign w:val="baseline"/>
                      <w:lang w:val="en-US" w:eastAsia="zh-CN"/>
                    </w:rPr>
                    <w:t>合计</w:t>
                  </w:r>
                </w:p>
              </w:tc>
              <w:tc>
                <w:tcPr>
                  <w:tcW w:w="1999" w:type="dxa"/>
                  <w:noWrap w:val="0"/>
                  <w:vAlign w:val="center"/>
                </w:tcPr>
                <w:p w14:paraId="631CC167">
                  <w:pPr>
                    <w:keepNext w:val="0"/>
                    <w:keepLines w:val="0"/>
                    <w:pageBreakBefore w:val="0"/>
                    <w:widowControl w:val="0"/>
                    <w:kinsoku/>
                    <w:wordWrap/>
                    <w:overflowPunct/>
                    <w:topLinePunct w:val="0"/>
                    <w:autoSpaceDE w:val="0"/>
                    <w:autoSpaceDN w:val="0"/>
                    <w:bidi w:val="0"/>
                    <w:adjustRightInd w:val="0"/>
                    <w:snapToGrid w:val="0"/>
                    <w:spacing w:line="280" w:lineRule="exact"/>
                    <w:jc w:val="center"/>
                    <w:textAlignment w:val="auto"/>
                    <w:rPr>
                      <w:rFonts w:hint="default" w:ascii="Times New Roman" w:hAnsi="Times New Roman" w:eastAsia="宋体" w:cs="Times New Roman"/>
                      <w:b w:val="0"/>
                      <w:bCs w:val="0"/>
                      <w:color w:val="auto"/>
                      <w:kern w:val="0"/>
                      <w:sz w:val="21"/>
                      <w:szCs w:val="21"/>
                      <w:highlight w:val="none"/>
                      <w:vertAlign w:val="baseline"/>
                      <w:lang w:val="en-US" w:eastAsia="zh-CN"/>
                    </w:rPr>
                  </w:pPr>
                  <w:r>
                    <w:rPr>
                      <w:rFonts w:hint="eastAsia" w:ascii="Times New Roman" w:hAnsi="Times New Roman" w:eastAsia="宋体" w:cs="Times New Roman"/>
                      <w:b w:val="0"/>
                      <w:bCs w:val="0"/>
                      <w:color w:val="auto"/>
                      <w:kern w:val="0"/>
                      <w:sz w:val="21"/>
                      <w:szCs w:val="21"/>
                      <w:highlight w:val="none"/>
                      <w:vertAlign w:val="baseline"/>
                      <w:lang w:val="en-US" w:eastAsia="zh-CN"/>
                    </w:rPr>
                    <w:t>281.54</w:t>
                  </w:r>
                </w:p>
              </w:tc>
            </w:tr>
          </w:tbl>
          <w:p w14:paraId="0207B223">
            <w:pPr>
              <w:autoSpaceDE w:val="0"/>
              <w:autoSpaceDN w:val="0"/>
              <w:spacing w:line="240" w:lineRule="auto"/>
              <w:ind w:firstLine="420" w:firstLineChars="200"/>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注：电解液用量1122.4t/a，其中六氟磷酸锂0-30%（本次评价取30%），则氟投入量1122.4×30%×114/152＝252.54t/a。</w:t>
            </w:r>
          </w:p>
          <w:p w14:paraId="29E6D3F0">
            <w:pPr>
              <w:autoSpaceDE w:val="0"/>
              <w:autoSpaceDN w:val="0"/>
              <w:spacing w:line="240" w:lineRule="auto"/>
              <w:ind w:firstLine="420" w:firstLineChars="200"/>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聚偏二氟乙烯用量49.4t/a，氟投入量49.4×1×38/64≈29t/a。</w:t>
            </w:r>
          </w:p>
          <w:p w14:paraId="4AC2455B">
            <w:pPr>
              <w:autoSpaceDE w:val="0"/>
              <w:autoSpaceDN w:val="0"/>
              <w:spacing w:line="240" w:lineRule="auto"/>
              <w:ind w:firstLine="420" w:firstLineChars="200"/>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根据建设单位提供资料，聚偏二氟乙烯不溶于水，水洗过程仅形成悬浮固体，不析出游离氟离子；废水内PVDF经污水站沉淀处理后截留在污泥中。</w:t>
            </w:r>
          </w:p>
          <w:p w14:paraId="36864764">
            <w:pPr>
              <w:pStyle w:val="66"/>
              <w:keepNext w:val="0"/>
              <w:keepLines w:val="0"/>
              <w:pageBreakBefore w:val="0"/>
              <w:widowControl w:val="0"/>
              <w:kinsoku/>
              <w:wordWrap/>
              <w:overflowPunct/>
              <w:topLinePunct w:val="0"/>
              <w:autoSpaceDE w:val="0"/>
              <w:autoSpaceDN w:val="0"/>
              <w:bidi w:val="0"/>
              <w:adjustRightInd w:val="0"/>
              <w:snapToGrid w:val="0"/>
              <w:spacing w:line="360" w:lineRule="auto"/>
              <w:ind w:left="0" w:leftChars="0" w:firstLine="482" w:firstLineChars="200"/>
              <w:textAlignment w:val="auto"/>
              <w:rPr>
                <w:rFonts w:hint="eastAsia" w:ascii="Times New Roman" w:hAnsi="Times New Roman" w:eastAsia="宋体" w:cs="Times New Roman"/>
                <w:b/>
                <w:bCs/>
                <w:color w:val="auto"/>
                <w:lang w:val="en-US" w:eastAsia="zh-CN"/>
              </w:rPr>
            </w:pPr>
            <w:r>
              <w:rPr>
                <w:rFonts w:hint="eastAsia" w:cs="Times New Roman"/>
                <w:b/>
                <w:bCs/>
                <w:color w:val="auto"/>
                <w:lang w:val="en-US" w:eastAsia="zh-CN"/>
              </w:rPr>
              <w:t>12</w:t>
            </w:r>
            <w:r>
              <w:rPr>
                <w:rFonts w:hint="eastAsia" w:ascii="Times New Roman" w:hAnsi="Times New Roman" w:eastAsia="宋体" w:cs="Times New Roman"/>
                <w:b/>
                <w:bCs/>
                <w:color w:val="auto"/>
                <w:lang w:val="en-US" w:eastAsia="zh-CN"/>
              </w:rPr>
              <w:t>、磷平衡</w:t>
            </w:r>
          </w:p>
          <w:p w14:paraId="7A9C1C2A">
            <w:pPr>
              <w:keepNext w:val="0"/>
              <w:keepLines w:val="0"/>
              <w:pageBreakBefore w:val="0"/>
              <w:widowControl w:val="0"/>
              <w:kinsoku/>
              <w:wordWrap/>
              <w:overflowPunct/>
              <w:topLinePunct w:val="0"/>
              <w:autoSpaceDE/>
              <w:autoSpaceDN/>
              <w:bidi w:val="0"/>
              <w:adjustRightInd/>
              <w:snapToGrid/>
              <w:spacing w:line="360" w:lineRule="auto"/>
              <w:ind w:firstLine="420"/>
              <w:textAlignment w:val="auto"/>
              <w:rPr>
                <w:rFonts w:hint="eastAsia" w:cs="Times New Roman"/>
                <w:color w:val="auto"/>
                <w:sz w:val="24"/>
                <w:szCs w:val="24"/>
                <w:lang w:val="en-US" w:eastAsia="zh-CN"/>
              </w:rPr>
            </w:pPr>
            <w:r>
              <w:rPr>
                <w:rFonts w:hint="eastAsia" w:cs="Times New Roman"/>
                <w:color w:val="auto"/>
                <w:sz w:val="24"/>
                <w:szCs w:val="24"/>
                <w:lang w:val="en-US" w:eastAsia="zh-CN"/>
              </w:rPr>
              <w:t>根据建设单位提供资料，本项目磷平衡见下表。</w:t>
            </w:r>
          </w:p>
          <w:p w14:paraId="396D4786">
            <w:pPr>
              <w:pStyle w:val="68"/>
              <w:shd w:val="clear"/>
              <w:spacing w:line="240" w:lineRule="auto"/>
              <w:rPr>
                <w:rFonts w:hint="default" w:ascii="Times New Roman" w:hAnsi="Times New Roman" w:eastAsia="宋体" w:cs="Times New Roman"/>
                <w:b/>
                <w:bCs/>
                <w:color w:val="auto"/>
              </w:rPr>
            </w:pPr>
            <w:r>
              <w:rPr>
                <w:rFonts w:hint="default" w:ascii="Times New Roman" w:hAnsi="Times New Roman" w:eastAsia="宋体" w:cs="Times New Roman"/>
                <w:b/>
                <w:bCs/>
                <w:color w:val="auto"/>
              </w:rPr>
              <w:t>表2-</w:t>
            </w:r>
            <w:r>
              <w:rPr>
                <w:rFonts w:hint="eastAsia" w:eastAsia="宋体" w:cs="Times New Roman"/>
                <w:b/>
                <w:bCs/>
                <w:color w:val="auto"/>
                <w:lang w:val="en-US" w:eastAsia="zh-CN"/>
              </w:rPr>
              <w:t>12</w:t>
            </w:r>
            <w:r>
              <w:rPr>
                <w:rFonts w:hint="default" w:ascii="Times New Roman" w:hAnsi="Times New Roman" w:eastAsia="宋体" w:cs="Times New Roman"/>
                <w:b/>
                <w:bCs/>
                <w:color w:val="auto"/>
              </w:rPr>
              <w:t xml:space="preserve"> 项目</w:t>
            </w:r>
            <w:r>
              <w:rPr>
                <w:rFonts w:hint="eastAsia" w:ascii="Times New Roman" w:hAnsi="Times New Roman" w:eastAsia="宋体" w:cs="Times New Roman"/>
                <w:b/>
                <w:bCs/>
                <w:color w:val="auto"/>
                <w:lang w:val="en-US" w:eastAsia="zh-CN"/>
              </w:rPr>
              <w:t>磷</w:t>
            </w:r>
            <w:r>
              <w:rPr>
                <w:rFonts w:hint="default" w:ascii="Times New Roman" w:hAnsi="Times New Roman" w:eastAsia="宋体" w:cs="Times New Roman"/>
                <w:b/>
                <w:bCs/>
                <w:color w:val="auto"/>
              </w:rPr>
              <w:t>平衡</w:t>
            </w:r>
          </w:p>
          <w:tbl>
            <w:tblPr>
              <w:tblStyle w:val="42"/>
              <w:tblW w:w="7994" w:type="dxa"/>
              <w:tblInd w:w="5"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998"/>
              <w:gridCol w:w="1998"/>
              <w:gridCol w:w="1999"/>
              <w:gridCol w:w="1999"/>
            </w:tblGrid>
            <w:tr w14:paraId="1C95FEA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998" w:type="dxa"/>
                  <w:shd w:val="clear" w:color="auto" w:fill="auto"/>
                  <w:noWrap w:val="0"/>
                  <w:vAlign w:val="center"/>
                </w:tcPr>
                <w:p w14:paraId="1599CB17">
                  <w:pPr>
                    <w:autoSpaceDE w:val="0"/>
                    <w:autoSpaceDN w:val="0"/>
                    <w:adjustRightInd w:val="0"/>
                    <w:snapToGrid w:val="0"/>
                    <w:spacing w:line="280" w:lineRule="exact"/>
                    <w:jc w:val="center"/>
                    <w:rPr>
                      <w:rFonts w:hint="default" w:ascii="宋体" w:hAnsi="宋体" w:eastAsia="宋体" w:cs="宋体"/>
                      <w:b/>
                      <w:bCs/>
                      <w:color w:val="auto"/>
                      <w:kern w:val="0"/>
                      <w:sz w:val="21"/>
                      <w:szCs w:val="21"/>
                      <w:highlight w:val="none"/>
                      <w:lang w:val="en-US" w:eastAsia="zh-CN"/>
                    </w:rPr>
                  </w:pPr>
                  <w:r>
                    <w:rPr>
                      <w:rFonts w:hint="eastAsia" w:ascii="宋体" w:hAnsi="宋体" w:eastAsia="宋体" w:cs="宋体"/>
                      <w:b/>
                      <w:bCs/>
                      <w:color w:val="auto"/>
                      <w:kern w:val="0"/>
                      <w:sz w:val="21"/>
                      <w:szCs w:val="21"/>
                      <w:highlight w:val="none"/>
                      <w:lang w:val="en-US" w:eastAsia="zh-CN"/>
                    </w:rPr>
                    <w:t>物料</w:t>
                  </w:r>
                </w:p>
              </w:tc>
              <w:tc>
                <w:tcPr>
                  <w:tcW w:w="1998" w:type="dxa"/>
                  <w:shd w:val="clear" w:color="auto" w:fill="auto"/>
                  <w:noWrap w:val="0"/>
                  <w:vAlign w:val="center"/>
                </w:tcPr>
                <w:p w14:paraId="352B221A">
                  <w:pPr>
                    <w:autoSpaceDE w:val="0"/>
                    <w:autoSpaceDN w:val="0"/>
                    <w:adjustRightInd w:val="0"/>
                    <w:snapToGrid w:val="0"/>
                    <w:spacing w:line="280" w:lineRule="exact"/>
                    <w:jc w:val="center"/>
                    <w:rPr>
                      <w:rFonts w:hint="default" w:ascii="Times New Roman" w:hAnsi="Times New Roman" w:eastAsia="宋体" w:cs="Times New Roman"/>
                      <w:b/>
                      <w:bCs/>
                      <w:color w:val="auto"/>
                      <w:kern w:val="0"/>
                      <w:sz w:val="21"/>
                      <w:szCs w:val="21"/>
                      <w:highlight w:val="none"/>
                      <w:lang w:val="en-US" w:eastAsia="zh-CN"/>
                    </w:rPr>
                  </w:pPr>
                  <w:r>
                    <w:rPr>
                      <w:rFonts w:hint="eastAsia" w:ascii="Times New Roman" w:hAnsi="Times New Roman" w:eastAsia="宋体" w:cs="Times New Roman"/>
                      <w:b/>
                      <w:bCs/>
                      <w:color w:val="auto"/>
                      <w:kern w:val="0"/>
                      <w:sz w:val="21"/>
                      <w:szCs w:val="21"/>
                      <w:highlight w:val="none"/>
                      <w:lang w:val="en-US" w:eastAsia="zh-CN"/>
                    </w:rPr>
                    <w:t>P</w:t>
                  </w:r>
                  <w:r>
                    <w:rPr>
                      <w:rFonts w:hint="default" w:ascii="Times New Roman" w:hAnsi="Times New Roman" w:eastAsia="宋体" w:cs="Times New Roman"/>
                      <w:b/>
                      <w:bCs/>
                      <w:color w:val="auto"/>
                      <w:kern w:val="0"/>
                      <w:sz w:val="21"/>
                      <w:szCs w:val="21"/>
                      <w:highlight w:val="none"/>
                      <w:lang w:val="en-US" w:eastAsia="zh-CN"/>
                    </w:rPr>
                    <w:t>投入量（t/a）</w:t>
                  </w:r>
                </w:p>
              </w:tc>
              <w:tc>
                <w:tcPr>
                  <w:tcW w:w="1999" w:type="dxa"/>
                  <w:shd w:val="clear" w:color="auto" w:fill="auto"/>
                  <w:noWrap w:val="0"/>
                  <w:vAlign w:val="center"/>
                </w:tcPr>
                <w:p w14:paraId="78E72819">
                  <w:pPr>
                    <w:autoSpaceDE w:val="0"/>
                    <w:autoSpaceDN w:val="0"/>
                    <w:adjustRightInd w:val="0"/>
                    <w:snapToGrid w:val="0"/>
                    <w:spacing w:line="280" w:lineRule="exact"/>
                    <w:jc w:val="center"/>
                    <w:rPr>
                      <w:rFonts w:hint="default" w:ascii="Times New Roman" w:hAnsi="Times New Roman" w:eastAsia="宋体" w:cs="Times New Roman"/>
                      <w:b/>
                      <w:bCs/>
                      <w:color w:val="auto"/>
                      <w:kern w:val="0"/>
                      <w:sz w:val="21"/>
                      <w:szCs w:val="21"/>
                      <w:highlight w:val="none"/>
                      <w:lang w:val="en-US" w:eastAsia="zh-CN"/>
                    </w:rPr>
                  </w:pPr>
                  <w:r>
                    <w:rPr>
                      <w:rFonts w:hint="default" w:ascii="Times New Roman" w:hAnsi="Times New Roman" w:eastAsia="宋体" w:cs="Times New Roman"/>
                      <w:b/>
                      <w:bCs/>
                      <w:color w:val="auto"/>
                      <w:kern w:val="0"/>
                      <w:sz w:val="21"/>
                      <w:szCs w:val="21"/>
                      <w:highlight w:val="none"/>
                      <w:lang w:val="en-US" w:eastAsia="zh-CN"/>
                    </w:rPr>
                    <w:t>物料</w:t>
                  </w:r>
                </w:p>
              </w:tc>
              <w:tc>
                <w:tcPr>
                  <w:tcW w:w="1999" w:type="dxa"/>
                  <w:shd w:val="clear" w:color="auto" w:fill="auto"/>
                  <w:noWrap w:val="0"/>
                  <w:vAlign w:val="center"/>
                </w:tcPr>
                <w:p w14:paraId="58E6544B">
                  <w:pPr>
                    <w:autoSpaceDE w:val="0"/>
                    <w:autoSpaceDN w:val="0"/>
                    <w:adjustRightInd w:val="0"/>
                    <w:snapToGrid w:val="0"/>
                    <w:spacing w:line="280" w:lineRule="exact"/>
                    <w:jc w:val="center"/>
                    <w:rPr>
                      <w:rFonts w:hint="default" w:ascii="Times New Roman" w:hAnsi="Times New Roman" w:eastAsia="宋体" w:cs="Times New Roman"/>
                      <w:b/>
                      <w:bCs/>
                      <w:color w:val="auto"/>
                      <w:kern w:val="0"/>
                      <w:sz w:val="21"/>
                      <w:szCs w:val="21"/>
                      <w:highlight w:val="none"/>
                      <w:lang w:val="en-US" w:eastAsia="zh-CN"/>
                    </w:rPr>
                  </w:pPr>
                  <w:r>
                    <w:rPr>
                      <w:rFonts w:hint="default" w:ascii="Times New Roman" w:hAnsi="Times New Roman" w:eastAsia="宋体" w:cs="Times New Roman"/>
                      <w:b/>
                      <w:bCs/>
                      <w:color w:val="auto"/>
                      <w:kern w:val="0"/>
                      <w:sz w:val="21"/>
                      <w:szCs w:val="21"/>
                      <w:highlight w:val="none"/>
                      <w:lang w:val="en-US" w:eastAsia="zh-CN"/>
                    </w:rPr>
                    <w:t>产出量（t/a）</w:t>
                  </w:r>
                </w:p>
              </w:tc>
            </w:tr>
            <w:tr w14:paraId="6E2BCFE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998" w:type="dxa"/>
                  <w:noWrap w:val="0"/>
                  <w:vAlign w:val="center"/>
                </w:tcPr>
                <w:p w14:paraId="27B1F63A">
                  <w:pPr>
                    <w:keepNext w:val="0"/>
                    <w:keepLines w:val="0"/>
                    <w:pageBreakBefore w:val="0"/>
                    <w:widowControl w:val="0"/>
                    <w:kinsoku/>
                    <w:wordWrap/>
                    <w:overflowPunct/>
                    <w:topLinePunct w:val="0"/>
                    <w:autoSpaceDE w:val="0"/>
                    <w:autoSpaceDN w:val="0"/>
                    <w:bidi w:val="0"/>
                    <w:adjustRightInd w:val="0"/>
                    <w:snapToGrid w:val="0"/>
                    <w:spacing w:line="280" w:lineRule="exact"/>
                    <w:jc w:val="center"/>
                    <w:textAlignment w:val="auto"/>
                    <w:rPr>
                      <w:rFonts w:hint="default" w:ascii="Times New Roman" w:hAnsi="Times New Roman" w:eastAsia="宋体" w:cs="Times New Roman"/>
                      <w:b w:val="0"/>
                      <w:bCs w:val="0"/>
                      <w:color w:val="auto"/>
                      <w:kern w:val="0"/>
                      <w:sz w:val="21"/>
                      <w:szCs w:val="21"/>
                      <w:highlight w:val="none"/>
                      <w:vertAlign w:val="baseline"/>
                      <w:lang w:val="en-US" w:eastAsia="zh-CN"/>
                    </w:rPr>
                  </w:pPr>
                  <w:r>
                    <w:rPr>
                      <w:rFonts w:hint="eastAsia" w:ascii="Times New Roman" w:hAnsi="Times New Roman" w:eastAsia="宋体" w:cs="Times New Roman"/>
                      <w:b w:val="0"/>
                      <w:bCs w:val="0"/>
                      <w:color w:val="auto"/>
                      <w:kern w:val="0"/>
                      <w:sz w:val="21"/>
                      <w:szCs w:val="21"/>
                      <w:highlight w:val="none"/>
                      <w:vertAlign w:val="baseline"/>
                      <w:lang w:val="en-US" w:eastAsia="zh-CN"/>
                    </w:rPr>
                    <w:t>磷酸铁锂</w:t>
                  </w:r>
                </w:p>
              </w:tc>
              <w:tc>
                <w:tcPr>
                  <w:tcW w:w="1998" w:type="dxa"/>
                  <w:noWrap w:val="0"/>
                  <w:vAlign w:val="center"/>
                </w:tcPr>
                <w:p w14:paraId="5017D9E0">
                  <w:pPr>
                    <w:keepNext w:val="0"/>
                    <w:keepLines w:val="0"/>
                    <w:pageBreakBefore w:val="0"/>
                    <w:widowControl w:val="0"/>
                    <w:kinsoku/>
                    <w:wordWrap/>
                    <w:overflowPunct/>
                    <w:topLinePunct w:val="0"/>
                    <w:autoSpaceDE w:val="0"/>
                    <w:autoSpaceDN w:val="0"/>
                    <w:bidi w:val="0"/>
                    <w:adjustRightInd w:val="0"/>
                    <w:snapToGrid w:val="0"/>
                    <w:spacing w:line="280" w:lineRule="exact"/>
                    <w:jc w:val="center"/>
                    <w:textAlignment w:val="auto"/>
                    <w:rPr>
                      <w:rFonts w:hint="default" w:ascii="Times New Roman" w:hAnsi="Times New Roman" w:eastAsia="宋体" w:cs="Times New Roman"/>
                      <w:b w:val="0"/>
                      <w:bCs w:val="0"/>
                      <w:color w:val="auto"/>
                      <w:kern w:val="0"/>
                      <w:sz w:val="21"/>
                      <w:szCs w:val="21"/>
                      <w:highlight w:val="none"/>
                      <w:vertAlign w:val="baseline"/>
                      <w:lang w:val="en-US" w:eastAsia="zh-CN"/>
                    </w:rPr>
                  </w:pPr>
                  <w:r>
                    <w:rPr>
                      <w:rFonts w:hint="eastAsia" w:ascii="Times New Roman" w:hAnsi="Times New Roman" w:eastAsia="宋体" w:cs="Times New Roman"/>
                      <w:b w:val="0"/>
                      <w:bCs w:val="0"/>
                      <w:color w:val="auto"/>
                      <w:kern w:val="0"/>
                      <w:sz w:val="21"/>
                      <w:szCs w:val="21"/>
                      <w:highlight w:val="none"/>
                      <w:vertAlign w:val="baseline"/>
                      <w:lang w:val="en-US" w:eastAsia="zh-CN"/>
                    </w:rPr>
                    <w:t>402.1</w:t>
                  </w:r>
                </w:p>
              </w:tc>
              <w:tc>
                <w:tcPr>
                  <w:tcW w:w="1999" w:type="dxa"/>
                  <w:noWrap w:val="0"/>
                  <w:vAlign w:val="center"/>
                </w:tcPr>
                <w:p w14:paraId="0B1917FE">
                  <w:pPr>
                    <w:keepNext w:val="0"/>
                    <w:keepLines w:val="0"/>
                    <w:pageBreakBefore w:val="0"/>
                    <w:widowControl w:val="0"/>
                    <w:kinsoku/>
                    <w:wordWrap/>
                    <w:overflowPunct/>
                    <w:topLinePunct w:val="0"/>
                    <w:autoSpaceDE w:val="0"/>
                    <w:autoSpaceDN w:val="0"/>
                    <w:bidi w:val="0"/>
                    <w:adjustRightInd w:val="0"/>
                    <w:snapToGrid w:val="0"/>
                    <w:spacing w:line="280" w:lineRule="exact"/>
                    <w:jc w:val="center"/>
                    <w:textAlignment w:val="auto"/>
                    <w:rPr>
                      <w:rFonts w:hint="default" w:ascii="Times New Roman" w:hAnsi="Times New Roman" w:eastAsia="宋体" w:cs="Times New Roman"/>
                      <w:b w:val="0"/>
                      <w:bCs w:val="0"/>
                      <w:color w:val="auto"/>
                      <w:kern w:val="0"/>
                      <w:sz w:val="21"/>
                      <w:szCs w:val="21"/>
                      <w:highlight w:val="none"/>
                      <w:vertAlign w:val="baseline"/>
                      <w:lang w:val="en-US" w:eastAsia="zh-CN"/>
                    </w:rPr>
                  </w:pPr>
                  <w:r>
                    <w:rPr>
                      <w:rFonts w:hint="eastAsia" w:ascii="Times New Roman" w:hAnsi="Times New Roman" w:eastAsia="宋体" w:cs="Times New Roman"/>
                      <w:b w:val="0"/>
                      <w:bCs w:val="0"/>
                      <w:color w:val="auto"/>
                      <w:kern w:val="0"/>
                      <w:sz w:val="21"/>
                      <w:szCs w:val="21"/>
                      <w:highlight w:val="none"/>
                      <w:vertAlign w:val="baseline"/>
                      <w:lang w:val="en-US" w:eastAsia="zh-CN"/>
                    </w:rPr>
                    <w:t>进入产品</w:t>
                  </w:r>
                </w:p>
              </w:tc>
              <w:tc>
                <w:tcPr>
                  <w:tcW w:w="1999" w:type="dxa"/>
                  <w:noWrap w:val="0"/>
                  <w:vAlign w:val="center"/>
                </w:tcPr>
                <w:p w14:paraId="58C03EC4">
                  <w:pPr>
                    <w:keepNext w:val="0"/>
                    <w:keepLines w:val="0"/>
                    <w:pageBreakBefore w:val="0"/>
                    <w:widowControl w:val="0"/>
                    <w:kinsoku/>
                    <w:wordWrap/>
                    <w:overflowPunct/>
                    <w:topLinePunct w:val="0"/>
                    <w:autoSpaceDE w:val="0"/>
                    <w:autoSpaceDN w:val="0"/>
                    <w:bidi w:val="0"/>
                    <w:adjustRightInd w:val="0"/>
                    <w:snapToGrid w:val="0"/>
                    <w:spacing w:line="280" w:lineRule="exact"/>
                    <w:jc w:val="center"/>
                    <w:textAlignment w:val="auto"/>
                    <w:rPr>
                      <w:rFonts w:hint="default" w:ascii="Times New Roman" w:hAnsi="Times New Roman" w:eastAsia="宋体" w:cs="Times New Roman"/>
                      <w:b w:val="0"/>
                      <w:bCs w:val="0"/>
                      <w:color w:val="auto"/>
                      <w:kern w:val="0"/>
                      <w:sz w:val="21"/>
                      <w:szCs w:val="21"/>
                      <w:highlight w:val="none"/>
                      <w:vertAlign w:val="baseline"/>
                      <w:lang w:val="en-US" w:eastAsia="zh-CN"/>
                    </w:rPr>
                  </w:pPr>
                  <w:r>
                    <w:rPr>
                      <w:rFonts w:hint="eastAsia" w:ascii="Times New Roman" w:hAnsi="Times New Roman" w:eastAsia="宋体" w:cs="Times New Roman"/>
                      <w:b w:val="0"/>
                      <w:bCs w:val="0"/>
                      <w:color w:val="auto"/>
                      <w:kern w:val="0"/>
                      <w:sz w:val="21"/>
                      <w:szCs w:val="21"/>
                      <w:highlight w:val="none"/>
                      <w:vertAlign w:val="baseline"/>
                      <w:lang w:val="en-US" w:eastAsia="zh-CN"/>
                    </w:rPr>
                    <w:t>464.578</w:t>
                  </w:r>
                </w:p>
              </w:tc>
            </w:tr>
            <w:tr w14:paraId="71D186F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95" w:hRule="atLeast"/>
              </w:trPr>
              <w:tc>
                <w:tcPr>
                  <w:tcW w:w="1998" w:type="dxa"/>
                  <w:noWrap w:val="0"/>
                  <w:vAlign w:val="center"/>
                </w:tcPr>
                <w:p w14:paraId="535E739F">
                  <w:pPr>
                    <w:keepNext w:val="0"/>
                    <w:keepLines w:val="0"/>
                    <w:pageBreakBefore w:val="0"/>
                    <w:widowControl w:val="0"/>
                    <w:kinsoku/>
                    <w:wordWrap/>
                    <w:overflowPunct/>
                    <w:topLinePunct w:val="0"/>
                    <w:autoSpaceDE w:val="0"/>
                    <w:autoSpaceDN w:val="0"/>
                    <w:bidi w:val="0"/>
                    <w:adjustRightInd w:val="0"/>
                    <w:snapToGrid w:val="0"/>
                    <w:spacing w:line="280" w:lineRule="exact"/>
                    <w:jc w:val="center"/>
                    <w:textAlignment w:val="auto"/>
                    <w:rPr>
                      <w:rFonts w:hint="default" w:ascii="Times New Roman" w:hAnsi="Times New Roman" w:eastAsia="宋体" w:cs="Times New Roman"/>
                      <w:b w:val="0"/>
                      <w:bCs w:val="0"/>
                      <w:color w:val="auto"/>
                      <w:kern w:val="0"/>
                      <w:sz w:val="21"/>
                      <w:szCs w:val="21"/>
                      <w:highlight w:val="none"/>
                      <w:vertAlign w:val="baseline"/>
                      <w:lang w:val="en-US" w:eastAsia="zh-CN"/>
                    </w:rPr>
                  </w:pPr>
                  <w:r>
                    <w:rPr>
                      <w:rFonts w:hint="eastAsia" w:ascii="Times New Roman" w:hAnsi="Times New Roman" w:eastAsia="宋体" w:cs="Times New Roman"/>
                      <w:b w:val="0"/>
                      <w:bCs w:val="0"/>
                      <w:color w:val="auto"/>
                      <w:kern w:val="0"/>
                      <w:sz w:val="21"/>
                      <w:szCs w:val="21"/>
                      <w:highlight w:val="none"/>
                      <w:vertAlign w:val="baseline"/>
                      <w:lang w:val="en-US" w:eastAsia="zh-CN"/>
                    </w:rPr>
                    <w:t>电解液</w:t>
                  </w:r>
                </w:p>
              </w:tc>
              <w:tc>
                <w:tcPr>
                  <w:tcW w:w="1998" w:type="dxa"/>
                  <w:noWrap w:val="0"/>
                  <w:vAlign w:val="center"/>
                </w:tcPr>
                <w:p w14:paraId="769FC3A6">
                  <w:pPr>
                    <w:keepNext w:val="0"/>
                    <w:keepLines w:val="0"/>
                    <w:pageBreakBefore w:val="0"/>
                    <w:widowControl w:val="0"/>
                    <w:kinsoku/>
                    <w:wordWrap/>
                    <w:overflowPunct/>
                    <w:topLinePunct w:val="0"/>
                    <w:autoSpaceDE w:val="0"/>
                    <w:autoSpaceDN w:val="0"/>
                    <w:bidi w:val="0"/>
                    <w:adjustRightInd w:val="0"/>
                    <w:snapToGrid w:val="0"/>
                    <w:spacing w:line="280" w:lineRule="exact"/>
                    <w:jc w:val="center"/>
                    <w:textAlignment w:val="auto"/>
                    <w:rPr>
                      <w:rFonts w:hint="default" w:ascii="Times New Roman" w:hAnsi="Times New Roman" w:eastAsia="宋体" w:cs="Times New Roman"/>
                      <w:b w:val="0"/>
                      <w:bCs w:val="0"/>
                      <w:color w:val="auto"/>
                      <w:kern w:val="0"/>
                      <w:sz w:val="21"/>
                      <w:szCs w:val="21"/>
                      <w:highlight w:val="none"/>
                      <w:vertAlign w:val="baseline"/>
                      <w:lang w:val="en-US" w:eastAsia="zh-CN"/>
                    </w:rPr>
                  </w:pPr>
                  <w:r>
                    <w:rPr>
                      <w:rFonts w:hint="eastAsia" w:ascii="Times New Roman" w:hAnsi="Times New Roman" w:eastAsia="宋体" w:cs="Times New Roman"/>
                      <w:b w:val="0"/>
                      <w:bCs w:val="0"/>
                      <w:color w:val="auto"/>
                      <w:kern w:val="0"/>
                      <w:sz w:val="21"/>
                      <w:szCs w:val="21"/>
                      <w:highlight w:val="none"/>
                      <w:vertAlign w:val="baseline"/>
                      <w:lang w:val="en-US" w:eastAsia="zh-CN"/>
                    </w:rPr>
                    <w:t>68.6</w:t>
                  </w:r>
                </w:p>
              </w:tc>
              <w:tc>
                <w:tcPr>
                  <w:tcW w:w="1999" w:type="dxa"/>
                  <w:noWrap w:val="0"/>
                  <w:vAlign w:val="center"/>
                </w:tcPr>
                <w:p w14:paraId="6F76B848">
                  <w:pPr>
                    <w:keepNext w:val="0"/>
                    <w:keepLines w:val="0"/>
                    <w:pageBreakBefore w:val="0"/>
                    <w:widowControl w:val="0"/>
                    <w:kinsoku/>
                    <w:wordWrap/>
                    <w:overflowPunct/>
                    <w:topLinePunct w:val="0"/>
                    <w:autoSpaceDE w:val="0"/>
                    <w:autoSpaceDN w:val="0"/>
                    <w:bidi w:val="0"/>
                    <w:adjustRightInd w:val="0"/>
                    <w:snapToGrid w:val="0"/>
                    <w:spacing w:line="280" w:lineRule="exact"/>
                    <w:jc w:val="center"/>
                    <w:textAlignment w:val="auto"/>
                    <w:rPr>
                      <w:rFonts w:hint="default" w:ascii="Times New Roman" w:hAnsi="Times New Roman" w:eastAsia="宋体" w:cs="Times New Roman"/>
                      <w:b w:val="0"/>
                      <w:bCs w:val="0"/>
                      <w:color w:val="auto"/>
                      <w:kern w:val="0"/>
                      <w:sz w:val="21"/>
                      <w:szCs w:val="21"/>
                      <w:highlight w:val="none"/>
                      <w:vertAlign w:val="baseline"/>
                      <w:lang w:val="en-US" w:eastAsia="zh-CN"/>
                    </w:rPr>
                  </w:pPr>
                  <w:r>
                    <w:rPr>
                      <w:rFonts w:hint="eastAsia" w:ascii="Times New Roman" w:hAnsi="Times New Roman" w:eastAsia="宋体" w:cs="Times New Roman"/>
                      <w:b w:val="0"/>
                      <w:bCs w:val="0"/>
                      <w:color w:val="auto"/>
                      <w:kern w:val="0"/>
                      <w:sz w:val="21"/>
                      <w:szCs w:val="21"/>
                      <w:highlight w:val="none"/>
                      <w:vertAlign w:val="baseline"/>
                      <w:lang w:val="en-US" w:eastAsia="zh-CN"/>
                    </w:rPr>
                    <w:t>粉尘</w:t>
                  </w:r>
                </w:p>
              </w:tc>
              <w:tc>
                <w:tcPr>
                  <w:tcW w:w="1999" w:type="dxa"/>
                  <w:noWrap w:val="0"/>
                  <w:vAlign w:val="center"/>
                </w:tcPr>
                <w:p w14:paraId="58B5F27C">
                  <w:pPr>
                    <w:keepNext w:val="0"/>
                    <w:keepLines w:val="0"/>
                    <w:pageBreakBefore w:val="0"/>
                    <w:widowControl w:val="0"/>
                    <w:kinsoku/>
                    <w:wordWrap/>
                    <w:overflowPunct/>
                    <w:topLinePunct w:val="0"/>
                    <w:autoSpaceDE w:val="0"/>
                    <w:autoSpaceDN w:val="0"/>
                    <w:bidi w:val="0"/>
                    <w:adjustRightInd w:val="0"/>
                    <w:snapToGrid w:val="0"/>
                    <w:spacing w:line="280" w:lineRule="exact"/>
                    <w:jc w:val="center"/>
                    <w:textAlignment w:val="auto"/>
                    <w:rPr>
                      <w:rFonts w:hint="default" w:ascii="Times New Roman" w:hAnsi="Times New Roman" w:eastAsia="宋体" w:cs="Times New Roman"/>
                      <w:b w:val="0"/>
                      <w:bCs w:val="0"/>
                      <w:color w:val="auto"/>
                      <w:kern w:val="0"/>
                      <w:sz w:val="21"/>
                      <w:szCs w:val="21"/>
                      <w:highlight w:val="none"/>
                      <w:vertAlign w:val="baseline"/>
                      <w:lang w:val="en-US" w:eastAsia="zh-CN"/>
                    </w:rPr>
                  </w:pPr>
                  <w:r>
                    <w:rPr>
                      <w:rFonts w:hint="eastAsia" w:ascii="Times New Roman" w:hAnsi="Times New Roman" w:eastAsia="宋体" w:cs="Times New Roman"/>
                      <w:b w:val="0"/>
                      <w:bCs w:val="0"/>
                      <w:color w:val="auto"/>
                      <w:kern w:val="0"/>
                      <w:sz w:val="21"/>
                      <w:szCs w:val="21"/>
                      <w:highlight w:val="none"/>
                      <w:vertAlign w:val="baseline"/>
                      <w:lang w:val="en-US" w:eastAsia="zh-CN"/>
                    </w:rPr>
                    <w:t>0.019</w:t>
                  </w:r>
                </w:p>
              </w:tc>
            </w:tr>
            <w:tr w14:paraId="7D12F26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998" w:type="dxa"/>
                  <w:noWrap w:val="0"/>
                  <w:vAlign w:val="center"/>
                </w:tcPr>
                <w:p w14:paraId="5330380C">
                  <w:pPr>
                    <w:keepNext w:val="0"/>
                    <w:keepLines w:val="0"/>
                    <w:pageBreakBefore w:val="0"/>
                    <w:widowControl w:val="0"/>
                    <w:kinsoku/>
                    <w:wordWrap/>
                    <w:overflowPunct/>
                    <w:topLinePunct w:val="0"/>
                    <w:autoSpaceDE w:val="0"/>
                    <w:autoSpaceDN w:val="0"/>
                    <w:bidi w:val="0"/>
                    <w:adjustRightInd w:val="0"/>
                    <w:snapToGrid w:val="0"/>
                    <w:spacing w:line="280" w:lineRule="exact"/>
                    <w:jc w:val="center"/>
                    <w:textAlignment w:val="auto"/>
                    <w:rPr>
                      <w:rFonts w:hint="eastAsia" w:ascii="Times New Roman" w:hAnsi="Times New Roman" w:eastAsia="宋体" w:cs="Times New Roman"/>
                      <w:color w:val="auto"/>
                      <w:sz w:val="21"/>
                      <w:szCs w:val="21"/>
                      <w:lang w:val="en-US" w:eastAsia="zh-CN"/>
                    </w:rPr>
                  </w:pPr>
                </w:p>
              </w:tc>
              <w:tc>
                <w:tcPr>
                  <w:tcW w:w="1998" w:type="dxa"/>
                  <w:noWrap w:val="0"/>
                  <w:vAlign w:val="center"/>
                </w:tcPr>
                <w:p w14:paraId="5088C0B6">
                  <w:pPr>
                    <w:keepNext w:val="0"/>
                    <w:keepLines w:val="0"/>
                    <w:pageBreakBefore w:val="0"/>
                    <w:widowControl w:val="0"/>
                    <w:kinsoku/>
                    <w:wordWrap/>
                    <w:overflowPunct/>
                    <w:topLinePunct w:val="0"/>
                    <w:autoSpaceDE w:val="0"/>
                    <w:autoSpaceDN w:val="0"/>
                    <w:bidi w:val="0"/>
                    <w:adjustRightInd w:val="0"/>
                    <w:snapToGrid w:val="0"/>
                    <w:spacing w:line="280" w:lineRule="exact"/>
                    <w:jc w:val="center"/>
                    <w:textAlignment w:val="auto"/>
                    <w:rPr>
                      <w:rFonts w:hint="default" w:ascii="Times New Roman" w:hAnsi="Times New Roman" w:eastAsia="宋体" w:cs="Times New Roman"/>
                      <w:b w:val="0"/>
                      <w:bCs w:val="0"/>
                      <w:color w:val="auto"/>
                      <w:kern w:val="0"/>
                      <w:sz w:val="21"/>
                      <w:szCs w:val="21"/>
                      <w:highlight w:val="none"/>
                      <w:vertAlign w:val="baseline"/>
                      <w:lang w:val="en-US" w:eastAsia="zh-CN"/>
                    </w:rPr>
                  </w:pPr>
                </w:p>
              </w:tc>
              <w:tc>
                <w:tcPr>
                  <w:tcW w:w="1999" w:type="dxa"/>
                  <w:noWrap w:val="0"/>
                  <w:vAlign w:val="center"/>
                </w:tcPr>
                <w:p w14:paraId="0C081F7B">
                  <w:pPr>
                    <w:keepNext w:val="0"/>
                    <w:keepLines w:val="0"/>
                    <w:pageBreakBefore w:val="0"/>
                    <w:widowControl w:val="0"/>
                    <w:kinsoku/>
                    <w:wordWrap/>
                    <w:overflowPunct/>
                    <w:topLinePunct w:val="0"/>
                    <w:autoSpaceDE w:val="0"/>
                    <w:autoSpaceDN w:val="0"/>
                    <w:bidi w:val="0"/>
                    <w:adjustRightInd w:val="0"/>
                    <w:snapToGrid w:val="0"/>
                    <w:spacing w:line="280" w:lineRule="exact"/>
                    <w:jc w:val="center"/>
                    <w:textAlignment w:val="auto"/>
                    <w:rPr>
                      <w:rFonts w:hint="default" w:ascii="Times New Roman" w:hAnsi="Times New Roman" w:eastAsia="宋体" w:cs="Times New Roman"/>
                      <w:b w:val="0"/>
                      <w:bCs w:val="0"/>
                      <w:color w:val="auto"/>
                      <w:kern w:val="0"/>
                      <w:sz w:val="21"/>
                      <w:szCs w:val="21"/>
                      <w:highlight w:val="none"/>
                      <w:vertAlign w:val="baseline"/>
                      <w:lang w:val="en-US" w:eastAsia="zh-CN"/>
                    </w:rPr>
                  </w:pPr>
                  <w:r>
                    <w:rPr>
                      <w:rFonts w:hint="eastAsia" w:ascii="Times New Roman" w:hAnsi="Times New Roman" w:eastAsia="宋体" w:cs="Times New Roman"/>
                      <w:b w:val="0"/>
                      <w:bCs w:val="0"/>
                      <w:color w:val="auto"/>
                      <w:kern w:val="0"/>
                      <w:sz w:val="21"/>
                      <w:szCs w:val="21"/>
                      <w:highlight w:val="none"/>
                      <w:vertAlign w:val="baseline"/>
                      <w:lang w:val="en-US" w:eastAsia="zh-CN"/>
                    </w:rPr>
                    <w:t>废水</w:t>
                  </w:r>
                </w:p>
              </w:tc>
              <w:tc>
                <w:tcPr>
                  <w:tcW w:w="1999" w:type="dxa"/>
                  <w:noWrap w:val="0"/>
                  <w:vAlign w:val="center"/>
                </w:tcPr>
                <w:p w14:paraId="03EB3E09">
                  <w:pPr>
                    <w:keepNext w:val="0"/>
                    <w:keepLines w:val="0"/>
                    <w:pageBreakBefore w:val="0"/>
                    <w:widowControl w:val="0"/>
                    <w:kinsoku/>
                    <w:wordWrap/>
                    <w:overflowPunct/>
                    <w:topLinePunct w:val="0"/>
                    <w:autoSpaceDE w:val="0"/>
                    <w:autoSpaceDN w:val="0"/>
                    <w:bidi w:val="0"/>
                    <w:adjustRightInd w:val="0"/>
                    <w:snapToGrid w:val="0"/>
                    <w:spacing w:line="280" w:lineRule="exact"/>
                    <w:jc w:val="center"/>
                    <w:textAlignment w:val="auto"/>
                    <w:rPr>
                      <w:rFonts w:hint="default" w:ascii="Times New Roman" w:hAnsi="Times New Roman" w:eastAsia="宋体" w:cs="Times New Roman"/>
                      <w:b w:val="0"/>
                      <w:bCs w:val="0"/>
                      <w:color w:val="auto"/>
                      <w:kern w:val="0"/>
                      <w:sz w:val="21"/>
                      <w:szCs w:val="21"/>
                      <w:highlight w:val="none"/>
                      <w:vertAlign w:val="baseline"/>
                      <w:lang w:val="en-US" w:eastAsia="zh-CN"/>
                    </w:rPr>
                  </w:pPr>
                  <w:r>
                    <w:rPr>
                      <w:rFonts w:hint="eastAsia" w:ascii="Times New Roman" w:hAnsi="Times New Roman" w:eastAsia="宋体" w:cs="Times New Roman"/>
                      <w:b w:val="0"/>
                      <w:bCs w:val="0"/>
                      <w:color w:val="auto"/>
                      <w:kern w:val="0"/>
                      <w:sz w:val="21"/>
                      <w:szCs w:val="21"/>
                      <w:highlight w:val="none"/>
                      <w:vertAlign w:val="baseline"/>
                      <w:lang w:val="en-US" w:eastAsia="zh-CN"/>
                    </w:rPr>
                    <w:t>6.02</w:t>
                  </w:r>
                </w:p>
              </w:tc>
            </w:tr>
            <w:tr w14:paraId="392CD6F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998" w:type="dxa"/>
                  <w:noWrap w:val="0"/>
                  <w:vAlign w:val="center"/>
                </w:tcPr>
                <w:p w14:paraId="156DDBDF">
                  <w:pPr>
                    <w:keepNext w:val="0"/>
                    <w:keepLines w:val="0"/>
                    <w:pageBreakBefore w:val="0"/>
                    <w:widowControl w:val="0"/>
                    <w:kinsoku/>
                    <w:wordWrap/>
                    <w:overflowPunct/>
                    <w:topLinePunct w:val="0"/>
                    <w:autoSpaceDE w:val="0"/>
                    <w:autoSpaceDN w:val="0"/>
                    <w:bidi w:val="0"/>
                    <w:adjustRightInd w:val="0"/>
                    <w:snapToGrid w:val="0"/>
                    <w:spacing w:line="280" w:lineRule="exact"/>
                    <w:jc w:val="center"/>
                    <w:textAlignment w:val="auto"/>
                    <w:rPr>
                      <w:rFonts w:hint="eastAsia" w:ascii="Times New Roman" w:hAnsi="Times New Roman" w:eastAsia="宋体" w:cs="Times New Roman"/>
                      <w:color w:val="auto"/>
                      <w:sz w:val="21"/>
                      <w:szCs w:val="21"/>
                      <w:lang w:val="en-US" w:eastAsia="zh-CN"/>
                    </w:rPr>
                  </w:pPr>
                </w:p>
              </w:tc>
              <w:tc>
                <w:tcPr>
                  <w:tcW w:w="1998" w:type="dxa"/>
                  <w:noWrap w:val="0"/>
                  <w:vAlign w:val="center"/>
                </w:tcPr>
                <w:p w14:paraId="53655DBA">
                  <w:pPr>
                    <w:keepNext w:val="0"/>
                    <w:keepLines w:val="0"/>
                    <w:pageBreakBefore w:val="0"/>
                    <w:widowControl w:val="0"/>
                    <w:kinsoku/>
                    <w:wordWrap/>
                    <w:overflowPunct/>
                    <w:topLinePunct w:val="0"/>
                    <w:autoSpaceDE w:val="0"/>
                    <w:autoSpaceDN w:val="0"/>
                    <w:bidi w:val="0"/>
                    <w:adjustRightInd w:val="0"/>
                    <w:snapToGrid w:val="0"/>
                    <w:spacing w:line="280" w:lineRule="exact"/>
                    <w:jc w:val="center"/>
                    <w:textAlignment w:val="auto"/>
                    <w:rPr>
                      <w:rFonts w:hint="default" w:ascii="Times New Roman" w:hAnsi="Times New Roman" w:eastAsia="宋体" w:cs="Times New Roman"/>
                      <w:b w:val="0"/>
                      <w:bCs w:val="0"/>
                      <w:color w:val="auto"/>
                      <w:kern w:val="0"/>
                      <w:sz w:val="21"/>
                      <w:szCs w:val="21"/>
                      <w:highlight w:val="none"/>
                      <w:vertAlign w:val="baseline"/>
                      <w:lang w:val="en-US" w:eastAsia="zh-CN"/>
                    </w:rPr>
                  </w:pPr>
                </w:p>
              </w:tc>
              <w:tc>
                <w:tcPr>
                  <w:tcW w:w="1999" w:type="dxa"/>
                  <w:noWrap w:val="0"/>
                  <w:vAlign w:val="center"/>
                </w:tcPr>
                <w:p w14:paraId="01A51670">
                  <w:pPr>
                    <w:keepNext w:val="0"/>
                    <w:keepLines w:val="0"/>
                    <w:pageBreakBefore w:val="0"/>
                    <w:widowControl w:val="0"/>
                    <w:kinsoku/>
                    <w:wordWrap/>
                    <w:overflowPunct/>
                    <w:topLinePunct w:val="0"/>
                    <w:autoSpaceDE w:val="0"/>
                    <w:autoSpaceDN w:val="0"/>
                    <w:bidi w:val="0"/>
                    <w:adjustRightInd w:val="0"/>
                    <w:snapToGrid w:val="0"/>
                    <w:spacing w:line="280" w:lineRule="exact"/>
                    <w:jc w:val="center"/>
                    <w:textAlignment w:val="auto"/>
                    <w:rPr>
                      <w:rFonts w:hint="default" w:ascii="Times New Roman" w:hAnsi="Times New Roman" w:eastAsia="宋体" w:cs="Times New Roman"/>
                      <w:b w:val="0"/>
                      <w:bCs w:val="0"/>
                      <w:color w:val="auto"/>
                      <w:kern w:val="0"/>
                      <w:sz w:val="21"/>
                      <w:szCs w:val="21"/>
                      <w:highlight w:val="none"/>
                      <w:vertAlign w:val="baseline"/>
                      <w:lang w:val="en-US" w:eastAsia="zh-CN"/>
                    </w:rPr>
                  </w:pPr>
                  <w:r>
                    <w:rPr>
                      <w:rFonts w:hint="eastAsia" w:ascii="Times New Roman" w:hAnsi="Times New Roman" w:eastAsia="宋体" w:cs="Times New Roman"/>
                      <w:b w:val="0"/>
                      <w:bCs w:val="0"/>
                      <w:color w:val="auto"/>
                      <w:kern w:val="0"/>
                      <w:sz w:val="21"/>
                      <w:szCs w:val="21"/>
                      <w:highlight w:val="none"/>
                      <w:vertAlign w:val="baseline"/>
                      <w:lang w:val="en-US" w:eastAsia="zh-CN"/>
                    </w:rPr>
                    <w:t>固废</w:t>
                  </w:r>
                </w:p>
              </w:tc>
              <w:tc>
                <w:tcPr>
                  <w:tcW w:w="1999" w:type="dxa"/>
                  <w:noWrap w:val="0"/>
                  <w:vAlign w:val="center"/>
                </w:tcPr>
                <w:p w14:paraId="7D61AD3E">
                  <w:pPr>
                    <w:keepNext w:val="0"/>
                    <w:keepLines w:val="0"/>
                    <w:pageBreakBefore w:val="0"/>
                    <w:widowControl w:val="0"/>
                    <w:kinsoku/>
                    <w:wordWrap/>
                    <w:overflowPunct/>
                    <w:topLinePunct w:val="0"/>
                    <w:autoSpaceDE w:val="0"/>
                    <w:autoSpaceDN w:val="0"/>
                    <w:bidi w:val="0"/>
                    <w:adjustRightInd w:val="0"/>
                    <w:snapToGrid w:val="0"/>
                    <w:spacing w:line="280" w:lineRule="exact"/>
                    <w:jc w:val="center"/>
                    <w:textAlignment w:val="auto"/>
                    <w:rPr>
                      <w:rFonts w:hint="default" w:ascii="Times New Roman" w:hAnsi="Times New Roman" w:eastAsia="宋体" w:cs="Times New Roman"/>
                      <w:b w:val="0"/>
                      <w:bCs w:val="0"/>
                      <w:color w:val="auto"/>
                      <w:kern w:val="0"/>
                      <w:sz w:val="21"/>
                      <w:szCs w:val="21"/>
                      <w:highlight w:val="none"/>
                      <w:vertAlign w:val="baseline"/>
                      <w:lang w:val="en-US" w:eastAsia="zh-CN"/>
                    </w:rPr>
                  </w:pPr>
                  <w:r>
                    <w:rPr>
                      <w:rFonts w:hint="eastAsia" w:ascii="Times New Roman" w:hAnsi="Times New Roman" w:eastAsia="宋体" w:cs="Times New Roman"/>
                      <w:b w:val="0"/>
                      <w:bCs w:val="0"/>
                      <w:color w:val="auto"/>
                      <w:kern w:val="0"/>
                      <w:sz w:val="21"/>
                      <w:szCs w:val="21"/>
                      <w:highlight w:val="none"/>
                      <w:vertAlign w:val="baseline"/>
                      <w:lang w:val="en-US" w:eastAsia="zh-CN"/>
                    </w:rPr>
                    <w:t>0.083</w:t>
                  </w:r>
                </w:p>
              </w:tc>
            </w:tr>
            <w:tr w14:paraId="1295089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998" w:type="dxa"/>
                  <w:noWrap w:val="0"/>
                  <w:vAlign w:val="center"/>
                </w:tcPr>
                <w:p w14:paraId="0602294E">
                  <w:pPr>
                    <w:keepNext w:val="0"/>
                    <w:keepLines w:val="0"/>
                    <w:pageBreakBefore w:val="0"/>
                    <w:widowControl w:val="0"/>
                    <w:kinsoku/>
                    <w:wordWrap/>
                    <w:overflowPunct/>
                    <w:topLinePunct w:val="0"/>
                    <w:autoSpaceDE w:val="0"/>
                    <w:autoSpaceDN w:val="0"/>
                    <w:bidi w:val="0"/>
                    <w:adjustRightInd w:val="0"/>
                    <w:snapToGrid w:val="0"/>
                    <w:spacing w:line="280" w:lineRule="exact"/>
                    <w:jc w:val="center"/>
                    <w:textAlignment w:val="auto"/>
                    <w:rPr>
                      <w:rFonts w:hint="default" w:ascii="Times New Roman" w:hAnsi="Times New Roman" w:eastAsia="宋体" w:cs="Times New Roman"/>
                      <w:b w:val="0"/>
                      <w:bCs w:val="0"/>
                      <w:color w:val="auto"/>
                      <w:kern w:val="0"/>
                      <w:sz w:val="21"/>
                      <w:szCs w:val="21"/>
                      <w:highlight w:val="none"/>
                      <w:vertAlign w:val="baseline"/>
                      <w:lang w:val="en-US" w:eastAsia="zh-CN"/>
                    </w:rPr>
                  </w:pPr>
                  <w:r>
                    <w:rPr>
                      <w:rFonts w:hint="eastAsia" w:ascii="Times New Roman" w:hAnsi="Times New Roman" w:eastAsia="宋体" w:cs="Times New Roman"/>
                      <w:b w:val="0"/>
                      <w:bCs w:val="0"/>
                      <w:color w:val="auto"/>
                      <w:kern w:val="0"/>
                      <w:sz w:val="21"/>
                      <w:szCs w:val="21"/>
                      <w:highlight w:val="none"/>
                      <w:vertAlign w:val="baseline"/>
                      <w:lang w:val="en-US" w:eastAsia="zh-CN"/>
                    </w:rPr>
                    <w:t>合计</w:t>
                  </w:r>
                </w:p>
              </w:tc>
              <w:tc>
                <w:tcPr>
                  <w:tcW w:w="1998" w:type="dxa"/>
                  <w:noWrap w:val="0"/>
                  <w:vAlign w:val="center"/>
                </w:tcPr>
                <w:p w14:paraId="60ED7889">
                  <w:pPr>
                    <w:keepNext w:val="0"/>
                    <w:keepLines w:val="0"/>
                    <w:pageBreakBefore w:val="0"/>
                    <w:widowControl w:val="0"/>
                    <w:kinsoku/>
                    <w:wordWrap/>
                    <w:overflowPunct/>
                    <w:topLinePunct w:val="0"/>
                    <w:autoSpaceDE w:val="0"/>
                    <w:autoSpaceDN w:val="0"/>
                    <w:bidi w:val="0"/>
                    <w:adjustRightInd w:val="0"/>
                    <w:snapToGrid w:val="0"/>
                    <w:spacing w:line="280" w:lineRule="exact"/>
                    <w:jc w:val="center"/>
                    <w:textAlignment w:val="auto"/>
                    <w:rPr>
                      <w:rFonts w:hint="default" w:ascii="Times New Roman" w:hAnsi="Times New Roman" w:eastAsia="宋体" w:cs="Times New Roman"/>
                      <w:b w:val="0"/>
                      <w:bCs w:val="0"/>
                      <w:color w:val="auto"/>
                      <w:kern w:val="0"/>
                      <w:sz w:val="21"/>
                      <w:szCs w:val="21"/>
                      <w:highlight w:val="none"/>
                      <w:vertAlign w:val="baseline"/>
                      <w:lang w:val="en-US" w:eastAsia="zh-CN"/>
                    </w:rPr>
                  </w:pPr>
                  <w:r>
                    <w:rPr>
                      <w:rFonts w:hint="eastAsia" w:ascii="Times New Roman" w:hAnsi="Times New Roman" w:eastAsia="宋体" w:cs="Times New Roman"/>
                      <w:b w:val="0"/>
                      <w:bCs w:val="0"/>
                      <w:color w:val="auto"/>
                      <w:kern w:val="0"/>
                      <w:sz w:val="21"/>
                      <w:szCs w:val="21"/>
                      <w:highlight w:val="none"/>
                      <w:vertAlign w:val="baseline"/>
                      <w:lang w:val="en-US" w:eastAsia="zh-CN"/>
                    </w:rPr>
                    <w:t>470.7</w:t>
                  </w:r>
                </w:p>
              </w:tc>
              <w:tc>
                <w:tcPr>
                  <w:tcW w:w="1999" w:type="dxa"/>
                  <w:noWrap w:val="0"/>
                  <w:vAlign w:val="center"/>
                </w:tcPr>
                <w:p w14:paraId="121240CA">
                  <w:pPr>
                    <w:keepNext w:val="0"/>
                    <w:keepLines w:val="0"/>
                    <w:pageBreakBefore w:val="0"/>
                    <w:widowControl w:val="0"/>
                    <w:kinsoku/>
                    <w:wordWrap/>
                    <w:overflowPunct/>
                    <w:topLinePunct w:val="0"/>
                    <w:autoSpaceDE w:val="0"/>
                    <w:autoSpaceDN w:val="0"/>
                    <w:bidi w:val="0"/>
                    <w:adjustRightInd w:val="0"/>
                    <w:snapToGrid w:val="0"/>
                    <w:spacing w:line="280" w:lineRule="exact"/>
                    <w:jc w:val="center"/>
                    <w:textAlignment w:val="auto"/>
                    <w:rPr>
                      <w:rFonts w:hint="default" w:ascii="Times New Roman" w:hAnsi="Times New Roman" w:eastAsia="宋体" w:cs="Times New Roman"/>
                      <w:b w:val="0"/>
                      <w:bCs w:val="0"/>
                      <w:color w:val="auto"/>
                      <w:kern w:val="0"/>
                      <w:sz w:val="21"/>
                      <w:szCs w:val="21"/>
                      <w:highlight w:val="none"/>
                      <w:vertAlign w:val="baseline"/>
                      <w:lang w:val="en-US" w:eastAsia="zh-CN"/>
                    </w:rPr>
                  </w:pPr>
                  <w:r>
                    <w:rPr>
                      <w:rFonts w:hint="eastAsia" w:ascii="Times New Roman" w:hAnsi="Times New Roman" w:eastAsia="宋体" w:cs="Times New Roman"/>
                      <w:b w:val="0"/>
                      <w:bCs w:val="0"/>
                      <w:color w:val="auto"/>
                      <w:kern w:val="0"/>
                      <w:sz w:val="21"/>
                      <w:szCs w:val="21"/>
                      <w:highlight w:val="none"/>
                      <w:vertAlign w:val="baseline"/>
                      <w:lang w:val="en-US" w:eastAsia="zh-CN"/>
                    </w:rPr>
                    <w:t>合计</w:t>
                  </w:r>
                </w:p>
              </w:tc>
              <w:tc>
                <w:tcPr>
                  <w:tcW w:w="1999" w:type="dxa"/>
                  <w:noWrap w:val="0"/>
                  <w:vAlign w:val="center"/>
                </w:tcPr>
                <w:p w14:paraId="7EB3C658">
                  <w:pPr>
                    <w:keepNext w:val="0"/>
                    <w:keepLines w:val="0"/>
                    <w:pageBreakBefore w:val="0"/>
                    <w:widowControl w:val="0"/>
                    <w:kinsoku/>
                    <w:wordWrap/>
                    <w:overflowPunct/>
                    <w:topLinePunct w:val="0"/>
                    <w:autoSpaceDE w:val="0"/>
                    <w:autoSpaceDN w:val="0"/>
                    <w:bidi w:val="0"/>
                    <w:adjustRightInd w:val="0"/>
                    <w:snapToGrid w:val="0"/>
                    <w:spacing w:line="280" w:lineRule="exact"/>
                    <w:jc w:val="center"/>
                    <w:textAlignment w:val="auto"/>
                    <w:rPr>
                      <w:rFonts w:hint="default" w:ascii="Times New Roman" w:hAnsi="Times New Roman" w:eastAsia="宋体" w:cs="Times New Roman"/>
                      <w:b w:val="0"/>
                      <w:bCs w:val="0"/>
                      <w:color w:val="auto"/>
                      <w:kern w:val="0"/>
                      <w:sz w:val="21"/>
                      <w:szCs w:val="21"/>
                      <w:highlight w:val="none"/>
                      <w:vertAlign w:val="baseline"/>
                      <w:lang w:val="en-US" w:eastAsia="zh-CN"/>
                    </w:rPr>
                  </w:pPr>
                  <w:r>
                    <w:rPr>
                      <w:rFonts w:hint="eastAsia" w:ascii="Times New Roman" w:hAnsi="Times New Roman" w:eastAsia="宋体" w:cs="Times New Roman"/>
                      <w:b w:val="0"/>
                      <w:bCs w:val="0"/>
                      <w:color w:val="auto"/>
                      <w:kern w:val="0"/>
                      <w:sz w:val="21"/>
                      <w:szCs w:val="21"/>
                      <w:highlight w:val="none"/>
                      <w:vertAlign w:val="baseline"/>
                      <w:lang w:val="en-US" w:eastAsia="zh-CN"/>
                    </w:rPr>
                    <w:t>470.7</w:t>
                  </w:r>
                </w:p>
              </w:tc>
            </w:tr>
          </w:tbl>
          <w:p w14:paraId="18EA1149">
            <w:pPr>
              <w:autoSpaceDE w:val="0"/>
              <w:autoSpaceDN w:val="0"/>
              <w:spacing w:line="240" w:lineRule="auto"/>
              <w:ind w:firstLine="420" w:firstLineChars="200"/>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注：</w:t>
            </w:r>
            <w:r>
              <w:rPr>
                <w:rFonts w:hint="eastAsia" w:ascii="Times New Roman" w:hAnsi="Times New Roman" w:eastAsia="宋体" w:cs="Times New Roman"/>
                <w:b w:val="0"/>
                <w:bCs w:val="0"/>
                <w:color w:val="auto"/>
                <w:kern w:val="0"/>
                <w:sz w:val="21"/>
                <w:szCs w:val="21"/>
                <w:highlight w:val="none"/>
                <w:vertAlign w:val="baseline"/>
                <w:lang w:val="en-US" w:eastAsia="zh-CN"/>
              </w:rPr>
              <w:t>电解液</w:t>
            </w:r>
            <w:r>
              <w:rPr>
                <w:rFonts w:hint="eastAsia" w:ascii="Times New Roman" w:hAnsi="Times New Roman" w:eastAsia="宋体" w:cs="Times New Roman"/>
                <w:color w:val="auto"/>
                <w:sz w:val="21"/>
                <w:szCs w:val="21"/>
                <w:highlight w:val="none"/>
                <w:lang w:val="en-US" w:eastAsia="zh-CN"/>
              </w:rPr>
              <w:t>用量1122.4t/a，其中六氟磷酸锂0-30%（本次评价取30%），则磷投入量1122.4×30%×30.97/152≈68.6t/a。</w:t>
            </w:r>
          </w:p>
          <w:p w14:paraId="0BA83CA8">
            <w:pPr>
              <w:autoSpaceDE w:val="0"/>
              <w:autoSpaceDN w:val="0"/>
              <w:spacing w:line="240" w:lineRule="auto"/>
              <w:ind w:firstLine="420" w:firstLineChars="200"/>
              <w:rPr>
                <w:rFonts w:hint="default"/>
                <w:color w:val="auto"/>
              </w:rPr>
            </w:pPr>
            <w:r>
              <w:rPr>
                <w:rFonts w:hint="eastAsia" w:ascii="Times New Roman" w:hAnsi="Times New Roman" w:eastAsia="宋体" w:cs="Times New Roman"/>
                <w:color w:val="auto"/>
                <w:sz w:val="21"/>
                <w:szCs w:val="21"/>
                <w:highlight w:val="none"/>
                <w:lang w:val="en-US" w:eastAsia="zh-CN"/>
              </w:rPr>
              <w:t>磷酸铁锂用量2051.3t/a，磷投入量2051.3×1×30.97/158≈402.1t/a。</w:t>
            </w:r>
          </w:p>
        </w:tc>
      </w:tr>
      <w:tr w14:paraId="4FCB7B6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08" w:type="dxa"/>
            <w:tcBorders>
              <w:left w:val="single" w:color="auto" w:sz="4" w:space="0"/>
            </w:tcBorders>
            <w:vAlign w:val="center"/>
          </w:tcPr>
          <w:p w14:paraId="00318DDD">
            <w:pPr>
              <w:pStyle w:val="37"/>
              <w:adjustRightInd w:val="0"/>
              <w:snapToGrid w:val="0"/>
              <w:spacing w:before="0" w:beforeAutospacing="0" w:after="0" w:afterAutospacing="0"/>
              <w:jc w:val="center"/>
              <w:rPr>
                <w:rFonts w:hint="eastAsia" w:ascii="Times New Roman" w:hAnsi="Times New Roman" w:cs="宋体"/>
                <w:color w:val="auto"/>
                <w:sz w:val="24"/>
                <w:szCs w:val="24"/>
              </w:rPr>
            </w:pPr>
            <w:r>
              <w:rPr>
                <w:rFonts w:hint="eastAsia" w:ascii="Times New Roman" w:hAnsi="Times New Roman" w:eastAsia="宋体" w:cs="Times New Roman"/>
                <w:b/>
                <w:bCs/>
                <w:color w:val="auto"/>
                <w:kern w:val="0"/>
                <w:sz w:val="24"/>
                <w:szCs w:val="24"/>
                <w:lang w:val="en-US" w:eastAsia="zh-CN" w:bidi="ar-SA"/>
              </w:rPr>
              <w:t>工艺流程和产排污环节</w:t>
            </w:r>
          </w:p>
        </w:tc>
        <w:tc>
          <w:tcPr>
            <w:tcW w:w="7976" w:type="dxa"/>
            <w:tcBorders>
              <w:right w:val="single" w:color="auto" w:sz="4" w:space="0"/>
            </w:tcBorders>
          </w:tcPr>
          <w:p w14:paraId="76A30D5E">
            <w:pPr>
              <w:pStyle w:val="66"/>
              <w:keepNext w:val="0"/>
              <w:keepLines w:val="0"/>
              <w:pageBreakBefore w:val="0"/>
              <w:widowControl w:val="0"/>
              <w:kinsoku/>
              <w:wordWrap/>
              <w:overflowPunct/>
              <w:topLinePunct w:val="0"/>
              <w:autoSpaceDE w:val="0"/>
              <w:autoSpaceDN w:val="0"/>
              <w:bidi w:val="0"/>
              <w:adjustRightInd w:val="0"/>
              <w:snapToGrid w:val="0"/>
              <w:spacing w:line="360" w:lineRule="auto"/>
              <w:ind w:firstLine="482"/>
              <w:textAlignment w:val="auto"/>
              <w:rPr>
                <w:rFonts w:hint="eastAsia" w:ascii="Times New Roman" w:hAnsi="Times New Roman" w:eastAsia="宋体" w:cs="Times New Roman"/>
                <w:b/>
                <w:bCs/>
                <w:color w:val="auto"/>
                <w:lang w:val="en-US" w:eastAsia="zh-CN"/>
              </w:rPr>
            </w:pPr>
            <w:r>
              <w:rPr>
                <w:rFonts w:hint="eastAsia" w:ascii="Times New Roman" w:hAnsi="Times New Roman" w:eastAsia="宋体" w:cs="Times New Roman"/>
                <w:b/>
                <w:bCs/>
                <w:color w:val="auto"/>
                <w:lang w:val="en-US" w:eastAsia="zh-CN"/>
              </w:rPr>
              <w:t>一、施工期施工流程及产污环境分析</w:t>
            </w:r>
          </w:p>
          <w:p w14:paraId="39A1A6DD">
            <w:pPr>
              <w:adjustRightInd w:val="0"/>
              <w:snapToGrid w:val="0"/>
              <w:spacing w:line="360" w:lineRule="auto"/>
              <w:ind w:firstLine="480" w:firstLineChars="200"/>
              <w:rPr>
                <w:rFonts w:hint="eastAsia" w:ascii="Times New Roman" w:hAnsi="Times New Roman" w:eastAsia="宋体" w:cs="Times New Roman"/>
                <w:color w:val="auto"/>
                <w:kern w:val="0"/>
                <w:sz w:val="24"/>
                <w:szCs w:val="24"/>
                <w:lang w:val="en-US" w:eastAsia="zh-CN" w:bidi="ar-SA"/>
              </w:rPr>
            </w:pPr>
            <w:r>
              <w:rPr>
                <w:rFonts w:hint="eastAsia" w:ascii="Times New Roman" w:hAnsi="Times New Roman" w:eastAsia="宋体" w:cs="Times New Roman"/>
                <w:color w:val="auto"/>
                <w:kern w:val="0"/>
                <w:sz w:val="24"/>
                <w:szCs w:val="24"/>
                <w:lang w:val="en-US" w:eastAsia="zh-CN" w:bidi="ar-SA"/>
              </w:rPr>
              <w:t>本项目施工期不涉及表土剥离、建筑基础开挖，主要建设内容包括建筑适应性改造、装饰、设备安装与调试等。施工期将产生扬尘、建筑垃圾、装修废气、噪声、设备安装产生的包装废弃物、施工人员的生活污水、生活垃圾等，其排放量随施工期和施工强度不同而有所变化。但这些污染是暂时性的，会随着施工结束而消失。</w:t>
            </w:r>
          </w:p>
          <w:p w14:paraId="71D849FD">
            <w:pPr>
              <w:adjustRightInd w:val="0"/>
              <w:snapToGrid w:val="0"/>
              <w:spacing w:line="360" w:lineRule="auto"/>
              <w:jc w:val="center"/>
              <w:rPr>
                <w:color w:val="auto"/>
                <w:sz w:val="24"/>
                <w:highlight w:val="none"/>
              </w:rPr>
            </w:pPr>
            <w:r>
              <w:rPr>
                <w:rFonts w:hint="eastAsia" w:ascii="Times New Roman" w:hAnsi="Times New Roman" w:eastAsia="宋体"/>
                <w:color w:val="auto"/>
                <w:lang w:eastAsia="zh-CN"/>
              </w:rPr>
              <w:drawing>
                <wp:inline distT="0" distB="0" distL="114300" distR="114300">
                  <wp:extent cx="4987925" cy="1315720"/>
                  <wp:effectExtent l="0" t="0" r="3175" b="17780"/>
                  <wp:docPr id="13" name="图片 2" descr="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2" descr="图片"/>
                          <pic:cNvPicPr>
                            <a:picLocks noChangeAspect="1"/>
                          </pic:cNvPicPr>
                        </pic:nvPicPr>
                        <pic:blipFill>
                          <a:blip r:embed="rId22"/>
                          <a:stretch>
                            <a:fillRect/>
                          </a:stretch>
                        </pic:blipFill>
                        <pic:spPr>
                          <a:xfrm>
                            <a:off x="0" y="0"/>
                            <a:ext cx="4987925" cy="1315720"/>
                          </a:xfrm>
                          <a:prstGeom prst="rect">
                            <a:avLst/>
                          </a:prstGeom>
                          <a:noFill/>
                          <a:ln>
                            <a:noFill/>
                          </a:ln>
                        </pic:spPr>
                      </pic:pic>
                    </a:graphicData>
                  </a:graphic>
                </wp:inline>
              </w:drawing>
            </w:r>
          </w:p>
          <w:p w14:paraId="66F959A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Times New Roman" w:hAnsi="Times New Roman"/>
                <w:color w:val="auto"/>
                <w:sz w:val="21"/>
                <w:szCs w:val="21"/>
                <w:highlight w:val="none"/>
              </w:rPr>
            </w:pPr>
            <w:r>
              <w:rPr>
                <w:rFonts w:ascii="Times New Roman" w:hAnsi="Times New Roman"/>
                <w:b/>
                <w:bCs/>
                <w:color w:val="auto"/>
                <w:kern w:val="0"/>
                <w:sz w:val="21"/>
                <w:szCs w:val="21"/>
                <w:highlight w:val="none"/>
                <w:lang w:bidi="ar"/>
              </w:rPr>
              <w:t>图</w:t>
            </w:r>
            <w:r>
              <w:rPr>
                <w:rFonts w:hint="eastAsia" w:ascii="Times New Roman" w:hAnsi="Times New Roman"/>
                <w:b/>
                <w:bCs/>
                <w:color w:val="auto"/>
                <w:kern w:val="0"/>
                <w:sz w:val="21"/>
                <w:szCs w:val="21"/>
                <w:highlight w:val="none"/>
                <w:lang w:bidi="ar"/>
              </w:rPr>
              <w:t>2-</w:t>
            </w:r>
            <w:r>
              <w:rPr>
                <w:rFonts w:hint="eastAsia"/>
                <w:b/>
                <w:bCs/>
                <w:color w:val="auto"/>
                <w:kern w:val="0"/>
                <w:sz w:val="21"/>
                <w:szCs w:val="21"/>
                <w:highlight w:val="none"/>
                <w:lang w:val="en-US" w:eastAsia="zh-CN" w:bidi="ar"/>
              </w:rPr>
              <w:t>5</w:t>
            </w:r>
            <w:r>
              <w:rPr>
                <w:rFonts w:hint="eastAsia" w:ascii="Times New Roman" w:hAnsi="Times New Roman"/>
                <w:b/>
                <w:bCs/>
                <w:color w:val="auto"/>
                <w:kern w:val="0"/>
                <w:sz w:val="21"/>
                <w:szCs w:val="21"/>
                <w:highlight w:val="none"/>
                <w:lang w:bidi="ar"/>
              </w:rPr>
              <w:t xml:space="preserve"> 施工期工艺流程及产污环节图</w:t>
            </w:r>
          </w:p>
          <w:p w14:paraId="6CD4407C">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Times New Roman" w:hAnsi="Times New Roman" w:eastAsia="宋体" w:cs="Times New Roman"/>
                <w:color w:val="auto"/>
                <w:kern w:val="0"/>
                <w:sz w:val="24"/>
                <w:szCs w:val="24"/>
                <w:lang w:val="en-US" w:eastAsia="zh-CN" w:bidi="ar-SA"/>
              </w:rPr>
            </w:pPr>
            <w:r>
              <w:rPr>
                <w:rFonts w:hint="eastAsia" w:ascii="Times New Roman" w:hAnsi="Times New Roman" w:eastAsia="宋体" w:cs="Times New Roman"/>
                <w:color w:val="auto"/>
                <w:kern w:val="0"/>
                <w:sz w:val="24"/>
                <w:szCs w:val="24"/>
                <w:lang w:val="en-US" w:eastAsia="zh-CN" w:bidi="ar-SA"/>
              </w:rPr>
              <w:t>项目施工期产生的人员生活污水</w:t>
            </w:r>
            <w:r>
              <w:rPr>
                <w:rFonts w:hint="eastAsia" w:cs="Times New Roman"/>
                <w:color w:val="auto"/>
                <w:kern w:val="0"/>
                <w:sz w:val="24"/>
                <w:szCs w:val="24"/>
                <w:lang w:val="en-US" w:eastAsia="zh-CN" w:bidi="ar-SA"/>
              </w:rPr>
              <w:t>由园区</w:t>
            </w:r>
            <w:r>
              <w:rPr>
                <w:rFonts w:hint="eastAsia" w:ascii="Times New Roman" w:hAnsi="Times New Roman" w:eastAsia="宋体" w:cs="Times New Roman"/>
                <w:color w:val="auto"/>
                <w:kern w:val="0"/>
                <w:sz w:val="24"/>
                <w:szCs w:val="24"/>
                <w:lang w:val="en-US" w:eastAsia="zh-CN" w:bidi="ar-SA"/>
              </w:rPr>
              <w:t>污水处理设施处理后经市政管网排放至处理；通过采取选用低噪声设备、合理安排施工工序及时间等措施，可有效降低施工期噪声对周边环境的影响；施工人员生活垃圾依托现有的暂存设施由环卫部门定期清运处理，废包装材料等可回收资源集中收集后外售，施工期固废去向明确，不会造成二次污染。</w:t>
            </w:r>
          </w:p>
          <w:p w14:paraId="1A2811FB">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color w:val="auto"/>
              </w:rPr>
            </w:pPr>
            <w:r>
              <w:rPr>
                <w:rFonts w:hint="eastAsia" w:ascii="Times New Roman" w:hAnsi="Times New Roman" w:eastAsia="宋体" w:cs="Times New Roman"/>
                <w:color w:val="auto"/>
                <w:kern w:val="0"/>
                <w:sz w:val="24"/>
                <w:szCs w:val="24"/>
                <w:lang w:val="en-US" w:eastAsia="zh-CN" w:bidi="ar-SA"/>
              </w:rPr>
              <w:t>施工周期短，上述污染物将随着施工期的结束而结束</w:t>
            </w:r>
          </w:p>
          <w:p w14:paraId="3A541C3F">
            <w:pPr>
              <w:pStyle w:val="66"/>
              <w:keepNext w:val="0"/>
              <w:keepLines w:val="0"/>
              <w:pageBreakBefore w:val="0"/>
              <w:widowControl w:val="0"/>
              <w:kinsoku/>
              <w:wordWrap/>
              <w:overflowPunct/>
              <w:topLinePunct w:val="0"/>
              <w:autoSpaceDE w:val="0"/>
              <w:autoSpaceDN w:val="0"/>
              <w:bidi w:val="0"/>
              <w:adjustRightInd w:val="0"/>
              <w:snapToGrid w:val="0"/>
              <w:spacing w:line="360" w:lineRule="auto"/>
              <w:ind w:firstLine="482"/>
              <w:textAlignment w:val="auto"/>
              <w:rPr>
                <w:rFonts w:hint="eastAsia" w:ascii="Times New Roman" w:hAnsi="Times New Roman" w:eastAsia="宋体" w:cs="Times New Roman"/>
                <w:b/>
                <w:bCs/>
                <w:color w:val="auto"/>
                <w:lang w:val="en-US" w:eastAsia="zh-CN"/>
              </w:rPr>
            </w:pPr>
            <w:r>
              <w:rPr>
                <w:rFonts w:hint="eastAsia" w:ascii="Times New Roman" w:hAnsi="Times New Roman" w:eastAsia="宋体" w:cs="Times New Roman"/>
                <w:b/>
                <w:bCs/>
                <w:color w:val="auto"/>
                <w:lang w:val="en-US" w:eastAsia="zh-CN"/>
              </w:rPr>
              <w:t>二、运营期工艺流程及产污环节分析</w:t>
            </w:r>
          </w:p>
          <w:p w14:paraId="63D98687">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Times New Roman" w:hAnsi="Times New Roman" w:eastAsia="宋体" w:cs="Times New Roman"/>
                <w:color w:val="auto"/>
                <w:kern w:val="0"/>
                <w:sz w:val="24"/>
                <w:szCs w:val="24"/>
                <w:lang w:val="en-US" w:eastAsia="zh-CN" w:bidi="ar-SA"/>
              </w:rPr>
            </w:pPr>
            <w:bookmarkStart w:id="11" w:name="_Hlk169776622"/>
            <w:r>
              <w:rPr>
                <w:rFonts w:ascii="宋体" w:hAnsi="宋体" w:eastAsia="宋体" w:cs="宋体"/>
                <w:color w:val="auto"/>
                <w:sz w:val="24"/>
                <w:szCs w:val="24"/>
              </w:rPr>
              <w:t>本项目产品包含宽温域长寿命磷酸铁锂蓄电池、超充高倍率锂离子蓄电池及高比能高倍率固态电池，各类产品生产工艺流程基本相同，</w:t>
            </w:r>
            <w:r>
              <w:rPr>
                <w:rFonts w:hint="eastAsia" w:ascii="宋体" w:hAnsi="宋体" w:eastAsia="宋体" w:cs="宋体"/>
                <w:color w:val="auto"/>
                <w:sz w:val="24"/>
                <w:szCs w:val="24"/>
                <w:lang w:val="en-US" w:eastAsia="zh-CN"/>
              </w:rPr>
              <w:t>仅</w:t>
            </w:r>
            <w:r>
              <w:rPr>
                <w:rFonts w:ascii="宋体" w:hAnsi="宋体" w:eastAsia="宋体" w:cs="宋体"/>
                <w:color w:val="auto"/>
                <w:sz w:val="24"/>
                <w:szCs w:val="24"/>
              </w:rPr>
              <w:t>原辅材料配比、零部件规格及投料用量存在差异</w:t>
            </w:r>
            <w:r>
              <w:rPr>
                <w:rFonts w:hint="eastAsia" w:ascii="Times New Roman" w:hAnsi="Times New Roman" w:eastAsia="宋体" w:cs="Times New Roman"/>
                <w:color w:val="auto"/>
                <w:kern w:val="0"/>
                <w:sz w:val="24"/>
                <w:szCs w:val="24"/>
                <w:lang w:val="en-US" w:eastAsia="zh-CN" w:bidi="ar-SA"/>
              </w:rPr>
              <w:t>。</w:t>
            </w:r>
          </w:p>
          <w:p w14:paraId="43DF17C8">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Times New Roman" w:hAnsi="Times New Roman" w:eastAsia="宋体" w:cs="Times New Roman"/>
                <w:color w:val="auto"/>
                <w:kern w:val="0"/>
                <w:sz w:val="24"/>
                <w:szCs w:val="24"/>
                <w:lang w:val="en-US" w:eastAsia="zh-CN" w:bidi="ar-SA"/>
              </w:rPr>
            </w:pPr>
            <w:r>
              <w:rPr>
                <w:rFonts w:hint="eastAsia" w:ascii="Times New Roman" w:hAnsi="Times New Roman" w:eastAsia="宋体" w:cs="Times New Roman"/>
                <w:color w:val="auto"/>
                <w:kern w:val="0"/>
                <w:sz w:val="24"/>
                <w:szCs w:val="24"/>
                <w:lang w:val="en-US" w:eastAsia="zh-CN" w:bidi="ar-SA"/>
              </w:rPr>
              <w:t>对单体电池PACK、模组集成电源系统。</w:t>
            </w:r>
          </w:p>
          <w:p w14:paraId="527427D9">
            <w:pPr>
              <w:adjustRightInd w:val="0"/>
              <w:snapToGrid w:val="0"/>
              <w:spacing w:line="360" w:lineRule="auto"/>
              <w:ind w:firstLine="482" w:firstLineChars="200"/>
              <w:rPr>
                <w:rFonts w:hint="eastAsia" w:ascii="宋体" w:hAnsi="宋体" w:cs="宋体"/>
                <w:color w:val="auto"/>
                <w:sz w:val="24"/>
                <w:szCs w:val="24"/>
                <w:lang w:val="en-US" w:eastAsia="zh-CN"/>
              </w:rPr>
            </w:pPr>
            <w:r>
              <w:rPr>
                <w:rFonts w:hint="eastAsia"/>
                <w:b/>
                <w:bCs/>
                <w:color w:val="auto"/>
                <w:sz w:val="24"/>
                <w:szCs w:val="24"/>
              </w:rPr>
              <w:t>1</w:t>
            </w:r>
            <w:r>
              <w:rPr>
                <w:rFonts w:hint="eastAsia"/>
                <w:b/>
                <w:bCs/>
                <w:color w:val="auto"/>
                <w:sz w:val="24"/>
                <w:szCs w:val="24"/>
                <w:lang w:eastAsia="zh-CN"/>
              </w:rPr>
              <w:t>、</w:t>
            </w:r>
            <w:r>
              <w:rPr>
                <w:rFonts w:hint="eastAsia"/>
                <w:b/>
                <w:bCs/>
                <w:color w:val="auto"/>
                <w:sz w:val="24"/>
                <w:szCs w:val="24"/>
              </w:rPr>
              <w:t>单体电池生产工艺流程及产污环节</w:t>
            </w:r>
          </w:p>
          <w:p w14:paraId="56BDB7BD">
            <w:pPr>
              <w:adjustRightInd w:val="0"/>
              <w:snapToGrid w:val="0"/>
              <w:spacing w:line="360" w:lineRule="auto"/>
              <w:ind w:firstLine="480" w:firstLineChars="200"/>
              <w:rPr>
                <w:rFonts w:hint="eastAsia" w:ascii="Times New Roman" w:hAnsi="Times New Roman"/>
                <w:b w:val="0"/>
                <w:bCs w:val="0"/>
                <w:color w:val="auto"/>
                <w:sz w:val="24"/>
                <w:highlight w:val="none"/>
                <w:lang w:val="en-US" w:eastAsia="zh-CN"/>
              </w:rPr>
            </w:pPr>
            <w:r>
              <w:rPr>
                <w:rFonts w:hint="eastAsia" w:ascii="宋体" w:hAnsi="宋体" w:cs="宋体"/>
                <w:color w:val="auto"/>
                <w:sz w:val="24"/>
                <w:szCs w:val="24"/>
                <w:lang w:val="en-US" w:eastAsia="zh-CN"/>
              </w:rPr>
              <w:t>本项目</w:t>
            </w:r>
            <w:r>
              <w:rPr>
                <w:rFonts w:ascii="宋体" w:hAnsi="宋体" w:eastAsia="宋体" w:cs="宋体"/>
                <w:color w:val="auto"/>
                <w:sz w:val="24"/>
                <w:szCs w:val="24"/>
              </w:rPr>
              <w:t>具体生产流程及对应的产污环节详见下图</w:t>
            </w:r>
            <w:r>
              <w:rPr>
                <w:rFonts w:hint="eastAsia" w:ascii="Times New Roman" w:hAnsi="Times New Roman"/>
                <w:b w:val="0"/>
                <w:bCs w:val="0"/>
                <w:color w:val="auto"/>
                <w:sz w:val="24"/>
                <w:highlight w:val="none"/>
                <w:lang w:val="en-US" w:eastAsia="zh-CN"/>
              </w:rPr>
              <w:t>：</w:t>
            </w:r>
          </w:p>
          <w:p w14:paraId="3CA641D2">
            <w:pPr>
              <w:pStyle w:val="34"/>
              <w:rPr>
                <w:rFonts w:hint="eastAsia" w:ascii="Times New Roman" w:hAnsi="Times New Roman"/>
                <w:b w:val="0"/>
                <w:bCs w:val="0"/>
                <w:color w:val="auto"/>
                <w:sz w:val="24"/>
                <w:highlight w:val="none"/>
                <w:lang w:val="en-US" w:eastAsia="zh-CN"/>
              </w:rPr>
            </w:pPr>
          </w:p>
          <w:p w14:paraId="6CE851E3">
            <w:pPr>
              <w:rPr>
                <w:rFonts w:hint="eastAsia" w:ascii="Times New Roman" w:hAnsi="Times New Roman"/>
                <w:b w:val="0"/>
                <w:bCs w:val="0"/>
                <w:color w:val="auto"/>
                <w:sz w:val="24"/>
                <w:highlight w:val="none"/>
                <w:lang w:val="en-US" w:eastAsia="zh-CN"/>
              </w:rPr>
            </w:pPr>
          </w:p>
          <w:p w14:paraId="1651A461">
            <w:pPr>
              <w:adjustRightInd w:val="0"/>
              <w:snapToGrid w:val="0"/>
              <w:spacing w:line="360" w:lineRule="auto"/>
              <w:jc w:val="center"/>
              <w:rPr>
                <w:rFonts w:hint="eastAsia" w:ascii="Times New Roman" w:hAnsi="Times New Roman"/>
                <w:b w:val="0"/>
                <w:bCs w:val="0"/>
                <w:color w:val="auto"/>
                <w:sz w:val="24"/>
                <w:highlight w:val="none"/>
                <w:lang w:val="en-US" w:eastAsia="zh-CN"/>
              </w:rPr>
            </w:pPr>
            <w:r>
              <w:rPr>
                <w:rFonts w:hint="eastAsia" w:ascii="Times New Roman" w:hAnsi="Times New Roman"/>
                <w:b w:val="0"/>
                <w:bCs w:val="0"/>
                <w:color w:val="auto"/>
                <w:sz w:val="24"/>
                <w:highlight w:val="none"/>
                <w:lang w:val="en-US" w:eastAsia="zh-CN"/>
              </w:rPr>
              <w:object>
                <v:shape id="_x0000_i1029" o:spt="75" type="#_x0000_t75" style="height:490.85pt;width:387.6pt;" o:ole="t" filled="f" o:preferrelative="t" stroked="f" coordsize="21600,21600">
                  <v:path/>
                  <v:fill on="f" focussize="0,0"/>
                  <v:stroke on="f"/>
                  <v:imagedata r:id="rId24" o:title=""/>
                  <o:lock v:ext="edit" aspectratio="f"/>
                  <w10:wrap type="none"/>
                  <w10:anchorlock/>
                </v:shape>
                <o:OLEObject Type="Embed" ProgID="Visio.Drawing.15" ShapeID="_x0000_i1029" DrawAspect="Content" ObjectID="_1468075729" r:id="rId23">
                  <o:LockedField>false</o:LockedField>
                </o:OLEObject>
              </w:object>
            </w:r>
          </w:p>
          <w:p w14:paraId="1AEC44BC">
            <w:pPr>
              <w:pStyle w:val="68"/>
              <w:rPr>
                <w:rFonts w:hint="default" w:ascii="Times New Roman" w:hAnsi="Times New Roman" w:eastAsia="宋体" w:cs="Times New Roman"/>
                <w:b/>
                <w:bCs/>
                <w:color w:val="auto"/>
              </w:rPr>
            </w:pPr>
            <w:r>
              <w:rPr>
                <w:rFonts w:hint="default" w:ascii="Times New Roman" w:hAnsi="Times New Roman" w:eastAsia="宋体" w:cs="Times New Roman"/>
                <w:b/>
                <w:bCs/>
                <w:color w:val="auto"/>
              </w:rPr>
              <w:t>图2-</w:t>
            </w:r>
            <w:r>
              <w:rPr>
                <w:rFonts w:hint="eastAsia" w:eastAsia="宋体" w:cs="Times New Roman"/>
                <w:b/>
                <w:bCs/>
                <w:color w:val="auto"/>
                <w:lang w:val="en-US" w:eastAsia="zh-CN"/>
              </w:rPr>
              <w:t>6</w:t>
            </w:r>
            <w:r>
              <w:rPr>
                <w:rFonts w:hint="default" w:ascii="Times New Roman" w:hAnsi="Times New Roman" w:eastAsia="宋体" w:cs="Times New Roman"/>
                <w:b/>
                <w:bCs/>
                <w:color w:val="auto"/>
              </w:rPr>
              <w:t xml:space="preserve">  工艺流程及产污分析图</w:t>
            </w:r>
          </w:p>
          <w:p w14:paraId="4A7CF730">
            <w:pPr>
              <w:pStyle w:val="66"/>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firstLine="482" w:firstLineChars="200"/>
              <w:textAlignment w:val="auto"/>
              <w:rPr>
                <w:rFonts w:hint="eastAsia"/>
                <w:b/>
                <w:bCs/>
                <w:color w:val="auto"/>
                <w:lang w:val="en-US" w:eastAsia="zh-CN"/>
              </w:rPr>
            </w:pPr>
            <w:r>
              <w:rPr>
                <w:rFonts w:hint="eastAsia"/>
                <w:b/>
                <w:bCs/>
                <w:color w:val="auto"/>
                <w:lang w:val="en-US" w:eastAsia="zh-CN"/>
              </w:rPr>
              <w:t>工艺流程简述：</w:t>
            </w:r>
          </w:p>
          <w:p w14:paraId="75BE4B0E">
            <w:pPr>
              <w:pStyle w:val="66"/>
              <w:keepNext w:val="0"/>
              <w:keepLines w:val="0"/>
              <w:pageBreakBefore w:val="0"/>
              <w:widowControl w:val="0"/>
              <w:kinsoku/>
              <w:wordWrap/>
              <w:overflowPunct/>
              <w:topLinePunct w:val="0"/>
              <w:autoSpaceDE w:val="0"/>
              <w:autoSpaceDN w:val="0"/>
              <w:bidi w:val="0"/>
              <w:spacing w:line="360" w:lineRule="auto"/>
              <w:ind w:firstLine="480" w:firstLineChars="200"/>
              <w:textAlignment w:val="auto"/>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1）极片制作工序</w:t>
            </w:r>
          </w:p>
          <w:p w14:paraId="35BB1E50">
            <w:pPr>
              <w:pStyle w:val="66"/>
              <w:keepNext w:val="0"/>
              <w:keepLines w:val="0"/>
              <w:pageBreakBefore w:val="0"/>
              <w:widowControl w:val="0"/>
              <w:kinsoku/>
              <w:wordWrap/>
              <w:overflowPunct/>
              <w:topLinePunct w:val="0"/>
              <w:autoSpaceDE w:val="0"/>
              <w:autoSpaceDN w:val="0"/>
              <w:bidi w:val="0"/>
              <w:spacing w:line="360" w:lineRule="auto"/>
              <w:ind w:firstLine="480" w:firstLineChars="200"/>
              <w:textAlignment w:val="auto"/>
              <w:rPr>
                <w:rFonts w:hint="eastAsia" w:ascii="Times New Roman" w:hAnsi="Times New Roman" w:eastAsia="宋体" w:cs="Times New Roman"/>
                <w:color w:val="auto"/>
              </w:rPr>
            </w:pPr>
            <w:r>
              <w:rPr>
                <w:rFonts w:hint="eastAsia" w:cs="Times New Roman"/>
                <w:color w:val="auto"/>
                <w:lang w:val="en-US" w:eastAsia="zh-CN"/>
              </w:rPr>
              <w:t>①</w:t>
            </w:r>
            <w:r>
              <w:rPr>
                <w:rFonts w:hint="eastAsia" w:ascii="Times New Roman" w:hAnsi="Times New Roman" w:eastAsia="宋体" w:cs="Times New Roman"/>
                <w:color w:val="auto"/>
              </w:rPr>
              <w:t>正、负极浆料制备</w:t>
            </w:r>
          </w:p>
          <w:p w14:paraId="7BB58372">
            <w:pPr>
              <w:pStyle w:val="66"/>
              <w:keepNext w:val="0"/>
              <w:keepLines w:val="0"/>
              <w:pageBreakBefore w:val="0"/>
              <w:widowControl w:val="0"/>
              <w:kinsoku/>
              <w:wordWrap/>
              <w:overflowPunct/>
              <w:topLinePunct w:val="0"/>
              <w:autoSpaceDE w:val="0"/>
              <w:autoSpaceDN w:val="0"/>
              <w:bidi w:val="0"/>
              <w:spacing w:line="360" w:lineRule="auto"/>
              <w:ind w:firstLine="480" w:firstLineChars="200"/>
              <w:textAlignment w:val="auto"/>
              <w:rPr>
                <w:rFonts w:hint="eastAsia" w:ascii="Times New Roman" w:hAnsi="Times New Roman" w:eastAsia="宋体" w:cs="Times New Roman"/>
                <w:color w:val="auto"/>
              </w:rPr>
            </w:pPr>
            <w:r>
              <w:rPr>
                <w:rFonts w:hint="eastAsia" w:ascii="Times New Roman" w:hAnsi="Times New Roman" w:eastAsia="宋体" w:cs="Times New Roman"/>
                <w:color w:val="auto"/>
              </w:rPr>
              <w:t>正负极制浆在两个独立工段。正极溶剂NMP存放在</w:t>
            </w:r>
            <w:r>
              <w:rPr>
                <w:rFonts w:hint="eastAsia" w:cs="Times New Roman"/>
                <w:color w:val="auto"/>
                <w:lang w:val="en-US" w:eastAsia="zh-CN"/>
              </w:rPr>
              <w:t>10</w:t>
            </w:r>
            <w:r>
              <w:rPr>
                <w:rFonts w:hint="eastAsia" w:ascii="Times New Roman" w:hAnsi="Times New Roman" w:eastAsia="宋体" w:cs="Times New Roman"/>
                <w:color w:val="auto"/>
              </w:rPr>
              <w:t>00kg密封</w:t>
            </w:r>
            <w:r>
              <w:rPr>
                <w:rFonts w:hint="eastAsia" w:cs="Times New Roman"/>
                <w:color w:val="auto"/>
                <w:lang w:val="en-US" w:eastAsia="zh-CN"/>
              </w:rPr>
              <w:t>塑料桶</w:t>
            </w:r>
            <w:r>
              <w:rPr>
                <w:rFonts w:hint="eastAsia" w:ascii="Times New Roman" w:hAnsi="Times New Roman" w:eastAsia="宋体" w:cs="Times New Roman"/>
                <w:color w:val="auto"/>
              </w:rPr>
              <w:t>中，采用取料管定量取出，通过液体加料口加入自动化制浆系统。取磷酸铁锂、CNT、PVDF分别加入粉料加料口。NMP自动加入PVDF粉料混合，搅拌2h左右，以使粘结剂充分溶胀、溶解，然后自动将磷酸铁锂、CNT均匀分四次加入制浆系统，搅拌粉料时会发热，设备通过冷却循环水系统温度控制在30℃左右，搅拌6～8h，待浆料充分混合均匀后开启制浆系统真空设施，使设备内保持真空度为-0.09MPa，再搅拌30min左右即制成正极浆料，呈黑色粘稠状。</w:t>
            </w:r>
          </w:p>
          <w:p w14:paraId="31DB6C03">
            <w:pPr>
              <w:pStyle w:val="66"/>
              <w:keepNext w:val="0"/>
              <w:keepLines w:val="0"/>
              <w:pageBreakBefore w:val="0"/>
              <w:widowControl w:val="0"/>
              <w:kinsoku/>
              <w:wordWrap/>
              <w:overflowPunct/>
              <w:topLinePunct w:val="0"/>
              <w:autoSpaceDE w:val="0"/>
              <w:autoSpaceDN w:val="0"/>
              <w:bidi w:val="0"/>
              <w:spacing w:line="360" w:lineRule="auto"/>
              <w:ind w:firstLine="480" w:firstLineChars="200"/>
              <w:textAlignment w:val="auto"/>
              <w:rPr>
                <w:rFonts w:hint="eastAsia" w:ascii="Times New Roman" w:hAnsi="Times New Roman" w:eastAsia="宋体" w:cs="Times New Roman"/>
                <w:color w:val="auto"/>
              </w:rPr>
            </w:pPr>
            <w:r>
              <w:rPr>
                <w:rFonts w:hint="eastAsia" w:ascii="Times New Roman" w:hAnsi="Times New Roman" w:eastAsia="宋体" w:cs="Times New Roman"/>
                <w:color w:val="auto"/>
              </w:rPr>
              <w:t>将负极溶剂纯水和石墨、CNT、CMC</w:t>
            </w:r>
            <w:r>
              <w:rPr>
                <w:rFonts w:hint="eastAsia" w:cs="Times New Roman"/>
                <w:color w:val="auto"/>
                <w:lang w:eastAsia="zh-CN"/>
              </w:rPr>
              <w:t>、</w:t>
            </w:r>
            <w:r>
              <w:rPr>
                <w:rFonts w:hint="eastAsia" w:cs="Times New Roman"/>
                <w:color w:val="auto"/>
                <w:lang w:val="en-US" w:eastAsia="zh-CN"/>
              </w:rPr>
              <w:t>SBR</w:t>
            </w:r>
            <w:r>
              <w:rPr>
                <w:rFonts w:hint="eastAsia" w:ascii="Times New Roman" w:hAnsi="Times New Roman" w:eastAsia="宋体" w:cs="Times New Roman"/>
                <w:color w:val="auto"/>
              </w:rPr>
              <w:t>分别加入负极自动化制浆系统液体加料口和粉料加料口。纯水自动加入CMC粉料混合，搅拌1h左右，以使CMC粉料充分溶胀、溶解，然后自动将石墨、CNT均匀分四次加入制浆系统，温度控制在30℃左右，搅拌时间6~8h，待浆料充分混合均匀后开启制浆系统真空设施，使设备内保持真空度为-0.09MPa至0.10MPa，搅拌30min左右即制成负极浆料，呈黑色粘稠状。</w:t>
            </w:r>
          </w:p>
          <w:p w14:paraId="2456BAE9">
            <w:pPr>
              <w:pStyle w:val="66"/>
              <w:keepNext w:val="0"/>
              <w:keepLines w:val="0"/>
              <w:pageBreakBefore w:val="0"/>
              <w:widowControl w:val="0"/>
              <w:kinsoku/>
              <w:wordWrap/>
              <w:overflowPunct/>
              <w:topLinePunct w:val="0"/>
              <w:autoSpaceDE w:val="0"/>
              <w:autoSpaceDN w:val="0"/>
              <w:bidi w:val="0"/>
              <w:spacing w:line="360" w:lineRule="auto"/>
              <w:ind w:firstLine="480" w:firstLineChars="200"/>
              <w:textAlignment w:val="auto"/>
              <w:rPr>
                <w:rFonts w:hint="eastAsia" w:ascii="Times New Roman" w:hAnsi="Times New Roman" w:eastAsia="宋体" w:cs="Times New Roman"/>
                <w:color w:val="auto"/>
                <w:lang w:val="en-US" w:eastAsia="zh-CN"/>
              </w:rPr>
            </w:pPr>
            <w:r>
              <w:rPr>
                <w:rFonts w:hint="default" w:ascii="Times New Roman" w:hAnsi="Times New Roman" w:eastAsia="宋体" w:cs="Times New Roman"/>
                <w:color w:val="auto"/>
                <w:lang w:val="en-US" w:eastAsia="zh-CN"/>
              </w:rPr>
              <w:t>制浆搅拌</w:t>
            </w:r>
            <w:r>
              <w:rPr>
                <w:rFonts w:hint="default" w:ascii="Times New Roman" w:hAnsi="Times New Roman" w:eastAsia="宋体" w:cs="Times New Roman"/>
                <w:color w:val="auto"/>
              </w:rPr>
              <w:t>过程均在密闭设备内完成</w:t>
            </w:r>
            <w:r>
              <w:rPr>
                <w:rFonts w:hint="default" w:ascii="Times New Roman" w:hAnsi="Times New Roman" w:eastAsia="宋体" w:cs="Times New Roman"/>
                <w:color w:val="auto"/>
                <w:lang w:val="en-US" w:eastAsia="zh-CN"/>
              </w:rPr>
              <w:t>，粉料均溶于溶剂中，搅拌</w:t>
            </w:r>
            <w:r>
              <w:rPr>
                <w:rFonts w:hint="eastAsia" w:ascii="Times New Roman" w:hAnsi="Times New Roman" w:eastAsia="宋体" w:cs="Times New Roman"/>
                <w:color w:val="auto"/>
                <w:lang w:val="en-US" w:eastAsia="zh-CN"/>
              </w:rPr>
              <w:t>粉尘</w:t>
            </w:r>
            <w:r>
              <w:rPr>
                <w:rFonts w:hint="default" w:ascii="Times New Roman" w:hAnsi="Times New Roman" w:eastAsia="宋体" w:cs="Times New Roman"/>
                <w:color w:val="auto"/>
                <w:lang w:val="en-US" w:eastAsia="zh-CN"/>
              </w:rPr>
              <w:t>产生量极少，可忽略；</w:t>
            </w:r>
            <w:r>
              <w:rPr>
                <w:rFonts w:hint="default" w:ascii="Times New Roman" w:hAnsi="Times New Roman" w:eastAsia="宋体" w:cs="Times New Roman"/>
                <w:color w:val="auto"/>
              </w:rPr>
              <w:t>正极</w:t>
            </w:r>
            <w:r>
              <w:rPr>
                <w:rFonts w:hint="default" w:ascii="Times New Roman" w:hAnsi="Times New Roman" w:eastAsia="宋体" w:cs="Times New Roman"/>
                <w:color w:val="auto"/>
                <w:lang w:eastAsia="zh-CN"/>
              </w:rPr>
              <w:t>合浆</w:t>
            </w:r>
            <w:r>
              <w:rPr>
                <w:rFonts w:hint="default" w:ascii="Times New Roman" w:hAnsi="Times New Roman" w:eastAsia="宋体" w:cs="Times New Roman"/>
                <w:color w:val="auto"/>
              </w:rPr>
              <w:t>溶剂为NMP，NMP</w:t>
            </w:r>
            <w:r>
              <w:rPr>
                <w:rFonts w:hint="default" w:ascii="Times New Roman" w:hAnsi="Times New Roman" w:eastAsia="宋体" w:cs="Times New Roman"/>
                <w:color w:val="auto"/>
                <w:lang w:val="en-US" w:eastAsia="zh-CN"/>
              </w:rPr>
              <w:t>能与水混溶，溶于乙醚，丙酮及各种有机溶剂无限混溶，化学性能稳定和热稳定性好，具有极性高，挥发性低等优点</w:t>
            </w:r>
            <w:r>
              <w:rPr>
                <w:rFonts w:hint="eastAsia" w:ascii="Times New Roman" w:hAnsi="Times New Roman" w:eastAsia="宋体" w:cs="Times New Roman"/>
                <w:color w:val="auto"/>
                <w:lang w:val="en-US" w:eastAsia="zh-CN"/>
              </w:rPr>
              <w:t>，</w:t>
            </w:r>
            <w:r>
              <w:rPr>
                <w:rFonts w:hint="default" w:ascii="Times New Roman" w:hAnsi="Times New Roman" w:eastAsia="宋体" w:cs="Times New Roman"/>
                <w:color w:val="auto"/>
                <w:lang w:val="en-US" w:eastAsia="zh-CN"/>
              </w:rPr>
              <w:t>因此上料+</w:t>
            </w:r>
            <w:r>
              <w:rPr>
                <w:rFonts w:hint="eastAsia" w:cs="Times New Roman"/>
                <w:color w:val="auto"/>
                <w:lang w:val="en-US" w:eastAsia="zh-CN"/>
              </w:rPr>
              <w:t>匀浆</w:t>
            </w:r>
            <w:r>
              <w:rPr>
                <w:rFonts w:hint="default" w:ascii="Times New Roman" w:hAnsi="Times New Roman" w:eastAsia="宋体" w:cs="Times New Roman"/>
                <w:color w:val="auto"/>
              </w:rPr>
              <w:t>过程中NMP挥发量可忽略不计</w:t>
            </w:r>
            <w:r>
              <w:rPr>
                <w:rFonts w:hint="eastAsia" w:cs="Times New Roman"/>
                <w:color w:val="auto"/>
                <w:lang w:eastAsia="zh-CN"/>
              </w:rPr>
              <w:t>。</w:t>
            </w:r>
            <w:r>
              <w:rPr>
                <w:rFonts w:hint="eastAsia" w:ascii="Times New Roman" w:hAnsi="Times New Roman" w:eastAsia="宋体" w:cs="Times New Roman"/>
                <w:color w:val="auto"/>
                <w:lang w:eastAsia="zh-CN"/>
              </w:rPr>
              <w:t>（</w:t>
            </w:r>
            <w:r>
              <w:rPr>
                <w:rFonts w:hint="eastAsia" w:ascii="Times New Roman" w:hAnsi="Times New Roman" w:eastAsia="宋体" w:cs="Times New Roman"/>
                <w:color w:val="auto"/>
                <w:lang w:val="en-US" w:eastAsia="zh-CN"/>
              </w:rPr>
              <w:t>此工序主要产生投料粉尘、废包装材料、噪声</w:t>
            </w:r>
            <w:r>
              <w:rPr>
                <w:rFonts w:hint="eastAsia" w:cs="Times New Roman"/>
                <w:color w:val="auto"/>
                <w:lang w:val="en-US" w:eastAsia="zh-CN"/>
              </w:rPr>
              <w:t>、正负极设备清洗废水</w:t>
            </w:r>
            <w:r>
              <w:rPr>
                <w:rFonts w:hint="eastAsia" w:ascii="Times New Roman" w:hAnsi="Times New Roman" w:eastAsia="宋体" w:cs="Times New Roman"/>
                <w:color w:val="auto"/>
                <w:lang w:val="en-US" w:eastAsia="zh-CN"/>
              </w:rPr>
              <w:t>等</w:t>
            </w:r>
            <w:r>
              <w:rPr>
                <w:rFonts w:hint="eastAsia" w:ascii="Times New Roman" w:hAnsi="Times New Roman" w:eastAsia="宋体" w:cs="Times New Roman"/>
                <w:color w:val="auto"/>
                <w:lang w:eastAsia="zh-CN"/>
              </w:rPr>
              <w:t>）</w:t>
            </w:r>
          </w:p>
          <w:p w14:paraId="5A953D17">
            <w:pPr>
              <w:pStyle w:val="66"/>
              <w:keepNext w:val="0"/>
              <w:keepLines w:val="0"/>
              <w:pageBreakBefore w:val="0"/>
              <w:widowControl w:val="0"/>
              <w:kinsoku/>
              <w:wordWrap/>
              <w:overflowPunct/>
              <w:topLinePunct w:val="0"/>
              <w:autoSpaceDE w:val="0"/>
              <w:autoSpaceDN w:val="0"/>
              <w:bidi w:val="0"/>
              <w:spacing w:line="360" w:lineRule="auto"/>
              <w:ind w:firstLine="480" w:firstLineChars="200"/>
              <w:textAlignment w:val="auto"/>
              <w:rPr>
                <w:rFonts w:hint="eastAsia" w:ascii="Times New Roman" w:hAnsi="Times New Roman" w:eastAsia="宋体" w:cs="Times New Roman"/>
                <w:color w:val="auto"/>
              </w:rPr>
            </w:pPr>
            <w:r>
              <w:rPr>
                <w:rFonts w:hint="eastAsia" w:cs="Times New Roman"/>
                <w:color w:val="auto"/>
                <w:lang w:val="en-US" w:eastAsia="zh-CN"/>
              </w:rPr>
              <w:t>②</w:t>
            </w:r>
            <w:r>
              <w:rPr>
                <w:rFonts w:hint="eastAsia" w:ascii="Times New Roman" w:hAnsi="Times New Roman" w:eastAsia="宋体" w:cs="Times New Roman"/>
                <w:color w:val="auto"/>
              </w:rPr>
              <w:t>正、负极浆料涂布、烘干</w:t>
            </w:r>
          </w:p>
          <w:p w14:paraId="3CD8E4DC">
            <w:pPr>
              <w:pStyle w:val="66"/>
              <w:keepNext w:val="0"/>
              <w:keepLines w:val="0"/>
              <w:pageBreakBefore w:val="0"/>
              <w:widowControl w:val="0"/>
              <w:kinsoku/>
              <w:wordWrap/>
              <w:overflowPunct/>
              <w:topLinePunct w:val="0"/>
              <w:autoSpaceDE w:val="0"/>
              <w:autoSpaceDN w:val="0"/>
              <w:bidi w:val="0"/>
              <w:spacing w:line="360" w:lineRule="auto"/>
              <w:ind w:firstLine="480" w:firstLineChars="200"/>
              <w:textAlignment w:val="auto"/>
              <w:rPr>
                <w:rFonts w:hint="eastAsia" w:ascii="Times New Roman" w:hAnsi="Times New Roman" w:eastAsia="宋体" w:cs="Times New Roman"/>
                <w:color w:val="auto"/>
              </w:rPr>
            </w:pPr>
            <w:r>
              <w:rPr>
                <w:rFonts w:hint="eastAsia" w:ascii="Times New Roman" w:hAnsi="Times New Roman" w:eastAsia="宋体" w:cs="Times New Roman"/>
                <w:color w:val="auto"/>
              </w:rPr>
              <w:t>将制备好的正、负极浆料通过制浆系统出料口放料，存放在中转罐内，</w:t>
            </w:r>
            <w:r>
              <w:rPr>
                <w:rFonts w:hint="eastAsia"/>
                <w:color w:val="auto"/>
              </w:rPr>
              <w:t>使用时通过泵料系统取料并加入涂布机缓存罐中，涂布机</w:t>
            </w:r>
            <w:r>
              <w:rPr>
                <w:color w:val="auto"/>
              </w:rPr>
              <w:t>用高精度计量泵把浆料</w:t>
            </w:r>
            <w:r>
              <w:rPr>
                <w:rFonts w:hint="eastAsia" w:ascii="宋体" w:hAnsi="宋体" w:eastAsia="宋体" w:cs="宋体"/>
                <w:color w:val="auto"/>
                <w:lang w:eastAsia="zh-CN"/>
              </w:rPr>
              <w:t>“</w:t>
            </w:r>
            <w:r>
              <w:rPr>
                <w:color w:val="auto"/>
              </w:rPr>
              <w:t>算好量</w:t>
            </w:r>
            <w:r>
              <w:rPr>
                <w:rFonts w:hint="eastAsia" w:ascii="宋体" w:hAnsi="宋体" w:eastAsia="宋体" w:cs="宋体"/>
                <w:color w:val="auto"/>
                <w:lang w:eastAsia="zh-CN"/>
              </w:rPr>
              <w:t>”</w:t>
            </w:r>
            <w:r>
              <w:rPr>
                <w:color w:val="auto"/>
              </w:rPr>
              <w:t>送进一个精密狭缝模头</w:t>
            </w:r>
            <w:r>
              <w:rPr>
                <w:rFonts w:hint="eastAsia"/>
                <w:color w:val="auto"/>
              </w:rPr>
              <w:t>，</w:t>
            </w:r>
            <w:r>
              <w:rPr>
                <w:color w:val="auto"/>
              </w:rPr>
              <w:t>浆料在模唇处形成稳定液桥</w:t>
            </w:r>
            <w:r>
              <w:rPr>
                <w:rFonts w:hint="eastAsia"/>
                <w:color w:val="auto"/>
              </w:rPr>
              <w:t>，涂布作业速度20～50m/min，涂布有效宽度400～1000mm，浆</w:t>
            </w:r>
            <w:r>
              <w:rPr>
                <w:rFonts w:ascii="宋体" w:hAnsi="宋体" w:eastAsia="宋体" w:cs="宋体"/>
                <w:color w:val="auto"/>
                <w:sz w:val="24"/>
                <w:szCs w:val="24"/>
              </w:rPr>
              <w:t>料随</w:t>
            </w:r>
            <w:r>
              <w:rPr>
                <w:color w:val="auto"/>
              </w:rPr>
              <w:t>高速运行的基材</w:t>
            </w:r>
            <w:r>
              <w:rPr>
                <w:rFonts w:hint="eastAsia"/>
                <w:color w:val="auto"/>
              </w:rPr>
              <w:t>（正极集电体为铝箔，负极集电体为铜箔）</w:t>
            </w:r>
            <w:r>
              <w:rPr>
                <w:rFonts w:hint="eastAsia"/>
                <w:color w:val="auto"/>
                <w:lang w:eastAsia="zh-CN"/>
              </w:rPr>
              <w:t>“</w:t>
            </w:r>
            <w:r>
              <w:rPr>
                <w:color w:val="auto"/>
              </w:rPr>
              <w:t>带走</w:t>
            </w:r>
            <w:r>
              <w:rPr>
                <w:rFonts w:hint="eastAsia"/>
                <w:color w:val="auto"/>
                <w:lang w:eastAsia="zh-CN"/>
              </w:rPr>
              <w:t>”</w:t>
            </w:r>
            <w:r>
              <w:rPr>
                <w:color w:val="auto"/>
              </w:rPr>
              <w:t>成膜</w:t>
            </w:r>
            <w:r>
              <w:rPr>
                <w:rFonts w:hint="eastAsia"/>
                <w:color w:val="auto"/>
              </w:rPr>
              <w:t>，然后通过烘箱</w:t>
            </w:r>
            <w:r>
              <w:rPr>
                <w:color w:val="auto"/>
              </w:rPr>
              <w:t>干燥定型</w:t>
            </w:r>
            <w:r>
              <w:rPr>
                <w:rFonts w:hint="eastAsia"/>
                <w:color w:val="auto"/>
              </w:rPr>
              <w:t>，最终收卷</w:t>
            </w:r>
            <w:r>
              <w:rPr>
                <w:rFonts w:hint="eastAsia" w:ascii="Times New Roman" w:hAnsi="Times New Roman" w:eastAsia="宋体" w:cs="Times New Roman"/>
                <w:color w:val="auto"/>
              </w:rPr>
              <w:t>。</w:t>
            </w:r>
          </w:p>
          <w:p w14:paraId="51B05877">
            <w:pPr>
              <w:pStyle w:val="66"/>
              <w:keepNext w:val="0"/>
              <w:keepLines w:val="0"/>
              <w:pageBreakBefore w:val="0"/>
              <w:widowControl w:val="0"/>
              <w:kinsoku/>
              <w:wordWrap/>
              <w:overflowPunct/>
              <w:topLinePunct w:val="0"/>
              <w:autoSpaceDE w:val="0"/>
              <w:autoSpaceDN w:val="0"/>
              <w:bidi w:val="0"/>
              <w:spacing w:line="360" w:lineRule="auto"/>
              <w:ind w:firstLine="480" w:firstLineChars="200"/>
              <w:textAlignment w:val="auto"/>
              <w:rPr>
                <w:rFonts w:hint="eastAsia" w:ascii="Times New Roman" w:hAnsi="Times New Roman" w:eastAsia="宋体" w:cs="Times New Roman"/>
                <w:color w:val="auto"/>
                <w:lang w:eastAsia="zh-CN"/>
              </w:rPr>
            </w:pPr>
            <w:r>
              <w:rPr>
                <w:rFonts w:hint="eastAsia" w:ascii="Times New Roman" w:hAnsi="Times New Roman" w:eastAsia="宋体" w:cs="Times New Roman"/>
                <w:color w:val="auto"/>
              </w:rPr>
              <w:t>涂布机采用电烘干，烘干温度</w:t>
            </w:r>
            <w:r>
              <w:rPr>
                <w:rFonts w:hint="eastAsia" w:cs="Times New Roman"/>
                <w:color w:val="auto"/>
                <w:lang w:val="en-US" w:eastAsia="zh-CN"/>
              </w:rPr>
              <w:t>70~140</w:t>
            </w:r>
            <w:r>
              <w:rPr>
                <w:rFonts w:hint="default" w:ascii="Times New Roman" w:hAnsi="Times New Roman" w:eastAsia="宋体" w:cs="Times New Roman"/>
                <w:color w:val="auto"/>
              </w:rPr>
              <w:t>℃</w:t>
            </w:r>
            <w:r>
              <w:rPr>
                <w:rFonts w:hint="eastAsia" w:ascii="Times New Roman" w:hAnsi="Times New Roman" w:eastAsia="宋体" w:cs="Times New Roman"/>
                <w:color w:val="auto"/>
              </w:rPr>
              <w:t>，烘干过程中，正极</w:t>
            </w:r>
            <w:r>
              <w:rPr>
                <w:rFonts w:hint="eastAsia" w:cs="Times New Roman"/>
                <w:color w:val="auto"/>
                <w:lang w:eastAsia="zh-CN"/>
              </w:rPr>
              <w:t>、</w:t>
            </w:r>
            <w:r>
              <w:rPr>
                <w:rFonts w:hint="eastAsia" w:cs="Times New Roman"/>
                <w:color w:val="auto"/>
                <w:lang w:val="en-US" w:eastAsia="zh-CN"/>
              </w:rPr>
              <w:t>负极</w:t>
            </w:r>
            <w:r>
              <w:rPr>
                <w:rFonts w:hint="eastAsia" w:ascii="Times New Roman" w:hAnsi="Times New Roman" w:eastAsia="宋体" w:cs="Times New Roman"/>
                <w:color w:val="auto"/>
              </w:rPr>
              <w:t>浆料中的NMP全部散发。</w:t>
            </w:r>
            <w:r>
              <w:rPr>
                <w:rFonts w:hint="eastAsia" w:ascii="Times New Roman" w:hAnsi="Times New Roman" w:eastAsia="宋体" w:cs="Times New Roman"/>
                <w:color w:val="auto"/>
                <w:lang w:eastAsia="zh-CN"/>
              </w:rPr>
              <w:t>（</w:t>
            </w:r>
            <w:r>
              <w:rPr>
                <w:rFonts w:hint="eastAsia" w:ascii="Times New Roman" w:hAnsi="Times New Roman" w:eastAsia="宋体" w:cs="Times New Roman"/>
                <w:color w:val="auto"/>
                <w:lang w:val="en-US" w:eastAsia="zh-CN"/>
              </w:rPr>
              <w:t>此工序主要产生NMP废气、噪声、废铝箔、废铜箔</w:t>
            </w:r>
            <w:r>
              <w:rPr>
                <w:rFonts w:hint="eastAsia" w:cs="Times New Roman"/>
                <w:color w:val="auto"/>
                <w:lang w:val="en-US" w:eastAsia="zh-CN"/>
              </w:rPr>
              <w:t>、正负极设备清洗废水</w:t>
            </w:r>
            <w:r>
              <w:rPr>
                <w:rFonts w:hint="eastAsia" w:ascii="Times New Roman" w:hAnsi="Times New Roman" w:eastAsia="宋体" w:cs="Times New Roman"/>
                <w:color w:val="auto"/>
                <w:lang w:val="en-US" w:eastAsia="zh-CN"/>
              </w:rPr>
              <w:t>等</w:t>
            </w:r>
            <w:r>
              <w:rPr>
                <w:rFonts w:hint="eastAsia" w:ascii="Times New Roman" w:hAnsi="Times New Roman" w:eastAsia="宋体" w:cs="Times New Roman"/>
                <w:color w:val="auto"/>
                <w:lang w:eastAsia="zh-CN"/>
              </w:rPr>
              <w:t>）</w:t>
            </w:r>
          </w:p>
          <w:p w14:paraId="2389E394">
            <w:pPr>
              <w:pStyle w:val="66"/>
              <w:keepNext w:val="0"/>
              <w:keepLines w:val="0"/>
              <w:pageBreakBefore w:val="0"/>
              <w:widowControl w:val="0"/>
              <w:kinsoku/>
              <w:wordWrap/>
              <w:overflowPunct/>
              <w:topLinePunct w:val="0"/>
              <w:autoSpaceDE w:val="0"/>
              <w:autoSpaceDN w:val="0"/>
              <w:bidi w:val="0"/>
              <w:spacing w:line="360" w:lineRule="auto"/>
              <w:ind w:firstLine="480" w:firstLineChars="200"/>
              <w:textAlignment w:val="auto"/>
              <w:rPr>
                <w:rFonts w:hint="eastAsia" w:ascii="Times New Roman" w:hAnsi="Times New Roman" w:eastAsia="宋体" w:cs="Times New Roman"/>
                <w:color w:val="auto"/>
              </w:rPr>
            </w:pPr>
            <w:r>
              <w:rPr>
                <w:rFonts w:hint="eastAsia" w:cs="Times New Roman"/>
                <w:color w:val="auto"/>
                <w:lang w:val="en-US" w:eastAsia="zh-CN"/>
              </w:rPr>
              <w:t>③</w:t>
            </w:r>
            <w:r>
              <w:rPr>
                <w:rFonts w:hint="eastAsia" w:ascii="Times New Roman" w:hAnsi="Times New Roman" w:eastAsia="宋体" w:cs="Times New Roman"/>
                <w:color w:val="auto"/>
              </w:rPr>
              <w:t>辊压、分</w:t>
            </w:r>
            <w:r>
              <w:rPr>
                <w:rFonts w:hint="eastAsia" w:cs="Times New Roman"/>
                <w:color w:val="auto"/>
                <w:lang w:val="en-US" w:eastAsia="zh-CN"/>
              </w:rPr>
              <w:t>切</w:t>
            </w:r>
          </w:p>
          <w:p w14:paraId="61D1F75B">
            <w:pPr>
              <w:pStyle w:val="66"/>
              <w:keepNext w:val="0"/>
              <w:keepLines w:val="0"/>
              <w:pageBreakBefore w:val="0"/>
              <w:widowControl w:val="0"/>
              <w:kinsoku/>
              <w:wordWrap/>
              <w:overflowPunct/>
              <w:topLinePunct w:val="0"/>
              <w:autoSpaceDE w:val="0"/>
              <w:autoSpaceDN w:val="0"/>
              <w:bidi w:val="0"/>
              <w:spacing w:line="360" w:lineRule="auto"/>
              <w:ind w:firstLine="480" w:firstLineChars="200"/>
              <w:textAlignment w:val="auto"/>
              <w:rPr>
                <w:rFonts w:hint="eastAsia" w:ascii="Times New Roman" w:hAnsi="Times New Roman" w:eastAsia="宋体" w:cs="Times New Roman"/>
                <w:color w:val="auto"/>
                <w:lang w:val="en-US" w:eastAsia="zh-CN"/>
              </w:rPr>
            </w:pPr>
            <w:r>
              <w:rPr>
                <w:rFonts w:hint="eastAsia" w:cs="Times New Roman"/>
                <w:color w:val="auto"/>
                <w:lang w:val="en-US" w:eastAsia="zh-CN"/>
              </w:rPr>
              <w:t>利用辊分一体机</w:t>
            </w:r>
            <w:r>
              <w:rPr>
                <w:rFonts w:hint="eastAsia" w:ascii="Times New Roman" w:hAnsi="Times New Roman" w:eastAsia="宋体" w:cs="Times New Roman"/>
                <w:color w:val="auto"/>
              </w:rPr>
              <w:t>对极片进行压实以降低极片厚度，</w:t>
            </w:r>
            <w:r>
              <w:rPr>
                <w:rFonts w:hint="eastAsia" w:cs="Times New Roman"/>
                <w:color w:val="auto"/>
                <w:lang w:val="en-US" w:eastAsia="zh-CN"/>
              </w:rPr>
              <w:t>并</w:t>
            </w:r>
            <w:r>
              <w:rPr>
                <w:rFonts w:hint="eastAsia" w:ascii="Times New Roman" w:hAnsi="Times New Roman" w:eastAsia="宋体" w:cs="Times New Roman"/>
                <w:color w:val="auto"/>
              </w:rPr>
              <w:t>分成与产品电池形状大小相同的成品极片，然后进行分切。</w:t>
            </w:r>
            <w:r>
              <w:rPr>
                <w:rFonts w:hint="eastAsia" w:cs="Times New Roman"/>
                <w:color w:val="auto"/>
                <w:lang w:val="en-US" w:eastAsia="zh-CN"/>
              </w:rPr>
              <w:t>（此工序主要产生噪声、废边角料、分切粉尘）</w:t>
            </w:r>
          </w:p>
          <w:p w14:paraId="5030CB45">
            <w:pPr>
              <w:pStyle w:val="66"/>
              <w:keepNext w:val="0"/>
              <w:keepLines w:val="0"/>
              <w:pageBreakBefore w:val="0"/>
              <w:widowControl w:val="0"/>
              <w:kinsoku/>
              <w:wordWrap/>
              <w:overflowPunct/>
              <w:topLinePunct w:val="0"/>
              <w:autoSpaceDE w:val="0"/>
              <w:autoSpaceDN w:val="0"/>
              <w:bidi w:val="0"/>
              <w:spacing w:line="360" w:lineRule="auto"/>
              <w:ind w:firstLine="480" w:firstLineChars="200"/>
              <w:textAlignment w:val="auto"/>
              <w:rPr>
                <w:rFonts w:hint="default" w:ascii="Times New Roman" w:hAnsi="Times New Roman" w:eastAsia="宋体" w:cs="Times New Roman"/>
                <w:color w:val="auto"/>
                <w:lang w:val="en-US" w:eastAsia="zh-CN"/>
              </w:rPr>
            </w:pPr>
            <w:r>
              <w:rPr>
                <w:rFonts w:hint="eastAsia" w:cs="Times New Roman"/>
                <w:color w:val="auto"/>
                <w:lang w:val="en-US" w:eastAsia="zh-CN"/>
              </w:rPr>
              <w:t>④模切</w:t>
            </w:r>
          </w:p>
          <w:p w14:paraId="08FC1450">
            <w:pPr>
              <w:pStyle w:val="66"/>
              <w:keepNext w:val="0"/>
              <w:keepLines w:val="0"/>
              <w:pageBreakBefore w:val="0"/>
              <w:widowControl w:val="0"/>
              <w:kinsoku/>
              <w:wordWrap/>
              <w:overflowPunct/>
              <w:topLinePunct w:val="0"/>
              <w:autoSpaceDE w:val="0"/>
              <w:autoSpaceDN w:val="0"/>
              <w:bidi w:val="0"/>
              <w:spacing w:line="360" w:lineRule="auto"/>
              <w:ind w:firstLine="480" w:firstLineChars="200"/>
              <w:textAlignment w:val="auto"/>
              <w:rPr>
                <w:rFonts w:hint="eastAsia" w:cs="Times New Roman"/>
                <w:color w:val="auto"/>
                <w:lang w:val="en-US" w:eastAsia="zh-CN"/>
              </w:rPr>
            </w:pPr>
            <w:r>
              <w:rPr>
                <w:rFonts w:hint="eastAsia" w:cs="Times New Roman"/>
                <w:color w:val="auto"/>
                <w:lang w:val="en-US" w:eastAsia="zh-CN"/>
              </w:rPr>
              <w:t>分切后的极片</w:t>
            </w:r>
            <w:r>
              <w:rPr>
                <w:rFonts w:ascii="宋体" w:hAnsi="宋体" w:eastAsia="宋体" w:cs="宋体"/>
                <w:color w:val="auto"/>
                <w:sz w:val="24"/>
                <w:szCs w:val="24"/>
              </w:rPr>
              <w:t>送入激光分模一体机，采用激光裁切工艺将卷材裁切成单片极片，同步裁切预留极耳位缺口，制得成型单片成品极片</w:t>
            </w:r>
            <w:r>
              <w:rPr>
                <w:rFonts w:hint="eastAsia" w:cs="Times New Roman"/>
                <w:color w:val="auto"/>
                <w:lang w:val="en-US" w:eastAsia="zh-CN"/>
              </w:rPr>
              <w:t>。（此工序主要产生噪声、废边角料、模切粉尘）</w:t>
            </w:r>
          </w:p>
          <w:p w14:paraId="3591833C">
            <w:pPr>
              <w:pStyle w:val="66"/>
              <w:keepNext w:val="0"/>
              <w:keepLines w:val="0"/>
              <w:pageBreakBefore w:val="0"/>
              <w:widowControl w:val="0"/>
              <w:kinsoku/>
              <w:wordWrap/>
              <w:overflowPunct/>
              <w:topLinePunct w:val="0"/>
              <w:autoSpaceDE w:val="0"/>
              <w:autoSpaceDN w:val="0"/>
              <w:bidi w:val="0"/>
              <w:spacing w:line="360" w:lineRule="auto"/>
              <w:ind w:firstLine="480" w:firstLineChars="200"/>
              <w:textAlignment w:val="auto"/>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2）电池装配工序</w:t>
            </w:r>
          </w:p>
          <w:p w14:paraId="2DD200E8">
            <w:pPr>
              <w:pStyle w:val="66"/>
              <w:keepNext w:val="0"/>
              <w:keepLines w:val="0"/>
              <w:pageBreakBefore w:val="0"/>
              <w:widowControl w:val="0"/>
              <w:kinsoku/>
              <w:wordWrap/>
              <w:overflowPunct/>
              <w:topLinePunct w:val="0"/>
              <w:autoSpaceDE w:val="0"/>
              <w:autoSpaceDN w:val="0"/>
              <w:bidi w:val="0"/>
              <w:spacing w:line="360" w:lineRule="auto"/>
              <w:ind w:firstLine="480" w:firstLineChars="200"/>
              <w:textAlignment w:val="auto"/>
              <w:rPr>
                <w:rFonts w:hint="eastAsia" w:ascii="Times New Roman" w:hAnsi="Times New Roman" w:eastAsia="宋体" w:cs="Times New Roman"/>
                <w:color w:val="auto"/>
              </w:rPr>
            </w:pPr>
            <w:r>
              <w:rPr>
                <w:rFonts w:hint="eastAsia" w:cs="Times New Roman"/>
                <w:color w:val="auto"/>
                <w:lang w:val="en-US" w:eastAsia="zh-CN"/>
              </w:rPr>
              <w:t>①</w:t>
            </w:r>
            <w:r>
              <w:rPr>
                <w:rFonts w:hint="eastAsia" w:ascii="Times New Roman" w:hAnsi="Times New Roman" w:eastAsia="宋体" w:cs="Times New Roman"/>
                <w:color w:val="auto"/>
              </w:rPr>
              <w:t>叠片</w:t>
            </w:r>
          </w:p>
          <w:p w14:paraId="0B807473">
            <w:pPr>
              <w:pStyle w:val="15"/>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color w:val="auto"/>
                <w:kern w:val="0"/>
                <w:sz w:val="24"/>
                <w:szCs w:val="24"/>
                <w:lang w:val="en-US" w:eastAsia="zh-CN" w:bidi="ar-SA"/>
              </w:rPr>
            </w:pPr>
            <w:r>
              <w:rPr>
                <w:rFonts w:hint="eastAsia" w:ascii="Times New Roman" w:hAnsi="Times New Roman" w:eastAsia="宋体" w:cs="Times New Roman"/>
                <w:color w:val="auto"/>
                <w:kern w:val="0"/>
                <w:sz w:val="24"/>
                <w:szCs w:val="24"/>
                <w:lang w:val="en-US" w:eastAsia="zh-CN" w:bidi="ar-SA"/>
              </w:rPr>
              <w:t>将模切好的正、负极卷挂放在切叠一体机上，自动切片，自动将一层正极片、一层隔膜纸，再一层负极片、一层隔膜纸叠在一起，叠片层数根据产品要求确定。（此工序主要产生噪声</w:t>
            </w:r>
            <w:r>
              <w:rPr>
                <w:rFonts w:hint="eastAsia" w:cs="Times New Roman"/>
                <w:color w:val="auto"/>
                <w:kern w:val="0"/>
                <w:sz w:val="24"/>
                <w:szCs w:val="24"/>
                <w:lang w:val="en-US" w:eastAsia="zh-CN" w:bidi="ar-SA"/>
              </w:rPr>
              <w:t>、废隔膜、废极片</w:t>
            </w:r>
            <w:r>
              <w:rPr>
                <w:rFonts w:hint="eastAsia" w:ascii="Times New Roman" w:hAnsi="Times New Roman" w:eastAsia="宋体" w:cs="Times New Roman"/>
                <w:color w:val="auto"/>
                <w:kern w:val="0"/>
                <w:sz w:val="24"/>
                <w:szCs w:val="24"/>
                <w:lang w:val="en-US" w:eastAsia="zh-CN" w:bidi="ar-SA"/>
              </w:rPr>
              <w:t>）</w:t>
            </w:r>
          </w:p>
          <w:p w14:paraId="5F960E66">
            <w:pPr>
              <w:pStyle w:val="66"/>
              <w:keepNext w:val="0"/>
              <w:keepLines w:val="0"/>
              <w:pageBreakBefore w:val="0"/>
              <w:widowControl w:val="0"/>
              <w:kinsoku/>
              <w:wordWrap/>
              <w:overflowPunct/>
              <w:topLinePunct w:val="0"/>
              <w:autoSpaceDE w:val="0"/>
              <w:autoSpaceDN w:val="0"/>
              <w:bidi w:val="0"/>
              <w:spacing w:line="360" w:lineRule="auto"/>
              <w:ind w:firstLine="480" w:firstLineChars="200"/>
              <w:textAlignment w:val="auto"/>
              <w:rPr>
                <w:rFonts w:hint="eastAsia" w:ascii="Times New Roman" w:hAnsi="Times New Roman" w:eastAsia="宋体" w:cs="Times New Roman"/>
                <w:color w:val="auto"/>
              </w:rPr>
            </w:pPr>
            <w:r>
              <w:rPr>
                <w:rFonts w:hint="eastAsia" w:cs="Times New Roman"/>
                <w:color w:val="auto"/>
                <w:lang w:val="en-US" w:eastAsia="zh-CN"/>
              </w:rPr>
              <w:t>②</w:t>
            </w:r>
            <w:r>
              <w:rPr>
                <w:rFonts w:hint="eastAsia" w:ascii="Times New Roman" w:hAnsi="Times New Roman" w:eastAsia="宋体" w:cs="Times New Roman"/>
                <w:color w:val="auto"/>
              </w:rPr>
              <w:t>热压</w:t>
            </w:r>
          </w:p>
          <w:p w14:paraId="5C074FC1">
            <w:pPr>
              <w:pStyle w:val="66"/>
              <w:keepNext w:val="0"/>
              <w:keepLines w:val="0"/>
              <w:pageBreakBefore w:val="0"/>
              <w:widowControl w:val="0"/>
              <w:kinsoku/>
              <w:wordWrap/>
              <w:overflowPunct/>
              <w:topLinePunct w:val="0"/>
              <w:autoSpaceDE w:val="0"/>
              <w:autoSpaceDN w:val="0"/>
              <w:bidi w:val="0"/>
              <w:spacing w:line="360" w:lineRule="auto"/>
              <w:ind w:firstLine="480" w:firstLineChars="200"/>
              <w:textAlignment w:val="auto"/>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rPr>
              <w:t>通过设置合理的时间、温度、压力对裸电芯进行热压整形，控制裸电池厚度，使</w:t>
            </w:r>
            <w:r>
              <w:rPr>
                <w:rFonts w:hint="default" w:ascii="Times New Roman" w:hAnsi="Times New Roman" w:eastAsia="宋体" w:cs="Times New Roman"/>
                <w:color w:val="auto"/>
              </w:rPr>
              <w:t>卷绕（叠片）后松散的裸电池外形固定，防止正负极片相对位移。热压温度90</w:t>
            </w:r>
            <w:r>
              <w:rPr>
                <w:rFonts w:hint="default" w:ascii="Times New Roman" w:hAnsi="Times New Roman" w:eastAsia="宋体" w:cs="Times New Roman"/>
                <w:color w:val="auto"/>
                <w:lang w:eastAsia="ja-JP"/>
              </w:rPr>
              <w:t>℃</w:t>
            </w:r>
            <w:r>
              <w:rPr>
                <w:rFonts w:hint="eastAsia" w:ascii="Times New Roman" w:hAnsi="Times New Roman" w:eastAsia="宋体" w:cs="Times New Roman"/>
                <w:color w:val="auto"/>
                <w:lang w:eastAsia="ja-JP"/>
              </w:rPr>
              <w:t>，采用电加热</w:t>
            </w:r>
            <w:r>
              <w:rPr>
                <w:rFonts w:hint="eastAsia" w:ascii="Times New Roman" w:hAnsi="Times New Roman" w:eastAsia="宋体" w:cs="Times New Roman"/>
                <w:color w:val="auto"/>
                <w:lang w:eastAsia="zh-CN"/>
              </w:rPr>
              <w:t>。</w:t>
            </w:r>
            <w:r>
              <w:rPr>
                <w:rFonts w:hint="eastAsia" w:ascii="Times New Roman" w:hAnsi="Times New Roman" w:eastAsia="宋体" w:cs="Times New Roman"/>
                <w:color w:val="auto"/>
                <w:lang w:val="en-US" w:eastAsia="zh-CN"/>
              </w:rPr>
              <w:t>（</w:t>
            </w:r>
            <w:r>
              <w:rPr>
                <w:rFonts w:hint="eastAsia" w:cs="Times New Roman"/>
                <w:color w:val="auto"/>
                <w:lang w:val="en-US" w:eastAsia="zh-CN"/>
              </w:rPr>
              <w:t>此工序主要产生噪声</w:t>
            </w:r>
            <w:r>
              <w:rPr>
                <w:rFonts w:hint="eastAsia" w:ascii="Times New Roman" w:hAnsi="Times New Roman" w:eastAsia="宋体" w:cs="Times New Roman"/>
                <w:color w:val="auto"/>
                <w:lang w:val="en-US" w:eastAsia="zh-CN"/>
              </w:rPr>
              <w:t>）</w:t>
            </w:r>
          </w:p>
          <w:p w14:paraId="50CB4774">
            <w:pPr>
              <w:pStyle w:val="66"/>
              <w:keepNext w:val="0"/>
              <w:keepLines w:val="0"/>
              <w:pageBreakBefore w:val="0"/>
              <w:widowControl w:val="0"/>
              <w:kinsoku/>
              <w:wordWrap/>
              <w:overflowPunct/>
              <w:topLinePunct w:val="0"/>
              <w:autoSpaceDE w:val="0"/>
              <w:autoSpaceDN w:val="0"/>
              <w:bidi w:val="0"/>
              <w:spacing w:line="360" w:lineRule="auto"/>
              <w:ind w:firstLine="480" w:firstLineChars="200"/>
              <w:textAlignment w:val="auto"/>
              <w:rPr>
                <w:rFonts w:hint="eastAsia" w:ascii="Times New Roman" w:hAnsi="Times New Roman" w:eastAsia="宋体" w:cs="Times New Roman"/>
                <w:color w:val="auto"/>
              </w:rPr>
            </w:pPr>
            <w:r>
              <w:rPr>
                <w:rFonts w:hint="eastAsia" w:cs="Times New Roman"/>
                <w:color w:val="auto"/>
                <w:lang w:val="en-US" w:eastAsia="zh-CN"/>
              </w:rPr>
              <w:t>③</w:t>
            </w:r>
            <w:r>
              <w:rPr>
                <w:rFonts w:hint="eastAsia" w:ascii="Times New Roman" w:hAnsi="Times New Roman" w:eastAsia="宋体" w:cs="Times New Roman"/>
                <w:color w:val="auto"/>
              </w:rPr>
              <w:t>极耳预焊</w:t>
            </w:r>
          </w:p>
          <w:p w14:paraId="0CFF2FBD">
            <w:pPr>
              <w:pStyle w:val="66"/>
              <w:keepNext w:val="0"/>
              <w:keepLines w:val="0"/>
              <w:pageBreakBefore w:val="0"/>
              <w:widowControl w:val="0"/>
              <w:kinsoku/>
              <w:wordWrap/>
              <w:overflowPunct/>
              <w:topLinePunct w:val="0"/>
              <w:autoSpaceDE w:val="0"/>
              <w:autoSpaceDN w:val="0"/>
              <w:bidi w:val="0"/>
              <w:spacing w:line="360" w:lineRule="auto"/>
              <w:ind w:firstLine="480" w:firstLineChars="200"/>
              <w:textAlignment w:val="auto"/>
              <w:rPr>
                <w:rFonts w:hint="default" w:ascii="Times New Roman" w:hAnsi="Times New Roman" w:eastAsia="宋体" w:cs="Times New Roman"/>
                <w:color w:val="auto"/>
                <w:lang w:val="en-US" w:eastAsia="zh-CN"/>
              </w:rPr>
            </w:pPr>
            <w:r>
              <w:rPr>
                <w:rFonts w:hint="eastAsia" w:cs="Times New Roman"/>
                <w:color w:val="auto"/>
                <w:lang w:val="en-US" w:eastAsia="zh-CN"/>
              </w:rPr>
              <w:t>通过自动焊接线</w:t>
            </w:r>
            <w:r>
              <w:rPr>
                <w:rFonts w:hint="eastAsia" w:ascii="Times New Roman" w:hAnsi="Times New Roman" w:eastAsia="宋体" w:cs="Times New Roman"/>
                <w:color w:val="auto"/>
              </w:rPr>
              <w:t>采用超声波焊机在正极片上焊接铝片极耳，在负极片上焊接</w:t>
            </w:r>
            <w:r>
              <w:rPr>
                <w:rFonts w:hint="eastAsia" w:cs="Times New Roman"/>
                <w:color w:val="auto"/>
                <w:lang w:val="en-US" w:eastAsia="zh-CN"/>
              </w:rPr>
              <w:t>铜片</w:t>
            </w:r>
            <w:r>
              <w:rPr>
                <w:rFonts w:hint="eastAsia" w:ascii="Times New Roman" w:hAnsi="Times New Roman" w:eastAsia="宋体" w:cs="Times New Roman"/>
                <w:color w:val="auto"/>
              </w:rPr>
              <w:t>极耳。超声波焊机不使用助剂，利用高频振动，将工件迅速熔接，</w:t>
            </w:r>
            <w:r>
              <w:rPr>
                <w:rFonts w:hint="eastAsia" w:ascii="Times New Roman" w:hAnsi="Times New Roman" w:eastAsia="宋体" w:cs="Times New Roman"/>
                <w:color w:val="auto"/>
                <w:lang w:val="en-US" w:eastAsia="zh-CN"/>
              </w:rPr>
              <w:t>使金属直接相连，</w:t>
            </w:r>
            <w:r>
              <w:rPr>
                <w:rFonts w:hint="default" w:ascii="Times New Roman" w:hAnsi="Times New Roman" w:eastAsia="宋体" w:cs="Times New Roman"/>
                <w:color w:val="auto"/>
                <w:lang w:val="en-US" w:eastAsia="zh-CN"/>
              </w:rPr>
              <w:t>经查阅论文《不同焊接工艺的焊接烟尘污染特征》（郭永葆，太原市机械电子工业局，科技情报开发与经济，2010年第20卷第4期），超声波焊接不产生焊接烟尘，也没有其他焊接污染，故焊接过程不产生烟尘</w:t>
            </w:r>
            <w:r>
              <w:rPr>
                <w:rFonts w:hint="eastAsia" w:ascii="Times New Roman" w:hAnsi="Times New Roman" w:eastAsia="宋体" w:cs="Times New Roman"/>
                <w:color w:val="auto"/>
                <w:lang w:val="en-US" w:eastAsia="zh-CN"/>
              </w:rPr>
              <w:t>。（此工序主要产生噪声）</w:t>
            </w:r>
          </w:p>
          <w:p w14:paraId="063AA1AE">
            <w:pPr>
              <w:pStyle w:val="66"/>
              <w:keepNext w:val="0"/>
              <w:keepLines w:val="0"/>
              <w:pageBreakBefore w:val="0"/>
              <w:widowControl w:val="0"/>
              <w:kinsoku/>
              <w:wordWrap/>
              <w:overflowPunct/>
              <w:topLinePunct w:val="0"/>
              <w:autoSpaceDE w:val="0"/>
              <w:autoSpaceDN w:val="0"/>
              <w:bidi w:val="0"/>
              <w:spacing w:line="360" w:lineRule="auto"/>
              <w:ind w:firstLine="480" w:firstLineChars="200"/>
              <w:textAlignment w:val="auto"/>
              <w:rPr>
                <w:rFonts w:hint="eastAsia" w:ascii="Times New Roman" w:hAnsi="Times New Roman" w:eastAsia="宋体" w:cs="Times New Roman"/>
                <w:color w:val="auto"/>
                <w:lang w:val="en-US" w:eastAsia="zh-CN"/>
              </w:rPr>
            </w:pPr>
            <w:r>
              <w:rPr>
                <w:rFonts w:hint="eastAsia" w:cs="Times New Roman"/>
                <w:color w:val="auto"/>
                <w:lang w:val="en-US" w:eastAsia="zh-CN"/>
              </w:rPr>
              <w:t>④装配</w:t>
            </w:r>
          </w:p>
          <w:p w14:paraId="05FF2BD4">
            <w:pPr>
              <w:pStyle w:val="66"/>
              <w:keepNext w:val="0"/>
              <w:keepLines w:val="0"/>
              <w:pageBreakBefore w:val="0"/>
              <w:widowControl w:val="0"/>
              <w:kinsoku/>
              <w:wordWrap/>
              <w:overflowPunct/>
              <w:topLinePunct w:val="0"/>
              <w:autoSpaceDE w:val="0"/>
              <w:autoSpaceDN w:val="0"/>
              <w:bidi w:val="0"/>
              <w:spacing w:line="360" w:lineRule="auto"/>
              <w:ind w:firstLine="480" w:firstLineChars="200"/>
              <w:textAlignment w:val="auto"/>
              <w:rPr>
                <w:rFonts w:hint="eastAsia" w:ascii="Times New Roman" w:hAnsi="Times New Roman" w:eastAsia="宋体" w:cs="Times New Roman"/>
                <w:color w:val="auto"/>
                <w:lang w:val="en-US" w:eastAsia="zh-CN"/>
              </w:rPr>
            </w:pPr>
            <w:r>
              <w:rPr>
                <w:rFonts w:ascii="宋体" w:hAnsi="宋体" w:eastAsia="宋体" w:cs="宋体"/>
                <w:color w:val="auto"/>
                <w:sz w:val="24"/>
                <w:szCs w:val="24"/>
              </w:rPr>
              <w:t>铝塑膜卷材送入自动冲壳机冲压成型，制出可容纳电芯的凹槽壳体；成型铝塑壳输送至自动包装工位，机械手抓取焊接完成极耳的裸电芯自动入壳，随后对铝塑壳多边热封封口，预留单侧注液口暂不密封；半成品电芯转运至自动贴膜机，设备全自动包覆外层绝缘保护膜</w:t>
            </w:r>
            <w:r>
              <w:rPr>
                <w:rFonts w:hint="eastAsia" w:ascii="宋体" w:hAnsi="宋体" w:eastAsia="宋体" w:cs="宋体"/>
                <w:color w:val="auto"/>
                <w:sz w:val="24"/>
                <w:szCs w:val="24"/>
                <w:lang w:eastAsia="zh-CN"/>
              </w:rPr>
              <w:t>。</w:t>
            </w:r>
            <w:r>
              <w:rPr>
                <w:rFonts w:hint="eastAsia" w:ascii="Times New Roman" w:hAnsi="Times New Roman" w:eastAsia="宋体" w:cs="Times New Roman"/>
                <w:color w:val="auto"/>
                <w:lang w:val="en-US" w:eastAsia="zh-CN"/>
              </w:rPr>
              <w:t>（此工序主要产生噪声、废铝塑膜、有机废气）</w:t>
            </w:r>
          </w:p>
          <w:p w14:paraId="094B9871">
            <w:pPr>
              <w:pStyle w:val="66"/>
              <w:keepNext w:val="0"/>
              <w:keepLines w:val="0"/>
              <w:pageBreakBefore w:val="0"/>
              <w:widowControl w:val="0"/>
              <w:kinsoku/>
              <w:wordWrap/>
              <w:overflowPunct/>
              <w:topLinePunct w:val="0"/>
              <w:autoSpaceDE w:val="0"/>
              <w:autoSpaceDN w:val="0"/>
              <w:bidi w:val="0"/>
              <w:spacing w:line="360" w:lineRule="auto"/>
              <w:ind w:firstLine="480" w:firstLineChars="200"/>
              <w:textAlignment w:val="auto"/>
              <w:rPr>
                <w:rFonts w:hint="default" w:ascii="宋体" w:hAnsi="宋体" w:eastAsia="宋体" w:cs="宋体"/>
                <w:color w:val="auto"/>
                <w:sz w:val="24"/>
                <w:szCs w:val="24"/>
                <w:lang w:val="en-US" w:eastAsia="zh-CN"/>
              </w:rPr>
            </w:pPr>
            <w:r>
              <w:rPr>
                <w:rFonts w:hint="default" w:ascii="Times New Roman" w:hAnsi="Times New Roman" w:cs="Times New Roman"/>
                <w:color w:val="auto"/>
                <w:lang w:val="en-US" w:eastAsia="zh-CN"/>
              </w:rPr>
              <w:t>⑤</w:t>
            </w:r>
            <w:r>
              <w:rPr>
                <w:rFonts w:hint="default" w:ascii="Times New Roman" w:hAnsi="Times New Roman" w:eastAsia="宋体" w:cs="Times New Roman"/>
                <w:color w:val="auto"/>
                <w:lang w:val="en-US" w:eastAsia="zh-CN"/>
              </w:rPr>
              <w:t>电池</w:t>
            </w:r>
            <w:r>
              <w:rPr>
                <w:rFonts w:hint="default" w:ascii="宋体" w:hAnsi="宋体" w:eastAsia="宋体" w:cs="宋体"/>
                <w:color w:val="auto"/>
                <w:sz w:val="24"/>
                <w:szCs w:val="24"/>
                <w:lang w:val="en-US" w:eastAsia="zh-CN"/>
              </w:rPr>
              <w:t>干燥</w:t>
            </w:r>
          </w:p>
          <w:p w14:paraId="4C15A9DA">
            <w:pPr>
              <w:pStyle w:val="66"/>
              <w:keepNext w:val="0"/>
              <w:keepLines w:val="0"/>
              <w:pageBreakBefore w:val="0"/>
              <w:widowControl w:val="0"/>
              <w:kinsoku/>
              <w:wordWrap/>
              <w:overflowPunct/>
              <w:topLinePunct w:val="0"/>
              <w:autoSpaceDE w:val="0"/>
              <w:autoSpaceDN w:val="0"/>
              <w:bidi w:val="0"/>
              <w:spacing w:line="360" w:lineRule="auto"/>
              <w:ind w:firstLine="480" w:firstLineChars="200"/>
              <w:textAlignment w:val="auto"/>
              <w:rPr>
                <w:rFonts w:hint="default" w:ascii="宋体" w:hAnsi="宋体" w:eastAsia="宋体" w:cs="宋体"/>
                <w:color w:val="auto"/>
                <w:sz w:val="24"/>
                <w:szCs w:val="24"/>
                <w:lang w:val="en-US" w:eastAsia="zh-CN"/>
              </w:rPr>
            </w:pPr>
            <w:r>
              <w:rPr>
                <w:rFonts w:hint="default" w:ascii="宋体" w:hAnsi="宋体" w:eastAsia="宋体" w:cs="宋体"/>
                <w:color w:val="auto"/>
                <w:sz w:val="24"/>
                <w:szCs w:val="24"/>
                <w:lang w:val="en-US" w:eastAsia="zh-CN"/>
              </w:rPr>
              <w:t>将电芯放入电热电芯干燥箱内，</w:t>
            </w:r>
            <w:r>
              <w:rPr>
                <w:rFonts w:hint="eastAsia" w:ascii="宋体" w:hAnsi="宋体" w:eastAsia="宋体" w:cs="宋体"/>
                <w:color w:val="auto"/>
                <w:sz w:val="24"/>
                <w:szCs w:val="24"/>
              </w:rPr>
              <w:t>在</w:t>
            </w:r>
            <w:r>
              <w:rPr>
                <w:rFonts w:hint="default" w:ascii="Times New Roman" w:hAnsi="Times New Roman" w:eastAsia="宋体" w:cs="Times New Roman"/>
                <w:color w:val="auto"/>
                <w:sz w:val="24"/>
                <w:szCs w:val="24"/>
              </w:rPr>
              <w:t>85</w:t>
            </w:r>
            <w:r>
              <w:rPr>
                <w:rFonts w:hint="default" w:ascii="Times New Roman" w:hAnsi="Times New Roman" w:eastAsia="宋体" w:cs="Times New Roman"/>
                <w:color w:val="auto"/>
                <w:sz w:val="24"/>
                <w:szCs w:val="24"/>
                <w:lang w:val="en-US" w:eastAsia="zh-CN"/>
              </w:rPr>
              <w:t>~</w:t>
            </w:r>
            <w:r>
              <w:rPr>
                <w:rFonts w:hint="default" w:ascii="Times New Roman" w:hAnsi="Times New Roman" w:eastAsia="宋体" w:cs="Times New Roman"/>
                <w:color w:val="auto"/>
                <w:sz w:val="24"/>
                <w:szCs w:val="24"/>
              </w:rPr>
              <w:t>90℃、-0.09MPa</w:t>
            </w:r>
            <w:r>
              <w:rPr>
                <w:rFonts w:hint="default" w:ascii="宋体" w:hAnsi="宋体" w:eastAsia="宋体" w:cs="宋体"/>
                <w:color w:val="auto"/>
                <w:sz w:val="24"/>
                <w:szCs w:val="24"/>
                <w:lang w:val="en-US" w:eastAsia="zh-CN"/>
              </w:rPr>
              <w:t>条件下烘干一段时间，去除微量水分。烘干后泄压过程中，通入氮气进行气体保护。（此工序主要产生噪声、水蒸气）</w:t>
            </w:r>
          </w:p>
          <w:p w14:paraId="49C468E8">
            <w:pPr>
              <w:pStyle w:val="66"/>
              <w:keepNext w:val="0"/>
              <w:keepLines w:val="0"/>
              <w:pageBreakBefore w:val="0"/>
              <w:widowControl w:val="0"/>
              <w:kinsoku/>
              <w:wordWrap/>
              <w:overflowPunct/>
              <w:topLinePunct w:val="0"/>
              <w:autoSpaceDE w:val="0"/>
              <w:autoSpaceDN w:val="0"/>
              <w:bidi w:val="0"/>
              <w:spacing w:line="360" w:lineRule="auto"/>
              <w:ind w:firstLine="480" w:firstLineChars="200"/>
              <w:textAlignment w:val="auto"/>
              <w:rPr>
                <w:rFonts w:hint="default" w:ascii="Times New Roman" w:hAnsi="Times New Roman" w:eastAsia="宋体" w:cs="Times New Roman"/>
                <w:color w:val="auto"/>
                <w:lang w:val="en-US" w:eastAsia="zh-CN"/>
              </w:rPr>
            </w:pPr>
            <w:r>
              <w:rPr>
                <w:rFonts w:hint="default" w:ascii="Times New Roman" w:hAnsi="Times New Roman" w:cs="Times New Roman"/>
                <w:color w:val="auto"/>
                <w:lang w:val="en-US" w:eastAsia="zh-CN"/>
              </w:rPr>
              <w:t>⑥</w:t>
            </w:r>
            <w:r>
              <w:rPr>
                <w:rFonts w:hint="default" w:ascii="Times New Roman" w:hAnsi="Times New Roman" w:eastAsia="宋体" w:cs="Times New Roman"/>
                <w:color w:val="auto"/>
                <w:lang w:val="en-US" w:eastAsia="zh-CN"/>
              </w:rPr>
              <w:t>注电解液</w:t>
            </w:r>
          </w:p>
          <w:p w14:paraId="6ADBCBEF">
            <w:pPr>
              <w:pStyle w:val="66"/>
              <w:keepNext w:val="0"/>
              <w:keepLines w:val="0"/>
              <w:pageBreakBefore w:val="0"/>
              <w:widowControl w:val="0"/>
              <w:kinsoku/>
              <w:wordWrap/>
              <w:overflowPunct/>
              <w:topLinePunct w:val="0"/>
              <w:autoSpaceDE w:val="0"/>
              <w:autoSpaceDN w:val="0"/>
              <w:bidi w:val="0"/>
              <w:spacing w:line="360" w:lineRule="auto"/>
              <w:ind w:firstLine="480" w:firstLineChars="200"/>
              <w:textAlignment w:val="auto"/>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lang w:val="en-US" w:eastAsia="zh-CN"/>
              </w:rPr>
              <w:t>将烘干好的电芯放到注液系统密闭的</w:t>
            </w:r>
            <w:r>
              <w:rPr>
                <w:rFonts w:hint="default" w:ascii="Times New Roman" w:hAnsi="Times New Roman" w:cs="Times New Roman"/>
                <w:color w:val="auto"/>
                <w:lang w:val="en-US" w:eastAsia="zh-CN"/>
              </w:rPr>
              <w:t>自动</w:t>
            </w:r>
            <w:r>
              <w:rPr>
                <w:rFonts w:hint="default" w:ascii="Times New Roman" w:hAnsi="Times New Roman" w:eastAsia="宋体" w:cs="Times New Roman"/>
                <w:color w:val="auto"/>
                <w:lang w:val="en-US" w:eastAsia="zh-CN"/>
              </w:rPr>
              <w:t>注液机内，电解液通过密闭管道定量由预留的注液孔加注入电芯，然后封注液口。（此工序主要产生噪声、</w:t>
            </w:r>
            <w:r>
              <w:rPr>
                <w:rFonts w:hint="default" w:ascii="Times New Roman" w:hAnsi="Times New Roman" w:cs="Times New Roman"/>
                <w:color w:val="auto"/>
                <w:lang w:val="en-US" w:eastAsia="zh-CN"/>
              </w:rPr>
              <w:t>有机废气</w:t>
            </w:r>
            <w:r>
              <w:rPr>
                <w:rFonts w:hint="default" w:ascii="Times New Roman" w:hAnsi="Times New Roman" w:eastAsia="宋体" w:cs="Times New Roman"/>
                <w:color w:val="auto"/>
                <w:lang w:val="en-US" w:eastAsia="zh-CN"/>
              </w:rPr>
              <w:t>）</w:t>
            </w:r>
          </w:p>
          <w:p w14:paraId="50364D81">
            <w:pPr>
              <w:pStyle w:val="66"/>
              <w:keepNext w:val="0"/>
              <w:keepLines w:val="0"/>
              <w:pageBreakBefore w:val="0"/>
              <w:widowControl w:val="0"/>
              <w:kinsoku/>
              <w:wordWrap/>
              <w:overflowPunct/>
              <w:topLinePunct w:val="0"/>
              <w:autoSpaceDE w:val="0"/>
              <w:autoSpaceDN w:val="0"/>
              <w:bidi w:val="0"/>
              <w:spacing w:line="360" w:lineRule="auto"/>
              <w:ind w:firstLine="480" w:firstLineChars="200"/>
              <w:textAlignment w:val="auto"/>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⑦静置</w:t>
            </w:r>
          </w:p>
          <w:p w14:paraId="17953FC0">
            <w:pPr>
              <w:pStyle w:val="66"/>
              <w:keepNext w:val="0"/>
              <w:keepLines w:val="0"/>
              <w:pageBreakBefore w:val="0"/>
              <w:widowControl w:val="0"/>
              <w:kinsoku/>
              <w:wordWrap/>
              <w:overflowPunct/>
              <w:topLinePunct w:val="0"/>
              <w:autoSpaceDE w:val="0"/>
              <w:autoSpaceDN w:val="0"/>
              <w:bidi w:val="0"/>
              <w:spacing w:line="360" w:lineRule="auto"/>
              <w:ind w:firstLine="480" w:firstLineChars="200"/>
              <w:textAlignment w:val="auto"/>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lang w:val="en-US" w:eastAsia="zh-CN"/>
              </w:rPr>
              <w:t>将放电态电池置于高温静置箱中搁置一定时间，根据搁置后电池电压分布情况进行筛查，挑出电池内部存在微短路缺陷的短路、低电压电池。高温静置箱采用电加热。因静置前电池已完成封装，</w:t>
            </w:r>
            <w:r>
              <w:rPr>
                <w:rFonts w:hint="eastAsia" w:ascii="Times New Roman" w:hAnsi="Times New Roman" w:eastAsia="宋体" w:cs="Times New Roman"/>
                <w:color w:val="auto"/>
                <w:lang w:val="en-US" w:eastAsia="zh-CN"/>
              </w:rPr>
              <w:t>不会造成电解液和气体溢出，产生的气体</w:t>
            </w:r>
            <w:r>
              <w:rPr>
                <w:rFonts w:hint="eastAsia" w:cs="Times New Roman"/>
                <w:color w:val="auto"/>
                <w:lang w:val="en-US" w:eastAsia="zh-CN"/>
              </w:rPr>
              <w:t>排</w:t>
            </w:r>
            <w:r>
              <w:rPr>
                <w:rFonts w:hint="eastAsia" w:ascii="Times New Roman" w:hAnsi="Times New Roman" w:eastAsia="宋体" w:cs="Times New Roman"/>
                <w:color w:val="auto"/>
                <w:lang w:val="en-US" w:eastAsia="zh-CN"/>
              </w:rPr>
              <w:t>进预留气袋内</w:t>
            </w:r>
            <w:r>
              <w:rPr>
                <w:rFonts w:hint="default" w:ascii="Times New Roman" w:hAnsi="Times New Roman" w:eastAsia="宋体" w:cs="Times New Roman"/>
                <w:color w:val="auto"/>
                <w:lang w:val="en-US" w:eastAsia="zh-CN"/>
              </w:rPr>
              <w:t>。（此工序主要产生噪声</w:t>
            </w:r>
            <w:r>
              <w:rPr>
                <w:rFonts w:hint="eastAsia" w:cs="Times New Roman"/>
                <w:color w:val="auto"/>
                <w:lang w:val="en-US" w:eastAsia="zh-CN"/>
              </w:rPr>
              <w:t>、有机废气</w:t>
            </w:r>
            <w:r>
              <w:rPr>
                <w:rFonts w:hint="default" w:ascii="Times New Roman" w:hAnsi="Times New Roman" w:eastAsia="宋体" w:cs="Times New Roman"/>
                <w:color w:val="auto"/>
                <w:lang w:val="en-US" w:eastAsia="zh-CN"/>
              </w:rPr>
              <w:t>）</w:t>
            </w:r>
          </w:p>
          <w:p w14:paraId="0638E553">
            <w:pPr>
              <w:pStyle w:val="66"/>
              <w:keepNext w:val="0"/>
              <w:keepLines w:val="0"/>
              <w:pageBreakBefore w:val="0"/>
              <w:widowControl w:val="0"/>
              <w:kinsoku/>
              <w:wordWrap/>
              <w:overflowPunct/>
              <w:topLinePunct w:val="0"/>
              <w:autoSpaceDE w:val="0"/>
              <w:autoSpaceDN w:val="0"/>
              <w:bidi w:val="0"/>
              <w:spacing w:line="360" w:lineRule="auto"/>
              <w:ind w:firstLine="480" w:firstLineChars="200"/>
              <w:textAlignment w:val="auto"/>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⑧</w:t>
            </w:r>
            <w:r>
              <w:rPr>
                <w:rFonts w:hint="eastAsia" w:ascii="Times New Roman" w:hAnsi="Times New Roman" w:cs="Times New Roman"/>
                <w:color w:val="auto"/>
                <w:lang w:val="en-US" w:eastAsia="zh-CN"/>
              </w:rPr>
              <w:t>化成</w:t>
            </w:r>
          </w:p>
          <w:p w14:paraId="21DE154B">
            <w:pPr>
              <w:pStyle w:val="66"/>
              <w:keepNext w:val="0"/>
              <w:keepLines w:val="0"/>
              <w:pageBreakBefore w:val="0"/>
              <w:widowControl w:val="0"/>
              <w:kinsoku/>
              <w:wordWrap/>
              <w:overflowPunct/>
              <w:topLinePunct w:val="0"/>
              <w:autoSpaceDE w:val="0"/>
              <w:autoSpaceDN w:val="0"/>
              <w:bidi w:val="0"/>
              <w:spacing w:line="360" w:lineRule="auto"/>
              <w:ind w:firstLine="480" w:firstLineChars="200"/>
              <w:textAlignment w:val="auto"/>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化成工序在负压化成间内完成。将电池在化成机上充电一段时间，将电极材料激活，使正、负电极片上聚合物与电解液相互渗透</w:t>
            </w:r>
            <w:r>
              <w:rPr>
                <w:rFonts w:ascii="宋体" w:hAnsi="宋体" w:eastAsia="宋体" w:cs="宋体"/>
                <w:color w:val="auto"/>
                <w:sz w:val="24"/>
                <w:szCs w:val="24"/>
              </w:rPr>
              <w:t>，形成稳定的固体电解质界面（</w:t>
            </w:r>
            <w:r>
              <w:rPr>
                <w:rFonts w:hint="default" w:ascii="Times New Roman" w:hAnsi="Times New Roman" w:eastAsia="宋体" w:cs="Times New Roman"/>
                <w:color w:val="auto"/>
                <w:sz w:val="24"/>
                <w:szCs w:val="24"/>
              </w:rPr>
              <w:t>SEI</w:t>
            </w:r>
            <w:r>
              <w:rPr>
                <w:rFonts w:ascii="宋体" w:hAnsi="宋体" w:eastAsia="宋体" w:cs="宋体"/>
                <w:color w:val="auto"/>
                <w:sz w:val="24"/>
                <w:szCs w:val="24"/>
              </w:rPr>
              <w:t>）膜</w:t>
            </w:r>
            <w:r>
              <w:rPr>
                <w:rFonts w:hint="eastAsia" w:ascii="Times New Roman" w:hAnsi="Times New Roman" w:eastAsia="宋体" w:cs="Times New Roman"/>
                <w:color w:val="auto"/>
                <w:lang w:val="en-US" w:eastAsia="zh-CN"/>
              </w:rPr>
              <w:t>。由于电芯已经进行封装，化成过程不会造成电解液和气体溢出，产生的气体跑进预留气袋内，不让电芯本体鼓包。</w:t>
            </w:r>
            <w:r>
              <w:rPr>
                <w:rFonts w:hint="default" w:ascii="Times New Roman" w:hAnsi="Times New Roman" w:eastAsia="宋体" w:cs="Times New Roman"/>
                <w:color w:val="auto"/>
                <w:lang w:val="en-US" w:eastAsia="zh-CN"/>
              </w:rPr>
              <w:t>（此工序主要产生</w:t>
            </w:r>
            <w:r>
              <w:rPr>
                <w:rFonts w:hint="eastAsia" w:cs="Times New Roman"/>
                <w:color w:val="auto"/>
                <w:lang w:val="en-US" w:eastAsia="zh-CN"/>
              </w:rPr>
              <w:t>有机废气</w:t>
            </w:r>
            <w:r>
              <w:rPr>
                <w:rFonts w:hint="default" w:ascii="Times New Roman" w:hAnsi="Times New Roman" w:eastAsia="宋体" w:cs="Times New Roman"/>
                <w:color w:val="auto"/>
                <w:lang w:val="en-US" w:eastAsia="zh-CN"/>
              </w:rPr>
              <w:t>）</w:t>
            </w:r>
          </w:p>
          <w:p w14:paraId="25829453">
            <w:pPr>
              <w:pStyle w:val="66"/>
              <w:keepNext w:val="0"/>
              <w:keepLines w:val="0"/>
              <w:pageBreakBefore w:val="0"/>
              <w:widowControl w:val="0"/>
              <w:kinsoku/>
              <w:wordWrap/>
              <w:overflowPunct/>
              <w:topLinePunct w:val="0"/>
              <w:autoSpaceDE w:val="0"/>
              <w:autoSpaceDN w:val="0"/>
              <w:bidi w:val="0"/>
              <w:spacing w:line="360" w:lineRule="auto"/>
              <w:ind w:firstLine="480" w:firstLineChars="200"/>
              <w:textAlignment w:val="auto"/>
              <w:rPr>
                <w:rFonts w:hint="default" w:cs="Times New Roman"/>
                <w:color w:val="auto"/>
                <w:lang w:val="en-US" w:eastAsia="zh-CN"/>
              </w:rPr>
            </w:pPr>
            <w:r>
              <w:rPr>
                <w:rFonts w:hint="eastAsia" w:cs="Times New Roman"/>
                <w:color w:val="auto"/>
                <w:lang w:val="en-US" w:eastAsia="zh-CN"/>
              </w:rPr>
              <w:t>A.正极电化学反应</w:t>
            </w:r>
          </w:p>
          <w:p w14:paraId="10F424F3">
            <w:pPr>
              <w:pStyle w:val="66"/>
              <w:keepNext w:val="0"/>
              <w:keepLines w:val="0"/>
              <w:pageBreakBefore w:val="0"/>
              <w:widowControl w:val="0"/>
              <w:kinsoku/>
              <w:wordWrap/>
              <w:overflowPunct/>
              <w:topLinePunct w:val="0"/>
              <w:autoSpaceDE w:val="0"/>
              <w:autoSpaceDN w:val="0"/>
              <w:bidi w:val="0"/>
              <w:spacing w:line="360" w:lineRule="auto"/>
              <w:ind w:firstLine="480" w:firstLineChars="200"/>
              <w:textAlignment w:val="auto"/>
              <w:rPr>
                <w:rFonts w:ascii="宋体" w:hAnsi="宋体" w:eastAsia="宋体" w:cs="宋体"/>
                <w:color w:val="auto"/>
                <w:sz w:val="24"/>
                <w:szCs w:val="24"/>
              </w:rPr>
            </w:pPr>
            <w:r>
              <w:rPr>
                <w:rFonts w:ascii="宋体" w:hAnsi="宋体" w:eastAsia="宋体" w:cs="宋体"/>
                <w:color w:val="auto"/>
                <w:sz w:val="24"/>
                <w:szCs w:val="24"/>
              </w:rPr>
              <w:t>充电时外电路抽走电子，</w:t>
            </w:r>
            <w:r>
              <w:rPr>
                <w:rFonts w:hint="default" w:ascii="Times New Roman" w:hAnsi="Times New Roman" w:eastAsia="宋体" w:cs="Times New Roman"/>
                <w:color w:val="auto"/>
                <w:sz w:val="24"/>
                <w:szCs w:val="24"/>
              </w:rPr>
              <w:t>Li⁺</w:t>
            </w:r>
            <w:r>
              <w:rPr>
                <w:rFonts w:ascii="宋体" w:hAnsi="宋体" w:eastAsia="宋体" w:cs="宋体"/>
                <w:color w:val="auto"/>
                <w:sz w:val="24"/>
                <w:szCs w:val="24"/>
              </w:rPr>
              <w:t>从磷酸铁锂晶格脱出，进入电解液：</w:t>
            </w:r>
          </w:p>
          <w:p w14:paraId="44CF5D31">
            <w:pPr>
              <w:pStyle w:val="66"/>
              <w:keepNext w:val="0"/>
              <w:keepLines w:val="0"/>
              <w:pageBreakBefore w:val="0"/>
              <w:widowControl w:val="0"/>
              <w:kinsoku/>
              <w:wordWrap/>
              <w:overflowPunct/>
              <w:topLinePunct w:val="0"/>
              <w:autoSpaceDE w:val="0"/>
              <w:autoSpaceDN w:val="0"/>
              <w:bidi w:val="0"/>
              <w:spacing w:line="360" w:lineRule="auto"/>
              <w:ind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LiFePO</w:t>
            </w:r>
            <w:r>
              <w:rPr>
                <w:rFonts w:hint="default" w:ascii="Times New Roman" w:hAnsi="Times New Roman" w:eastAsia="宋体" w:cs="Times New Roman"/>
                <w:color w:val="auto"/>
                <w:sz w:val="24"/>
                <w:szCs w:val="24"/>
                <w:vertAlign w:val="subscript"/>
              </w:rPr>
              <w:t>4</w:t>
            </w:r>
            <w:r>
              <w:rPr>
                <w:rFonts w:hint="default" w:ascii="Times New Roman" w:hAnsi="Times New Roman" w:eastAsia="宋体" w:cs="Times New Roman"/>
                <w:color w:val="auto"/>
                <w:sz w:val="24"/>
                <w:szCs w:val="24"/>
              </w:rPr>
              <w:t>→L</w:t>
            </w:r>
            <w:r>
              <w:rPr>
                <w:rFonts w:hint="default" w:ascii="Times New Roman" w:hAnsi="Times New Roman" w:eastAsia="宋体" w:cs="Times New Roman"/>
                <w:color w:val="auto"/>
                <w:sz w:val="24"/>
                <w:szCs w:val="24"/>
                <w:vertAlign w:val="subscript"/>
              </w:rPr>
              <w:t>i1−x</w:t>
            </w:r>
            <w:r>
              <w:rPr>
                <w:rFonts w:hint="default" w:ascii="Times New Roman" w:hAnsi="Times New Roman" w:eastAsia="宋体" w:cs="Times New Roman"/>
                <w:color w:val="auto"/>
                <w:sz w:val="24"/>
                <w:szCs w:val="24"/>
              </w:rPr>
              <w:t>FePO</w:t>
            </w:r>
            <w:r>
              <w:rPr>
                <w:rFonts w:hint="default" w:ascii="Times New Roman" w:hAnsi="Times New Roman" w:eastAsia="宋体" w:cs="Times New Roman"/>
                <w:color w:val="auto"/>
                <w:sz w:val="24"/>
                <w:szCs w:val="24"/>
                <w:vertAlign w:val="subscript"/>
              </w:rPr>
              <w:t>4</w:t>
            </w:r>
            <w:r>
              <w:rPr>
                <w:rFonts w:hint="default" w:ascii="Times New Roman" w:hAnsi="Times New Roman" w:eastAsia="宋体" w:cs="Times New Roman"/>
                <w:color w:val="auto"/>
                <w:sz w:val="24"/>
                <w:szCs w:val="24"/>
              </w:rPr>
              <w:t>+xLi++xe−</w:t>
            </w:r>
          </w:p>
          <w:p w14:paraId="2A8DA9EE">
            <w:pPr>
              <w:pStyle w:val="66"/>
              <w:keepNext w:val="0"/>
              <w:keepLines w:val="0"/>
              <w:pageBreakBefore w:val="0"/>
              <w:widowControl w:val="0"/>
              <w:kinsoku/>
              <w:wordWrap/>
              <w:overflowPunct/>
              <w:topLinePunct w:val="0"/>
              <w:autoSpaceDE w:val="0"/>
              <w:autoSpaceDN w:val="0"/>
              <w:bidi w:val="0"/>
              <w:spacing w:line="360" w:lineRule="auto"/>
              <w:ind w:firstLine="480" w:firstLineChars="200"/>
              <w:textAlignment w:val="auto"/>
              <w:rPr>
                <w:rFonts w:hint="eastAsia" w:ascii="宋体" w:hAnsi="宋体" w:eastAsia="宋体" w:cs="宋体"/>
                <w:color w:val="auto"/>
                <w:sz w:val="24"/>
                <w:szCs w:val="24"/>
                <w:lang w:eastAsia="zh-CN"/>
              </w:rPr>
            </w:pPr>
            <w:r>
              <w:rPr>
                <w:rFonts w:ascii="宋体" w:hAnsi="宋体" w:eastAsia="宋体" w:cs="宋体"/>
                <w:color w:val="auto"/>
                <w:sz w:val="24"/>
                <w:szCs w:val="24"/>
              </w:rPr>
              <w:t>放电可逆反应</w:t>
            </w:r>
            <w:r>
              <w:rPr>
                <w:rFonts w:hint="eastAsia" w:ascii="宋体" w:hAnsi="宋体" w:eastAsia="宋体" w:cs="宋体"/>
                <w:color w:val="auto"/>
                <w:sz w:val="24"/>
                <w:szCs w:val="24"/>
                <w:lang w:eastAsia="zh-CN"/>
              </w:rPr>
              <w:t>：</w:t>
            </w:r>
          </w:p>
          <w:p w14:paraId="0780DF92">
            <w:pPr>
              <w:pStyle w:val="66"/>
              <w:keepNext w:val="0"/>
              <w:keepLines w:val="0"/>
              <w:pageBreakBefore w:val="0"/>
              <w:widowControl w:val="0"/>
              <w:kinsoku/>
              <w:wordWrap/>
              <w:overflowPunct/>
              <w:topLinePunct w:val="0"/>
              <w:autoSpaceDE w:val="0"/>
              <w:autoSpaceDN w:val="0"/>
              <w:bidi w:val="0"/>
              <w:spacing w:line="360" w:lineRule="auto"/>
              <w:ind w:firstLine="480" w:firstLineChars="200"/>
              <w:textAlignment w:val="auto"/>
              <w:rPr>
                <w:rFonts w:hint="eastAsia" w:ascii="Times New Roman" w:hAnsi="Times New Roman" w:eastAsia="宋体" w:cs="Times New Roman"/>
                <w:color w:val="auto"/>
                <w:sz w:val="24"/>
                <w:szCs w:val="24"/>
                <w:lang w:eastAsia="zh-CN"/>
              </w:rPr>
            </w:pPr>
            <w:r>
              <w:rPr>
                <w:rFonts w:hint="default" w:ascii="Times New Roman" w:hAnsi="Times New Roman" w:eastAsia="宋体" w:cs="Times New Roman"/>
                <w:color w:val="auto"/>
                <w:sz w:val="24"/>
                <w:szCs w:val="24"/>
              </w:rPr>
              <w:t>Li</w:t>
            </w:r>
            <w:r>
              <w:rPr>
                <w:rFonts w:hint="default" w:ascii="Times New Roman" w:hAnsi="Times New Roman" w:eastAsia="宋体" w:cs="Times New Roman"/>
                <w:color w:val="auto"/>
                <w:sz w:val="24"/>
                <w:szCs w:val="24"/>
                <w:vertAlign w:val="subscript"/>
              </w:rPr>
              <w:t>1−x</w:t>
            </w:r>
            <w:r>
              <w:rPr>
                <w:rFonts w:hint="default" w:ascii="Times New Roman" w:hAnsi="Times New Roman" w:eastAsia="宋体" w:cs="Times New Roman"/>
                <w:color w:val="auto"/>
                <w:sz w:val="24"/>
                <w:szCs w:val="24"/>
              </w:rPr>
              <w:t>FePO</w:t>
            </w:r>
            <w:r>
              <w:rPr>
                <w:rFonts w:hint="default" w:ascii="Times New Roman" w:hAnsi="Times New Roman" w:eastAsia="宋体" w:cs="Times New Roman"/>
                <w:color w:val="auto"/>
                <w:sz w:val="24"/>
                <w:szCs w:val="24"/>
                <w:vertAlign w:val="subscript"/>
              </w:rPr>
              <w:t>4</w:t>
            </w:r>
            <w:r>
              <w:rPr>
                <w:rFonts w:hint="default" w:ascii="Times New Roman" w:hAnsi="Times New Roman" w:eastAsia="宋体" w:cs="Times New Roman"/>
                <w:color w:val="auto"/>
                <w:sz w:val="24"/>
                <w:szCs w:val="24"/>
              </w:rPr>
              <w:t>+xLi++xe</w:t>
            </w:r>
            <w:r>
              <w:rPr>
                <w:rFonts w:hint="default" w:ascii="Times New Roman" w:hAnsi="Times New Roman" w:eastAsia="宋体" w:cs="Times New Roman"/>
                <w:color w:val="auto"/>
                <w:sz w:val="24"/>
                <w:szCs w:val="24"/>
                <w:vertAlign w:val="superscript"/>
              </w:rPr>
              <w:t>−</w:t>
            </w:r>
            <w:r>
              <w:rPr>
                <w:rFonts w:hint="default" w:ascii="Times New Roman" w:hAnsi="Times New Roman" w:eastAsia="宋体" w:cs="Times New Roman"/>
                <w:color w:val="auto"/>
                <w:sz w:val="24"/>
                <w:szCs w:val="24"/>
              </w:rPr>
              <w:t>→LiFePO</w:t>
            </w:r>
            <w:r>
              <w:rPr>
                <w:rFonts w:hint="default" w:ascii="Times New Roman" w:hAnsi="Times New Roman" w:eastAsia="宋体" w:cs="Times New Roman"/>
                <w:color w:val="auto"/>
                <w:sz w:val="24"/>
                <w:szCs w:val="24"/>
                <w:vertAlign w:val="subscript"/>
              </w:rPr>
              <w:t>4</w:t>
            </w:r>
            <w:r>
              <w:rPr>
                <w:rFonts w:hint="default" w:ascii="Times New Roman" w:hAnsi="Times New Roman" w:eastAsia="宋体" w:cs="Times New Roman"/>
                <w:color w:val="auto"/>
                <w:sz w:val="24"/>
                <w:szCs w:val="24"/>
              </w:rPr>
              <w:t>​</w:t>
            </w:r>
          </w:p>
          <w:p w14:paraId="4FAB7B99">
            <w:pPr>
              <w:pStyle w:val="66"/>
              <w:keepNext w:val="0"/>
              <w:keepLines w:val="0"/>
              <w:pageBreakBefore w:val="0"/>
              <w:widowControl w:val="0"/>
              <w:kinsoku/>
              <w:wordWrap/>
              <w:overflowPunct/>
              <w:topLinePunct w:val="0"/>
              <w:autoSpaceDE w:val="0"/>
              <w:autoSpaceDN w:val="0"/>
              <w:bidi w:val="0"/>
              <w:spacing w:line="360" w:lineRule="auto"/>
              <w:ind w:firstLine="480" w:firstLineChars="200"/>
              <w:textAlignment w:val="auto"/>
              <w:rPr>
                <w:rFonts w:hint="default"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B.负极还原反应</w:t>
            </w:r>
          </w:p>
          <w:p w14:paraId="74CB3743">
            <w:pPr>
              <w:pStyle w:val="66"/>
              <w:keepNext w:val="0"/>
              <w:keepLines w:val="0"/>
              <w:pageBreakBefore w:val="0"/>
              <w:widowControl w:val="0"/>
              <w:kinsoku/>
              <w:wordWrap/>
              <w:overflowPunct/>
              <w:topLinePunct w:val="0"/>
              <w:autoSpaceDE w:val="0"/>
              <w:autoSpaceDN w:val="0"/>
              <w:bidi w:val="0"/>
              <w:spacing w:line="360" w:lineRule="auto"/>
              <w:ind w:firstLine="480" w:firstLineChars="200"/>
              <w:textAlignment w:val="auto"/>
              <w:rPr>
                <w:rFonts w:ascii="宋体" w:hAnsi="宋体" w:eastAsia="宋体" w:cs="宋体"/>
                <w:color w:val="auto"/>
                <w:sz w:val="24"/>
                <w:szCs w:val="24"/>
              </w:rPr>
            </w:pPr>
            <w:r>
              <w:rPr>
                <w:rFonts w:hint="default" w:ascii="Times New Roman" w:hAnsi="Times New Roman" w:eastAsia="宋体" w:cs="Times New Roman"/>
                <w:color w:val="auto"/>
                <w:sz w:val="24"/>
                <w:szCs w:val="24"/>
              </w:rPr>
              <w:t>迁移至负极的Li⁺得到电子嵌入石墨碳层，生成嵌锂石墨</w:t>
            </w:r>
            <w:r>
              <w:rPr>
                <w:rFonts w:ascii="宋体" w:hAnsi="宋体" w:eastAsia="宋体" w:cs="宋体"/>
                <w:color w:val="auto"/>
                <w:sz w:val="24"/>
                <w:szCs w:val="24"/>
              </w:rPr>
              <w:t>：</w:t>
            </w:r>
          </w:p>
          <w:p w14:paraId="0BEF71A3">
            <w:pPr>
              <w:pStyle w:val="66"/>
              <w:keepNext w:val="0"/>
              <w:keepLines w:val="0"/>
              <w:pageBreakBefore w:val="0"/>
              <w:widowControl w:val="0"/>
              <w:kinsoku/>
              <w:wordWrap/>
              <w:overflowPunct/>
              <w:topLinePunct w:val="0"/>
              <w:autoSpaceDE w:val="0"/>
              <w:autoSpaceDN w:val="0"/>
              <w:bidi w:val="0"/>
              <w:spacing w:line="360" w:lineRule="auto"/>
              <w:ind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6C+xLi</w:t>
            </w:r>
            <w:r>
              <w:rPr>
                <w:rFonts w:hint="default" w:ascii="Times New Roman" w:hAnsi="Times New Roman" w:eastAsia="宋体" w:cs="Times New Roman"/>
                <w:color w:val="auto"/>
                <w:sz w:val="24"/>
                <w:szCs w:val="24"/>
                <w:vertAlign w:val="superscript"/>
              </w:rPr>
              <w:t>+</w:t>
            </w:r>
            <w:r>
              <w:rPr>
                <w:rFonts w:hint="default" w:ascii="Times New Roman" w:hAnsi="Times New Roman" w:eastAsia="宋体" w:cs="Times New Roman"/>
                <w:color w:val="auto"/>
                <w:sz w:val="24"/>
                <w:szCs w:val="24"/>
              </w:rPr>
              <w:t>+xe</w:t>
            </w:r>
            <w:r>
              <w:rPr>
                <w:rFonts w:hint="default" w:ascii="Times New Roman" w:hAnsi="Times New Roman" w:eastAsia="宋体" w:cs="Times New Roman"/>
                <w:color w:val="auto"/>
                <w:sz w:val="24"/>
                <w:szCs w:val="24"/>
                <w:vertAlign w:val="superscript"/>
              </w:rPr>
              <w:t>−</w:t>
            </w:r>
            <w:r>
              <w:rPr>
                <w:rFonts w:hint="default" w:ascii="Times New Roman" w:hAnsi="Times New Roman" w:eastAsia="宋体" w:cs="Times New Roman"/>
                <w:color w:val="auto"/>
                <w:sz w:val="24"/>
                <w:szCs w:val="24"/>
              </w:rPr>
              <w:t>→Li</w:t>
            </w:r>
            <w:r>
              <w:rPr>
                <w:rFonts w:hint="default" w:ascii="Times New Roman" w:hAnsi="Times New Roman" w:eastAsia="宋体" w:cs="Times New Roman"/>
                <w:color w:val="auto"/>
                <w:sz w:val="24"/>
                <w:szCs w:val="24"/>
                <w:vertAlign w:val="subscript"/>
              </w:rPr>
              <w:t>x</w:t>
            </w:r>
            <w:r>
              <w:rPr>
                <w:rFonts w:hint="default" w:ascii="Times New Roman" w:hAnsi="Times New Roman" w:eastAsia="宋体" w:cs="Times New Roman"/>
                <w:color w:val="auto"/>
                <w:sz w:val="24"/>
                <w:szCs w:val="24"/>
              </w:rPr>
              <w:t>C</w:t>
            </w:r>
            <w:r>
              <w:rPr>
                <w:rFonts w:hint="default" w:ascii="Times New Roman" w:hAnsi="Times New Roman" w:eastAsia="宋体" w:cs="Times New Roman"/>
                <w:color w:val="auto"/>
                <w:sz w:val="24"/>
                <w:szCs w:val="24"/>
                <w:vertAlign w:val="subscript"/>
              </w:rPr>
              <w:t>6</w:t>
            </w:r>
            <w:r>
              <w:rPr>
                <w:rFonts w:hint="default" w:ascii="Times New Roman" w:hAnsi="Times New Roman" w:eastAsia="宋体" w:cs="Times New Roman"/>
                <w:color w:val="auto"/>
                <w:sz w:val="24"/>
                <w:szCs w:val="24"/>
              </w:rPr>
              <w:t>​</w:t>
            </w:r>
          </w:p>
          <w:p w14:paraId="0F082EDC">
            <w:pPr>
              <w:pStyle w:val="66"/>
              <w:keepNext w:val="0"/>
              <w:keepLines w:val="0"/>
              <w:pageBreakBefore w:val="0"/>
              <w:widowControl w:val="0"/>
              <w:kinsoku/>
              <w:wordWrap/>
              <w:overflowPunct/>
              <w:topLinePunct w:val="0"/>
              <w:autoSpaceDE w:val="0"/>
              <w:autoSpaceDN w:val="0"/>
              <w:bidi w:val="0"/>
              <w:spacing w:line="360" w:lineRule="auto"/>
              <w:ind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电解液溶剂</w:t>
            </w:r>
            <w:r>
              <w:rPr>
                <w:rFonts w:hint="eastAsia"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rPr>
              <w:t>DMC、EMC等</w:t>
            </w:r>
            <w:r>
              <w:rPr>
                <w:rFonts w:hint="eastAsia"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rPr>
              <w:t>锂盐LiPF6在石墨负极低电位（0.6~0.8VvsLi/Li⁺）发生还原分解，生成固态钝化膜SEI，覆盖石墨表面。</w:t>
            </w:r>
          </w:p>
          <w:p w14:paraId="5DD57D81">
            <w:pPr>
              <w:pStyle w:val="66"/>
              <w:keepNext w:val="0"/>
              <w:keepLines w:val="0"/>
              <w:pageBreakBefore w:val="0"/>
              <w:widowControl w:val="0"/>
              <w:kinsoku/>
              <w:wordWrap/>
              <w:overflowPunct/>
              <w:topLinePunct w:val="0"/>
              <w:autoSpaceDE w:val="0"/>
              <w:autoSpaceDN w:val="0"/>
              <w:bidi w:val="0"/>
              <w:adjustRightInd w:val="0"/>
              <w:snapToGrid w:val="0"/>
              <w:spacing w:line="360" w:lineRule="auto"/>
              <w:ind w:left="479" w:leftChars="228" w:firstLine="0" w:firstLineChars="0"/>
              <w:textAlignment w:val="auto"/>
              <w:rPr>
                <w:rFonts w:hint="default" w:ascii="Times New Roman" w:hAnsi="Times New Roman" w:eastAsia="宋体" w:cs="Times New Roman"/>
                <w:color w:val="auto"/>
                <w:sz w:val="24"/>
                <w:szCs w:val="24"/>
              </w:rPr>
            </w:pPr>
            <w:r>
              <w:rPr>
                <w:rFonts w:hint="eastAsia" w:cs="Times New Roman"/>
                <w:color w:val="auto"/>
                <w:sz w:val="24"/>
                <w:szCs w:val="24"/>
                <w:lang w:val="en-US" w:eastAsia="zh-CN"/>
              </w:rPr>
              <w:t>溶剂还原主反应：</w:t>
            </w:r>
            <w:r>
              <w:rPr>
                <w:rFonts w:hint="eastAsia" w:cs="Times New Roman"/>
                <w:color w:val="auto"/>
                <w:sz w:val="24"/>
                <w:szCs w:val="24"/>
                <w:lang w:val="en-US" w:eastAsia="zh-CN"/>
              </w:rPr>
              <w:br w:type="textWrapping"/>
            </w:r>
            <w:r>
              <w:rPr>
                <w:rFonts w:hint="default" w:ascii="Times New Roman" w:hAnsi="Times New Roman" w:eastAsia="宋体" w:cs="Times New Roman"/>
                <w:color w:val="auto"/>
                <w:sz w:val="24"/>
                <w:szCs w:val="24"/>
              </w:rPr>
              <w:t>2</w:t>
            </w:r>
            <w:r>
              <w:rPr>
                <w:rFonts w:hint="eastAsia" w:cs="Times New Roman"/>
                <w:color w:val="auto"/>
                <w:sz w:val="24"/>
                <w:szCs w:val="24"/>
                <w:lang w:eastAsia="zh-CN"/>
              </w:rPr>
              <w:t>（</w:t>
            </w:r>
            <w:r>
              <w:rPr>
                <w:rFonts w:hint="default" w:ascii="Times New Roman" w:hAnsi="Times New Roman" w:eastAsia="宋体" w:cs="Times New Roman"/>
                <w:color w:val="auto"/>
                <w:sz w:val="24"/>
                <w:szCs w:val="24"/>
              </w:rPr>
              <w:t>CH</w:t>
            </w:r>
            <w:r>
              <w:rPr>
                <w:rFonts w:hint="default" w:ascii="Times New Roman" w:hAnsi="Times New Roman" w:eastAsia="宋体" w:cs="Times New Roman"/>
                <w:color w:val="auto"/>
                <w:sz w:val="24"/>
                <w:szCs w:val="24"/>
                <w:vertAlign w:val="subscript"/>
              </w:rPr>
              <w:t>2</w:t>
            </w:r>
            <w:r>
              <w:rPr>
                <w:rFonts w:hint="eastAsia" w:cs="Times New Roman"/>
                <w:color w:val="auto"/>
                <w:sz w:val="24"/>
                <w:szCs w:val="24"/>
                <w:lang w:eastAsia="zh-CN"/>
              </w:rPr>
              <w:t>）</w:t>
            </w:r>
            <w:r>
              <w:rPr>
                <w:rFonts w:hint="default" w:ascii="Times New Roman" w:hAnsi="Times New Roman" w:eastAsia="宋体" w:cs="Times New Roman"/>
                <w:color w:val="auto"/>
                <w:sz w:val="24"/>
                <w:szCs w:val="24"/>
                <w:vertAlign w:val="subscript"/>
              </w:rPr>
              <w:t>2</w:t>
            </w:r>
            <w:r>
              <w:rPr>
                <w:rFonts w:hint="default" w:ascii="Times New Roman" w:hAnsi="Times New Roman" w:eastAsia="宋体" w:cs="Times New Roman"/>
                <w:color w:val="auto"/>
                <w:sz w:val="24"/>
                <w:szCs w:val="24"/>
              </w:rPr>
              <w:t>CO</w:t>
            </w:r>
            <w:r>
              <w:rPr>
                <w:rFonts w:hint="default" w:ascii="Times New Roman" w:hAnsi="Times New Roman" w:eastAsia="宋体" w:cs="Times New Roman"/>
                <w:color w:val="auto"/>
                <w:sz w:val="24"/>
                <w:szCs w:val="24"/>
                <w:vertAlign w:val="subscript"/>
              </w:rPr>
              <w:t>3</w:t>
            </w:r>
            <w:r>
              <w:rPr>
                <w:rFonts w:hint="default" w:ascii="Times New Roman" w:hAnsi="Times New Roman" w:eastAsia="宋体" w:cs="Times New Roman"/>
                <w:color w:val="auto"/>
                <w:sz w:val="24"/>
                <w:szCs w:val="24"/>
              </w:rPr>
              <w:t>+2Li++2e−→</w:t>
            </w:r>
            <w:r>
              <w:rPr>
                <w:rFonts w:hint="eastAsia" w:cs="Times New Roman"/>
                <w:color w:val="auto"/>
                <w:sz w:val="24"/>
                <w:szCs w:val="24"/>
                <w:lang w:eastAsia="zh-CN"/>
              </w:rPr>
              <w:t>（</w:t>
            </w:r>
            <w:r>
              <w:rPr>
                <w:rFonts w:hint="default" w:ascii="Times New Roman" w:hAnsi="Times New Roman" w:eastAsia="宋体" w:cs="Times New Roman"/>
                <w:color w:val="auto"/>
                <w:sz w:val="24"/>
                <w:szCs w:val="24"/>
              </w:rPr>
              <w:t>CH</w:t>
            </w:r>
            <w:r>
              <w:rPr>
                <w:rFonts w:hint="default" w:ascii="Times New Roman" w:hAnsi="Times New Roman" w:eastAsia="宋体" w:cs="Times New Roman"/>
                <w:color w:val="auto"/>
                <w:sz w:val="24"/>
                <w:szCs w:val="24"/>
                <w:vertAlign w:val="subscript"/>
              </w:rPr>
              <w:t>2</w:t>
            </w:r>
            <w:r>
              <w:rPr>
                <w:rFonts w:hint="default" w:ascii="Times New Roman" w:hAnsi="Times New Roman" w:eastAsia="宋体" w:cs="Times New Roman"/>
                <w:color w:val="auto"/>
                <w:sz w:val="24"/>
                <w:szCs w:val="24"/>
              </w:rPr>
              <w:t>OCO</w:t>
            </w:r>
            <w:r>
              <w:rPr>
                <w:rFonts w:hint="default" w:ascii="Times New Roman" w:hAnsi="Times New Roman" w:eastAsia="宋体" w:cs="Times New Roman"/>
                <w:color w:val="auto"/>
                <w:sz w:val="24"/>
                <w:szCs w:val="24"/>
                <w:vertAlign w:val="subscript"/>
              </w:rPr>
              <w:t>2</w:t>
            </w:r>
            <w:r>
              <w:rPr>
                <w:rFonts w:hint="default" w:ascii="Times New Roman" w:hAnsi="Times New Roman" w:eastAsia="宋体" w:cs="Times New Roman"/>
                <w:color w:val="auto"/>
                <w:sz w:val="24"/>
                <w:szCs w:val="24"/>
              </w:rPr>
              <w:t>Li</w:t>
            </w:r>
            <w:r>
              <w:rPr>
                <w:rFonts w:hint="eastAsia" w:cs="Times New Roman"/>
                <w:color w:val="auto"/>
                <w:sz w:val="24"/>
                <w:szCs w:val="24"/>
                <w:lang w:eastAsia="zh-CN"/>
              </w:rPr>
              <w:t>）</w:t>
            </w:r>
            <w:r>
              <w:rPr>
                <w:rFonts w:hint="default" w:ascii="Times New Roman" w:hAnsi="Times New Roman" w:eastAsia="宋体" w:cs="Times New Roman"/>
                <w:color w:val="auto"/>
                <w:sz w:val="24"/>
                <w:szCs w:val="24"/>
                <w:vertAlign w:val="subscript"/>
              </w:rPr>
              <w:t>2</w:t>
            </w:r>
            <w:r>
              <w:rPr>
                <w:rFonts w:hint="default" w:ascii="Times New Roman" w:hAnsi="Times New Roman" w:eastAsia="宋体" w:cs="Times New Roman"/>
                <w:color w:val="auto"/>
                <w:sz w:val="24"/>
                <w:szCs w:val="24"/>
              </w:rPr>
              <w:t>↓+CH</w:t>
            </w:r>
            <w:r>
              <w:rPr>
                <w:rFonts w:hint="default" w:ascii="Times New Roman" w:hAnsi="Times New Roman" w:eastAsia="宋体" w:cs="Times New Roman"/>
                <w:color w:val="auto"/>
                <w:sz w:val="24"/>
                <w:szCs w:val="24"/>
                <w:vertAlign w:val="subscript"/>
              </w:rPr>
              <w:t>2</w:t>
            </w:r>
            <w:r>
              <w:rPr>
                <w:rFonts w:hint="default" w:ascii="Times New Roman" w:hAnsi="Times New Roman" w:eastAsia="宋体" w:cs="Times New Roman"/>
                <w:color w:val="auto"/>
                <w:sz w:val="24"/>
                <w:szCs w:val="24"/>
              </w:rPr>
              <w:t>=CH</w:t>
            </w:r>
            <w:r>
              <w:rPr>
                <w:rFonts w:hint="default" w:ascii="Times New Roman" w:hAnsi="Times New Roman" w:eastAsia="宋体" w:cs="Times New Roman"/>
                <w:color w:val="auto"/>
                <w:sz w:val="24"/>
                <w:szCs w:val="24"/>
                <w:vertAlign w:val="subscript"/>
              </w:rPr>
              <w:t>2</w:t>
            </w:r>
            <w:r>
              <w:rPr>
                <w:rFonts w:hint="default" w:ascii="Times New Roman" w:hAnsi="Times New Roman" w:eastAsia="宋体" w:cs="Times New Roman"/>
                <w:color w:val="auto"/>
                <w:sz w:val="24"/>
                <w:szCs w:val="24"/>
              </w:rPr>
              <w:t>↑</w:t>
            </w:r>
          </w:p>
          <w:p w14:paraId="2603A41D">
            <w:pPr>
              <w:pStyle w:val="66"/>
              <w:keepNext w:val="0"/>
              <w:keepLines w:val="0"/>
              <w:pageBreakBefore w:val="0"/>
              <w:widowControl w:val="0"/>
              <w:kinsoku/>
              <w:wordWrap/>
              <w:overflowPunct/>
              <w:topLinePunct w:val="0"/>
              <w:autoSpaceDE w:val="0"/>
              <w:autoSpaceDN w:val="0"/>
              <w:bidi w:val="0"/>
              <w:adjustRightInd w:val="0"/>
              <w:snapToGrid w:val="0"/>
              <w:spacing w:line="360" w:lineRule="auto"/>
              <w:ind w:left="479" w:leftChars="228" w:firstLine="0" w:firstLineChars="0"/>
              <w:textAlignment w:val="auto"/>
              <w:rPr>
                <w:rFonts w:hint="eastAsia" w:ascii="宋体" w:hAnsi="宋体" w:eastAsia="宋体" w:cs="宋体"/>
                <w:color w:val="auto"/>
                <w:sz w:val="24"/>
                <w:szCs w:val="24"/>
                <w:lang w:eastAsia="zh-CN"/>
              </w:rPr>
            </w:pPr>
            <w:r>
              <w:rPr>
                <w:rFonts w:ascii="宋体" w:hAnsi="宋体" w:eastAsia="宋体" w:cs="宋体"/>
                <w:color w:val="auto"/>
                <w:sz w:val="24"/>
                <w:szCs w:val="24"/>
              </w:rPr>
              <w:t>锂盐分解副反应</w:t>
            </w:r>
            <w:r>
              <w:rPr>
                <w:rFonts w:hint="eastAsia" w:ascii="宋体" w:hAnsi="宋体" w:eastAsia="宋体" w:cs="宋体"/>
                <w:color w:val="auto"/>
                <w:sz w:val="24"/>
                <w:szCs w:val="24"/>
                <w:lang w:eastAsia="zh-CN"/>
              </w:rPr>
              <w:t>：</w:t>
            </w:r>
          </w:p>
          <w:p w14:paraId="1C3289FA">
            <w:pPr>
              <w:pStyle w:val="66"/>
              <w:keepNext w:val="0"/>
              <w:keepLines w:val="0"/>
              <w:pageBreakBefore w:val="0"/>
              <w:widowControl w:val="0"/>
              <w:kinsoku/>
              <w:wordWrap/>
              <w:overflowPunct/>
              <w:topLinePunct w:val="0"/>
              <w:autoSpaceDE w:val="0"/>
              <w:autoSpaceDN w:val="0"/>
              <w:bidi w:val="0"/>
              <w:adjustRightInd w:val="0"/>
              <w:snapToGrid w:val="0"/>
              <w:spacing w:line="360" w:lineRule="auto"/>
              <w:ind w:left="479" w:leftChars="228" w:firstLine="0" w:firstLineChars="0"/>
              <w:textAlignment w:val="auto"/>
              <w:rPr>
                <w:rFonts w:hint="eastAsia" w:cs="Times New Roman"/>
                <w:color w:val="auto"/>
                <w:sz w:val="24"/>
                <w:szCs w:val="24"/>
                <w:lang w:val="en-US" w:eastAsia="zh-CN"/>
              </w:rPr>
            </w:pPr>
            <w:r>
              <w:rPr>
                <w:rFonts w:hint="eastAsia" w:cs="Times New Roman"/>
                <w:color w:val="auto"/>
                <w:sz w:val="24"/>
                <w:szCs w:val="24"/>
                <w:lang w:val="en-US" w:eastAsia="zh-CN"/>
              </w:rPr>
              <w:t>LiPF</w:t>
            </w:r>
            <w:r>
              <w:rPr>
                <w:rFonts w:hint="eastAsia" w:cs="Times New Roman"/>
                <w:color w:val="auto"/>
                <w:sz w:val="24"/>
                <w:szCs w:val="24"/>
                <w:vertAlign w:val="subscript"/>
                <w:lang w:val="en-US" w:eastAsia="zh-CN"/>
              </w:rPr>
              <w:t>6</w:t>
            </w:r>
            <w:r>
              <w:rPr>
                <w:rFonts w:hint="eastAsia" w:cs="Times New Roman"/>
                <w:color w:val="auto"/>
                <w:sz w:val="24"/>
                <w:szCs w:val="24"/>
                <w:lang w:val="en-US" w:eastAsia="zh-CN"/>
              </w:rPr>
              <w:t>+e</w:t>
            </w:r>
            <w:r>
              <w:rPr>
                <w:rFonts w:hint="eastAsia" w:cs="Times New Roman"/>
                <w:color w:val="auto"/>
                <w:sz w:val="24"/>
                <w:szCs w:val="24"/>
                <w:vertAlign w:val="superscript"/>
                <w:lang w:val="en-US" w:eastAsia="zh-CN"/>
              </w:rPr>
              <w:t>−</w:t>
            </w:r>
            <w:r>
              <w:rPr>
                <w:rFonts w:hint="eastAsia" w:cs="Times New Roman"/>
                <w:color w:val="auto"/>
                <w:sz w:val="24"/>
                <w:szCs w:val="24"/>
                <w:lang w:val="en-US" w:eastAsia="zh-CN"/>
              </w:rPr>
              <w:t>→LiF↓+PF</w:t>
            </w:r>
            <w:r>
              <w:rPr>
                <w:rFonts w:hint="eastAsia" w:cs="Times New Roman"/>
                <w:color w:val="auto"/>
                <w:sz w:val="24"/>
                <w:szCs w:val="24"/>
                <w:vertAlign w:val="subscript"/>
                <w:lang w:val="en-US" w:eastAsia="zh-CN"/>
              </w:rPr>
              <w:t>5</w:t>
            </w:r>
            <w:r>
              <w:rPr>
                <w:rFonts w:hint="eastAsia" w:cs="Times New Roman"/>
                <w:color w:val="auto"/>
                <w:sz w:val="24"/>
                <w:szCs w:val="24"/>
                <w:lang w:val="en-US" w:eastAsia="zh-CN"/>
              </w:rPr>
              <w:t>​</w:t>
            </w:r>
          </w:p>
          <w:p w14:paraId="272B4E33">
            <w:pPr>
              <w:pStyle w:val="66"/>
              <w:keepNext w:val="0"/>
              <w:keepLines w:val="0"/>
              <w:pageBreakBefore w:val="0"/>
              <w:widowControl w:val="0"/>
              <w:kinsoku/>
              <w:wordWrap/>
              <w:overflowPunct/>
              <w:topLinePunct w:val="0"/>
              <w:autoSpaceDE w:val="0"/>
              <w:autoSpaceDN w:val="0"/>
              <w:bidi w:val="0"/>
              <w:adjustRightInd w:val="0"/>
              <w:snapToGrid w:val="0"/>
              <w:spacing w:line="360" w:lineRule="auto"/>
              <w:textAlignment w:val="auto"/>
              <w:rPr>
                <w:rFonts w:hint="eastAsia" w:eastAsia="宋体" w:cs="Times New Roman"/>
                <w:color w:val="auto"/>
                <w:sz w:val="24"/>
                <w:szCs w:val="24"/>
                <w:lang w:val="en-US" w:eastAsia="zh-CN"/>
              </w:rPr>
            </w:pPr>
            <w:r>
              <w:rPr>
                <w:rFonts w:hint="eastAsia" w:cs="Times New Roman"/>
                <w:color w:val="auto"/>
                <w:sz w:val="24"/>
                <w:szCs w:val="24"/>
                <w:lang w:val="en-US" w:eastAsia="zh-CN"/>
              </w:rPr>
              <w:t>LiF为SEI无机硬质组分，提升膜稳定性、阻隔溶剂共嵌入，防止石墨持续剥落，PF</w:t>
            </w:r>
            <w:r>
              <w:rPr>
                <w:rFonts w:hint="eastAsia" w:cs="Times New Roman"/>
                <w:color w:val="auto"/>
                <w:sz w:val="24"/>
                <w:szCs w:val="24"/>
                <w:vertAlign w:val="subscript"/>
                <w:lang w:val="en-US" w:eastAsia="zh-CN"/>
              </w:rPr>
              <w:t>5</w:t>
            </w:r>
            <w:r>
              <w:rPr>
                <w:rFonts w:hint="eastAsia" w:cs="Times New Roman"/>
                <w:color w:val="auto"/>
                <w:sz w:val="24"/>
                <w:szCs w:val="24"/>
                <w:lang w:val="en-US" w:eastAsia="zh-CN"/>
              </w:rPr>
              <w:t>会立刻与电解液碳酸酯溶剂、负极SEI膜前驱有机物发生固相界面反应，数毫秒内完全消耗，转化为固态氟化锂LiF，永久沉积在负极SEI膜中。</w:t>
            </w:r>
          </w:p>
          <w:p w14:paraId="010F75D2">
            <w:pPr>
              <w:pStyle w:val="66"/>
              <w:keepNext w:val="0"/>
              <w:keepLines w:val="0"/>
              <w:pageBreakBefore w:val="0"/>
              <w:widowControl w:val="0"/>
              <w:kinsoku/>
              <w:wordWrap/>
              <w:overflowPunct/>
              <w:topLinePunct w:val="0"/>
              <w:autoSpaceDE w:val="0"/>
              <w:autoSpaceDN w:val="0"/>
              <w:bidi w:val="0"/>
              <w:adjustRightInd w:val="0"/>
              <w:snapToGrid w:val="0"/>
              <w:spacing w:line="360" w:lineRule="auto"/>
              <w:textAlignment w:val="auto"/>
              <w:rPr>
                <w:rFonts w:hint="eastAsia" w:cs="Times New Roman"/>
                <w:color w:val="auto"/>
                <w:sz w:val="24"/>
                <w:szCs w:val="24"/>
                <w:lang w:val="en-US" w:eastAsia="zh-CN"/>
              </w:rPr>
            </w:pPr>
            <w:r>
              <w:rPr>
                <w:rFonts w:hint="eastAsia" w:cs="Times New Roman"/>
                <w:color w:val="auto"/>
                <w:sz w:val="24"/>
                <w:szCs w:val="24"/>
                <w:lang w:val="en-US" w:eastAsia="zh-CN"/>
              </w:rPr>
              <w:t>C.总反应</w:t>
            </w:r>
          </w:p>
          <w:p w14:paraId="68060303">
            <w:pPr>
              <w:pStyle w:val="66"/>
              <w:keepNext w:val="0"/>
              <w:keepLines w:val="0"/>
              <w:pageBreakBefore w:val="0"/>
              <w:widowControl w:val="0"/>
              <w:kinsoku/>
              <w:wordWrap/>
              <w:overflowPunct/>
              <w:topLinePunct w:val="0"/>
              <w:autoSpaceDE w:val="0"/>
              <w:autoSpaceDN w:val="0"/>
              <w:bidi w:val="0"/>
              <w:adjustRightInd w:val="0"/>
              <w:snapToGrid w:val="0"/>
              <w:spacing w:line="360" w:lineRule="auto"/>
              <w:textAlignment w:val="auto"/>
              <w:rPr>
                <w:rFonts w:hint="eastAsia" w:ascii="宋体" w:hAnsi="宋体" w:eastAsia="宋体" w:cs="宋体"/>
                <w:color w:val="auto"/>
                <w:sz w:val="24"/>
                <w:szCs w:val="24"/>
                <w:lang w:eastAsia="zh-CN"/>
              </w:rPr>
            </w:pPr>
            <w:r>
              <w:rPr>
                <w:rFonts w:ascii="宋体" w:hAnsi="宋体" w:eastAsia="宋体" w:cs="宋体"/>
                <w:color w:val="auto"/>
                <w:sz w:val="24"/>
                <w:szCs w:val="24"/>
              </w:rPr>
              <w:t>可逆主反应</w:t>
            </w:r>
            <w:r>
              <w:rPr>
                <w:rFonts w:hint="eastAsia" w:ascii="宋体" w:hAnsi="宋体" w:eastAsia="宋体" w:cs="宋体"/>
                <w:color w:val="auto"/>
                <w:sz w:val="24"/>
                <w:szCs w:val="24"/>
                <w:lang w:eastAsia="zh-CN"/>
              </w:rPr>
              <w:t>：</w:t>
            </w:r>
          </w:p>
          <w:p w14:paraId="55FEA715">
            <w:pPr>
              <w:pStyle w:val="66"/>
              <w:keepNext w:val="0"/>
              <w:keepLines w:val="0"/>
              <w:pageBreakBefore w:val="0"/>
              <w:widowControl w:val="0"/>
              <w:kinsoku/>
              <w:wordWrap/>
              <w:overflowPunct/>
              <w:topLinePunct w:val="0"/>
              <w:autoSpaceDE w:val="0"/>
              <w:autoSpaceDN w:val="0"/>
              <w:bidi w:val="0"/>
              <w:adjustRightInd w:val="0"/>
              <w:snapToGrid w:val="0"/>
              <w:spacing w:line="360" w:lineRule="auto"/>
              <w:ind w:left="479" w:leftChars="228" w:firstLine="0" w:firstLineChars="0"/>
              <w:textAlignment w:val="auto"/>
              <w:rPr>
                <w:rFonts w:hint="eastAsia"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rPr>
              <w:t>LiFePO</w:t>
            </w:r>
            <w:r>
              <w:rPr>
                <w:rFonts w:hint="default" w:ascii="Times New Roman" w:hAnsi="Times New Roman" w:eastAsia="宋体" w:cs="Times New Roman"/>
                <w:color w:val="auto"/>
                <w:sz w:val="24"/>
                <w:szCs w:val="24"/>
                <w:vertAlign w:val="subscript"/>
              </w:rPr>
              <w:t>4</w:t>
            </w:r>
            <w:r>
              <w:rPr>
                <w:rFonts w:hint="default" w:ascii="Times New Roman" w:hAnsi="Times New Roman" w:eastAsia="宋体" w:cs="Times New Roman"/>
                <w:color w:val="auto"/>
                <w:sz w:val="24"/>
                <w:szCs w:val="24"/>
              </w:rPr>
              <w:t>+6xC→Li</w:t>
            </w:r>
            <w:r>
              <w:rPr>
                <w:rFonts w:hint="default" w:ascii="Times New Roman" w:hAnsi="Times New Roman" w:eastAsia="宋体" w:cs="Times New Roman"/>
                <w:color w:val="auto"/>
                <w:sz w:val="24"/>
                <w:szCs w:val="24"/>
                <w:vertAlign w:val="subscript"/>
              </w:rPr>
              <w:t>1−x</w:t>
            </w:r>
            <w:r>
              <w:rPr>
                <w:rFonts w:hint="default" w:ascii="Times New Roman" w:hAnsi="Times New Roman" w:eastAsia="宋体" w:cs="Times New Roman"/>
                <w:color w:val="auto"/>
                <w:sz w:val="24"/>
                <w:szCs w:val="24"/>
              </w:rPr>
              <w:t>FePO</w:t>
            </w:r>
            <w:r>
              <w:rPr>
                <w:rFonts w:hint="default" w:ascii="Times New Roman" w:hAnsi="Times New Roman" w:eastAsia="宋体" w:cs="Times New Roman"/>
                <w:color w:val="auto"/>
                <w:sz w:val="24"/>
                <w:szCs w:val="24"/>
                <w:vertAlign w:val="subscript"/>
              </w:rPr>
              <w:t>4</w:t>
            </w:r>
            <w:r>
              <w:rPr>
                <w:rFonts w:hint="default" w:ascii="Times New Roman" w:hAnsi="Times New Roman" w:eastAsia="宋体" w:cs="Times New Roman"/>
                <w:color w:val="auto"/>
                <w:sz w:val="24"/>
                <w:szCs w:val="24"/>
              </w:rPr>
              <w:t>+LixC</w:t>
            </w:r>
            <w:r>
              <w:rPr>
                <w:rFonts w:hint="default" w:ascii="Times New Roman" w:hAnsi="Times New Roman" w:eastAsia="宋体" w:cs="Times New Roman"/>
                <w:color w:val="auto"/>
                <w:sz w:val="24"/>
                <w:szCs w:val="24"/>
                <w:vertAlign w:val="subscript"/>
              </w:rPr>
              <w:t>6</w:t>
            </w:r>
            <w:r>
              <w:rPr>
                <w:rFonts w:hint="default" w:ascii="Times New Roman" w:hAnsi="Times New Roman" w:eastAsia="宋体" w:cs="Times New Roman"/>
                <w:color w:val="auto"/>
                <w:sz w:val="24"/>
                <w:szCs w:val="24"/>
              </w:rPr>
              <w:t>​</w:t>
            </w:r>
          </w:p>
          <w:p w14:paraId="7C91F541">
            <w:pPr>
              <w:pStyle w:val="66"/>
              <w:keepNext w:val="0"/>
              <w:keepLines w:val="0"/>
              <w:pageBreakBefore w:val="0"/>
              <w:widowControl w:val="0"/>
              <w:kinsoku/>
              <w:wordWrap/>
              <w:overflowPunct/>
              <w:topLinePunct w:val="0"/>
              <w:autoSpaceDE w:val="0"/>
              <w:autoSpaceDN w:val="0"/>
              <w:bidi w:val="0"/>
              <w:spacing w:line="360" w:lineRule="auto"/>
              <w:ind w:firstLine="480" w:firstLineChars="200"/>
              <w:textAlignment w:val="auto"/>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⑨二封线</w:t>
            </w:r>
          </w:p>
          <w:p w14:paraId="51FF9B39">
            <w:pPr>
              <w:pStyle w:val="66"/>
              <w:keepNext w:val="0"/>
              <w:keepLines w:val="0"/>
              <w:pageBreakBefore w:val="0"/>
              <w:widowControl w:val="0"/>
              <w:kinsoku/>
              <w:wordWrap/>
              <w:overflowPunct/>
              <w:topLinePunct w:val="0"/>
              <w:autoSpaceDE w:val="0"/>
              <w:autoSpaceDN w:val="0"/>
              <w:bidi w:val="0"/>
              <w:spacing w:line="360" w:lineRule="auto"/>
              <w:ind w:firstLine="480" w:firstLineChars="200"/>
              <w:textAlignment w:val="auto"/>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化成后的电芯进入自动二封成型机，</w:t>
            </w:r>
            <w:r>
              <w:rPr>
                <w:rFonts w:ascii="宋体" w:hAnsi="宋体" w:eastAsia="宋体" w:cs="宋体"/>
                <w:color w:val="auto"/>
                <w:sz w:val="24"/>
                <w:szCs w:val="24"/>
              </w:rPr>
              <w:t>在真空腔体内刺破气袋并抽除内部气体，消除电芯内压；随后通过热压对封口进行永久密封，隔绝外界水汽与氧气</w:t>
            </w:r>
            <w:r>
              <w:rPr>
                <w:rFonts w:hint="eastAsia" w:ascii="宋体" w:hAnsi="宋体" w:eastAsia="宋体" w:cs="宋体"/>
                <w:color w:val="auto"/>
                <w:sz w:val="24"/>
                <w:szCs w:val="24"/>
                <w:lang w:eastAsia="zh-CN"/>
              </w:rPr>
              <w:t>，</w:t>
            </w:r>
            <w:r>
              <w:rPr>
                <w:rFonts w:ascii="宋体" w:hAnsi="宋体" w:eastAsia="宋体" w:cs="宋体"/>
                <w:color w:val="auto"/>
                <w:sz w:val="24"/>
                <w:szCs w:val="24"/>
              </w:rPr>
              <w:t>最后剪除多余气袋，得到最终形态的电芯。</w:t>
            </w:r>
            <w:r>
              <w:rPr>
                <w:rFonts w:hint="default" w:ascii="Times New Roman" w:hAnsi="Times New Roman" w:eastAsia="宋体" w:cs="Times New Roman"/>
                <w:color w:val="auto"/>
                <w:lang w:val="en-US" w:eastAsia="zh-CN"/>
              </w:rPr>
              <w:t>（此工序主要产生噪声、</w:t>
            </w:r>
            <w:r>
              <w:rPr>
                <w:rFonts w:hint="default" w:ascii="Times New Roman" w:hAnsi="Times New Roman" w:cs="Times New Roman"/>
                <w:color w:val="auto"/>
                <w:lang w:val="en-US" w:eastAsia="zh-CN"/>
              </w:rPr>
              <w:t>有机废气</w:t>
            </w:r>
            <w:r>
              <w:rPr>
                <w:rFonts w:hint="default" w:ascii="Times New Roman" w:hAnsi="Times New Roman" w:eastAsia="宋体" w:cs="Times New Roman"/>
                <w:color w:val="auto"/>
                <w:lang w:val="en-US" w:eastAsia="zh-CN"/>
              </w:rPr>
              <w:t>）</w:t>
            </w:r>
          </w:p>
          <w:p w14:paraId="3D6959E4">
            <w:pPr>
              <w:pStyle w:val="66"/>
              <w:keepNext w:val="0"/>
              <w:keepLines w:val="0"/>
              <w:pageBreakBefore w:val="0"/>
              <w:widowControl w:val="0"/>
              <w:kinsoku/>
              <w:wordWrap/>
              <w:overflowPunct/>
              <w:topLinePunct w:val="0"/>
              <w:autoSpaceDE w:val="0"/>
              <w:autoSpaceDN w:val="0"/>
              <w:bidi w:val="0"/>
              <w:spacing w:line="360" w:lineRule="auto"/>
              <w:ind w:firstLine="480" w:firstLineChars="200"/>
              <w:textAlignment w:val="auto"/>
              <w:rPr>
                <w:rFonts w:hint="eastAsia" w:ascii="Times New Roman" w:hAnsi="Times New Roman" w:eastAsia="宋体" w:cs="Times New Roman"/>
                <w:color w:val="auto"/>
                <w:lang w:val="en-US" w:eastAsia="zh-CN"/>
              </w:rPr>
            </w:pPr>
            <w:r>
              <w:rPr>
                <w:rFonts w:hint="default" w:ascii="Times New Roman" w:hAnsi="Times New Roman" w:cs="Times New Roman"/>
                <w:color w:val="auto"/>
                <w:lang w:val="en-US" w:eastAsia="zh-CN"/>
              </w:rPr>
              <w:t>⑩</w:t>
            </w:r>
            <w:r>
              <w:rPr>
                <w:rFonts w:hint="eastAsia" w:ascii="Times New Roman" w:hAnsi="Times New Roman" w:eastAsia="宋体" w:cs="Times New Roman"/>
                <w:color w:val="auto"/>
                <w:lang w:val="en-US" w:eastAsia="zh-CN"/>
              </w:rPr>
              <w:t>定容</w:t>
            </w:r>
          </w:p>
          <w:p w14:paraId="67AD36C7">
            <w:pPr>
              <w:pStyle w:val="66"/>
              <w:keepNext w:val="0"/>
              <w:keepLines w:val="0"/>
              <w:pageBreakBefore w:val="0"/>
              <w:widowControl w:val="0"/>
              <w:kinsoku/>
              <w:wordWrap/>
              <w:overflowPunct/>
              <w:topLinePunct w:val="0"/>
              <w:autoSpaceDE w:val="0"/>
              <w:autoSpaceDN w:val="0"/>
              <w:bidi w:val="0"/>
              <w:spacing w:line="360" w:lineRule="auto"/>
              <w:ind w:firstLine="480" w:firstLineChars="200"/>
              <w:textAlignment w:val="auto"/>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电池在</w:t>
            </w:r>
            <w:r>
              <w:rPr>
                <w:rFonts w:hint="eastAsia" w:cs="Times New Roman"/>
                <w:color w:val="auto"/>
                <w:lang w:val="en-US" w:eastAsia="zh-CN"/>
              </w:rPr>
              <w:t>分容设备</w:t>
            </w:r>
            <w:r>
              <w:rPr>
                <w:rFonts w:hint="eastAsia" w:ascii="Times New Roman" w:hAnsi="Times New Roman" w:eastAsia="宋体" w:cs="Times New Roman"/>
                <w:color w:val="auto"/>
                <w:lang w:val="en-US" w:eastAsia="zh-CN"/>
              </w:rPr>
              <w:t>上经放电检测，分容</w:t>
            </w:r>
            <w:r>
              <w:rPr>
                <w:rFonts w:hint="eastAsia" w:cs="Times New Roman"/>
                <w:color w:val="auto"/>
                <w:lang w:val="en-US" w:eastAsia="zh-CN"/>
              </w:rPr>
              <w:t>设备线会</w:t>
            </w:r>
            <w:r>
              <w:rPr>
                <w:rFonts w:hint="eastAsia" w:ascii="Times New Roman" w:hAnsi="Times New Roman" w:eastAsia="宋体" w:cs="Times New Roman"/>
                <w:color w:val="auto"/>
                <w:lang w:val="en-US" w:eastAsia="zh-CN"/>
              </w:rPr>
              <w:t>根据放电量的多少自动记录下各电池的容</w:t>
            </w:r>
            <w:r>
              <w:rPr>
                <w:rFonts w:hint="eastAsia" w:ascii="宋体" w:hAnsi="宋体"/>
                <w:color w:val="auto"/>
                <w:spacing w:val="2"/>
                <w:szCs w:val="26"/>
              </w:rPr>
              <w:t>量，然后根据容量大小的不同将电池区分开，从而达到定容的目的</w:t>
            </w:r>
            <w:r>
              <w:rPr>
                <w:rFonts w:hint="eastAsia" w:ascii="Times New Roman" w:hAnsi="Times New Roman" w:eastAsia="宋体" w:cs="Times New Roman"/>
                <w:color w:val="auto"/>
                <w:lang w:val="en-US" w:eastAsia="zh-CN"/>
              </w:rPr>
              <w:t>。</w:t>
            </w:r>
          </w:p>
          <w:p w14:paraId="4534FF3D">
            <w:pPr>
              <w:pStyle w:val="66"/>
              <w:keepNext w:val="0"/>
              <w:keepLines w:val="0"/>
              <w:pageBreakBefore w:val="0"/>
              <w:widowControl w:val="0"/>
              <w:kinsoku/>
              <w:wordWrap/>
              <w:overflowPunct/>
              <w:topLinePunct w:val="0"/>
              <w:autoSpaceDE w:val="0"/>
              <w:autoSpaceDN w:val="0"/>
              <w:bidi w:val="0"/>
              <w:spacing w:line="360" w:lineRule="auto"/>
              <w:ind w:firstLine="480" w:firstLineChars="200"/>
              <w:textAlignment w:val="auto"/>
              <w:rPr>
                <w:rFonts w:hint="eastAsia" w:cs="Times New Roman"/>
                <w:color w:val="auto"/>
                <w:lang w:val="en-US" w:eastAsia="zh-CN"/>
              </w:rPr>
            </w:pPr>
            <w:r>
              <w:rPr>
                <w:rFonts w:hint="default" w:ascii="Times New Roman" w:hAnsi="Times New Roman" w:cs="Times New Roman"/>
                <w:color w:val="auto"/>
                <w:lang w:val="en-US" w:eastAsia="zh-CN"/>
              </w:rPr>
              <w:t>⑪</w:t>
            </w:r>
            <w:r>
              <w:rPr>
                <w:rFonts w:hint="eastAsia" w:cs="Times New Roman"/>
                <w:color w:val="auto"/>
                <w:lang w:val="en-US" w:eastAsia="zh-CN"/>
              </w:rPr>
              <w:t>OCV测试</w:t>
            </w:r>
          </w:p>
          <w:p w14:paraId="3CF33EB5">
            <w:pPr>
              <w:pStyle w:val="66"/>
              <w:keepNext w:val="0"/>
              <w:keepLines w:val="0"/>
              <w:pageBreakBefore w:val="0"/>
              <w:widowControl w:val="0"/>
              <w:kinsoku/>
              <w:wordWrap/>
              <w:overflowPunct/>
              <w:topLinePunct w:val="0"/>
              <w:autoSpaceDE w:val="0"/>
              <w:autoSpaceDN w:val="0"/>
              <w:bidi w:val="0"/>
              <w:spacing w:line="360" w:lineRule="auto"/>
              <w:ind w:firstLine="480" w:firstLineChars="200"/>
              <w:textAlignment w:val="auto"/>
              <w:rPr>
                <w:rFonts w:hint="eastAsia" w:cs="Times New Roman"/>
                <w:color w:val="auto"/>
                <w:lang w:val="en-US" w:eastAsia="zh-CN"/>
              </w:rPr>
            </w:pPr>
            <w:r>
              <w:rPr>
                <w:rFonts w:hint="eastAsia" w:cs="Times New Roman"/>
                <w:color w:val="auto"/>
                <w:lang w:val="en-US" w:eastAsia="zh-CN"/>
              </w:rPr>
              <w:t>电芯经常温静置至电化学平衡后，通过OCV测试线对电芯开路电压、内阻进行检测，并结合静置前后的电压变化判断自放电水平。设备根据预设的电压、压差及内阻阈值自动分选，合格电芯进入成品库，不合格电芯单独收集处置。</w:t>
            </w:r>
          </w:p>
          <w:p w14:paraId="186BDE53">
            <w:pPr>
              <w:pStyle w:val="66"/>
              <w:keepNext w:val="0"/>
              <w:keepLines w:val="0"/>
              <w:pageBreakBefore w:val="0"/>
              <w:widowControl w:val="0"/>
              <w:kinsoku/>
              <w:wordWrap/>
              <w:overflowPunct/>
              <w:topLinePunct w:val="0"/>
              <w:autoSpaceDE w:val="0"/>
              <w:autoSpaceDN w:val="0"/>
              <w:bidi w:val="0"/>
              <w:spacing w:line="360" w:lineRule="auto"/>
              <w:ind w:firstLine="480" w:firstLineChars="200"/>
              <w:textAlignment w:val="auto"/>
              <w:rPr>
                <w:rFonts w:hint="eastAsia" w:ascii="宋体" w:hAnsi="宋体" w:eastAsia="宋体" w:cs="宋体"/>
                <w:color w:val="auto"/>
                <w:sz w:val="24"/>
                <w:szCs w:val="24"/>
                <w:lang w:eastAsia="zh-CN"/>
              </w:rPr>
            </w:pPr>
            <w:r>
              <w:rPr>
                <w:rFonts w:hint="eastAsia" w:cs="Times New Roman"/>
                <w:color w:val="auto"/>
                <w:lang w:val="en-US" w:eastAsia="zh-CN"/>
              </w:rPr>
              <w:t>其他配套工序-电池拆解：</w:t>
            </w:r>
            <w:r>
              <w:rPr>
                <w:rFonts w:ascii="宋体" w:hAnsi="宋体" w:eastAsia="宋体" w:cs="宋体"/>
                <w:color w:val="auto"/>
                <w:sz w:val="24"/>
                <w:szCs w:val="24"/>
              </w:rPr>
              <w:t>为有效识别制程工艺缺陷，防范批量不良品产生，项目在注液、封口、化成、定容等关键工序设置了随机抽样检验机制</w:t>
            </w:r>
            <w:r>
              <w:rPr>
                <w:rFonts w:hint="eastAsia" w:ascii="宋体" w:hAnsi="宋体" w:eastAsia="宋体" w:cs="宋体"/>
                <w:color w:val="auto"/>
                <w:sz w:val="24"/>
                <w:szCs w:val="24"/>
                <w:lang w:eastAsia="zh-CN"/>
              </w:rPr>
              <w:t>，</w:t>
            </w:r>
            <w:r>
              <w:rPr>
                <w:rFonts w:ascii="宋体" w:hAnsi="宋体" w:eastAsia="宋体" w:cs="宋体"/>
                <w:color w:val="auto"/>
                <w:sz w:val="24"/>
                <w:szCs w:val="24"/>
              </w:rPr>
              <w:t>通过对抽检电池进行拆解分析，核查电解液浸润均匀性、封口密封可靠性、化成产气情况及极片状态，可及时发现注液不足、虚封、产气异常等工艺偏差，为工艺参数优化提供依据，保障产品批次质量一致性与稳定性</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此过程主要产生</w:t>
            </w:r>
            <w:r>
              <w:rPr>
                <w:rFonts w:hint="default" w:ascii="Times New Roman" w:hAnsi="Times New Roman" w:cs="Times New Roman"/>
                <w:color w:val="auto"/>
                <w:lang w:val="en-US" w:eastAsia="zh-CN"/>
              </w:rPr>
              <w:t>有机废气</w:t>
            </w:r>
            <w:r>
              <w:rPr>
                <w:rFonts w:hint="eastAsia" w:cs="Times New Roman"/>
                <w:color w:val="auto"/>
                <w:lang w:val="en-US" w:eastAsia="zh-CN"/>
              </w:rPr>
              <w:t>、废电解液</w:t>
            </w:r>
            <w:r>
              <w:rPr>
                <w:rFonts w:hint="eastAsia" w:ascii="宋体" w:hAnsi="宋体" w:eastAsia="宋体" w:cs="宋体"/>
                <w:color w:val="auto"/>
                <w:sz w:val="24"/>
                <w:szCs w:val="24"/>
                <w:lang w:eastAsia="zh-CN"/>
              </w:rPr>
              <w:t>）</w:t>
            </w:r>
          </w:p>
          <w:p w14:paraId="06BB2195">
            <w:pPr>
              <w:pStyle w:val="66"/>
              <w:keepNext w:val="0"/>
              <w:keepLines w:val="0"/>
              <w:pageBreakBefore w:val="0"/>
              <w:widowControl w:val="0"/>
              <w:kinsoku/>
              <w:wordWrap/>
              <w:overflowPunct/>
              <w:topLinePunct w:val="0"/>
              <w:autoSpaceDE w:val="0"/>
              <w:autoSpaceDN w:val="0"/>
              <w:bidi w:val="0"/>
              <w:spacing w:line="360" w:lineRule="auto"/>
              <w:ind w:firstLine="480" w:firstLineChars="20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电芯拆解不涉及化学试剂的使用。</w:t>
            </w:r>
          </w:p>
          <w:p w14:paraId="25B678CB">
            <w:pPr>
              <w:pStyle w:val="66"/>
              <w:keepNext w:val="0"/>
              <w:keepLines w:val="0"/>
              <w:pageBreakBefore w:val="0"/>
              <w:widowControl w:val="0"/>
              <w:kinsoku/>
              <w:wordWrap/>
              <w:overflowPunct/>
              <w:topLinePunct w:val="0"/>
              <w:autoSpaceDE w:val="0"/>
              <w:autoSpaceDN w:val="0"/>
              <w:bidi w:val="0"/>
              <w:spacing w:line="360" w:lineRule="auto"/>
              <w:ind w:firstLine="482" w:firstLineChars="200"/>
              <w:textAlignment w:val="auto"/>
              <w:rPr>
                <w:rFonts w:hint="eastAsia"/>
                <w:b/>
                <w:bCs/>
                <w:color w:val="auto"/>
                <w:sz w:val="24"/>
                <w:szCs w:val="24"/>
              </w:rPr>
            </w:pPr>
            <w:r>
              <w:rPr>
                <w:rFonts w:hint="eastAsia"/>
                <w:b/>
                <w:bCs/>
                <w:color w:val="auto"/>
                <w:sz w:val="24"/>
                <w:szCs w:val="24"/>
                <w:lang w:val="en-US" w:eastAsia="zh-CN"/>
              </w:rPr>
              <w:t>2、</w:t>
            </w:r>
            <w:r>
              <w:rPr>
                <w:rFonts w:hint="eastAsia"/>
                <w:b/>
                <w:bCs/>
                <w:color w:val="auto"/>
                <w:sz w:val="24"/>
                <w:szCs w:val="24"/>
              </w:rPr>
              <w:t>储变电</w:t>
            </w:r>
            <w:r>
              <w:rPr>
                <w:b/>
                <w:bCs/>
                <w:color w:val="auto"/>
                <w:sz w:val="24"/>
                <w:szCs w:val="24"/>
              </w:rPr>
              <w:t>系统</w:t>
            </w:r>
            <w:r>
              <w:rPr>
                <w:rFonts w:hint="eastAsia"/>
                <w:b/>
                <w:bCs/>
                <w:color w:val="auto"/>
                <w:sz w:val="24"/>
                <w:szCs w:val="24"/>
              </w:rPr>
              <w:t>工艺流程及产污环节</w:t>
            </w:r>
          </w:p>
          <w:p w14:paraId="56E0F820">
            <w:pPr>
              <w:spacing w:before="120" w:beforeLines="50" w:line="300" w:lineRule="exact"/>
              <w:ind w:firstLine="1890" w:firstLineChars="900"/>
              <w:rPr>
                <w:snapToGrid w:val="0"/>
                <w:color w:val="auto"/>
                <w:sz w:val="21"/>
                <w:szCs w:val="21"/>
              </w:rPr>
            </w:pPr>
            <w:r>
              <w:rPr>
                <w:rFonts w:hint="eastAsia"/>
                <w:snapToGrid w:val="0"/>
                <w:color w:val="auto"/>
                <w:sz w:val="21"/>
                <w:szCs w:val="21"/>
                <w:lang w:val="en-US" w:eastAsia="zh-CN"/>
              </w:rPr>
              <w:t xml:space="preserve">废边角料、噪声           </w:t>
            </w:r>
            <w:r>
              <w:rPr>
                <w:rFonts w:hint="eastAsia"/>
                <w:snapToGrid w:val="0"/>
                <w:color w:val="auto"/>
                <w:sz w:val="21"/>
                <w:szCs w:val="21"/>
              </w:rPr>
              <w:t>焊接</w:t>
            </w:r>
            <w:r>
              <w:rPr>
                <w:snapToGrid w:val="0"/>
                <w:color w:val="auto"/>
                <w:sz w:val="21"/>
                <w:szCs w:val="21"/>
              </w:rPr>
              <w:t>烟尘</w:t>
            </w:r>
            <w:r>
              <w:rPr>
                <w:rFonts w:hint="eastAsia"/>
                <w:snapToGrid w:val="0"/>
                <w:color w:val="auto"/>
                <w:sz w:val="21"/>
                <w:szCs w:val="21"/>
                <w:lang w:eastAsia="zh-CN"/>
              </w:rPr>
              <w:t>、</w:t>
            </w:r>
            <w:r>
              <w:rPr>
                <w:rFonts w:hint="eastAsia"/>
                <w:snapToGrid w:val="0"/>
                <w:color w:val="auto"/>
                <w:sz w:val="21"/>
                <w:szCs w:val="21"/>
                <w:lang w:val="en-US" w:eastAsia="zh-CN"/>
              </w:rPr>
              <w:t>噪声</w:t>
            </w:r>
            <w:r>
              <w:rPr>
                <w:rFonts w:hint="eastAsia"/>
                <w:snapToGrid w:val="0"/>
                <w:color w:val="auto"/>
                <w:sz w:val="21"/>
                <w:szCs w:val="21"/>
              </w:rPr>
              <w:t xml:space="preserve"> </w:t>
            </w:r>
            <w:r>
              <w:rPr>
                <w:rFonts w:hint="eastAsia"/>
                <w:snapToGrid w:val="0"/>
                <w:color w:val="auto"/>
                <w:sz w:val="21"/>
                <w:szCs w:val="21"/>
                <w:lang w:val="en-US" w:eastAsia="zh-CN"/>
              </w:rPr>
              <w:t xml:space="preserve">    </w:t>
            </w:r>
            <w:r>
              <w:rPr>
                <w:rFonts w:hint="eastAsia"/>
                <w:snapToGrid w:val="0"/>
                <w:color w:val="auto"/>
                <w:sz w:val="21"/>
                <w:szCs w:val="21"/>
              </w:rPr>
              <w:t xml:space="preserve">                                </w:t>
            </w:r>
          </w:p>
          <w:p w14:paraId="716DEBD3">
            <w:pPr>
              <w:pStyle w:val="66"/>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jc w:val="both"/>
              <w:textAlignment w:val="auto"/>
              <w:rPr>
                <w:rFonts w:hint="eastAsia"/>
                <w:b/>
                <w:bCs/>
                <w:color w:val="auto"/>
                <w:sz w:val="24"/>
                <w:szCs w:val="24"/>
              </w:rPr>
            </w:pPr>
            <w:r>
              <w:rPr>
                <w:rFonts w:hint="eastAsia"/>
                <w:snapToGrid w:val="0"/>
                <w:color w:val="auto"/>
                <w:sz w:val="24"/>
                <w:szCs w:val="24"/>
              </w:rPr>
              <w:t xml:space="preserve">  </w:t>
            </w:r>
            <w:r>
              <w:rPr>
                <w:snapToGrid w:val="0"/>
                <w:color w:val="auto"/>
                <w:sz w:val="24"/>
                <w:szCs w:val="24"/>
              </w:rPr>
              <w:t xml:space="preserve">                                 </w:t>
            </w:r>
            <w:r>
              <w:rPr>
                <w:rFonts w:hint="eastAsia" w:ascii="宋体" w:hAnsi="宋体"/>
                <w:color w:val="auto"/>
                <w:sz w:val="21"/>
                <w:szCs w:val="21"/>
              </w:rPr>
              <w:t>↑</w:t>
            </w:r>
            <w:r>
              <w:rPr>
                <w:rFonts w:hint="eastAsia"/>
                <w:snapToGrid w:val="0"/>
                <w:color w:val="auto"/>
                <w:sz w:val="24"/>
                <w:szCs w:val="24"/>
                <w:lang w:val="en-US" w:eastAsia="zh-CN"/>
              </w:rPr>
              <w:t xml:space="preserve">                                          </w:t>
            </w:r>
            <w:r>
              <w:rPr>
                <w:rFonts w:hint="eastAsia" w:ascii="宋体" w:hAnsi="宋体"/>
                <w:color w:val="auto"/>
                <w:sz w:val="21"/>
                <w:szCs w:val="21"/>
              </w:rPr>
              <w:t>↑</w:t>
            </w:r>
          </w:p>
          <w:p w14:paraId="08C6EF31">
            <w:pPr>
              <w:pStyle w:val="66"/>
              <w:keepNext w:val="0"/>
              <w:keepLines w:val="0"/>
              <w:pageBreakBefore w:val="0"/>
              <w:widowControl w:val="0"/>
              <w:kinsoku/>
              <w:wordWrap/>
              <w:overflowPunct/>
              <w:topLinePunct w:val="0"/>
              <w:autoSpaceDE w:val="0"/>
              <w:autoSpaceDN w:val="0"/>
              <w:bidi w:val="0"/>
              <w:spacing w:line="360" w:lineRule="auto"/>
              <w:ind w:firstLine="480" w:firstLineChars="200"/>
              <w:textAlignment w:val="auto"/>
              <w:rPr>
                <w:rFonts w:hint="eastAsia"/>
                <w:snapToGrid w:val="0"/>
                <w:color w:val="auto"/>
                <w:sz w:val="24"/>
                <w:szCs w:val="24"/>
              </w:rPr>
            </w:pPr>
            <w:r>
              <w:rPr>
                <w:rFonts w:hint="eastAsia"/>
                <w:snapToGrid w:val="0"/>
                <w:color w:val="auto"/>
                <w:sz w:val="24"/>
                <w:szCs w:val="24"/>
              </w:rPr>
              <w:t>单体电池</w:t>
            </w:r>
            <w:r>
              <w:rPr>
                <w:rFonts w:hint="eastAsia"/>
                <w:b/>
                <w:snapToGrid w:val="0"/>
                <w:color w:val="auto"/>
                <w:sz w:val="24"/>
                <w:szCs w:val="24"/>
              </w:rPr>
              <w:t>→</w:t>
            </w:r>
            <w:r>
              <w:rPr>
                <w:rFonts w:hint="eastAsia"/>
                <w:b/>
                <w:snapToGrid w:val="0"/>
                <w:color w:val="auto"/>
                <w:sz w:val="24"/>
                <w:szCs w:val="24"/>
                <w:bdr w:val="single" w:color="auto" w:sz="4" w:space="0"/>
              </w:rPr>
              <w:t>极耳剪切</w:t>
            </w:r>
            <w:r>
              <w:rPr>
                <w:rFonts w:hint="eastAsia"/>
                <w:b/>
                <w:snapToGrid w:val="0"/>
                <w:color w:val="auto"/>
                <w:sz w:val="24"/>
                <w:szCs w:val="24"/>
              </w:rPr>
              <w:t>→</w:t>
            </w:r>
            <w:r>
              <w:rPr>
                <w:rFonts w:hint="eastAsia"/>
                <w:b/>
                <w:snapToGrid w:val="0"/>
                <w:color w:val="auto"/>
                <w:sz w:val="24"/>
                <w:szCs w:val="24"/>
                <w:bdr w:val="single" w:color="auto" w:sz="4" w:space="0"/>
              </w:rPr>
              <w:t>放置PCB</w:t>
            </w:r>
            <w:r>
              <w:rPr>
                <w:b/>
                <w:snapToGrid w:val="0"/>
                <w:color w:val="auto"/>
                <w:sz w:val="24"/>
                <w:szCs w:val="24"/>
                <w:bdr w:val="single" w:color="auto" w:sz="4" w:space="0"/>
              </w:rPr>
              <w:t>板</w:t>
            </w:r>
            <w:r>
              <w:rPr>
                <w:rFonts w:hint="eastAsia"/>
                <w:b/>
                <w:snapToGrid w:val="0"/>
                <w:color w:val="auto"/>
                <w:sz w:val="24"/>
                <w:szCs w:val="24"/>
              </w:rPr>
              <w:t>→</w:t>
            </w:r>
            <w:r>
              <w:rPr>
                <w:b/>
                <w:snapToGrid w:val="0"/>
                <w:color w:val="auto"/>
                <w:sz w:val="24"/>
                <w:szCs w:val="24"/>
                <w:bdr w:val="single" w:color="auto" w:sz="4" w:space="0"/>
              </w:rPr>
              <w:t>激光焊</w:t>
            </w:r>
            <w:r>
              <w:rPr>
                <w:rFonts w:hint="eastAsia"/>
                <w:b/>
                <w:snapToGrid w:val="0"/>
                <w:color w:val="auto"/>
                <w:sz w:val="24"/>
                <w:szCs w:val="24"/>
              </w:rPr>
              <w:t>→</w:t>
            </w:r>
            <w:r>
              <w:rPr>
                <w:rFonts w:hint="eastAsia"/>
                <w:b/>
                <w:snapToGrid w:val="0"/>
                <w:color w:val="auto"/>
                <w:sz w:val="24"/>
                <w:szCs w:val="24"/>
                <w:bdr w:val="single" w:color="auto" w:sz="4" w:space="0"/>
              </w:rPr>
              <w:t>模块捆扎</w:t>
            </w:r>
            <w:r>
              <w:rPr>
                <w:rFonts w:hint="eastAsia"/>
                <w:b/>
                <w:snapToGrid w:val="0"/>
                <w:color w:val="auto"/>
                <w:sz w:val="24"/>
                <w:szCs w:val="24"/>
              </w:rPr>
              <w:t>→</w:t>
            </w:r>
            <w:r>
              <w:rPr>
                <w:rFonts w:hint="eastAsia"/>
                <w:b/>
                <w:snapToGrid w:val="0"/>
                <w:color w:val="auto"/>
                <w:sz w:val="24"/>
                <w:szCs w:val="24"/>
                <w:bdr w:val="single" w:color="auto" w:sz="4" w:space="0"/>
              </w:rPr>
              <w:t>模块入箱</w:t>
            </w:r>
            <w:r>
              <w:rPr>
                <w:rFonts w:hint="eastAsia"/>
                <w:b/>
                <w:snapToGrid w:val="0"/>
                <w:color w:val="auto"/>
                <w:sz w:val="24"/>
                <w:szCs w:val="24"/>
              </w:rPr>
              <w:t>→</w:t>
            </w:r>
            <w:r>
              <w:rPr>
                <w:rFonts w:hint="eastAsia"/>
                <w:b/>
                <w:snapToGrid w:val="0"/>
                <w:color w:val="auto"/>
                <w:sz w:val="24"/>
                <w:szCs w:val="24"/>
                <w:bdr w:val="single" w:color="auto" w:sz="4" w:space="0"/>
              </w:rPr>
              <w:t>线束连接</w:t>
            </w:r>
            <w:r>
              <w:rPr>
                <w:b/>
                <w:snapToGrid w:val="0"/>
                <w:color w:val="auto"/>
                <w:sz w:val="24"/>
                <w:szCs w:val="24"/>
                <w:bdr w:val="single" w:color="auto" w:sz="4" w:space="0"/>
              </w:rPr>
              <w:t>整理</w:t>
            </w:r>
            <w:r>
              <w:rPr>
                <w:rFonts w:hint="eastAsia"/>
                <w:b/>
                <w:snapToGrid w:val="0"/>
                <w:color w:val="auto"/>
                <w:sz w:val="24"/>
                <w:szCs w:val="24"/>
              </w:rPr>
              <w:t>→</w:t>
            </w:r>
            <w:r>
              <w:rPr>
                <w:rFonts w:hint="eastAsia"/>
                <w:b/>
                <w:snapToGrid w:val="0"/>
                <w:color w:val="auto"/>
                <w:sz w:val="24"/>
                <w:szCs w:val="24"/>
                <w:bdr w:val="single" w:color="auto" w:sz="4" w:space="0"/>
              </w:rPr>
              <w:t>质检</w:t>
            </w:r>
            <w:r>
              <w:rPr>
                <w:rFonts w:hint="eastAsia"/>
                <w:b/>
                <w:snapToGrid w:val="0"/>
                <w:color w:val="auto"/>
                <w:sz w:val="24"/>
                <w:szCs w:val="24"/>
              </w:rPr>
              <w:t>→</w:t>
            </w:r>
            <w:r>
              <w:rPr>
                <w:rFonts w:hint="eastAsia"/>
                <w:b/>
                <w:snapToGrid w:val="0"/>
                <w:color w:val="auto"/>
                <w:sz w:val="24"/>
                <w:szCs w:val="24"/>
                <w:bdr w:val="single" w:color="auto" w:sz="4" w:space="0"/>
              </w:rPr>
              <w:t>盖板安装</w:t>
            </w:r>
            <w:r>
              <w:rPr>
                <w:rFonts w:hint="eastAsia"/>
                <w:b/>
                <w:snapToGrid w:val="0"/>
                <w:color w:val="auto"/>
                <w:sz w:val="24"/>
                <w:szCs w:val="24"/>
              </w:rPr>
              <w:t>→</w:t>
            </w:r>
            <w:r>
              <w:rPr>
                <w:rFonts w:hint="eastAsia"/>
                <w:snapToGrid w:val="0"/>
                <w:color w:val="auto"/>
                <w:sz w:val="24"/>
                <w:szCs w:val="24"/>
              </w:rPr>
              <w:t>成品</w:t>
            </w:r>
          </w:p>
          <w:p w14:paraId="096C9B02">
            <w:pPr>
              <w:pStyle w:val="66"/>
              <w:keepNext w:val="0"/>
              <w:keepLines w:val="0"/>
              <w:pageBreakBefore w:val="0"/>
              <w:widowControl w:val="0"/>
              <w:kinsoku/>
              <w:wordWrap/>
              <w:overflowPunct/>
              <w:topLinePunct w:val="0"/>
              <w:autoSpaceDE w:val="0"/>
              <w:autoSpaceDN w:val="0"/>
              <w:bidi w:val="0"/>
              <w:spacing w:line="360" w:lineRule="auto"/>
              <w:ind w:firstLine="422" w:firstLineChars="200"/>
              <w:jc w:val="center"/>
              <w:textAlignment w:val="auto"/>
              <w:rPr>
                <w:rFonts w:hint="eastAsia"/>
                <w:b/>
                <w:color w:val="auto"/>
                <w:sz w:val="21"/>
                <w:szCs w:val="21"/>
              </w:rPr>
            </w:pPr>
            <w:r>
              <w:rPr>
                <w:b/>
                <w:color w:val="auto"/>
                <w:sz w:val="21"/>
                <w:szCs w:val="21"/>
              </w:rPr>
              <w:t>图</w:t>
            </w:r>
            <w:r>
              <w:rPr>
                <w:rFonts w:hint="eastAsia"/>
                <w:b/>
                <w:color w:val="auto"/>
                <w:sz w:val="21"/>
                <w:szCs w:val="21"/>
                <w:lang w:val="en-US" w:eastAsia="zh-CN"/>
              </w:rPr>
              <w:t>2-</w:t>
            </w:r>
            <w:r>
              <w:rPr>
                <w:b/>
                <w:color w:val="auto"/>
                <w:sz w:val="21"/>
                <w:szCs w:val="21"/>
              </w:rPr>
              <w:t xml:space="preserve">7   </w:t>
            </w:r>
            <w:r>
              <w:rPr>
                <w:rFonts w:hint="eastAsia"/>
                <w:b/>
                <w:color w:val="auto"/>
                <w:sz w:val="21"/>
                <w:szCs w:val="21"/>
                <w:lang w:val="en-US" w:eastAsia="zh-CN"/>
              </w:rPr>
              <w:t>储变电源系统</w:t>
            </w:r>
            <w:r>
              <w:rPr>
                <w:rFonts w:hint="eastAsia"/>
                <w:b/>
                <w:color w:val="auto"/>
                <w:sz w:val="21"/>
                <w:szCs w:val="21"/>
              </w:rPr>
              <w:t>组</w:t>
            </w:r>
            <w:r>
              <w:rPr>
                <w:b/>
                <w:color w:val="auto"/>
                <w:sz w:val="21"/>
                <w:szCs w:val="21"/>
              </w:rPr>
              <w:t>装配工艺流程及产污环节</w:t>
            </w:r>
            <w:r>
              <w:rPr>
                <w:rFonts w:hint="eastAsia"/>
                <w:b/>
                <w:color w:val="auto"/>
                <w:sz w:val="21"/>
                <w:szCs w:val="21"/>
              </w:rPr>
              <w:t>图</w:t>
            </w:r>
          </w:p>
          <w:p w14:paraId="11DEB528">
            <w:pPr>
              <w:pStyle w:val="66"/>
              <w:keepNext w:val="0"/>
              <w:keepLines w:val="0"/>
              <w:pageBreakBefore w:val="0"/>
              <w:widowControl w:val="0"/>
              <w:kinsoku/>
              <w:wordWrap/>
              <w:overflowPunct/>
              <w:topLinePunct w:val="0"/>
              <w:autoSpaceDE w:val="0"/>
              <w:autoSpaceDN w:val="0"/>
              <w:bidi w:val="0"/>
              <w:spacing w:line="360" w:lineRule="auto"/>
              <w:ind w:firstLine="482" w:firstLineChars="200"/>
              <w:textAlignment w:val="auto"/>
              <w:rPr>
                <w:rFonts w:hint="eastAsia" w:ascii="宋体" w:hAnsi="宋体" w:eastAsia="宋体" w:cs="宋体"/>
                <w:color w:val="auto"/>
                <w:sz w:val="24"/>
                <w:szCs w:val="24"/>
                <w:lang w:eastAsia="zh-CN"/>
              </w:rPr>
            </w:pPr>
            <w:r>
              <w:rPr>
                <w:rFonts w:hint="eastAsia"/>
                <w:b/>
                <w:bCs/>
                <w:color w:val="auto"/>
                <w:sz w:val="24"/>
                <w:szCs w:val="24"/>
                <w:lang w:val="en-US" w:eastAsia="zh-CN"/>
              </w:rPr>
              <w:t>极耳裁切：</w:t>
            </w:r>
            <w:r>
              <w:rPr>
                <w:rFonts w:ascii="Segoe UI" w:hAnsi="Segoe UI" w:eastAsia="Segoe UI" w:cs="Segoe UI"/>
                <w:i w:val="0"/>
                <w:iCs w:val="0"/>
                <w:caps w:val="0"/>
                <w:color w:val="auto"/>
                <w:spacing w:val="0"/>
                <w:sz w:val="24"/>
                <w:szCs w:val="24"/>
                <w:shd w:val="clear" w:fill="FFFFFF"/>
              </w:rPr>
              <w:t>将成品单体电池的极耳（正负极端子）按照设计要求裁切至规定长度或形状，为后续焊接做准备。</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此过程主要产生</w:t>
            </w:r>
            <w:r>
              <w:rPr>
                <w:rFonts w:hint="eastAsia" w:cs="Times New Roman"/>
                <w:color w:val="auto"/>
                <w:lang w:val="en-US" w:eastAsia="zh-CN"/>
              </w:rPr>
              <w:t>废边角料、噪声</w:t>
            </w:r>
            <w:r>
              <w:rPr>
                <w:rFonts w:hint="eastAsia" w:ascii="宋体" w:hAnsi="宋体" w:eastAsia="宋体" w:cs="宋体"/>
                <w:color w:val="auto"/>
                <w:sz w:val="24"/>
                <w:szCs w:val="24"/>
                <w:lang w:eastAsia="zh-CN"/>
              </w:rPr>
              <w:t>）</w:t>
            </w:r>
          </w:p>
          <w:p w14:paraId="47A69A59">
            <w:pPr>
              <w:pStyle w:val="66"/>
              <w:keepNext w:val="0"/>
              <w:keepLines w:val="0"/>
              <w:pageBreakBefore w:val="0"/>
              <w:widowControl w:val="0"/>
              <w:kinsoku/>
              <w:wordWrap/>
              <w:overflowPunct/>
              <w:topLinePunct w:val="0"/>
              <w:autoSpaceDE w:val="0"/>
              <w:autoSpaceDN w:val="0"/>
              <w:bidi w:val="0"/>
              <w:spacing w:line="360" w:lineRule="auto"/>
              <w:ind w:firstLine="480" w:firstLineChars="200"/>
              <w:textAlignment w:val="auto"/>
              <w:rPr>
                <w:rFonts w:ascii="Segoe UI" w:hAnsi="Segoe UI" w:eastAsia="Segoe UI" w:cs="Segoe UI"/>
                <w:i w:val="0"/>
                <w:iCs w:val="0"/>
                <w:caps w:val="0"/>
                <w:color w:val="auto"/>
                <w:spacing w:val="0"/>
                <w:sz w:val="24"/>
                <w:szCs w:val="24"/>
                <w:shd w:val="clear" w:fill="FFFFFF"/>
              </w:rPr>
            </w:pPr>
            <w:r>
              <w:rPr>
                <w:rFonts w:hint="default" w:ascii="Times New Roman" w:hAnsi="Times New Roman" w:eastAsia="Segoe UI" w:cs="Times New Roman"/>
                <w:b/>
                <w:bCs/>
                <w:i w:val="0"/>
                <w:iCs w:val="0"/>
                <w:caps w:val="0"/>
                <w:color w:val="auto"/>
                <w:spacing w:val="0"/>
                <w:sz w:val="24"/>
                <w:szCs w:val="24"/>
                <w:shd w:val="clear" w:fill="FFFFFF"/>
              </w:rPr>
              <w:t>放置PCB板</w:t>
            </w:r>
            <w:r>
              <w:rPr>
                <w:rFonts w:hint="eastAsia" w:ascii="Segoe UI" w:hAnsi="Segoe UI" w:eastAsia="宋体" w:cs="Segoe UI"/>
                <w:b/>
                <w:bCs/>
                <w:i w:val="0"/>
                <w:iCs w:val="0"/>
                <w:caps w:val="0"/>
                <w:color w:val="auto"/>
                <w:spacing w:val="0"/>
                <w:sz w:val="24"/>
                <w:szCs w:val="24"/>
                <w:shd w:val="clear" w:fill="FFFFFF"/>
                <w:lang w:eastAsia="zh-CN"/>
              </w:rPr>
              <w:t>：</w:t>
            </w:r>
            <w:r>
              <w:rPr>
                <w:rFonts w:ascii="Segoe UI" w:hAnsi="Segoe UI" w:eastAsia="Segoe UI" w:cs="Segoe UI"/>
                <w:i w:val="0"/>
                <w:iCs w:val="0"/>
                <w:caps w:val="0"/>
                <w:color w:val="auto"/>
                <w:spacing w:val="0"/>
                <w:sz w:val="24"/>
                <w:szCs w:val="24"/>
                <w:shd w:val="clear" w:fill="FFFFFF"/>
              </w:rPr>
              <w:t>将裁切好极耳的电池按照特定排列方式，放置到已安装好PCB板（印刷电路板，用于连接各电池单元并传递信号）的支架或夹具上。</w:t>
            </w:r>
          </w:p>
          <w:p w14:paraId="5572F57F">
            <w:pPr>
              <w:pStyle w:val="66"/>
              <w:keepNext w:val="0"/>
              <w:keepLines w:val="0"/>
              <w:pageBreakBefore w:val="0"/>
              <w:widowControl w:val="0"/>
              <w:kinsoku/>
              <w:wordWrap/>
              <w:overflowPunct/>
              <w:topLinePunct w:val="0"/>
              <w:autoSpaceDE w:val="0"/>
              <w:autoSpaceDN w:val="0"/>
              <w:bidi w:val="0"/>
              <w:spacing w:line="360" w:lineRule="auto"/>
              <w:ind w:firstLine="482" w:firstLineChars="200"/>
              <w:textAlignment w:val="auto"/>
              <w:rPr>
                <w:rFonts w:hint="eastAsia" w:ascii="Segoe UI" w:hAnsi="Segoe UI" w:eastAsia="宋体" w:cs="Segoe UI"/>
                <w:i w:val="0"/>
                <w:iCs w:val="0"/>
                <w:caps w:val="0"/>
                <w:color w:val="auto"/>
                <w:spacing w:val="0"/>
                <w:sz w:val="24"/>
                <w:szCs w:val="24"/>
                <w:shd w:val="clear" w:fill="FFFFFF"/>
                <w:lang w:eastAsia="zh-CN"/>
              </w:rPr>
            </w:pPr>
            <w:r>
              <w:rPr>
                <w:rFonts w:hint="eastAsia" w:ascii="Segoe UI" w:hAnsi="Segoe UI" w:eastAsia="宋体" w:cs="Segoe UI"/>
                <w:b/>
                <w:bCs/>
                <w:i w:val="0"/>
                <w:iCs w:val="0"/>
                <w:caps w:val="0"/>
                <w:color w:val="auto"/>
                <w:spacing w:val="0"/>
                <w:sz w:val="24"/>
                <w:szCs w:val="24"/>
                <w:shd w:val="clear" w:fill="FFFFFF"/>
                <w:lang w:val="en-US" w:eastAsia="zh-CN"/>
              </w:rPr>
              <w:t>激光焊：</w:t>
            </w:r>
            <w:r>
              <w:rPr>
                <w:rFonts w:ascii="Segoe UI" w:hAnsi="Segoe UI" w:eastAsia="Segoe UI" w:cs="Segoe UI"/>
                <w:i w:val="0"/>
                <w:iCs w:val="0"/>
                <w:caps w:val="0"/>
                <w:color w:val="auto"/>
                <w:spacing w:val="0"/>
                <w:sz w:val="24"/>
                <w:szCs w:val="24"/>
                <w:shd w:val="clear" w:fill="FFFFFF"/>
              </w:rPr>
              <w:t>通过激光焊接工艺，将电池极耳与PCB板上的连接片牢固焊接，形成稳定的电气连接。</w:t>
            </w:r>
            <w:r>
              <w:rPr>
                <w:rFonts w:hint="eastAsia" w:ascii="Segoe UI" w:hAnsi="Segoe UI" w:eastAsia="宋体" w:cs="Segoe UI"/>
                <w:i w:val="0"/>
                <w:iCs w:val="0"/>
                <w:caps w:val="0"/>
                <w:color w:val="auto"/>
                <w:spacing w:val="0"/>
                <w:sz w:val="24"/>
                <w:szCs w:val="24"/>
                <w:shd w:val="clear" w:fill="FFFFFF"/>
                <w:lang w:eastAsia="zh-CN"/>
              </w:rPr>
              <w:t>（</w:t>
            </w:r>
            <w:r>
              <w:rPr>
                <w:rFonts w:hint="eastAsia" w:ascii="Segoe UI" w:hAnsi="Segoe UI" w:eastAsia="宋体" w:cs="Segoe UI"/>
                <w:i w:val="0"/>
                <w:iCs w:val="0"/>
                <w:caps w:val="0"/>
                <w:color w:val="auto"/>
                <w:spacing w:val="0"/>
                <w:sz w:val="24"/>
                <w:szCs w:val="24"/>
                <w:shd w:val="clear" w:fill="FFFFFF"/>
                <w:lang w:val="en-US" w:eastAsia="zh-CN"/>
              </w:rPr>
              <w:t>此过程会产生焊接烟尘、噪声</w:t>
            </w:r>
            <w:r>
              <w:rPr>
                <w:rFonts w:hint="eastAsia" w:ascii="Segoe UI" w:hAnsi="Segoe UI" w:eastAsia="宋体" w:cs="Segoe UI"/>
                <w:i w:val="0"/>
                <w:iCs w:val="0"/>
                <w:caps w:val="0"/>
                <w:color w:val="auto"/>
                <w:spacing w:val="0"/>
                <w:sz w:val="24"/>
                <w:szCs w:val="24"/>
                <w:shd w:val="clear" w:fill="FFFFFF"/>
                <w:lang w:eastAsia="zh-CN"/>
              </w:rPr>
              <w:t>）</w:t>
            </w:r>
          </w:p>
          <w:p w14:paraId="35FEF8EE">
            <w:pPr>
              <w:pStyle w:val="66"/>
              <w:keepNext w:val="0"/>
              <w:keepLines w:val="0"/>
              <w:pageBreakBefore w:val="0"/>
              <w:widowControl w:val="0"/>
              <w:kinsoku/>
              <w:wordWrap/>
              <w:overflowPunct/>
              <w:topLinePunct w:val="0"/>
              <w:autoSpaceDE w:val="0"/>
              <w:autoSpaceDN w:val="0"/>
              <w:bidi w:val="0"/>
              <w:spacing w:line="360" w:lineRule="auto"/>
              <w:ind w:firstLine="482" w:firstLineChars="200"/>
              <w:textAlignment w:val="auto"/>
              <w:rPr>
                <w:rFonts w:ascii="Segoe UI" w:hAnsi="Segoe UI" w:eastAsia="Segoe UI" w:cs="Segoe UI"/>
                <w:i w:val="0"/>
                <w:iCs w:val="0"/>
                <w:caps w:val="0"/>
                <w:color w:val="auto"/>
                <w:spacing w:val="0"/>
                <w:sz w:val="24"/>
                <w:szCs w:val="24"/>
                <w:shd w:val="clear" w:fill="FFFFFF"/>
              </w:rPr>
            </w:pPr>
            <w:r>
              <w:rPr>
                <w:rFonts w:hint="eastAsia" w:ascii="Segoe UI" w:hAnsi="Segoe UI" w:eastAsia="宋体" w:cs="Segoe UI"/>
                <w:b/>
                <w:bCs/>
                <w:i w:val="0"/>
                <w:iCs w:val="0"/>
                <w:caps w:val="0"/>
                <w:color w:val="auto"/>
                <w:spacing w:val="0"/>
                <w:sz w:val="24"/>
                <w:szCs w:val="24"/>
                <w:shd w:val="clear" w:fill="FFFFFF"/>
                <w:lang w:val="en-US" w:eastAsia="zh-CN"/>
              </w:rPr>
              <w:t>模块捆扎：</w:t>
            </w:r>
            <w:r>
              <w:rPr>
                <w:rFonts w:ascii="Segoe UI" w:hAnsi="Segoe UI" w:eastAsia="Segoe UI" w:cs="Segoe UI"/>
                <w:i w:val="0"/>
                <w:iCs w:val="0"/>
                <w:caps w:val="0"/>
                <w:color w:val="auto"/>
                <w:spacing w:val="0"/>
                <w:sz w:val="24"/>
                <w:szCs w:val="24"/>
                <w:shd w:val="clear" w:fill="FFFFFF"/>
              </w:rPr>
              <w:t>完成焊接的电池组进行捆扎固定，形成初步的</w:t>
            </w:r>
            <w:r>
              <w:rPr>
                <w:rFonts w:hint="eastAsia" w:ascii="Segoe UI" w:hAnsi="Segoe UI" w:eastAsia="宋体" w:cs="Segoe UI"/>
                <w:i w:val="0"/>
                <w:iCs w:val="0"/>
                <w:caps w:val="0"/>
                <w:color w:val="auto"/>
                <w:spacing w:val="0"/>
                <w:sz w:val="24"/>
                <w:szCs w:val="24"/>
                <w:shd w:val="clear" w:fill="FFFFFF"/>
                <w:lang w:eastAsia="zh-CN"/>
              </w:rPr>
              <w:t>“</w:t>
            </w:r>
            <w:r>
              <w:rPr>
                <w:rFonts w:ascii="Segoe UI" w:hAnsi="Segoe UI" w:eastAsia="Segoe UI" w:cs="Segoe UI"/>
                <w:i w:val="0"/>
                <w:iCs w:val="0"/>
                <w:caps w:val="0"/>
                <w:color w:val="auto"/>
                <w:spacing w:val="0"/>
                <w:sz w:val="24"/>
                <w:szCs w:val="24"/>
                <w:shd w:val="clear" w:fill="FFFFFF"/>
              </w:rPr>
              <w:t>电池模块</w:t>
            </w:r>
            <w:r>
              <w:rPr>
                <w:rFonts w:hint="eastAsia" w:ascii="Segoe UI" w:hAnsi="Segoe UI" w:eastAsia="宋体" w:cs="Segoe UI"/>
                <w:i w:val="0"/>
                <w:iCs w:val="0"/>
                <w:caps w:val="0"/>
                <w:color w:val="auto"/>
                <w:spacing w:val="0"/>
                <w:sz w:val="24"/>
                <w:szCs w:val="24"/>
                <w:shd w:val="clear" w:fill="FFFFFF"/>
                <w:lang w:eastAsia="zh-CN"/>
              </w:rPr>
              <w:t>”</w:t>
            </w:r>
            <w:r>
              <w:rPr>
                <w:rFonts w:ascii="Segoe UI" w:hAnsi="Segoe UI" w:eastAsia="Segoe UI" w:cs="Segoe UI"/>
                <w:i w:val="0"/>
                <w:iCs w:val="0"/>
                <w:caps w:val="0"/>
                <w:color w:val="auto"/>
                <w:spacing w:val="0"/>
                <w:sz w:val="24"/>
                <w:szCs w:val="24"/>
                <w:shd w:val="clear" w:fill="FFFFFF"/>
              </w:rPr>
              <w:t>。</w:t>
            </w:r>
          </w:p>
          <w:p w14:paraId="059D6316">
            <w:pPr>
              <w:pStyle w:val="66"/>
              <w:keepNext w:val="0"/>
              <w:keepLines w:val="0"/>
              <w:pageBreakBefore w:val="0"/>
              <w:widowControl w:val="0"/>
              <w:kinsoku/>
              <w:wordWrap/>
              <w:overflowPunct/>
              <w:topLinePunct w:val="0"/>
              <w:autoSpaceDE w:val="0"/>
              <w:autoSpaceDN w:val="0"/>
              <w:bidi w:val="0"/>
              <w:spacing w:line="360" w:lineRule="auto"/>
              <w:ind w:firstLine="480" w:firstLineChars="200"/>
              <w:textAlignment w:val="auto"/>
              <w:rPr>
                <w:rFonts w:ascii="Segoe UI" w:hAnsi="Segoe UI" w:eastAsia="Segoe UI" w:cs="Segoe UI"/>
                <w:i w:val="0"/>
                <w:iCs w:val="0"/>
                <w:caps w:val="0"/>
                <w:color w:val="auto"/>
                <w:spacing w:val="0"/>
                <w:sz w:val="24"/>
                <w:szCs w:val="24"/>
                <w:shd w:val="clear" w:fill="FFFFFF"/>
              </w:rPr>
            </w:pPr>
            <w:r>
              <w:rPr>
                <w:rFonts w:ascii="Segoe UI" w:hAnsi="Segoe UI" w:eastAsia="Segoe UI" w:cs="Segoe UI"/>
                <w:b/>
                <w:bCs/>
                <w:i w:val="0"/>
                <w:iCs w:val="0"/>
                <w:caps w:val="0"/>
                <w:color w:val="auto"/>
                <w:spacing w:val="0"/>
                <w:sz w:val="24"/>
                <w:szCs w:val="24"/>
                <w:shd w:val="clear" w:fill="FFFFFF"/>
              </w:rPr>
              <w:t>模</w:t>
            </w:r>
            <w:r>
              <w:rPr>
                <w:rFonts w:hint="default" w:ascii="Times New Roman" w:hAnsi="Times New Roman" w:eastAsia="Segoe UI" w:cs="Times New Roman"/>
                <w:b/>
                <w:bCs/>
                <w:i w:val="0"/>
                <w:iCs w:val="0"/>
                <w:caps w:val="0"/>
                <w:color w:val="auto"/>
                <w:spacing w:val="0"/>
                <w:sz w:val="24"/>
                <w:szCs w:val="24"/>
                <w:shd w:val="clear" w:fill="FFFFFF"/>
              </w:rPr>
              <w:t>块入箱</w:t>
            </w:r>
            <w:r>
              <w:rPr>
                <w:rFonts w:hint="default" w:ascii="Times New Roman" w:hAnsi="Times New Roman" w:eastAsia="宋体" w:cs="Times New Roman"/>
                <w:b/>
                <w:bCs/>
                <w:i w:val="0"/>
                <w:iCs w:val="0"/>
                <w:caps w:val="0"/>
                <w:color w:val="auto"/>
                <w:spacing w:val="0"/>
                <w:sz w:val="24"/>
                <w:szCs w:val="24"/>
                <w:shd w:val="clear" w:fill="FFFFFF"/>
                <w:lang w:eastAsia="zh-CN"/>
              </w:rPr>
              <w:t>：</w:t>
            </w:r>
            <w:r>
              <w:rPr>
                <w:rFonts w:hint="default" w:ascii="Times New Roman" w:hAnsi="Times New Roman" w:eastAsia="Segoe UI" w:cs="Times New Roman"/>
                <w:i w:val="0"/>
                <w:iCs w:val="0"/>
                <w:caps w:val="0"/>
                <w:color w:val="auto"/>
                <w:spacing w:val="0"/>
                <w:sz w:val="24"/>
                <w:szCs w:val="24"/>
                <w:shd w:val="clear" w:fill="FFFFFF"/>
              </w:rPr>
              <w:t>将捆扎好的电池模块整体吊装或推入预先准备好的电池箱体（PACK</w:t>
            </w:r>
            <w:r>
              <w:rPr>
                <w:rFonts w:ascii="Segoe UI" w:hAnsi="Segoe UI" w:eastAsia="Segoe UI" w:cs="Segoe UI"/>
                <w:i w:val="0"/>
                <w:iCs w:val="0"/>
                <w:caps w:val="0"/>
                <w:color w:val="auto"/>
                <w:spacing w:val="0"/>
                <w:sz w:val="24"/>
                <w:szCs w:val="24"/>
                <w:shd w:val="clear" w:fill="FFFFFF"/>
              </w:rPr>
              <w:t>箱体）内并进行固定。</w:t>
            </w:r>
          </w:p>
          <w:p w14:paraId="03CF2264">
            <w:pPr>
              <w:pStyle w:val="66"/>
              <w:keepNext w:val="0"/>
              <w:keepLines w:val="0"/>
              <w:pageBreakBefore w:val="0"/>
              <w:widowControl w:val="0"/>
              <w:kinsoku/>
              <w:wordWrap/>
              <w:overflowPunct/>
              <w:topLinePunct w:val="0"/>
              <w:autoSpaceDE w:val="0"/>
              <w:autoSpaceDN w:val="0"/>
              <w:bidi w:val="0"/>
              <w:spacing w:line="360" w:lineRule="auto"/>
              <w:ind w:firstLine="480" w:firstLineChars="200"/>
              <w:textAlignment w:val="auto"/>
              <w:rPr>
                <w:rFonts w:ascii="Segoe UI" w:hAnsi="Segoe UI" w:eastAsia="Segoe UI" w:cs="Segoe UI"/>
                <w:i w:val="0"/>
                <w:iCs w:val="0"/>
                <w:caps w:val="0"/>
                <w:color w:val="auto"/>
                <w:spacing w:val="0"/>
                <w:sz w:val="24"/>
                <w:szCs w:val="24"/>
                <w:shd w:val="clear" w:fill="FFFFFF"/>
              </w:rPr>
            </w:pPr>
            <w:r>
              <w:rPr>
                <w:rFonts w:ascii="Segoe UI" w:hAnsi="Segoe UI" w:eastAsia="Segoe UI" w:cs="Segoe UI"/>
                <w:b/>
                <w:bCs/>
                <w:i w:val="0"/>
                <w:iCs w:val="0"/>
                <w:caps w:val="0"/>
                <w:color w:val="auto"/>
                <w:spacing w:val="0"/>
                <w:sz w:val="24"/>
                <w:szCs w:val="24"/>
                <w:shd w:val="clear" w:fill="FFFFFF"/>
              </w:rPr>
              <w:t>线束连接整理</w:t>
            </w:r>
            <w:r>
              <w:rPr>
                <w:rFonts w:hint="eastAsia" w:ascii="Segoe UI" w:hAnsi="Segoe UI" w:eastAsia="宋体" w:cs="Segoe UI"/>
                <w:b/>
                <w:bCs/>
                <w:i w:val="0"/>
                <w:iCs w:val="0"/>
                <w:caps w:val="0"/>
                <w:color w:val="auto"/>
                <w:spacing w:val="0"/>
                <w:sz w:val="24"/>
                <w:szCs w:val="24"/>
                <w:shd w:val="clear" w:fill="FFFFFF"/>
                <w:lang w:eastAsia="zh-CN"/>
              </w:rPr>
              <w:t>、</w:t>
            </w:r>
            <w:r>
              <w:rPr>
                <w:rFonts w:hint="eastAsia" w:ascii="Segoe UI" w:hAnsi="Segoe UI" w:eastAsia="宋体" w:cs="Segoe UI"/>
                <w:b/>
                <w:bCs/>
                <w:i w:val="0"/>
                <w:iCs w:val="0"/>
                <w:caps w:val="0"/>
                <w:color w:val="auto"/>
                <w:spacing w:val="0"/>
                <w:sz w:val="24"/>
                <w:szCs w:val="24"/>
                <w:shd w:val="clear" w:fill="FFFFFF"/>
                <w:lang w:val="en-US" w:eastAsia="zh-CN"/>
              </w:rPr>
              <w:t>质检：</w:t>
            </w:r>
            <w:r>
              <w:rPr>
                <w:rFonts w:ascii="Segoe UI" w:hAnsi="Segoe UI" w:eastAsia="Segoe UI" w:cs="Segoe UI"/>
                <w:i w:val="0"/>
                <w:iCs w:val="0"/>
                <w:caps w:val="0"/>
                <w:color w:val="auto"/>
                <w:spacing w:val="0"/>
                <w:sz w:val="24"/>
                <w:szCs w:val="24"/>
                <w:shd w:val="clear" w:fill="FFFFFF"/>
              </w:rPr>
              <w:t>连接模块间的采集线束（电压、温度信号等），完成后对电气性能、绝缘性能、外观等各项指标进行质量检测。</w:t>
            </w:r>
          </w:p>
          <w:p w14:paraId="168E2A3A">
            <w:pPr>
              <w:pStyle w:val="66"/>
              <w:keepNext w:val="0"/>
              <w:keepLines w:val="0"/>
              <w:pageBreakBefore w:val="0"/>
              <w:widowControl w:val="0"/>
              <w:kinsoku/>
              <w:wordWrap/>
              <w:overflowPunct/>
              <w:topLinePunct w:val="0"/>
              <w:autoSpaceDE w:val="0"/>
              <w:autoSpaceDN w:val="0"/>
              <w:bidi w:val="0"/>
              <w:spacing w:line="360" w:lineRule="auto"/>
              <w:ind w:firstLine="482" w:firstLineChars="200"/>
              <w:textAlignment w:val="auto"/>
              <w:rPr>
                <w:rFonts w:hint="default" w:ascii="Segoe UI" w:hAnsi="Segoe UI" w:eastAsia="宋体" w:cs="Segoe UI"/>
                <w:i w:val="0"/>
                <w:iCs w:val="0"/>
                <w:caps w:val="0"/>
                <w:color w:val="auto"/>
                <w:spacing w:val="0"/>
                <w:sz w:val="24"/>
                <w:szCs w:val="24"/>
                <w:shd w:val="clear" w:fill="FFFFFF"/>
                <w:lang w:val="en-US" w:eastAsia="zh-CN"/>
              </w:rPr>
            </w:pPr>
            <w:r>
              <w:rPr>
                <w:rFonts w:hint="eastAsia" w:ascii="Segoe UI" w:hAnsi="Segoe UI" w:eastAsia="宋体" w:cs="Segoe UI"/>
                <w:b/>
                <w:bCs/>
                <w:i w:val="0"/>
                <w:iCs w:val="0"/>
                <w:caps w:val="0"/>
                <w:color w:val="auto"/>
                <w:spacing w:val="0"/>
                <w:sz w:val="24"/>
                <w:szCs w:val="24"/>
                <w:shd w:val="clear" w:fill="FFFFFF"/>
                <w:lang w:val="en-US" w:eastAsia="zh-CN"/>
              </w:rPr>
              <w:t>盖板安装：</w:t>
            </w:r>
            <w:r>
              <w:rPr>
                <w:rFonts w:ascii="Segoe UI" w:hAnsi="Segoe UI" w:eastAsia="Segoe UI" w:cs="Segoe UI"/>
                <w:i w:val="0"/>
                <w:iCs w:val="0"/>
                <w:caps w:val="0"/>
                <w:color w:val="auto"/>
                <w:spacing w:val="0"/>
                <w:sz w:val="24"/>
                <w:szCs w:val="24"/>
                <w:shd w:val="clear" w:fill="FFFFFF"/>
              </w:rPr>
              <w:t>质检合格后，安装电池箱体的上盖并密封紧固，最终得到完整的电池模组成品。</w:t>
            </w:r>
          </w:p>
          <w:p w14:paraId="6870EA32">
            <w:pPr>
              <w:adjustRightInd w:val="0"/>
              <w:snapToGrid w:val="0"/>
              <w:spacing w:line="360" w:lineRule="auto"/>
              <w:ind w:firstLine="480" w:firstLineChars="200"/>
              <w:rPr>
                <w:rFonts w:ascii="Times New Roman" w:hAnsi="Times New Roman"/>
                <w:color w:val="auto"/>
                <w:sz w:val="24"/>
                <w:highlight w:val="none"/>
              </w:rPr>
            </w:pPr>
            <w:r>
              <w:rPr>
                <w:rFonts w:hint="eastAsia" w:ascii="Times New Roman" w:hAnsi="Times New Roman"/>
                <w:color w:val="auto"/>
                <w:sz w:val="24"/>
                <w:highlight w:val="none"/>
              </w:rPr>
              <w:t>根据工艺流程，本项目主要产污环节情况见下表。</w:t>
            </w:r>
          </w:p>
          <w:p w14:paraId="6E69EE0A">
            <w:pPr>
              <w:autoSpaceDE w:val="0"/>
              <w:autoSpaceDN w:val="0"/>
              <w:adjustRightInd w:val="0"/>
              <w:snapToGrid w:val="0"/>
              <w:spacing w:line="240" w:lineRule="auto"/>
              <w:jc w:val="center"/>
              <w:rPr>
                <w:rFonts w:ascii="宋体" w:hAnsi="宋体" w:cs="宋体"/>
                <w:b/>
                <w:bCs/>
                <w:color w:val="auto"/>
                <w:kern w:val="0"/>
                <w:sz w:val="21"/>
                <w:szCs w:val="21"/>
                <w:highlight w:val="none"/>
              </w:rPr>
            </w:pPr>
            <w:r>
              <w:rPr>
                <w:rFonts w:ascii="Times New Roman" w:hAnsi="Times New Roman"/>
                <w:b/>
                <w:bCs/>
                <w:color w:val="auto"/>
                <w:kern w:val="0"/>
                <w:sz w:val="21"/>
                <w:szCs w:val="21"/>
                <w:highlight w:val="none"/>
              </w:rPr>
              <w:t>表</w:t>
            </w:r>
            <w:r>
              <w:rPr>
                <w:rFonts w:hint="eastAsia" w:ascii="Times New Roman" w:hAnsi="Times New Roman"/>
                <w:b/>
                <w:bCs/>
                <w:color w:val="auto"/>
                <w:kern w:val="0"/>
                <w:sz w:val="21"/>
                <w:szCs w:val="21"/>
                <w:highlight w:val="none"/>
              </w:rPr>
              <w:t>2-</w:t>
            </w:r>
            <w:r>
              <w:rPr>
                <w:rFonts w:hint="eastAsia"/>
                <w:b/>
                <w:bCs/>
                <w:color w:val="auto"/>
                <w:kern w:val="0"/>
                <w:sz w:val="21"/>
                <w:szCs w:val="21"/>
                <w:highlight w:val="none"/>
                <w:lang w:val="en-US" w:eastAsia="zh-CN"/>
              </w:rPr>
              <w:t>9</w:t>
            </w:r>
            <w:r>
              <w:rPr>
                <w:rFonts w:hint="eastAsia" w:ascii="Times New Roman" w:hAnsi="Times New Roman"/>
                <w:b/>
                <w:bCs/>
                <w:color w:val="auto"/>
                <w:kern w:val="0"/>
                <w:sz w:val="21"/>
                <w:szCs w:val="21"/>
                <w:highlight w:val="none"/>
              </w:rPr>
              <w:t xml:space="preserve"> 本项目产污环节一览表</w:t>
            </w:r>
          </w:p>
          <w:tbl>
            <w:tblPr>
              <w:tblStyle w:val="41"/>
              <w:tblW w:w="7618"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899"/>
              <w:gridCol w:w="2312"/>
              <w:gridCol w:w="1784"/>
              <w:gridCol w:w="2623"/>
            </w:tblGrid>
            <w:tr w14:paraId="38A3420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899" w:type="dxa"/>
                  <w:shd w:val="clear" w:color="auto" w:fill="auto"/>
                  <w:noWrap w:val="0"/>
                  <w:vAlign w:val="center"/>
                </w:tcPr>
                <w:p w14:paraId="5A3D35A7">
                  <w:pPr>
                    <w:autoSpaceDE w:val="0"/>
                    <w:autoSpaceDN w:val="0"/>
                    <w:adjustRightInd w:val="0"/>
                    <w:snapToGrid w:val="0"/>
                    <w:spacing w:line="280" w:lineRule="exact"/>
                    <w:jc w:val="center"/>
                    <w:rPr>
                      <w:rFonts w:ascii="Times New Roman" w:hAnsi="Times New Roman"/>
                      <w:b/>
                      <w:bCs/>
                      <w:color w:val="auto"/>
                      <w:kern w:val="0"/>
                      <w:szCs w:val="21"/>
                      <w:highlight w:val="none"/>
                    </w:rPr>
                  </w:pPr>
                  <w:r>
                    <w:rPr>
                      <w:rFonts w:ascii="Times New Roman" w:hAnsi="Times New Roman"/>
                      <w:b/>
                      <w:bCs/>
                      <w:color w:val="auto"/>
                      <w:kern w:val="0"/>
                      <w:szCs w:val="21"/>
                      <w:highlight w:val="none"/>
                    </w:rPr>
                    <w:t>类型</w:t>
                  </w:r>
                </w:p>
              </w:tc>
              <w:tc>
                <w:tcPr>
                  <w:tcW w:w="2312" w:type="dxa"/>
                  <w:shd w:val="clear" w:color="auto" w:fill="auto"/>
                  <w:noWrap w:val="0"/>
                  <w:vAlign w:val="center"/>
                </w:tcPr>
                <w:p w14:paraId="0C674C06">
                  <w:pPr>
                    <w:autoSpaceDE w:val="0"/>
                    <w:autoSpaceDN w:val="0"/>
                    <w:adjustRightInd w:val="0"/>
                    <w:snapToGrid w:val="0"/>
                    <w:spacing w:line="280" w:lineRule="exact"/>
                    <w:jc w:val="center"/>
                    <w:rPr>
                      <w:rFonts w:ascii="Times New Roman" w:hAnsi="Times New Roman"/>
                      <w:b/>
                      <w:bCs/>
                      <w:color w:val="auto"/>
                      <w:kern w:val="0"/>
                      <w:szCs w:val="21"/>
                      <w:highlight w:val="none"/>
                    </w:rPr>
                  </w:pPr>
                  <w:r>
                    <w:rPr>
                      <w:rFonts w:ascii="Times New Roman" w:hAnsi="Times New Roman"/>
                      <w:b/>
                      <w:bCs/>
                      <w:color w:val="auto"/>
                      <w:kern w:val="0"/>
                      <w:szCs w:val="21"/>
                      <w:highlight w:val="none"/>
                    </w:rPr>
                    <w:t>产排污环节</w:t>
                  </w:r>
                </w:p>
              </w:tc>
              <w:tc>
                <w:tcPr>
                  <w:tcW w:w="1784" w:type="dxa"/>
                  <w:shd w:val="clear" w:color="auto" w:fill="auto"/>
                  <w:noWrap w:val="0"/>
                  <w:vAlign w:val="center"/>
                </w:tcPr>
                <w:p w14:paraId="43CA9D66">
                  <w:pPr>
                    <w:autoSpaceDE w:val="0"/>
                    <w:autoSpaceDN w:val="0"/>
                    <w:adjustRightInd w:val="0"/>
                    <w:snapToGrid w:val="0"/>
                    <w:spacing w:line="280" w:lineRule="exact"/>
                    <w:jc w:val="center"/>
                    <w:rPr>
                      <w:rFonts w:hint="eastAsia" w:ascii="Times New Roman" w:hAnsi="Times New Roman" w:eastAsia="宋体"/>
                      <w:b/>
                      <w:bCs/>
                      <w:color w:val="auto"/>
                      <w:kern w:val="0"/>
                      <w:szCs w:val="21"/>
                      <w:highlight w:val="none"/>
                      <w:lang w:eastAsia="zh-CN"/>
                    </w:rPr>
                  </w:pPr>
                  <w:r>
                    <w:rPr>
                      <w:rFonts w:ascii="Times New Roman" w:hAnsi="Times New Roman"/>
                      <w:b/>
                      <w:bCs/>
                      <w:color w:val="auto"/>
                      <w:kern w:val="0"/>
                      <w:szCs w:val="21"/>
                      <w:highlight w:val="none"/>
                    </w:rPr>
                    <w:t>污染</w:t>
                  </w:r>
                  <w:r>
                    <w:rPr>
                      <w:rFonts w:hint="eastAsia" w:ascii="Times New Roman" w:hAnsi="Times New Roman"/>
                      <w:b/>
                      <w:bCs/>
                      <w:color w:val="auto"/>
                      <w:kern w:val="0"/>
                      <w:szCs w:val="21"/>
                      <w:highlight w:val="none"/>
                      <w:lang w:val="en-US" w:eastAsia="zh-CN"/>
                    </w:rPr>
                    <w:t>源</w:t>
                  </w:r>
                </w:p>
              </w:tc>
              <w:tc>
                <w:tcPr>
                  <w:tcW w:w="2623" w:type="dxa"/>
                  <w:shd w:val="clear" w:color="auto" w:fill="auto"/>
                  <w:noWrap w:val="0"/>
                  <w:vAlign w:val="center"/>
                </w:tcPr>
                <w:p w14:paraId="30A7C121">
                  <w:pPr>
                    <w:autoSpaceDE w:val="0"/>
                    <w:autoSpaceDN w:val="0"/>
                    <w:adjustRightInd w:val="0"/>
                    <w:snapToGrid w:val="0"/>
                    <w:spacing w:line="280" w:lineRule="exact"/>
                    <w:jc w:val="center"/>
                    <w:rPr>
                      <w:rFonts w:ascii="Times New Roman" w:hAnsi="Times New Roman"/>
                      <w:b/>
                      <w:bCs/>
                      <w:color w:val="auto"/>
                      <w:kern w:val="0"/>
                      <w:szCs w:val="21"/>
                      <w:highlight w:val="none"/>
                    </w:rPr>
                  </w:pPr>
                  <w:r>
                    <w:rPr>
                      <w:rFonts w:ascii="Times New Roman" w:hAnsi="Times New Roman"/>
                      <w:b/>
                      <w:bCs/>
                      <w:color w:val="auto"/>
                      <w:kern w:val="0"/>
                      <w:szCs w:val="21"/>
                      <w:highlight w:val="none"/>
                    </w:rPr>
                    <w:t>污染物种类</w:t>
                  </w:r>
                </w:p>
              </w:tc>
            </w:tr>
            <w:tr w14:paraId="5B22017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21" w:hRule="atLeast"/>
                <w:jc w:val="center"/>
              </w:trPr>
              <w:tc>
                <w:tcPr>
                  <w:tcW w:w="899" w:type="dxa"/>
                  <w:vMerge w:val="restart"/>
                  <w:noWrap w:val="0"/>
                  <w:vAlign w:val="center"/>
                </w:tcPr>
                <w:p w14:paraId="0D75FA0E">
                  <w:pPr>
                    <w:autoSpaceDE w:val="0"/>
                    <w:autoSpaceDN w:val="0"/>
                    <w:adjustRightInd w:val="0"/>
                    <w:snapToGrid w:val="0"/>
                    <w:spacing w:line="280" w:lineRule="exact"/>
                    <w:jc w:val="center"/>
                    <w:rPr>
                      <w:rFonts w:ascii="Times New Roman" w:hAnsi="Times New Roman"/>
                      <w:color w:val="auto"/>
                      <w:kern w:val="0"/>
                      <w:szCs w:val="21"/>
                      <w:highlight w:val="none"/>
                    </w:rPr>
                  </w:pPr>
                  <w:r>
                    <w:rPr>
                      <w:rFonts w:ascii="Times New Roman" w:hAnsi="Times New Roman"/>
                      <w:color w:val="auto"/>
                      <w:kern w:val="0"/>
                      <w:szCs w:val="21"/>
                      <w:highlight w:val="none"/>
                    </w:rPr>
                    <w:t>废气</w:t>
                  </w:r>
                </w:p>
              </w:tc>
              <w:tc>
                <w:tcPr>
                  <w:tcW w:w="2312" w:type="dxa"/>
                  <w:noWrap w:val="0"/>
                  <w:vAlign w:val="center"/>
                </w:tcPr>
                <w:p w14:paraId="70FFFA47">
                  <w:pPr>
                    <w:autoSpaceDE w:val="0"/>
                    <w:autoSpaceDN w:val="0"/>
                    <w:adjustRightInd w:val="0"/>
                    <w:snapToGrid w:val="0"/>
                    <w:spacing w:line="280" w:lineRule="exact"/>
                    <w:jc w:val="center"/>
                    <w:rPr>
                      <w:rFonts w:hint="default" w:ascii="Times New Roman" w:hAnsi="Times New Roman"/>
                      <w:color w:val="auto"/>
                      <w:kern w:val="0"/>
                      <w:szCs w:val="21"/>
                      <w:highlight w:val="none"/>
                      <w:lang w:val="en-US" w:eastAsia="zh-CN"/>
                    </w:rPr>
                  </w:pPr>
                  <w:r>
                    <w:rPr>
                      <w:rFonts w:hint="eastAsia" w:ascii="Times New Roman" w:hAnsi="Times New Roman"/>
                      <w:color w:val="auto"/>
                      <w:kern w:val="0"/>
                      <w:szCs w:val="21"/>
                      <w:highlight w:val="none"/>
                      <w:lang w:val="en-US" w:eastAsia="zh-CN"/>
                    </w:rPr>
                    <w:t>正、负极</w:t>
                  </w:r>
                  <w:r>
                    <w:rPr>
                      <w:rFonts w:hint="eastAsia"/>
                      <w:color w:val="auto"/>
                      <w:kern w:val="0"/>
                      <w:szCs w:val="21"/>
                      <w:highlight w:val="none"/>
                      <w:lang w:val="en-US" w:eastAsia="zh-CN"/>
                    </w:rPr>
                    <w:t>匀浆</w:t>
                  </w:r>
                </w:p>
              </w:tc>
              <w:tc>
                <w:tcPr>
                  <w:tcW w:w="1784" w:type="dxa"/>
                  <w:noWrap w:val="0"/>
                  <w:vAlign w:val="center"/>
                </w:tcPr>
                <w:p w14:paraId="200CE487">
                  <w:pPr>
                    <w:autoSpaceDE w:val="0"/>
                    <w:autoSpaceDN w:val="0"/>
                    <w:adjustRightInd w:val="0"/>
                    <w:snapToGrid w:val="0"/>
                    <w:spacing w:line="280" w:lineRule="exact"/>
                    <w:jc w:val="center"/>
                    <w:rPr>
                      <w:rFonts w:hint="default" w:ascii="Times New Roman" w:hAnsi="Times New Roman" w:eastAsia="宋体" w:cs="Times New Roman"/>
                      <w:color w:val="auto"/>
                      <w:kern w:val="0"/>
                      <w:szCs w:val="21"/>
                      <w:highlight w:val="none"/>
                      <w:lang w:val="en-US" w:eastAsia="zh-CN"/>
                    </w:rPr>
                  </w:pPr>
                  <w:r>
                    <w:rPr>
                      <w:rFonts w:hint="eastAsia"/>
                      <w:color w:val="auto"/>
                      <w:kern w:val="0"/>
                      <w:szCs w:val="21"/>
                      <w:highlight w:val="none"/>
                      <w:lang w:val="en-US" w:eastAsia="zh-CN"/>
                    </w:rPr>
                    <w:t>投料</w:t>
                  </w:r>
                  <w:r>
                    <w:rPr>
                      <w:rFonts w:hint="eastAsia" w:ascii="Times New Roman" w:hAnsi="Times New Roman"/>
                      <w:color w:val="auto"/>
                      <w:kern w:val="0"/>
                      <w:szCs w:val="21"/>
                      <w:highlight w:val="none"/>
                      <w:lang w:val="en-US" w:eastAsia="zh-CN"/>
                    </w:rPr>
                    <w:t>粉尘</w:t>
                  </w:r>
                </w:p>
              </w:tc>
              <w:tc>
                <w:tcPr>
                  <w:tcW w:w="2623" w:type="dxa"/>
                  <w:noWrap w:val="0"/>
                  <w:vAlign w:val="center"/>
                </w:tcPr>
                <w:p w14:paraId="114AA6AE">
                  <w:pPr>
                    <w:autoSpaceDE w:val="0"/>
                    <w:autoSpaceDN w:val="0"/>
                    <w:adjustRightInd w:val="0"/>
                    <w:snapToGrid w:val="0"/>
                    <w:spacing w:line="280" w:lineRule="exact"/>
                    <w:jc w:val="center"/>
                    <w:rPr>
                      <w:rFonts w:hint="default" w:ascii="Times New Roman" w:hAnsi="Times New Roman" w:eastAsia="宋体" w:cs="Times New Roman"/>
                      <w:color w:val="auto"/>
                      <w:kern w:val="0"/>
                      <w:szCs w:val="21"/>
                      <w:highlight w:val="none"/>
                      <w:lang w:val="en-US" w:eastAsia="zh-CN"/>
                    </w:rPr>
                  </w:pPr>
                  <w:r>
                    <w:rPr>
                      <w:rFonts w:hint="eastAsia" w:ascii="Times New Roman" w:hAnsi="Times New Roman" w:eastAsia="宋体" w:cs="Times New Roman"/>
                      <w:color w:val="auto"/>
                      <w:kern w:val="0"/>
                      <w:szCs w:val="21"/>
                      <w:highlight w:val="none"/>
                      <w:lang w:val="en-US" w:eastAsia="zh-CN"/>
                    </w:rPr>
                    <w:t>颗粒物</w:t>
                  </w:r>
                </w:p>
              </w:tc>
            </w:tr>
            <w:tr w14:paraId="64416E1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899" w:type="dxa"/>
                  <w:vMerge w:val="continue"/>
                  <w:noWrap w:val="0"/>
                  <w:vAlign w:val="center"/>
                </w:tcPr>
                <w:p w14:paraId="391778CD">
                  <w:pPr>
                    <w:autoSpaceDE w:val="0"/>
                    <w:autoSpaceDN w:val="0"/>
                    <w:adjustRightInd w:val="0"/>
                    <w:snapToGrid w:val="0"/>
                    <w:spacing w:line="280" w:lineRule="exact"/>
                    <w:jc w:val="center"/>
                    <w:rPr>
                      <w:rFonts w:ascii="Times New Roman" w:hAnsi="Times New Roman"/>
                      <w:color w:val="auto"/>
                      <w:kern w:val="0"/>
                      <w:szCs w:val="21"/>
                      <w:highlight w:val="none"/>
                    </w:rPr>
                  </w:pPr>
                </w:p>
              </w:tc>
              <w:tc>
                <w:tcPr>
                  <w:tcW w:w="2312" w:type="dxa"/>
                  <w:noWrap w:val="0"/>
                  <w:vAlign w:val="center"/>
                </w:tcPr>
                <w:p w14:paraId="741F43DB">
                  <w:pPr>
                    <w:autoSpaceDE w:val="0"/>
                    <w:autoSpaceDN w:val="0"/>
                    <w:adjustRightInd w:val="0"/>
                    <w:snapToGrid w:val="0"/>
                    <w:spacing w:line="280" w:lineRule="exact"/>
                    <w:jc w:val="center"/>
                    <w:rPr>
                      <w:rFonts w:hint="default" w:ascii="Times New Roman" w:hAnsi="Times New Roman"/>
                      <w:color w:val="auto"/>
                      <w:kern w:val="0"/>
                      <w:szCs w:val="21"/>
                      <w:highlight w:val="none"/>
                      <w:lang w:val="en-US" w:eastAsia="zh-CN"/>
                    </w:rPr>
                  </w:pPr>
                  <w:r>
                    <w:rPr>
                      <w:rFonts w:hint="eastAsia" w:ascii="Times New Roman" w:hAnsi="Times New Roman"/>
                      <w:color w:val="auto"/>
                      <w:kern w:val="0"/>
                      <w:szCs w:val="21"/>
                      <w:highlight w:val="none"/>
                      <w:lang w:val="en-US" w:eastAsia="zh-CN"/>
                    </w:rPr>
                    <w:t>涂布烘干</w:t>
                  </w:r>
                </w:p>
              </w:tc>
              <w:tc>
                <w:tcPr>
                  <w:tcW w:w="1784" w:type="dxa"/>
                  <w:noWrap w:val="0"/>
                  <w:vAlign w:val="center"/>
                </w:tcPr>
                <w:p w14:paraId="6F4C5176">
                  <w:pPr>
                    <w:autoSpaceDE w:val="0"/>
                    <w:autoSpaceDN w:val="0"/>
                    <w:adjustRightInd w:val="0"/>
                    <w:snapToGrid w:val="0"/>
                    <w:spacing w:line="280" w:lineRule="exact"/>
                    <w:jc w:val="center"/>
                    <w:rPr>
                      <w:rFonts w:hint="default" w:ascii="Times New Roman" w:hAnsi="Times New Roman" w:eastAsia="宋体"/>
                      <w:color w:val="auto"/>
                      <w:kern w:val="0"/>
                      <w:sz w:val="21"/>
                      <w:szCs w:val="21"/>
                      <w:highlight w:val="none"/>
                      <w:lang w:val="en-US" w:eastAsia="zh-CN" w:bidi="ar-SA"/>
                    </w:rPr>
                  </w:pPr>
                  <w:r>
                    <w:rPr>
                      <w:rFonts w:hint="eastAsia" w:ascii="Times New Roman" w:hAnsi="Times New Roman"/>
                      <w:color w:val="auto"/>
                      <w:kern w:val="0"/>
                      <w:sz w:val="21"/>
                      <w:szCs w:val="21"/>
                      <w:highlight w:val="none"/>
                      <w:lang w:val="en-US" w:eastAsia="zh-CN" w:bidi="ar-SA"/>
                    </w:rPr>
                    <w:t>涂布烘干废气</w:t>
                  </w:r>
                </w:p>
              </w:tc>
              <w:tc>
                <w:tcPr>
                  <w:tcW w:w="2623" w:type="dxa"/>
                  <w:noWrap w:val="0"/>
                  <w:vAlign w:val="center"/>
                </w:tcPr>
                <w:p w14:paraId="783357F2">
                  <w:pPr>
                    <w:autoSpaceDE w:val="0"/>
                    <w:autoSpaceDN w:val="0"/>
                    <w:adjustRightInd w:val="0"/>
                    <w:snapToGrid w:val="0"/>
                    <w:spacing w:line="280" w:lineRule="exact"/>
                    <w:jc w:val="center"/>
                    <w:rPr>
                      <w:rFonts w:hint="default" w:ascii="Times New Roman" w:hAnsi="Times New Roman" w:eastAsia="宋体"/>
                      <w:color w:val="auto"/>
                      <w:kern w:val="0"/>
                      <w:sz w:val="21"/>
                      <w:szCs w:val="21"/>
                      <w:highlight w:val="none"/>
                      <w:lang w:val="en-US" w:eastAsia="zh-CN" w:bidi="ar-SA"/>
                    </w:rPr>
                  </w:pPr>
                  <w:r>
                    <w:rPr>
                      <w:rFonts w:hint="default" w:ascii="Times New Roman" w:hAnsi="Times New Roman" w:cs="Times New Roman"/>
                      <w:color w:val="auto"/>
                      <w:sz w:val="21"/>
                      <w:szCs w:val="21"/>
                    </w:rPr>
                    <w:t>NMP废气（以非甲烷总烃计）</w:t>
                  </w:r>
                </w:p>
              </w:tc>
            </w:tr>
            <w:tr w14:paraId="5DA904E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899" w:type="dxa"/>
                  <w:vMerge w:val="continue"/>
                  <w:noWrap w:val="0"/>
                  <w:vAlign w:val="center"/>
                </w:tcPr>
                <w:p w14:paraId="150D2AD9">
                  <w:pPr>
                    <w:autoSpaceDE w:val="0"/>
                    <w:autoSpaceDN w:val="0"/>
                    <w:adjustRightInd w:val="0"/>
                    <w:snapToGrid w:val="0"/>
                    <w:spacing w:line="280" w:lineRule="exact"/>
                    <w:jc w:val="center"/>
                    <w:rPr>
                      <w:rFonts w:ascii="Times New Roman" w:hAnsi="Times New Roman"/>
                      <w:color w:val="auto"/>
                      <w:kern w:val="0"/>
                      <w:szCs w:val="21"/>
                      <w:highlight w:val="none"/>
                    </w:rPr>
                  </w:pPr>
                </w:p>
              </w:tc>
              <w:tc>
                <w:tcPr>
                  <w:tcW w:w="2312" w:type="dxa"/>
                  <w:noWrap w:val="0"/>
                  <w:vAlign w:val="center"/>
                </w:tcPr>
                <w:p w14:paraId="5D743AEF">
                  <w:pPr>
                    <w:autoSpaceDE w:val="0"/>
                    <w:autoSpaceDN w:val="0"/>
                    <w:adjustRightInd w:val="0"/>
                    <w:snapToGrid w:val="0"/>
                    <w:spacing w:line="280" w:lineRule="exact"/>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电解液注液、静置及化成工序</w:t>
                  </w:r>
                </w:p>
              </w:tc>
              <w:tc>
                <w:tcPr>
                  <w:tcW w:w="1784" w:type="dxa"/>
                  <w:noWrap w:val="0"/>
                  <w:vAlign w:val="center"/>
                </w:tcPr>
                <w:p w14:paraId="218EDF53">
                  <w:pPr>
                    <w:autoSpaceDE w:val="0"/>
                    <w:autoSpaceDN w:val="0"/>
                    <w:adjustRightInd w:val="0"/>
                    <w:snapToGrid w:val="0"/>
                    <w:spacing w:line="280" w:lineRule="exact"/>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注液废气</w:t>
                  </w:r>
                </w:p>
              </w:tc>
              <w:tc>
                <w:tcPr>
                  <w:tcW w:w="2623" w:type="dxa"/>
                  <w:noWrap w:val="0"/>
                  <w:vAlign w:val="center"/>
                </w:tcPr>
                <w:p w14:paraId="6397B504">
                  <w:pPr>
                    <w:autoSpaceDE w:val="0"/>
                    <w:autoSpaceDN w:val="0"/>
                    <w:adjustRightInd w:val="0"/>
                    <w:snapToGrid w:val="0"/>
                    <w:spacing w:line="280" w:lineRule="exact"/>
                    <w:jc w:val="center"/>
                    <w:rPr>
                      <w:rFonts w:hint="default" w:ascii="Times New Roman" w:hAnsi="Times New Roman" w:eastAsia="宋体" w:cs="Times New Roman"/>
                      <w:color w:val="auto"/>
                      <w:kern w:val="0"/>
                      <w:szCs w:val="21"/>
                      <w:highlight w:val="none"/>
                      <w:lang w:val="en-US" w:eastAsia="zh-CN"/>
                    </w:rPr>
                  </w:pPr>
                  <w:r>
                    <w:rPr>
                      <w:rFonts w:hint="eastAsia" w:ascii="Times New Roman" w:hAnsi="Times New Roman" w:cs="Times New Roman"/>
                      <w:color w:val="auto"/>
                      <w:sz w:val="21"/>
                      <w:szCs w:val="21"/>
                      <w:lang w:val="en-US" w:eastAsia="zh-CN"/>
                    </w:rPr>
                    <w:t>有机废气（</w:t>
                  </w:r>
                  <w:r>
                    <w:rPr>
                      <w:rFonts w:hint="default" w:ascii="Times New Roman" w:hAnsi="Times New Roman" w:cs="Times New Roman"/>
                      <w:color w:val="auto"/>
                      <w:sz w:val="21"/>
                      <w:szCs w:val="21"/>
                    </w:rPr>
                    <w:t>以非甲烷总烃计</w:t>
                  </w:r>
                  <w:r>
                    <w:rPr>
                      <w:rFonts w:hint="eastAsia" w:ascii="Times New Roman" w:hAnsi="Times New Roman" w:cs="Times New Roman"/>
                      <w:color w:val="auto"/>
                      <w:sz w:val="21"/>
                      <w:szCs w:val="21"/>
                      <w:lang w:val="en-US" w:eastAsia="zh-CN"/>
                    </w:rPr>
                    <w:t>）</w:t>
                  </w:r>
                </w:p>
              </w:tc>
            </w:tr>
            <w:tr w14:paraId="1D74D3B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899" w:type="dxa"/>
                  <w:vMerge w:val="continue"/>
                  <w:noWrap w:val="0"/>
                  <w:vAlign w:val="center"/>
                </w:tcPr>
                <w:p w14:paraId="54CDFE08">
                  <w:pPr>
                    <w:autoSpaceDE w:val="0"/>
                    <w:autoSpaceDN w:val="0"/>
                    <w:adjustRightInd w:val="0"/>
                    <w:snapToGrid w:val="0"/>
                    <w:spacing w:line="280" w:lineRule="exact"/>
                    <w:jc w:val="center"/>
                    <w:rPr>
                      <w:rFonts w:ascii="Times New Roman" w:hAnsi="Times New Roman"/>
                      <w:color w:val="auto"/>
                      <w:kern w:val="0"/>
                      <w:szCs w:val="21"/>
                      <w:highlight w:val="none"/>
                    </w:rPr>
                  </w:pPr>
                </w:p>
              </w:tc>
              <w:tc>
                <w:tcPr>
                  <w:tcW w:w="2312" w:type="dxa"/>
                  <w:noWrap w:val="0"/>
                  <w:vAlign w:val="center"/>
                </w:tcPr>
                <w:p w14:paraId="7BF5EEA0">
                  <w:pPr>
                    <w:autoSpaceDE w:val="0"/>
                    <w:autoSpaceDN w:val="0"/>
                    <w:adjustRightInd w:val="0"/>
                    <w:snapToGrid w:val="0"/>
                    <w:spacing w:line="280" w:lineRule="exact"/>
                    <w:jc w:val="center"/>
                    <w:rPr>
                      <w:rFonts w:hint="default" w:ascii="Times New Roman" w:hAnsi="Times New Roman" w:eastAsia="宋体" w:cs="Times New Roman"/>
                      <w:color w:val="auto"/>
                      <w:kern w:val="0"/>
                      <w:szCs w:val="21"/>
                      <w:highlight w:val="none"/>
                      <w:lang w:val="en-US" w:eastAsia="zh-CN"/>
                    </w:rPr>
                  </w:pPr>
                  <w:r>
                    <w:rPr>
                      <w:rFonts w:hint="eastAsia" w:cs="Times New Roman"/>
                      <w:color w:val="auto"/>
                      <w:kern w:val="0"/>
                      <w:szCs w:val="21"/>
                      <w:highlight w:val="none"/>
                      <w:lang w:val="en-US" w:eastAsia="zh-CN"/>
                    </w:rPr>
                    <w:t>装配</w:t>
                  </w:r>
                </w:p>
              </w:tc>
              <w:tc>
                <w:tcPr>
                  <w:tcW w:w="1784" w:type="dxa"/>
                  <w:noWrap w:val="0"/>
                  <w:vAlign w:val="center"/>
                </w:tcPr>
                <w:p w14:paraId="71C16C1F">
                  <w:pPr>
                    <w:autoSpaceDE w:val="0"/>
                    <w:autoSpaceDN w:val="0"/>
                    <w:adjustRightInd w:val="0"/>
                    <w:snapToGrid w:val="0"/>
                    <w:spacing w:line="280" w:lineRule="exact"/>
                    <w:jc w:val="center"/>
                    <w:rPr>
                      <w:rFonts w:hint="default" w:ascii="Times New Roman" w:hAnsi="Times New Roman" w:eastAsia="宋体" w:cs="Times New Roman"/>
                      <w:color w:val="auto"/>
                      <w:kern w:val="0"/>
                      <w:szCs w:val="21"/>
                      <w:highlight w:val="none"/>
                      <w:lang w:val="en-US" w:eastAsia="zh-CN"/>
                    </w:rPr>
                  </w:pPr>
                  <w:r>
                    <w:rPr>
                      <w:rFonts w:hint="eastAsia" w:cs="Times New Roman"/>
                      <w:color w:val="auto"/>
                      <w:kern w:val="0"/>
                      <w:szCs w:val="21"/>
                      <w:highlight w:val="none"/>
                      <w:lang w:val="en-US" w:eastAsia="zh-CN"/>
                    </w:rPr>
                    <w:t>封边废气</w:t>
                  </w:r>
                </w:p>
              </w:tc>
              <w:tc>
                <w:tcPr>
                  <w:tcW w:w="2623" w:type="dxa"/>
                  <w:noWrap w:val="0"/>
                  <w:vAlign w:val="center"/>
                </w:tcPr>
                <w:p w14:paraId="53B732BE">
                  <w:pPr>
                    <w:autoSpaceDE w:val="0"/>
                    <w:autoSpaceDN w:val="0"/>
                    <w:adjustRightInd w:val="0"/>
                    <w:snapToGrid w:val="0"/>
                    <w:spacing w:line="280" w:lineRule="exact"/>
                    <w:jc w:val="center"/>
                    <w:rPr>
                      <w:rFonts w:hint="eastAsia" w:ascii="Times New Roman" w:hAnsi="Times New Roman" w:eastAsia="宋体" w:cs="Times New Roman"/>
                      <w:color w:val="auto"/>
                      <w:kern w:val="0"/>
                      <w:szCs w:val="21"/>
                      <w:highlight w:val="none"/>
                      <w:lang w:val="en-US" w:eastAsia="zh-CN"/>
                    </w:rPr>
                  </w:pPr>
                  <w:r>
                    <w:rPr>
                      <w:rFonts w:hint="eastAsia" w:ascii="Times New Roman" w:hAnsi="Times New Roman" w:cs="Times New Roman"/>
                      <w:color w:val="auto"/>
                      <w:sz w:val="21"/>
                      <w:szCs w:val="21"/>
                      <w:lang w:val="en-US" w:eastAsia="zh-CN"/>
                    </w:rPr>
                    <w:t>有机废气（</w:t>
                  </w:r>
                  <w:r>
                    <w:rPr>
                      <w:rFonts w:hint="default" w:ascii="Times New Roman" w:hAnsi="Times New Roman" w:cs="Times New Roman"/>
                      <w:color w:val="auto"/>
                      <w:sz w:val="21"/>
                      <w:szCs w:val="21"/>
                    </w:rPr>
                    <w:t>以非甲烷总烃计</w:t>
                  </w:r>
                  <w:r>
                    <w:rPr>
                      <w:rFonts w:hint="eastAsia" w:ascii="Times New Roman" w:hAnsi="Times New Roman" w:cs="Times New Roman"/>
                      <w:color w:val="auto"/>
                      <w:sz w:val="21"/>
                      <w:szCs w:val="21"/>
                      <w:lang w:val="en-US" w:eastAsia="zh-CN"/>
                    </w:rPr>
                    <w:t>）</w:t>
                  </w:r>
                </w:p>
              </w:tc>
            </w:tr>
            <w:tr w14:paraId="43CACBC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899" w:type="dxa"/>
                  <w:vMerge w:val="continue"/>
                  <w:noWrap w:val="0"/>
                  <w:vAlign w:val="center"/>
                </w:tcPr>
                <w:p w14:paraId="100B6AF3">
                  <w:pPr>
                    <w:autoSpaceDE w:val="0"/>
                    <w:autoSpaceDN w:val="0"/>
                    <w:adjustRightInd w:val="0"/>
                    <w:snapToGrid w:val="0"/>
                    <w:spacing w:line="280" w:lineRule="exact"/>
                    <w:jc w:val="center"/>
                    <w:rPr>
                      <w:rFonts w:ascii="Times New Roman" w:hAnsi="Times New Roman"/>
                      <w:color w:val="auto"/>
                      <w:kern w:val="0"/>
                      <w:szCs w:val="21"/>
                      <w:highlight w:val="none"/>
                    </w:rPr>
                  </w:pPr>
                </w:p>
              </w:tc>
              <w:tc>
                <w:tcPr>
                  <w:tcW w:w="2312" w:type="dxa"/>
                  <w:noWrap w:val="0"/>
                  <w:vAlign w:val="center"/>
                </w:tcPr>
                <w:p w14:paraId="632F8D4B">
                  <w:pPr>
                    <w:autoSpaceDE w:val="0"/>
                    <w:autoSpaceDN w:val="0"/>
                    <w:adjustRightInd w:val="0"/>
                    <w:snapToGrid w:val="0"/>
                    <w:spacing w:line="280" w:lineRule="exact"/>
                    <w:jc w:val="center"/>
                    <w:rPr>
                      <w:rFonts w:hint="default" w:cs="Times New Roman"/>
                      <w:color w:val="auto"/>
                      <w:kern w:val="0"/>
                      <w:szCs w:val="21"/>
                      <w:highlight w:val="none"/>
                      <w:lang w:val="en-US" w:eastAsia="zh-CN"/>
                    </w:rPr>
                  </w:pPr>
                  <w:r>
                    <w:rPr>
                      <w:rFonts w:hint="eastAsia" w:cs="Times New Roman"/>
                      <w:color w:val="auto"/>
                      <w:kern w:val="0"/>
                      <w:szCs w:val="21"/>
                      <w:highlight w:val="none"/>
                      <w:lang w:val="en-US" w:eastAsia="zh-CN"/>
                    </w:rPr>
                    <w:t>分条、模切</w:t>
                  </w:r>
                </w:p>
              </w:tc>
              <w:tc>
                <w:tcPr>
                  <w:tcW w:w="1784" w:type="dxa"/>
                  <w:shd w:val="clear" w:color="auto" w:fill="auto"/>
                  <w:noWrap w:val="0"/>
                  <w:vAlign w:val="center"/>
                </w:tcPr>
                <w:p w14:paraId="70F84EE0">
                  <w:pPr>
                    <w:autoSpaceDE w:val="0"/>
                    <w:autoSpaceDN w:val="0"/>
                    <w:adjustRightInd w:val="0"/>
                    <w:snapToGrid w:val="0"/>
                    <w:spacing w:line="280" w:lineRule="exact"/>
                    <w:jc w:val="center"/>
                    <w:rPr>
                      <w:rFonts w:hint="eastAsia" w:cs="Times New Roman"/>
                      <w:color w:val="auto"/>
                      <w:kern w:val="0"/>
                      <w:szCs w:val="21"/>
                      <w:highlight w:val="none"/>
                      <w:lang w:val="en-US" w:eastAsia="zh-CN"/>
                    </w:rPr>
                  </w:pPr>
                  <w:r>
                    <w:rPr>
                      <w:rFonts w:hint="eastAsia" w:ascii="Times New Roman" w:hAnsi="Times New Roman"/>
                      <w:color w:val="auto"/>
                      <w:kern w:val="0"/>
                      <w:szCs w:val="21"/>
                      <w:highlight w:val="none"/>
                      <w:lang w:val="en-US" w:eastAsia="zh-CN"/>
                    </w:rPr>
                    <w:t>粉尘</w:t>
                  </w:r>
                </w:p>
              </w:tc>
              <w:tc>
                <w:tcPr>
                  <w:tcW w:w="2623" w:type="dxa"/>
                  <w:shd w:val="clear" w:color="auto" w:fill="auto"/>
                  <w:noWrap w:val="0"/>
                  <w:vAlign w:val="center"/>
                </w:tcPr>
                <w:p w14:paraId="5FE0C7D3">
                  <w:pPr>
                    <w:autoSpaceDE w:val="0"/>
                    <w:autoSpaceDN w:val="0"/>
                    <w:adjustRightInd w:val="0"/>
                    <w:snapToGrid w:val="0"/>
                    <w:spacing w:line="280" w:lineRule="exact"/>
                    <w:jc w:val="center"/>
                    <w:rPr>
                      <w:rFonts w:hint="eastAsia" w:ascii="Times New Roman" w:hAnsi="Times New Roman" w:cs="Times New Roman"/>
                      <w:color w:val="auto"/>
                      <w:sz w:val="21"/>
                      <w:szCs w:val="21"/>
                      <w:lang w:val="en-US" w:eastAsia="zh-CN"/>
                    </w:rPr>
                  </w:pPr>
                  <w:r>
                    <w:rPr>
                      <w:rFonts w:hint="eastAsia" w:ascii="Times New Roman" w:hAnsi="Times New Roman" w:eastAsia="宋体" w:cs="Times New Roman"/>
                      <w:color w:val="auto"/>
                      <w:kern w:val="0"/>
                      <w:szCs w:val="21"/>
                      <w:highlight w:val="none"/>
                      <w:lang w:val="en-US" w:eastAsia="zh-CN"/>
                    </w:rPr>
                    <w:t>颗粒物</w:t>
                  </w:r>
                </w:p>
              </w:tc>
            </w:tr>
            <w:tr w14:paraId="7DD082E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899" w:type="dxa"/>
                  <w:vMerge w:val="continue"/>
                  <w:noWrap w:val="0"/>
                  <w:vAlign w:val="center"/>
                </w:tcPr>
                <w:p w14:paraId="430FB266">
                  <w:pPr>
                    <w:autoSpaceDE w:val="0"/>
                    <w:autoSpaceDN w:val="0"/>
                    <w:adjustRightInd w:val="0"/>
                    <w:snapToGrid w:val="0"/>
                    <w:spacing w:line="280" w:lineRule="exact"/>
                    <w:jc w:val="center"/>
                    <w:rPr>
                      <w:rFonts w:ascii="Times New Roman" w:hAnsi="Times New Roman"/>
                      <w:color w:val="auto"/>
                      <w:kern w:val="0"/>
                      <w:szCs w:val="21"/>
                      <w:highlight w:val="none"/>
                    </w:rPr>
                  </w:pPr>
                </w:p>
              </w:tc>
              <w:tc>
                <w:tcPr>
                  <w:tcW w:w="2312" w:type="dxa"/>
                  <w:noWrap w:val="0"/>
                  <w:vAlign w:val="center"/>
                </w:tcPr>
                <w:p w14:paraId="695933AF">
                  <w:pPr>
                    <w:autoSpaceDE w:val="0"/>
                    <w:autoSpaceDN w:val="0"/>
                    <w:adjustRightInd w:val="0"/>
                    <w:snapToGrid w:val="0"/>
                    <w:spacing w:line="280" w:lineRule="exact"/>
                    <w:jc w:val="center"/>
                    <w:rPr>
                      <w:rFonts w:hint="default" w:cs="Times New Roman"/>
                      <w:color w:val="auto"/>
                      <w:kern w:val="0"/>
                      <w:szCs w:val="21"/>
                      <w:highlight w:val="none"/>
                      <w:lang w:val="en-US" w:eastAsia="zh-CN"/>
                    </w:rPr>
                  </w:pPr>
                  <w:r>
                    <w:rPr>
                      <w:rFonts w:hint="eastAsia" w:cs="Times New Roman"/>
                      <w:color w:val="auto"/>
                      <w:kern w:val="0"/>
                      <w:szCs w:val="21"/>
                      <w:highlight w:val="none"/>
                      <w:lang w:val="en-US" w:eastAsia="zh-CN"/>
                    </w:rPr>
                    <w:t>二封</w:t>
                  </w:r>
                </w:p>
              </w:tc>
              <w:tc>
                <w:tcPr>
                  <w:tcW w:w="1784" w:type="dxa"/>
                  <w:shd w:val="clear" w:color="auto" w:fill="auto"/>
                  <w:noWrap w:val="0"/>
                  <w:vAlign w:val="center"/>
                </w:tcPr>
                <w:p w14:paraId="14422659">
                  <w:pPr>
                    <w:autoSpaceDE w:val="0"/>
                    <w:autoSpaceDN w:val="0"/>
                    <w:adjustRightInd w:val="0"/>
                    <w:snapToGrid w:val="0"/>
                    <w:spacing w:line="280" w:lineRule="exact"/>
                    <w:jc w:val="center"/>
                    <w:rPr>
                      <w:rFonts w:hint="eastAsia" w:ascii="Times New Roman" w:hAnsi="Times New Roman" w:eastAsia="宋体" w:cs="Times New Roman"/>
                      <w:color w:val="auto"/>
                      <w:kern w:val="0"/>
                      <w:sz w:val="21"/>
                      <w:szCs w:val="21"/>
                      <w:highlight w:val="none"/>
                      <w:lang w:val="en-US" w:eastAsia="zh-CN" w:bidi="ar-SA"/>
                    </w:rPr>
                  </w:pPr>
                  <w:r>
                    <w:rPr>
                      <w:rFonts w:hint="eastAsia" w:cs="Times New Roman"/>
                      <w:color w:val="auto"/>
                      <w:kern w:val="0"/>
                      <w:szCs w:val="21"/>
                      <w:highlight w:val="none"/>
                      <w:lang w:val="en-US" w:eastAsia="zh-CN"/>
                    </w:rPr>
                    <w:t>二封废气</w:t>
                  </w:r>
                </w:p>
              </w:tc>
              <w:tc>
                <w:tcPr>
                  <w:tcW w:w="2623" w:type="dxa"/>
                  <w:shd w:val="clear" w:color="auto" w:fill="auto"/>
                  <w:noWrap w:val="0"/>
                  <w:vAlign w:val="center"/>
                </w:tcPr>
                <w:p w14:paraId="12CBE682">
                  <w:pPr>
                    <w:autoSpaceDE w:val="0"/>
                    <w:autoSpaceDN w:val="0"/>
                    <w:adjustRightInd w:val="0"/>
                    <w:snapToGrid w:val="0"/>
                    <w:spacing w:line="280" w:lineRule="exact"/>
                    <w:jc w:val="center"/>
                    <w:rPr>
                      <w:rFonts w:hint="default" w:ascii="Times New Roman" w:hAnsi="Times New Roman" w:eastAsia="宋体" w:cs="Times New Roman"/>
                      <w:color w:val="auto"/>
                      <w:kern w:val="0"/>
                      <w:sz w:val="21"/>
                      <w:szCs w:val="21"/>
                      <w:highlight w:val="none"/>
                      <w:lang w:val="en-US" w:eastAsia="zh-CN" w:bidi="ar-SA"/>
                    </w:rPr>
                  </w:pPr>
                  <w:r>
                    <w:rPr>
                      <w:rFonts w:hint="eastAsia" w:ascii="Times New Roman" w:hAnsi="Times New Roman" w:cs="Times New Roman"/>
                      <w:color w:val="auto"/>
                      <w:sz w:val="21"/>
                      <w:szCs w:val="21"/>
                      <w:lang w:val="en-US" w:eastAsia="zh-CN"/>
                    </w:rPr>
                    <w:t>有机废气（</w:t>
                  </w:r>
                  <w:r>
                    <w:rPr>
                      <w:rFonts w:hint="default" w:ascii="Times New Roman" w:hAnsi="Times New Roman" w:cs="Times New Roman"/>
                      <w:color w:val="auto"/>
                      <w:sz w:val="21"/>
                      <w:szCs w:val="21"/>
                    </w:rPr>
                    <w:t>以非甲烷总烃计</w:t>
                  </w:r>
                  <w:r>
                    <w:rPr>
                      <w:rFonts w:hint="eastAsia" w:ascii="Times New Roman" w:hAnsi="Times New Roman" w:cs="Times New Roman"/>
                      <w:color w:val="auto"/>
                      <w:sz w:val="21"/>
                      <w:szCs w:val="21"/>
                      <w:lang w:val="en-US" w:eastAsia="zh-CN"/>
                    </w:rPr>
                    <w:t>）</w:t>
                  </w:r>
                </w:p>
              </w:tc>
            </w:tr>
            <w:tr w14:paraId="7C014A4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899" w:type="dxa"/>
                  <w:vMerge w:val="continue"/>
                  <w:noWrap w:val="0"/>
                  <w:vAlign w:val="center"/>
                </w:tcPr>
                <w:p w14:paraId="3139077C">
                  <w:pPr>
                    <w:autoSpaceDE w:val="0"/>
                    <w:autoSpaceDN w:val="0"/>
                    <w:adjustRightInd w:val="0"/>
                    <w:snapToGrid w:val="0"/>
                    <w:spacing w:line="280" w:lineRule="exact"/>
                    <w:jc w:val="center"/>
                    <w:rPr>
                      <w:rFonts w:ascii="Times New Roman" w:hAnsi="Times New Roman"/>
                      <w:color w:val="auto"/>
                      <w:kern w:val="0"/>
                      <w:szCs w:val="21"/>
                      <w:highlight w:val="none"/>
                    </w:rPr>
                  </w:pPr>
                </w:p>
              </w:tc>
              <w:tc>
                <w:tcPr>
                  <w:tcW w:w="2312" w:type="dxa"/>
                  <w:noWrap w:val="0"/>
                  <w:vAlign w:val="center"/>
                </w:tcPr>
                <w:p w14:paraId="6D9CB6D5">
                  <w:pPr>
                    <w:autoSpaceDE w:val="0"/>
                    <w:autoSpaceDN w:val="0"/>
                    <w:adjustRightInd w:val="0"/>
                    <w:snapToGrid w:val="0"/>
                    <w:spacing w:line="280" w:lineRule="exact"/>
                    <w:jc w:val="center"/>
                    <w:rPr>
                      <w:rFonts w:hint="default" w:cs="Times New Roman"/>
                      <w:color w:val="auto"/>
                      <w:kern w:val="0"/>
                      <w:szCs w:val="21"/>
                      <w:highlight w:val="none"/>
                      <w:lang w:val="en-US" w:eastAsia="zh-CN"/>
                    </w:rPr>
                  </w:pPr>
                  <w:r>
                    <w:rPr>
                      <w:rFonts w:hint="eastAsia" w:cs="Times New Roman"/>
                      <w:color w:val="auto"/>
                      <w:kern w:val="0"/>
                      <w:szCs w:val="21"/>
                      <w:highlight w:val="none"/>
                      <w:lang w:val="en-US" w:eastAsia="zh-CN"/>
                    </w:rPr>
                    <w:t>电池拆解</w:t>
                  </w:r>
                </w:p>
              </w:tc>
              <w:tc>
                <w:tcPr>
                  <w:tcW w:w="1784" w:type="dxa"/>
                  <w:shd w:val="clear" w:color="auto" w:fill="auto"/>
                  <w:noWrap w:val="0"/>
                  <w:vAlign w:val="center"/>
                </w:tcPr>
                <w:p w14:paraId="57FD8827">
                  <w:pPr>
                    <w:autoSpaceDE w:val="0"/>
                    <w:autoSpaceDN w:val="0"/>
                    <w:adjustRightInd w:val="0"/>
                    <w:snapToGrid w:val="0"/>
                    <w:spacing w:line="280" w:lineRule="exact"/>
                    <w:jc w:val="center"/>
                    <w:rPr>
                      <w:rFonts w:hint="default" w:cs="Times New Roman"/>
                      <w:color w:val="auto"/>
                      <w:kern w:val="0"/>
                      <w:szCs w:val="21"/>
                      <w:highlight w:val="none"/>
                      <w:lang w:val="en-US" w:eastAsia="zh-CN"/>
                    </w:rPr>
                  </w:pPr>
                  <w:r>
                    <w:rPr>
                      <w:rFonts w:hint="eastAsia" w:cs="Times New Roman"/>
                      <w:color w:val="auto"/>
                      <w:kern w:val="0"/>
                      <w:szCs w:val="21"/>
                      <w:highlight w:val="none"/>
                      <w:lang w:val="en-US" w:eastAsia="zh-CN"/>
                    </w:rPr>
                    <w:t>拆解废气</w:t>
                  </w:r>
                </w:p>
              </w:tc>
              <w:tc>
                <w:tcPr>
                  <w:tcW w:w="2623" w:type="dxa"/>
                  <w:shd w:val="clear" w:color="auto" w:fill="auto"/>
                  <w:noWrap w:val="0"/>
                  <w:vAlign w:val="center"/>
                </w:tcPr>
                <w:p w14:paraId="152F0CFA">
                  <w:pPr>
                    <w:autoSpaceDE w:val="0"/>
                    <w:autoSpaceDN w:val="0"/>
                    <w:adjustRightInd w:val="0"/>
                    <w:snapToGrid w:val="0"/>
                    <w:spacing w:line="280" w:lineRule="exact"/>
                    <w:jc w:val="center"/>
                    <w:rPr>
                      <w:rFonts w:hint="eastAsia"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有机废气（</w:t>
                  </w:r>
                  <w:r>
                    <w:rPr>
                      <w:rFonts w:hint="default" w:ascii="Times New Roman" w:hAnsi="Times New Roman" w:cs="Times New Roman"/>
                      <w:color w:val="auto"/>
                      <w:sz w:val="21"/>
                      <w:szCs w:val="21"/>
                    </w:rPr>
                    <w:t>以非甲烷总烃计</w:t>
                  </w:r>
                  <w:r>
                    <w:rPr>
                      <w:rFonts w:hint="eastAsia" w:ascii="Times New Roman" w:hAnsi="Times New Roman" w:cs="Times New Roman"/>
                      <w:color w:val="auto"/>
                      <w:sz w:val="21"/>
                      <w:szCs w:val="21"/>
                      <w:lang w:val="en-US" w:eastAsia="zh-CN"/>
                    </w:rPr>
                    <w:t>）</w:t>
                  </w:r>
                </w:p>
              </w:tc>
            </w:tr>
            <w:tr w14:paraId="61355DE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899" w:type="dxa"/>
                  <w:vMerge w:val="continue"/>
                  <w:noWrap w:val="0"/>
                  <w:vAlign w:val="center"/>
                </w:tcPr>
                <w:p w14:paraId="007A1AFB">
                  <w:pPr>
                    <w:autoSpaceDE w:val="0"/>
                    <w:autoSpaceDN w:val="0"/>
                    <w:adjustRightInd w:val="0"/>
                    <w:snapToGrid w:val="0"/>
                    <w:spacing w:line="280" w:lineRule="exact"/>
                    <w:jc w:val="center"/>
                    <w:rPr>
                      <w:rFonts w:ascii="Times New Roman" w:hAnsi="Times New Roman"/>
                      <w:color w:val="auto"/>
                      <w:kern w:val="0"/>
                      <w:szCs w:val="21"/>
                      <w:highlight w:val="none"/>
                    </w:rPr>
                  </w:pPr>
                </w:p>
              </w:tc>
              <w:tc>
                <w:tcPr>
                  <w:tcW w:w="2312" w:type="dxa"/>
                  <w:noWrap w:val="0"/>
                  <w:vAlign w:val="center"/>
                </w:tcPr>
                <w:p w14:paraId="7DB1369C">
                  <w:pPr>
                    <w:autoSpaceDE w:val="0"/>
                    <w:autoSpaceDN w:val="0"/>
                    <w:adjustRightInd w:val="0"/>
                    <w:snapToGrid w:val="0"/>
                    <w:spacing w:line="280" w:lineRule="exact"/>
                    <w:jc w:val="center"/>
                    <w:rPr>
                      <w:rFonts w:hint="default" w:cs="Times New Roman"/>
                      <w:color w:val="auto"/>
                      <w:kern w:val="0"/>
                      <w:szCs w:val="21"/>
                      <w:highlight w:val="none"/>
                      <w:lang w:val="en-US" w:eastAsia="zh-CN"/>
                    </w:rPr>
                  </w:pPr>
                  <w:r>
                    <w:rPr>
                      <w:rFonts w:hint="eastAsia" w:cs="Times New Roman"/>
                      <w:color w:val="auto"/>
                      <w:kern w:val="0"/>
                      <w:szCs w:val="21"/>
                      <w:highlight w:val="none"/>
                      <w:lang w:val="en-US" w:eastAsia="zh-CN"/>
                    </w:rPr>
                    <w:t>NMP回收储罐</w:t>
                  </w:r>
                </w:p>
              </w:tc>
              <w:tc>
                <w:tcPr>
                  <w:tcW w:w="1784" w:type="dxa"/>
                  <w:shd w:val="clear" w:color="auto" w:fill="auto"/>
                  <w:noWrap w:val="0"/>
                  <w:vAlign w:val="center"/>
                </w:tcPr>
                <w:p w14:paraId="4B333227">
                  <w:pPr>
                    <w:autoSpaceDE w:val="0"/>
                    <w:autoSpaceDN w:val="0"/>
                    <w:adjustRightInd w:val="0"/>
                    <w:snapToGrid w:val="0"/>
                    <w:spacing w:line="280" w:lineRule="exact"/>
                    <w:jc w:val="center"/>
                    <w:rPr>
                      <w:rFonts w:hint="default" w:cs="Times New Roman"/>
                      <w:color w:val="auto"/>
                      <w:kern w:val="0"/>
                      <w:szCs w:val="21"/>
                      <w:highlight w:val="none"/>
                      <w:lang w:val="en-US" w:eastAsia="zh-CN"/>
                    </w:rPr>
                  </w:pPr>
                  <w:r>
                    <w:rPr>
                      <w:rFonts w:hint="eastAsia" w:cs="Times New Roman"/>
                      <w:color w:val="auto"/>
                      <w:kern w:val="0"/>
                      <w:szCs w:val="21"/>
                      <w:highlight w:val="none"/>
                      <w:lang w:val="en-US" w:eastAsia="zh-CN"/>
                    </w:rPr>
                    <w:t>储罐大小呼吸</w:t>
                  </w:r>
                </w:p>
              </w:tc>
              <w:tc>
                <w:tcPr>
                  <w:tcW w:w="2623" w:type="dxa"/>
                  <w:shd w:val="clear" w:color="auto" w:fill="auto"/>
                  <w:noWrap w:val="0"/>
                  <w:vAlign w:val="center"/>
                </w:tcPr>
                <w:p w14:paraId="420DBDB5">
                  <w:pPr>
                    <w:autoSpaceDE w:val="0"/>
                    <w:autoSpaceDN w:val="0"/>
                    <w:adjustRightInd w:val="0"/>
                    <w:snapToGrid w:val="0"/>
                    <w:spacing w:line="280" w:lineRule="exact"/>
                    <w:jc w:val="center"/>
                    <w:rPr>
                      <w:rFonts w:hint="eastAsia"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有机废气（</w:t>
                  </w:r>
                  <w:r>
                    <w:rPr>
                      <w:rFonts w:hint="default" w:ascii="Times New Roman" w:hAnsi="Times New Roman" w:cs="Times New Roman"/>
                      <w:color w:val="auto"/>
                      <w:sz w:val="21"/>
                      <w:szCs w:val="21"/>
                    </w:rPr>
                    <w:t>以非甲烷总烃计</w:t>
                  </w:r>
                  <w:r>
                    <w:rPr>
                      <w:rFonts w:hint="eastAsia" w:ascii="Times New Roman" w:hAnsi="Times New Roman" w:cs="Times New Roman"/>
                      <w:color w:val="auto"/>
                      <w:sz w:val="21"/>
                      <w:szCs w:val="21"/>
                      <w:lang w:val="en-US" w:eastAsia="zh-CN"/>
                    </w:rPr>
                    <w:t>）</w:t>
                  </w:r>
                </w:p>
              </w:tc>
            </w:tr>
            <w:tr w14:paraId="28B18A4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899" w:type="dxa"/>
                  <w:vMerge w:val="continue"/>
                  <w:noWrap w:val="0"/>
                  <w:vAlign w:val="center"/>
                </w:tcPr>
                <w:p w14:paraId="1EF21BF1">
                  <w:pPr>
                    <w:autoSpaceDE w:val="0"/>
                    <w:autoSpaceDN w:val="0"/>
                    <w:adjustRightInd w:val="0"/>
                    <w:snapToGrid w:val="0"/>
                    <w:spacing w:line="280" w:lineRule="exact"/>
                    <w:jc w:val="center"/>
                    <w:rPr>
                      <w:rFonts w:ascii="Times New Roman" w:hAnsi="Times New Roman"/>
                      <w:color w:val="auto"/>
                      <w:kern w:val="0"/>
                      <w:szCs w:val="21"/>
                      <w:highlight w:val="none"/>
                    </w:rPr>
                  </w:pPr>
                </w:p>
              </w:tc>
              <w:tc>
                <w:tcPr>
                  <w:tcW w:w="2312" w:type="dxa"/>
                  <w:noWrap w:val="0"/>
                  <w:vAlign w:val="center"/>
                </w:tcPr>
                <w:p w14:paraId="0FFD6E81">
                  <w:pPr>
                    <w:autoSpaceDE w:val="0"/>
                    <w:autoSpaceDN w:val="0"/>
                    <w:adjustRightInd w:val="0"/>
                    <w:snapToGrid w:val="0"/>
                    <w:spacing w:line="280" w:lineRule="exact"/>
                    <w:jc w:val="center"/>
                    <w:rPr>
                      <w:rFonts w:hint="default" w:ascii="Times New Roman" w:hAnsi="Times New Roman" w:eastAsia="宋体" w:cs="Times New Roman"/>
                      <w:color w:val="auto"/>
                      <w:kern w:val="0"/>
                      <w:szCs w:val="21"/>
                      <w:highlight w:val="none"/>
                      <w:lang w:val="en-US" w:eastAsia="zh-CN"/>
                    </w:rPr>
                  </w:pPr>
                  <w:r>
                    <w:rPr>
                      <w:rFonts w:hint="eastAsia" w:cs="Times New Roman"/>
                      <w:color w:val="auto"/>
                      <w:kern w:val="0"/>
                      <w:szCs w:val="21"/>
                      <w:highlight w:val="none"/>
                      <w:lang w:val="en-US" w:eastAsia="zh-CN"/>
                    </w:rPr>
                    <w:t>危废库</w:t>
                  </w:r>
                </w:p>
              </w:tc>
              <w:tc>
                <w:tcPr>
                  <w:tcW w:w="1784" w:type="dxa"/>
                  <w:noWrap w:val="0"/>
                  <w:vAlign w:val="center"/>
                </w:tcPr>
                <w:p w14:paraId="105EA171">
                  <w:pPr>
                    <w:autoSpaceDE w:val="0"/>
                    <w:autoSpaceDN w:val="0"/>
                    <w:adjustRightInd w:val="0"/>
                    <w:snapToGrid w:val="0"/>
                    <w:spacing w:line="280" w:lineRule="exact"/>
                    <w:jc w:val="center"/>
                    <w:rPr>
                      <w:rFonts w:hint="eastAsia"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危废暂存废气</w:t>
                  </w:r>
                </w:p>
              </w:tc>
              <w:tc>
                <w:tcPr>
                  <w:tcW w:w="2623" w:type="dxa"/>
                  <w:noWrap w:val="0"/>
                  <w:vAlign w:val="center"/>
                </w:tcPr>
                <w:p w14:paraId="4BE1AD8D">
                  <w:pPr>
                    <w:autoSpaceDE w:val="0"/>
                    <w:autoSpaceDN w:val="0"/>
                    <w:adjustRightInd w:val="0"/>
                    <w:snapToGrid w:val="0"/>
                    <w:spacing w:line="280" w:lineRule="exact"/>
                    <w:jc w:val="center"/>
                    <w:rPr>
                      <w:rFonts w:hint="eastAsia" w:ascii="Times New Roman" w:hAnsi="Times New Roman" w:eastAsia="宋体" w:cs="Times New Roman"/>
                      <w:color w:val="auto"/>
                      <w:kern w:val="0"/>
                      <w:szCs w:val="21"/>
                      <w:highlight w:val="none"/>
                      <w:lang w:val="en-US" w:eastAsia="zh-CN"/>
                    </w:rPr>
                  </w:pPr>
                  <w:r>
                    <w:rPr>
                      <w:rFonts w:hint="eastAsia" w:cs="Times New Roman"/>
                      <w:color w:val="auto"/>
                      <w:kern w:val="0"/>
                      <w:szCs w:val="21"/>
                      <w:highlight w:val="none"/>
                      <w:lang w:val="en-US" w:eastAsia="zh-CN"/>
                    </w:rPr>
                    <w:t>危废库</w:t>
                  </w:r>
                  <w:r>
                    <w:rPr>
                      <w:rFonts w:hint="default" w:ascii="Times New Roman" w:hAnsi="Times New Roman" w:eastAsia="宋体" w:cs="Times New Roman"/>
                      <w:color w:val="auto"/>
                      <w:kern w:val="0"/>
                      <w:szCs w:val="21"/>
                      <w:highlight w:val="none"/>
                      <w:lang w:val="en-US" w:eastAsia="zh-CN"/>
                    </w:rPr>
                    <w:t>废气（以非甲烷总烃计）</w:t>
                  </w:r>
                </w:p>
              </w:tc>
            </w:tr>
            <w:tr w14:paraId="3A0AFD6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82" w:hRule="atLeast"/>
                <w:jc w:val="center"/>
              </w:trPr>
              <w:tc>
                <w:tcPr>
                  <w:tcW w:w="899" w:type="dxa"/>
                  <w:vMerge w:val="continue"/>
                  <w:noWrap w:val="0"/>
                  <w:vAlign w:val="center"/>
                </w:tcPr>
                <w:p w14:paraId="1D94642B">
                  <w:pPr>
                    <w:autoSpaceDE w:val="0"/>
                    <w:autoSpaceDN w:val="0"/>
                    <w:adjustRightInd w:val="0"/>
                    <w:snapToGrid w:val="0"/>
                    <w:spacing w:line="280" w:lineRule="exact"/>
                    <w:jc w:val="center"/>
                    <w:rPr>
                      <w:rFonts w:ascii="Times New Roman" w:hAnsi="Times New Roman"/>
                      <w:color w:val="auto"/>
                      <w:kern w:val="0"/>
                      <w:szCs w:val="21"/>
                      <w:highlight w:val="none"/>
                    </w:rPr>
                  </w:pPr>
                </w:p>
              </w:tc>
              <w:tc>
                <w:tcPr>
                  <w:tcW w:w="2312" w:type="dxa"/>
                  <w:noWrap w:val="0"/>
                  <w:vAlign w:val="center"/>
                </w:tcPr>
                <w:p w14:paraId="280FC377">
                  <w:pPr>
                    <w:autoSpaceDE w:val="0"/>
                    <w:autoSpaceDN w:val="0"/>
                    <w:adjustRightInd w:val="0"/>
                    <w:snapToGrid w:val="0"/>
                    <w:spacing w:line="280" w:lineRule="exact"/>
                    <w:jc w:val="center"/>
                    <w:rPr>
                      <w:rFonts w:hint="eastAsia"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污水处理站</w:t>
                  </w:r>
                </w:p>
              </w:tc>
              <w:tc>
                <w:tcPr>
                  <w:tcW w:w="1784" w:type="dxa"/>
                  <w:noWrap w:val="0"/>
                  <w:vAlign w:val="center"/>
                </w:tcPr>
                <w:p w14:paraId="05B365A2">
                  <w:pPr>
                    <w:autoSpaceDE w:val="0"/>
                    <w:autoSpaceDN w:val="0"/>
                    <w:adjustRightInd w:val="0"/>
                    <w:snapToGrid w:val="0"/>
                    <w:spacing w:line="280" w:lineRule="exact"/>
                    <w:jc w:val="center"/>
                    <w:rPr>
                      <w:rFonts w:hint="eastAsia"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污水处理</w:t>
                  </w:r>
                </w:p>
              </w:tc>
              <w:tc>
                <w:tcPr>
                  <w:tcW w:w="2623" w:type="dxa"/>
                  <w:noWrap w:val="0"/>
                  <w:vAlign w:val="center"/>
                </w:tcPr>
                <w:p w14:paraId="5DD86C26">
                  <w:pPr>
                    <w:autoSpaceDE w:val="0"/>
                    <w:autoSpaceDN w:val="0"/>
                    <w:adjustRightInd w:val="0"/>
                    <w:snapToGrid w:val="0"/>
                    <w:spacing w:line="280" w:lineRule="exact"/>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氨、硫化氢、臭气</w:t>
                  </w:r>
                  <w:r>
                    <w:rPr>
                      <w:rFonts w:hint="eastAsia" w:cs="Times New Roman"/>
                      <w:color w:val="auto"/>
                      <w:kern w:val="0"/>
                      <w:szCs w:val="21"/>
                      <w:highlight w:val="none"/>
                      <w:lang w:val="en-US" w:eastAsia="zh-CN"/>
                    </w:rPr>
                    <w:t>浓度</w:t>
                  </w:r>
                </w:p>
              </w:tc>
            </w:tr>
            <w:tr w14:paraId="394F9E5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899" w:type="dxa"/>
                  <w:vMerge w:val="continue"/>
                  <w:noWrap w:val="0"/>
                  <w:vAlign w:val="center"/>
                </w:tcPr>
                <w:p w14:paraId="78334A42">
                  <w:pPr>
                    <w:autoSpaceDE w:val="0"/>
                    <w:autoSpaceDN w:val="0"/>
                    <w:adjustRightInd w:val="0"/>
                    <w:snapToGrid w:val="0"/>
                    <w:spacing w:line="280" w:lineRule="exact"/>
                    <w:jc w:val="center"/>
                    <w:rPr>
                      <w:rFonts w:ascii="Times New Roman" w:hAnsi="Times New Roman"/>
                      <w:color w:val="auto"/>
                      <w:kern w:val="0"/>
                      <w:szCs w:val="21"/>
                      <w:highlight w:val="none"/>
                    </w:rPr>
                  </w:pPr>
                </w:p>
              </w:tc>
              <w:tc>
                <w:tcPr>
                  <w:tcW w:w="2312" w:type="dxa"/>
                  <w:noWrap w:val="0"/>
                  <w:vAlign w:val="center"/>
                </w:tcPr>
                <w:p w14:paraId="27AD0754">
                  <w:pPr>
                    <w:autoSpaceDE w:val="0"/>
                    <w:autoSpaceDN w:val="0"/>
                    <w:adjustRightInd w:val="0"/>
                    <w:snapToGrid w:val="0"/>
                    <w:spacing w:line="280" w:lineRule="exact"/>
                    <w:jc w:val="center"/>
                    <w:rPr>
                      <w:rFonts w:hint="default" w:ascii="Times New Roman" w:hAnsi="Times New Roman" w:eastAsia="宋体" w:cs="Times New Roman"/>
                      <w:color w:val="auto"/>
                      <w:kern w:val="0"/>
                      <w:szCs w:val="21"/>
                      <w:highlight w:val="none"/>
                      <w:lang w:val="en-US" w:eastAsia="zh-CN"/>
                    </w:rPr>
                  </w:pPr>
                  <w:r>
                    <w:rPr>
                      <w:rFonts w:hint="eastAsia" w:cs="Times New Roman"/>
                      <w:color w:val="auto"/>
                      <w:kern w:val="0"/>
                      <w:szCs w:val="21"/>
                      <w:highlight w:val="none"/>
                      <w:lang w:val="en-US" w:eastAsia="zh-CN"/>
                    </w:rPr>
                    <w:t>电源系统组装</w:t>
                  </w:r>
                </w:p>
              </w:tc>
              <w:tc>
                <w:tcPr>
                  <w:tcW w:w="1784" w:type="dxa"/>
                  <w:noWrap w:val="0"/>
                  <w:vAlign w:val="center"/>
                </w:tcPr>
                <w:p w14:paraId="57C5B179">
                  <w:pPr>
                    <w:autoSpaceDE w:val="0"/>
                    <w:autoSpaceDN w:val="0"/>
                    <w:adjustRightInd w:val="0"/>
                    <w:snapToGrid w:val="0"/>
                    <w:spacing w:line="280" w:lineRule="exact"/>
                    <w:jc w:val="center"/>
                    <w:rPr>
                      <w:rFonts w:hint="default" w:ascii="Times New Roman" w:hAnsi="Times New Roman" w:eastAsia="宋体" w:cs="Times New Roman"/>
                      <w:color w:val="auto"/>
                      <w:kern w:val="0"/>
                      <w:szCs w:val="21"/>
                      <w:highlight w:val="none"/>
                      <w:lang w:val="en-US" w:eastAsia="zh-CN"/>
                    </w:rPr>
                  </w:pPr>
                  <w:r>
                    <w:rPr>
                      <w:rFonts w:hint="eastAsia" w:cs="Times New Roman"/>
                      <w:color w:val="auto"/>
                      <w:kern w:val="0"/>
                      <w:szCs w:val="21"/>
                      <w:highlight w:val="none"/>
                      <w:lang w:val="en-US" w:eastAsia="zh-CN"/>
                    </w:rPr>
                    <w:t>焊接烟尘</w:t>
                  </w:r>
                </w:p>
              </w:tc>
              <w:tc>
                <w:tcPr>
                  <w:tcW w:w="2623" w:type="dxa"/>
                  <w:noWrap w:val="0"/>
                  <w:vAlign w:val="center"/>
                </w:tcPr>
                <w:p w14:paraId="0988D3D9">
                  <w:pPr>
                    <w:autoSpaceDE w:val="0"/>
                    <w:autoSpaceDN w:val="0"/>
                    <w:adjustRightInd w:val="0"/>
                    <w:snapToGrid w:val="0"/>
                    <w:spacing w:line="280" w:lineRule="exact"/>
                    <w:jc w:val="center"/>
                    <w:rPr>
                      <w:rFonts w:hint="default" w:ascii="Times New Roman" w:hAnsi="Times New Roman" w:eastAsia="宋体" w:cs="Times New Roman"/>
                      <w:color w:val="auto"/>
                      <w:kern w:val="0"/>
                      <w:szCs w:val="21"/>
                      <w:highlight w:val="none"/>
                      <w:lang w:val="en-US" w:eastAsia="zh-CN"/>
                    </w:rPr>
                  </w:pPr>
                  <w:r>
                    <w:rPr>
                      <w:rFonts w:hint="eastAsia" w:cs="Times New Roman"/>
                      <w:color w:val="auto"/>
                      <w:kern w:val="0"/>
                      <w:szCs w:val="21"/>
                      <w:highlight w:val="none"/>
                      <w:lang w:val="en-US" w:eastAsia="zh-CN"/>
                    </w:rPr>
                    <w:t>颗粒物</w:t>
                  </w:r>
                </w:p>
              </w:tc>
            </w:tr>
            <w:tr w14:paraId="5DD1F35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899" w:type="dxa"/>
                  <w:noWrap w:val="0"/>
                  <w:vAlign w:val="center"/>
                </w:tcPr>
                <w:p w14:paraId="5FC81E62">
                  <w:pPr>
                    <w:autoSpaceDE w:val="0"/>
                    <w:autoSpaceDN w:val="0"/>
                    <w:adjustRightInd w:val="0"/>
                    <w:snapToGrid w:val="0"/>
                    <w:spacing w:line="280" w:lineRule="exact"/>
                    <w:jc w:val="center"/>
                    <w:rPr>
                      <w:rFonts w:ascii="Times New Roman" w:hAnsi="Times New Roman"/>
                      <w:color w:val="auto"/>
                      <w:kern w:val="0"/>
                      <w:szCs w:val="21"/>
                      <w:highlight w:val="none"/>
                    </w:rPr>
                  </w:pPr>
                  <w:r>
                    <w:rPr>
                      <w:rFonts w:hint="eastAsia" w:ascii="Times New Roman" w:hAnsi="Times New Roman"/>
                      <w:color w:val="auto"/>
                      <w:kern w:val="0"/>
                      <w:szCs w:val="21"/>
                      <w:highlight w:val="none"/>
                    </w:rPr>
                    <w:t>噪声</w:t>
                  </w:r>
                </w:p>
              </w:tc>
              <w:tc>
                <w:tcPr>
                  <w:tcW w:w="2312" w:type="dxa"/>
                  <w:noWrap w:val="0"/>
                  <w:vAlign w:val="center"/>
                </w:tcPr>
                <w:p w14:paraId="780DE683">
                  <w:pPr>
                    <w:autoSpaceDE w:val="0"/>
                    <w:autoSpaceDN w:val="0"/>
                    <w:adjustRightInd w:val="0"/>
                    <w:snapToGrid w:val="0"/>
                    <w:spacing w:line="280" w:lineRule="exact"/>
                    <w:jc w:val="center"/>
                    <w:rPr>
                      <w:rFonts w:ascii="Times New Roman" w:hAnsi="Times New Roman"/>
                      <w:color w:val="auto"/>
                      <w:kern w:val="0"/>
                      <w:szCs w:val="21"/>
                      <w:highlight w:val="none"/>
                    </w:rPr>
                  </w:pPr>
                  <w:r>
                    <w:rPr>
                      <w:rFonts w:hint="eastAsia" w:ascii="Times New Roman" w:hAnsi="Times New Roman"/>
                      <w:color w:val="auto"/>
                      <w:kern w:val="0"/>
                      <w:szCs w:val="21"/>
                      <w:highlight w:val="none"/>
                    </w:rPr>
                    <w:t>生产设备</w:t>
                  </w:r>
                </w:p>
              </w:tc>
              <w:tc>
                <w:tcPr>
                  <w:tcW w:w="1784" w:type="dxa"/>
                  <w:noWrap w:val="0"/>
                  <w:vAlign w:val="center"/>
                </w:tcPr>
                <w:p w14:paraId="67923D31">
                  <w:pPr>
                    <w:autoSpaceDE w:val="0"/>
                    <w:autoSpaceDN w:val="0"/>
                    <w:adjustRightInd w:val="0"/>
                    <w:snapToGrid w:val="0"/>
                    <w:spacing w:line="280" w:lineRule="exact"/>
                    <w:jc w:val="center"/>
                    <w:rPr>
                      <w:rFonts w:hint="default" w:ascii="Times New Roman" w:hAnsi="Times New Roman" w:eastAsia="宋体" w:cs="Times New Roman"/>
                      <w:color w:val="auto"/>
                      <w:kern w:val="0"/>
                      <w:szCs w:val="21"/>
                      <w:highlight w:val="none"/>
                      <w:lang w:val="en-US" w:eastAsia="zh-CN"/>
                    </w:rPr>
                  </w:pPr>
                  <w:r>
                    <w:rPr>
                      <w:rFonts w:hint="eastAsia" w:ascii="Times New Roman" w:hAnsi="Times New Roman" w:cs="Times New Roman"/>
                      <w:color w:val="auto"/>
                      <w:kern w:val="0"/>
                      <w:szCs w:val="21"/>
                      <w:highlight w:val="none"/>
                      <w:lang w:val="en-US" w:eastAsia="zh-CN"/>
                    </w:rPr>
                    <w:t>设备噪声</w:t>
                  </w:r>
                </w:p>
              </w:tc>
              <w:tc>
                <w:tcPr>
                  <w:tcW w:w="2623" w:type="dxa"/>
                  <w:noWrap w:val="0"/>
                  <w:vAlign w:val="center"/>
                </w:tcPr>
                <w:p w14:paraId="39E5CA85">
                  <w:pPr>
                    <w:autoSpaceDE w:val="0"/>
                    <w:autoSpaceDN w:val="0"/>
                    <w:adjustRightInd w:val="0"/>
                    <w:snapToGrid w:val="0"/>
                    <w:spacing w:line="280" w:lineRule="exact"/>
                    <w:jc w:val="center"/>
                    <w:rPr>
                      <w:rFonts w:hint="eastAsia" w:ascii="Times New Roman" w:hAnsi="Times New Roman" w:eastAsia="宋体" w:cs="Times New Roman"/>
                      <w:color w:val="auto"/>
                      <w:kern w:val="0"/>
                      <w:szCs w:val="21"/>
                      <w:highlight w:val="none"/>
                      <w:lang w:val="en-US" w:eastAsia="zh-CN"/>
                    </w:rPr>
                  </w:pPr>
                  <w:r>
                    <w:rPr>
                      <w:rFonts w:hint="default" w:ascii="Times New Roman" w:hAnsi="Times New Roman" w:cs="Times New Roman"/>
                      <w:color w:val="auto"/>
                      <w:sz w:val="21"/>
                      <w:szCs w:val="21"/>
                    </w:rPr>
                    <w:t>噪声Leq</w:t>
                  </w:r>
                  <w:r>
                    <w:rPr>
                      <w:rFonts w:hint="default" w:ascii="Times New Roman" w:hAnsi="Times New Roman" w:cs="Times New Roman"/>
                      <w:color w:val="auto"/>
                      <w:sz w:val="21"/>
                      <w:szCs w:val="21"/>
                      <w:lang w:eastAsia="zh-CN"/>
                    </w:rPr>
                    <w:t>（</w:t>
                  </w:r>
                  <w:r>
                    <w:rPr>
                      <w:rFonts w:hint="default" w:ascii="Times New Roman" w:hAnsi="Times New Roman" w:cs="Times New Roman"/>
                      <w:color w:val="auto"/>
                      <w:sz w:val="21"/>
                      <w:szCs w:val="21"/>
                    </w:rPr>
                    <w:t>A</w:t>
                  </w:r>
                  <w:r>
                    <w:rPr>
                      <w:rFonts w:hint="default" w:ascii="Times New Roman" w:hAnsi="Times New Roman" w:cs="Times New Roman"/>
                      <w:color w:val="auto"/>
                      <w:sz w:val="21"/>
                      <w:szCs w:val="21"/>
                      <w:lang w:eastAsia="zh-CN"/>
                    </w:rPr>
                    <w:t>）</w:t>
                  </w:r>
                </w:p>
              </w:tc>
            </w:tr>
            <w:tr w14:paraId="38364B9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899" w:type="dxa"/>
                  <w:vMerge w:val="restart"/>
                  <w:noWrap w:val="0"/>
                  <w:vAlign w:val="center"/>
                </w:tcPr>
                <w:p w14:paraId="029C2369">
                  <w:pPr>
                    <w:autoSpaceDE w:val="0"/>
                    <w:autoSpaceDN w:val="0"/>
                    <w:adjustRightInd w:val="0"/>
                    <w:snapToGrid w:val="0"/>
                    <w:spacing w:line="280" w:lineRule="exact"/>
                    <w:jc w:val="center"/>
                    <w:rPr>
                      <w:rFonts w:hint="eastAsia" w:ascii="Times New Roman" w:hAnsi="Times New Roman" w:eastAsia="宋体" w:cs="Times New Roman"/>
                      <w:color w:val="auto"/>
                      <w:kern w:val="0"/>
                      <w:szCs w:val="21"/>
                      <w:highlight w:val="none"/>
                      <w:lang w:val="en-US" w:eastAsia="zh-CN"/>
                    </w:rPr>
                  </w:pPr>
                  <w:r>
                    <w:rPr>
                      <w:rFonts w:hint="eastAsia" w:ascii="Times New Roman" w:hAnsi="Times New Roman" w:eastAsia="宋体" w:cs="Times New Roman"/>
                      <w:color w:val="auto"/>
                      <w:kern w:val="0"/>
                      <w:szCs w:val="21"/>
                      <w:highlight w:val="none"/>
                      <w:lang w:val="en-US" w:eastAsia="zh-CN"/>
                    </w:rPr>
                    <w:t>废水</w:t>
                  </w:r>
                </w:p>
              </w:tc>
              <w:tc>
                <w:tcPr>
                  <w:tcW w:w="2312" w:type="dxa"/>
                  <w:noWrap w:val="0"/>
                  <w:vAlign w:val="center"/>
                </w:tcPr>
                <w:p w14:paraId="7CA8BD8B">
                  <w:pPr>
                    <w:autoSpaceDE w:val="0"/>
                    <w:autoSpaceDN w:val="0"/>
                    <w:adjustRightInd w:val="0"/>
                    <w:snapToGrid w:val="0"/>
                    <w:spacing w:line="280" w:lineRule="exact"/>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纯水制备</w:t>
                  </w:r>
                </w:p>
              </w:tc>
              <w:tc>
                <w:tcPr>
                  <w:tcW w:w="1784" w:type="dxa"/>
                  <w:noWrap w:val="0"/>
                  <w:vAlign w:val="center"/>
                </w:tcPr>
                <w:p w14:paraId="747B29B1">
                  <w:pPr>
                    <w:autoSpaceDE w:val="0"/>
                    <w:autoSpaceDN w:val="0"/>
                    <w:adjustRightInd w:val="0"/>
                    <w:snapToGrid w:val="0"/>
                    <w:spacing w:line="280" w:lineRule="exact"/>
                    <w:jc w:val="center"/>
                    <w:rPr>
                      <w:rFonts w:hint="eastAsia"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纯水制备浓水</w:t>
                  </w:r>
                </w:p>
              </w:tc>
              <w:tc>
                <w:tcPr>
                  <w:tcW w:w="2623" w:type="dxa"/>
                  <w:noWrap w:val="0"/>
                  <w:vAlign w:val="center"/>
                </w:tcPr>
                <w:p w14:paraId="7BD4AE15">
                  <w:pPr>
                    <w:autoSpaceDE w:val="0"/>
                    <w:autoSpaceDN w:val="0"/>
                    <w:adjustRightInd w:val="0"/>
                    <w:snapToGrid w:val="0"/>
                    <w:spacing w:line="280" w:lineRule="exact"/>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rPr>
                    <w:t>COD、SS</w:t>
                  </w:r>
                </w:p>
              </w:tc>
            </w:tr>
            <w:tr w14:paraId="7BF6AF0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899" w:type="dxa"/>
                  <w:vMerge w:val="continue"/>
                  <w:noWrap w:val="0"/>
                  <w:vAlign w:val="center"/>
                </w:tcPr>
                <w:p w14:paraId="5CC4FE3E">
                  <w:pPr>
                    <w:autoSpaceDE w:val="0"/>
                    <w:autoSpaceDN w:val="0"/>
                    <w:adjustRightInd w:val="0"/>
                    <w:snapToGrid w:val="0"/>
                    <w:spacing w:line="280" w:lineRule="exact"/>
                    <w:jc w:val="center"/>
                    <w:rPr>
                      <w:rFonts w:hint="eastAsia" w:ascii="Times New Roman" w:hAnsi="Times New Roman" w:eastAsia="宋体" w:cs="Times New Roman"/>
                      <w:color w:val="auto"/>
                      <w:kern w:val="0"/>
                      <w:szCs w:val="21"/>
                      <w:highlight w:val="none"/>
                      <w:lang w:val="en-US" w:eastAsia="zh-CN"/>
                    </w:rPr>
                  </w:pPr>
                </w:p>
              </w:tc>
              <w:tc>
                <w:tcPr>
                  <w:tcW w:w="2312" w:type="dxa"/>
                  <w:noWrap w:val="0"/>
                  <w:vAlign w:val="center"/>
                </w:tcPr>
                <w:p w14:paraId="6EA7D7CB">
                  <w:pPr>
                    <w:autoSpaceDE w:val="0"/>
                    <w:autoSpaceDN w:val="0"/>
                    <w:adjustRightInd w:val="0"/>
                    <w:snapToGrid w:val="0"/>
                    <w:spacing w:line="280" w:lineRule="exact"/>
                    <w:jc w:val="center"/>
                    <w:rPr>
                      <w:rFonts w:hint="eastAsia" w:ascii="Times New Roman" w:hAnsi="Times New Roman" w:eastAsia="宋体" w:cs="Times New Roman"/>
                      <w:color w:val="auto"/>
                      <w:kern w:val="0"/>
                      <w:szCs w:val="21"/>
                      <w:highlight w:val="none"/>
                      <w:lang w:val="en-US" w:eastAsia="zh-CN"/>
                    </w:rPr>
                  </w:pPr>
                  <w:r>
                    <w:rPr>
                      <w:rFonts w:hint="eastAsia" w:cs="Times New Roman"/>
                      <w:color w:val="auto"/>
                      <w:kern w:val="0"/>
                      <w:szCs w:val="21"/>
                      <w:highlight w:val="none"/>
                      <w:lang w:val="en-US" w:eastAsia="zh-CN"/>
                    </w:rPr>
                    <w:t>匀浆系统、涂布机</w:t>
                  </w:r>
                  <w:r>
                    <w:rPr>
                      <w:rFonts w:hint="default" w:ascii="Times New Roman" w:hAnsi="Times New Roman" w:eastAsia="宋体" w:cs="Times New Roman"/>
                      <w:color w:val="auto"/>
                      <w:kern w:val="0"/>
                      <w:szCs w:val="21"/>
                      <w:highlight w:val="none"/>
                      <w:lang w:val="en-US" w:eastAsia="zh-CN"/>
                    </w:rPr>
                    <w:t>等设备</w:t>
                  </w:r>
                </w:p>
              </w:tc>
              <w:tc>
                <w:tcPr>
                  <w:tcW w:w="1784" w:type="dxa"/>
                  <w:noWrap w:val="0"/>
                  <w:vAlign w:val="center"/>
                </w:tcPr>
                <w:p w14:paraId="3E632525">
                  <w:pPr>
                    <w:autoSpaceDE w:val="0"/>
                    <w:autoSpaceDN w:val="0"/>
                    <w:adjustRightInd w:val="0"/>
                    <w:snapToGrid w:val="0"/>
                    <w:spacing w:line="280" w:lineRule="exact"/>
                    <w:jc w:val="center"/>
                    <w:rPr>
                      <w:rFonts w:hint="eastAsia"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设备清洗废水</w:t>
                  </w:r>
                </w:p>
              </w:tc>
              <w:tc>
                <w:tcPr>
                  <w:tcW w:w="2623" w:type="dxa"/>
                  <w:noWrap w:val="0"/>
                  <w:vAlign w:val="center"/>
                </w:tcPr>
                <w:p w14:paraId="08E8334B">
                  <w:pPr>
                    <w:autoSpaceDE w:val="0"/>
                    <w:autoSpaceDN w:val="0"/>
                    <w:adjustRightInd w:val="0"/>
                    <w:snapToGrid w:val="0"/>
                    <w:spacing w:line="280" w:lineRule="exact"/>
                    <w:jc w:val="center"/>
                    <w:rPr>
                      <w:rFonts w:hint="eastAsia" w:ascii="Times New Roman" w:hAnsi="Times New Roman"/>
                      <w:color w:val="auto"/>
                      <w:kern w:val="0"/>
                      <w:szCs w:val="21"/>
                      <w:highlight w:val="none"/>
                      <w:lang w:val="en-US" w:eastAsia="zh-CN"/>
                    </w:rPr>
                  </w:pPr>
                  <w:r>
                    <w:rPr>
                      <w:rFonts w:hint="default" w:ascii="Times New Roman" w:hAnsi="Times New Roman" w:eastAsia="宋体" w:cs="Times New Roman"/>
                      <w:color w:val="auto"/>
                      <w:sz w:val="21"/>
                      <w:szCs w:val="21"/>
                    </w:rPr>
                    <w:t>COD、SS、NH</w:t>
                  </w:r>
                  <w:r>
                    <w:rPr>
                      <w:rFonts w:hint="default" w:ascii="Times New Roman" w:hAnsi="Times New Roman" w:eastAsia="宋体" w:cs="Times New Roman"/>
                      <w:color w:val="auto"/>
                      <w:sz w:val="21"/>
                      <w:szCs w:val="21"/>
                      <w:vertAlign w:val="subscript"/>
                    </w:rPr>
                    <w:t>3</w:t>
                  </w:r>
                  <w:r>
                    <w:rPr>
                      <w:rFonts w:hint="default" w:ascii="Times New Roman" w:hAnsi="Times New Roman" w:eastAsia="宋体" w:cs="Times New Roman"/>
                      <w:color w:val="auto"/>
                      <w:sz w:val="21"/>
                      <w:szCs w:val="21"/>
                    </w:rPr>
                    <w:t>-N、</w:t>
                  </w:r>
                  <w:r>
                    <w:rPr>
                      <w:rFonts w:hint="eastAsia" w:cs="Times New Roman"/>
                      <w:color w:val="auto"/>
                      <w:sz w:val="21"/>
                      <w:szCs w:val="21"/>
                      <w:lang w:val="en-US" w:eastAsia="zh-CN"/>
                    </w:rPr>
                    <w:t>TP、TN、</w:t>
                  </w:r>
                  <w:r>
                    <w:rPr>
                      <w:rFonts w:hint="default" w:ascii="Times New Roman" w:hAnsi="Times New Roman" w:eastAsia="宋体" w:cs="Times New Roman"/>
                      <w:color w:val="auto"/>
                      <w:sz w:val="21"/>
                      <w:szCs w:val="21"/>
                    </w:rPr>
                    <w:t>BOD</w:t>
                  </w:r>
                  <w:r>
                    <w:rPr>
                      <w:rFonts w:hint="default" w:ascii="Times New Roman" w:hAnsi="Times New Roman" w:eastAsia="宋体" w:cs="Times New Roman"/>
                      <w:color w:val="auto"/>
                      <w:sz w:val="21"/>
                      <w:szCs w:val="21"/>
                      <w:vertAlign w:val="subscript"/>
                    </w:rPr>
                    <w:t>5</w:t>
                  </w:r>
                </w:p>
              </w:tc>
            </w:tr>
            <w:tr w14:paraId="1B9C0D4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899" w:type="dxa"/>
                  <w:vMerge w:val="continue"/>
                  <w:noWrap w:val="0"/>
                  <w:vAlign w:val="center"/>
                </w:tcPr>
                <w:p w14:paraId="59315CCB">
                  <w:pPr>
                    <w:autoSpaceDE w:val="0"/>
                    <w:autoSpaceDN w:val="0"/>
                    <w:adjustRightInd w:val="0"/>
                    <w:snapToGrid w:val="0"/>
                    <w:spacing w:line="280" w:lineRule="exact"/>
                    <w:jc w:val="center"/>
                    <w:rPr>
                      <w:rFonts w:hint="eastAsia" w:ascii="Times New Roman" w:hAnsi="Times New Roman"/>
                      <w:color w:val="auto"/>
                      <w:kern w:val="0"/>
                      <w:szCs w:val="21"/>
                      <w:highlight w:val="none"/>
                      <w:lang w:val="en-US" w:eastAsia="zh-CN"/>
                    </w:rPr>
                  </w:pPr>
                </w:p>
              </w:tc>
              <w:tc>
                <w:tcPr>
                  <w:tcW w:w="2312" w:type="dxa"/>
                  <w:noWrap w:val="0"/>
                  <w:vAlign w:val="center"/>
                </w:tcPr>
                <w:p w14:paraId="284C519F">
                  <w:pPr>
                    <w:autoSpaceDE w:val="0"/>
                    <w:autoSpaceDN w:val="0"/>
                    <w:adjustRightInd w:val="0"/>
                    <w:snapToGrid w:val="0"/>
                    <w:spacing w:line="280" w:lineRule="exact"/>
                    <w:jc w:val="center"/>
                    <w:rPr>
                      <w:rFonts w:hint="default" w:ascii="Times New Roman" w:hAnsi="Times New Roman"/>
                      <w:color w:val="auto"/>
                      <w:kern w:val="0"/>
                      <w:szCs w:val="21"/>
                      <w:highlight w:val="none"/>
                      <w:lang w:val="en-US" w:eastAsia="zh-CN"/>
                    </w:rPr>
                  </w:pPr>
                  <w:r>
                    <w:rPr>
                      <w:rFonts w:hint="eastAsia" w:ascii="Times New Roman" w:hAnsi="Times New Roman"/>
                      <w:color w:val="auto"/>
                      <w:kern w:val="0"/>
                      <w:szCs w:val="21"/>
                      <w:highlight w:val="none"/>
                      <w:lang w:val="en-US" w:eastAsia="zh-CN"/>
                    </w:rPr>
                    <w:t>人员办公</w:t>
                  </w:r>
                </w:p>
              </w:tc>
              <w:tc>
                <w:tcPr>
                  <w:tcW w:w="1784" w:type="dxa"/>
                  <w:noWrap w:val="0"/>
                  <w:vAlign w:val="center"/>
                </w:tcPr>
                <w:p w14:paraId="066E2D0C">
                  <w:pPr>
                    <w:autoSpaceDE w:val="0"/>
                    <w:autoSpaceDN w:val="0"/>
                    <w:adjustRightInd w:val="0"/>
                    <w:snapToGrid w:val="0"/>
                    <w:spacing w:line="280" w:lineRule="exact"/>
                    <w:jc w:val="center"/>
                    <w:rPr>
                      <w:rFonts w:hint="default" w:ascii="Times New Roman" w:hAnsi="Times New Roman"/>
                      <w:color w:val="auto"/>
                      <w:kern w:val="0"/>
                      <w:szCs w:val="21"/>
                      <w:highlight w:val="none"/>
                      <w:lang w:val="en-US" w:eastAsia="zh-CN"/>
                    </w:rPr>
                  </w:pPr>
                  <w:r>
                    <w:rPr>
                      <w:rFonts w:hint="eastAsia" w:ascii="Times New Roman" w:hAnsi="Times New Roman"/>
                      <w:color w:val="auto"/>
                      <w:kern w:val="0"/>
                      <w:szCs w:val="21"/>
                      <w:highlight w:val="none"/>
                      <w:lang w:val="en-US" w:eastAsia="zh-CN"/>
                    </w:rPr>
                    <w:t>生活污水</w:t>
                  </w:r>
                </w:p>
              </w:tc>
              <w:tc>
                <w:tcPr>
                  <w:tcW w:w="2623" w:type="dxa"/>
                  <w:noWrap w:val="0"/>
                  <w:vAlign w:val="center"/>
                </w:tcPr>
                <w:p w14:paraId="4FF3FC22">
                  <w:pPr>
                    <w:autoSpaceDE w:val="0"/>
                    <w:autoSpaceDN w:val="0"/>
                    <w:adjustRightInd w:val="0"/>
                    <w:snapToGrid w:val="0"/>
                    <w:spacing w:line="280" w:lineRule="exact"/>
                    <w:jc w:val="center"/>
                    <w:rPr>
                      <w:rFonts w:hint="default" w:ascii="Times New Roman" w:hAnsi="Times New Roman"/>
                      <w:color w:val="auto"/>
                      <w:kern w:val="0"/>
                      <w:szCs w:val="21"/>
                      <w:highlight w:val="none"/>
                      <w:lang w:val="en-US" w:eastAsia="zh-CN"/>
                    </w:rPr>
                  </w:pPr>
                  <w:r>
                    <w:rPr>
                      <w:rFonts w:hint="default" w:ascii="Times New Roman" w:hAnsi="Times New Roman" w:eastAsia="宋体" w:cs="Times New Roman"/>
                      <w:color w:val="auto"/>
                      <w:sz w:val="21"/>
                      <w:szCs w:val="21"/>
                    </w:rPr>
                    <w:t>COD、SS、NH</w:t>
                  </w:r>
                  <w:r>
                    <w:rPr>
                      <w:rFonts w:hint="default" w:ascii="Times New Roman" w:hAnsi="Times New Roman" w:eastAsia="宋体" w:cs="Times New Roman"/>
                      <w:color w:val="auto"/>
                      <w:sz w:val="21"/>
                      <w:szCs w:val="21"/>
                      <w:vertAlign w:val="subscript"/>
                    </w:rPr>
                    <w:t>3</w:t>
                  </w:r>
                  <w:r>
                    <w:rPr>
                      <w:rFonts w:hint="default" w:ascii="Times New Roman" w:hAnsi="Times New Roman" w:eastAsia="宋体" w:cs="Times New Roman"/>
                      <w:color w:val="auto"/>
                      <w:sz w:val="21"/>
                      <w:szCs w:val="21"/>
                    </w:rPr>
                    <w:t>-N、</w:t>
                  </w:r>
                  <w:r>
                    <w:rPr>
                      <w:rFonts w:hint="eastAsia" w:cs="Times New Roman"/>
                      <w:color w:val="auto"/>
                      <w:sz w:val="21"/>
                      <w:szCs w:val="21"/>
                      <w:lang w:val="en-US" w:eastAsia="zh-CN"/>
                    </w:rPr>
                    <w:t>TP、TN、</w:t>
                  </w:r>
                  <w:r>
                    <w:rPr>
                      <w:rFonts w:hint="default" w:ascii="Times New Roman" w:hAnsi="Times New Roman" w:eastAsia="宋体" w:cs="Times New Roman"/>
                      <w:color w:val="auto"/>
                      <w:sz w:val="21"/>
                      <w:szCs w:val="21"/>
                    </w:rPr>
                    <w:t>BOD</w:t>
                  </w:r>
                  <w:r>
                    <w:rPr>
                      <w:rFonts w:hint="default" w:ascii="Times New Roman" w:hAnsi="Times New Roman" w:eastAsia="宋体" w:cs="Times New Roman"/>
                      <w:color w:val="auto"/>
                      <w:sz w:val="21"/>
                      <w:szCs w:val="21"/>
                      <w:vertAlign w:val="subscript"/>
                    </w:rPr>
                    <w:t>5</w:t>
                  </w:r>
                </w:p>
              </w:tc>
            </w:tr>
            <w:tr w14:paraId="506DFB4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58" w:hRule="atLeast"/>
                <w:jc w:val="center"/>
              </w:trPr>
              <w:tc>
                <w:tcPr>
                  <w:tcW w:w="899" w:type="dxa"/>
                  <w:vMerge w:val="restart"/>
                  <w:noWrap w:val="0"/>
                  <w:vAlign w:val="center"/>
                </w:tcPr>
                <w:p w14:paraId="03652D0E">
                  <w:pPr>
                    <w:autoSpaceDE w:val="0"/>
                    <w:autoSpaceDN w:val="0"/>
                    <w:adjustRightInd w:val="0"/>
                    <w:snapToGrid w:val="0"/>
                    <w:spacing w:line="280" w:lineRule="exact"/>
                    <w:jc w:val="center"/>
                    <w:rPr>
                      <w:rFonts w:hint="eastAsia" w:ascii="Times New Roman" w:hAnsi="Times New Roman" w:eastAsia="宋体"/>
                      <w:color w:val="auto"/>
                      <w:kern w:val="0"/>
                      <w:szCs w:val="21"/>
                      <w:highlight w:val="none"/>
                      <w:lang w:val="en-US" w:eastAsia="zh-CN"/>
                    </w:rPr>
                  </w:pPr>
                  <w:r>
                    <w:rPr>
                      <w:rFonts w:hint="eastAsia" w:ascii="Times New Roman" w:hAnsi="Times New Roman"/>
                      <w:color w:val="auto"/>
                      <w:kern w:val="0"/>
                      <w:szCs w:val="21"/>
                      <w:highlight w:val="none"/>
                      <w:lang w:val="en-US" w:eastAsia="zh-CN"/>
                    </w:rPr>
                    <w:t>固废</w:t>
                  </w:r>
                </w:p>
              </w:tc>
              <w:tc>
                <w:tcPr>
                  <w:tcW w:w="2312" w:type="dxa"/>
                  <w:noWrap w:val="0"/>
                  <w:vAlign w:val="center"/>
                </w:tcPr>
                <w:p w14:paraId="12604DE5">
                  <w:pPr>
                    <w:autoSpaceDE w:val="0"/>
                    <w:autoSpaceDN w:val="0"/>
                    <w:adjustRightInd w:val="0"/>
                    <w:snapToGrid w:val="0"/>
                    <w:spacing w:line="280" w:lineRule="exact"/>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职工生活</w:t>
                  </w:r>
                </w:p>
              </w:tc>
              <w:tc>
                <w:tcPr>
                  <w:tcW w:w="1784" w:type="dxa"/>
                  <w:noWrap w:val="0"/>
                  <w:vAlign w:val="center"/>
                </w:tcPr>
                <w:p w14:paraId="2AD9A1D2">
                  <w:pPr>
                    <w:autoSpaceDE w:val="0"/>
                    <w:autoSpaceDN w:val="0"/>
                    <w:adjustRightInd w:val="0"/>
                    <w:snapToGrid w:val="0"/>
                    <w:spacing w:line="280" w:lineRule="exact"/>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生活垃圾</w:t>
                  </w:r>
                  <w:r>
                    <w:rPr>
                      <w:rFonts w:hint="eastAsia" w:cs="Times New Roman"/>
                      <w:color w:val="auto"/>
                      <w:kern w:val="0"/>
                      <w:szCs w:val="21"/>
                      <w:highlight w:val="none"/>
                      <w:lang w:val="en-US" w:eastAsia="zh-CN"/>
                    </w:rPr>
                    <w:t>、预处理池污泥</w:t>
                  </w:r>
                </w:p>
              </w:tc>
              <w:tc>
                <w:tcPr>
                  <w:tcW w:w="2623" w:type="dxa"/>
                  <w:noWrap w:val="0"/>
                  <w:vAlign w:val="center"/>
                </w:tcPr>
                <w:p w14:paraId="7E892588">
                  <w:pPr>
                    <w:autoSpaceDE w:val="0"/>
                    <w:autoSpaceDN w:val="0"/>
                    <w:adjustRightInd w:val="0"/>
                    <w:snapToGrid w:val="0"/>
                    <w:spacing w:line="280" w:lineRule="exact"/>
                    <w:jc w:val="center"/>
                    <w:rPr>
                      <w:rFonts w:hint="default" w:ascii="Times New Roman" w:hAnsi="Times New Roman" w:eastAsia="宋体" w:cs="Times New Roman"/>
                      <w:color w:val="auto"/>
                      <w:kern w:val="0"/>
                      <w:szCs w:val="21"/>
                      <w:highlight w:val="none"/>
                      <w:lang w:val="en-US" w:eastAsia="zh-CN"/>
                    </w:rPr>
                  </w:pPr>
                  <w:r>
                    <w:rPr>
                      <w:rFonts w:hint="eastAsia" w:ascii="Times New Roman" w:hAnsi="Times New Roman" w:eastAsia="宋体" w:cs="Times New Roman"/>
                      <w:color w:val="auto"/>
                      <w:kern w:val="0"/>
                      <w:szCs w:val="21"/>
                      <w:highlight w:val="none"/>
                      <w:lang w:val="en-US" w:eastAsia="zh-CN"/>
                    </w:rPr>
                    <w:t>/</w:t>
                  </w:r>
                </w:p>
              </w:tc>
            </w:tr>
            <w:tr w14:paraId="268BC9F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58" w:hRule="atLeast"/>
                <w:jc w:val="center"/>
              </w:trPr>
              <w:tc>
                <w:tcPr>
                  <w:tcW w:w="899" w:type="dxa"/>
                  <w:vMerge w:val="continue"/>
                  <w:noWrap w:val="0"/>
                  <w:vAlign w:val="center"/>
                </w:tcPr>
                <w:p w14:paraId="49C66839">
                  <w:pPr>
                    <w:autoSpaceDE w:val="0"/>
                    <w:autoSpaceDN w:val="0"/>
                    <w:adjustRightInd w:val="0"/>
                    <w:snapToGrid w:val="0"/>
                    <w:spacing w:line="280" w:lineRule="exact"/>
                    <w:jc w:val="center"/>
                    <w:rPr>
                      <w:rFonts w:hint="eastAsia" w:ascii="Times New Roman" w:hAnsi="Times New Roman"/>
                      <w:color w:val="auto"/>
                      <w:kern w:val="0"/>
                      <w:szCs w:val="21"/>
                      <w:highlight w:val="none"/>
                      <w:lang w:val="en-US" w:eastAsia="zh-CN"/>
                    </w:rPr>
                  </w:pPr>
                </w:p>
              </w:tc>
              <w:tc>
                <w:tcPr>
                  <w:tcW w:w="2312" w:type="dxa"/>
                  <w:noWrap w:val="0"/>
                  <w:vAlign w:val="center"/>
                </w:tcPr>
                <w:p w14:paraId="144C94D7">
                  <w:pPr>
                    <w:autoSpaceDE w:val="0"/>
                    <w:autoSpaceDN w:val="0"/>
                    <w:adjustRightInd w:val="0"/>
                    <w:snapToGrid w:val="0"/>
                    <w:spacing w:line="280" w:lineRule="exact"/>
                    <w:jc w:val="center"/>
                    <w:rPr>
                      <w:rFonts w:hint="default" w:ascii="Times New Roman" w:hAnsi="Times New Roman" w:eastAsia="宋体" w:cs="Times New Roman"/>
                      <w:color w:val="auto"/>
                      <w:kern w:val="0"/>
                      <w:szCs w:val="21"/>
                      <w:highlight w:val="none"/>
                      <w:lang w:val="en-US" w:eastAsia="zh-CN"/>
                    </w:rPr>
                  </w:pPr>
                  <w:r>
                    <w:rPr>
                      <w:rFonts w:hint="eastAsia" w:cs="Times New Roman"/>
                      <w:color w:val="auto"/>
                      <w:kern w:val="0"/>
                      <w:szCs w:val="21"/>
                      <w:highlight w:val="none"/>
                      <w:lang w:val="en-US" w:eastAsia="zh-CN"/>
                    </w:rPr>
                    <w:t>匀浆</w:t>
                  </w:r>
                </w:p>
              </w:tc>
              <w:tc>
                <w:tcPr>
                  <w:tcW w:w="1784" w:type="dxa"/>
                  <w:noWrap w:val="0"/>
                  <w:vAlign w:val="center"/>
                </w:tcPr>
                <w:p w14:paraId="7E596B29">
                  <w:pPr>
                    <w:autoSpaceDE w:val="0"/>
                    <w:autoSpaceDN w:val="0"/>
                    <w:adjustRightInd w:val="0"/>
                    <w:snapToGrid w:val="0"/>
                    <w:spacing w:line="280" w:lineRule="exact"/>
                    <w:jc w:val="center"/>
                    <w:rPr>
                      <w:rFonts w:hint="default" w:ascii="Times New Roman" w:hAnsi="Times New Roman" w:eastAsia="宋体" w:cs="Times New Roman"/>
                      <w:color w:val="auto"/>
                      <w:kern w:val="0"/>
                      <w:szCs w:val="21"/>
                      <w:highlight w:val="none"/>
                      <w:lang w:val="en-US" w:eastAsia="zh-CN"/>
                    </w:rPr>
                  </w:pPr>
                  <w:r>
                    <w:rPr>
                      <w:rFonts w:hint="eastAsia" w:cs="Times New Roman"/>
                      <w:color w:val="auto"/>
                      <w:kern w:val="0"/>
                      <w:szCs w:val="21"/>
                      <w:highlight w:val="none"/>
                      <w:lang w:val="en-US" w:eastAsia="zh-CN"/>
                    </w:rPr>
                    <w:t>沾染浆料的废手套</w:t>
                  </w:r>
                </w:p>
              </w:tc>
              <w:tc>
                <w:tcPr>
                  <w:tcW w:w="2623" w:type="dxa"/>
                  <w:noWrap w:val="0"/>
                  <w:vAlign w:val="center"/>
                </w:tcPr>
                <w:p w14:paraId="611E92DE">
                  <w:pPr>
                    <w:autoSpaceDE w:val="0"/>
                    <w:autoSpaceDN w:val="0"/>
                    <w:adjustRightInd w:val="0"/>
                    <w:snapToGrid w:val="0"/>
                    <w:spacing w:line="280" w:lineRule="exact"/>
                    <w:jc w:val="center"/>
                    <w:rPr>
                      <w:rFonts w:hint="default" w:ascii="Times New Roman" w:hAnsi="Times New Roman" w:eastAsia="宋体" w:cs="Times New Roman"/>
                      <w:color w:val="auto"/>
                      <w:kern w:val="0"/>
                      <w:szCs w:val="21"/>
                      <w:highlight w:val="none"/>
                      <w:lang w:val="en-US" w:eastAsia="zh-CN"/>
                    </w:rPr>
                  </w:pPr>
                  <w:r>
                    <w:rPr>
                      <w:rFonts w:hint="eastAsia" w:cs="Times New Roman"/>
                      <w:color w:val="auto"/>
                      <w:kern w:val="0"/>
                      <w:szCs w:val="21"/>
                      <w:highlight w:val="none"/>
                      <w:lang w:val="en-US" w:eastAsia="zh-CN"/>
                    </w:rPr>
                    <w:t>一般固废</w:t>
                  </w:r>
                </w:p>
              </w:tc>
            </w:tr>
            <w:tr w14:paraId="483E5C8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99" w:type="dxa"/>
                  <w:vMerge w:val="continue"/>
                  <w:noWrap w:val="0"/>
                  <w:vAlign w:val="center"/>
                </w:tcPr>
                <w:p w14:paraId="4D79FDB0">
                  <w:pPr>
                    <w:autoSpaceDE w:val="0"/>
                    <w:autoSpaceDN w:val="0"/>
                    <w:adjustRightInd w:val="0"/>
                    <w:snapToGrid w:val="0"/>
                    <w:spacing w:line="280" w:lineRule="exact"/>
                    <w:jc w:val="center"/>
                    <w:rPr>
                      <w:rFonts w:hint="eastAsia" w:ascii="Times New Roman" w:hAnsi="Times New Roman"/>
                      <w:color w:val="auto"/>
                      <w:kern w:val="0"/>
                      <w:szCs w:val="21"/>
                      <w:highlight w:val="none"/>
                      <w:lang w:val="en-US" w:eastAsia="zh-CN"/>
                    </w:rPr>
                  </w:pPr>
                </w:p>
              </w:tc>
              <w:tc>
                <w:tcPr>
                  <w:tcW w:w="2312" w:type="dxa"/>
                  <w:noWrap w:val="0"/>
                  <w:vAlign w:val="center"/>
                </w:tcPr>
                <w:p w14:paraId="5993C3B4">
                  <w:pPr>
                    <w:autoSpaceDE w:val="0"/>
                    <w:autoSpaceDN w:val="0"/>
                    <w:adjustRightInd w:val="0"/>
                    <w:snapToGrid w:val="0"/>
                    <w:spacing w:line="280" w:lineRule="exact"/>
                    <w:jc w:val="center"/>
                    <w:rPr>
                      <w:rFonts w:hint="default" w:ascii="Times New Roman" w:hAnsi="Times New Roman" w:eastAsia="宋体" w:cs="Times New Roman"/>
                      <w:color w:val="auto"/>
                      <w:kern w:val="0"/>
                      <w:szCs w:val="21"/>
                      <w:highlight w:val="none"/>
                      <w:lang w:val="en-US" w:eastAsia="zh-CN"/>
                    </w:rPr>
                  </w:pPr>
                  <w:r>
                    <w:rPr>
                      <w:rFonts w:hint="eastAsia" w:ascii="Times New Roman" w:hAnsi="Times New Roman"/>
                      <w:color w:val="auto"/>
                      <w:kern w:val="0"/>
                      <w:szCs w:val="21"/>
                      <w:highlight w:val="none"/>
                      <w:lang w:val="en-US" w:eastAsia="zh-CN"/>
                    </w:rPr>
                    <w:t>分条、模切</w:t>
                  </w:r>
                </w:p>
              </w:tc>
              <w:tc>
                <w:tcPr>
                  <w:tcW w:w="1784" w:type="dxa"/>
                  <w:noWrap w:val="0"/>
                  <w:vAlign w:val="center"/>
                </w:tcPr>
                <w:p w14:paraId="7E6B8BF7">
                  <w:pPr>
                    <w:autoSpaceDE w:val="0"/>
                    <w:autoSpaceDN w:val="0"/>
                    <w:adjustRightInd w:val="0"/>
                    <w:snapToGrid w:val="0"/>
                    <w:spacing w:line="280" w:lineRule="exact"/>
                    <w:jc w:val="center"/>
                    <w:rPr>
                      <w:rFonts w:hint="default" w:ascii="Times New Roman" w:hAnsi="Times New Roman"/>
                      <w:color w:val="auto"/>
                      <w:kern w:val="0"/>
                      <w:szCs w:val="21"/>
                      <w:highlight w:val="none"/>
                      <w:lang w:val="en-US" w:eastAsia="zh-CN"/>
                    </w:rPr>
                  </w:pPr>
                  <w:r>
                    <w:rPr>
                      <w:rFonts w:hint="eastAsia" w:ascii="Times New Roman" w:hAnsi="Times New Roman"/>
                      <w:color w:val="auto"/>
                      <w:kern w:val="0"/>
                      <w:szCs w:val="21"/>
                      <w:highlight w:val="none"/>
                      <w:lang w:val="en-US" w:eastAsia="zh-CN"/>
                    </w:rPr>
                    <w:t>废边角料</w:t>
                  </w:r>
                </w:p>
              </w:tc>
              <w:tc>
                <w:tcPr>
                  <w:tcW w:w="2623" w:type="dxa"/>
                  <w:noWrap w:val="0"/>
                  <w:vAlign w:val="center"/>
                </w:tcPr>
                <w:p w14:paraId="229181DA">
                  <w:pPr>
                    <w:autoSpaceDE w:val="0"/>
                    <w:autoSpaceDN w:val="0"/>
                    <w:adjustRightInd w:val="0"/>
                    <w:snapToGrid w:val="0"/>
                    <w:spacing w:line="280" w:lineRule="exact"/>
                    <w:jc w:val="center"/>
                    <w:rPr>
                      <w:rFonts w:hint="default" w:ascii="Times New Roman" w:hAnsi="Times New Roman"/>
                      <w:color w:val="auto"/>
                      <w:kern w:val="0"/>
                      <w:szCs w:val="21"/>
                      <w:highlight w:val="none"/>
                      <w:lang w:val="en-US" w:eastAsia="zh-CN"/>
                    </w:rPr>
                  </w:pPr>
                  <w:r>
                    <w:rPr>
                      <w:rFonts w:hint="eastAsia" w:ascii="Times New Roman" w:hAnsi="Times New Roman"/>
                      <w:color w:val="auto"/>
                      <w:kern w:val="0"/>
                      <w:szCs w:val="21"/>
                      <w:highlight w:val="none"/>
                      <w:lang w:val="en-US" w:eastAsia="zh-CN"/>
                    </w:rPr>
                    <w:t>一般固废</w:t>
                  </w:r>
                </w:p>
              </w:tc>
            </w:tr>
            <w:tr w14:paraId="7C0BB76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99" w:type="dxa"/>
                  <w:vMerge w:val="continue"/>
                  <w:noWrap w:val="0"/>
                  <w:vAlign w:val="center"/>
                </w:tcPr>
                <w:p w14:paraId="56060B7F">
                  <w:pPr>
                    <w:autoSpaceDE w:val="0"/>
                    <w:autoSpaceDN w:val="0"/>
                    <w:adjustRightInd w:val="0"/>
                    <w:snapToGrid w:val="0"/>
                    <w:spacing w:line="280" w:lineRule="exact"/>
                    <w:jc w:val="center"/>
                    <w:rPr>
                      <w:rFonts w:hint="eastAsia" w:ascii="Times New Roman" w:hAnsi="Times New Roman"/>
                      <w:color w:val="auto"/>
                      <w:kern w:val="0"/>
                      <w:szCs w:val="21"/>
                      <w:highlight w:val="none"/>
                      <w:lang w:val="en-US" w:eastAsia="zh-CN"/>
                    </w:rPr>
                  </w:pPr>
                </w:p>
              </w:tc>
              <w:tc>
                <w:tcPr>
                  <w:tcW w:w="2312" w:type="dxa"/>
                  <w:noWrap w:val="0"/>
                  <w:vAlign w:val="center"/>
                </w:tcPr>
                <w:p w14:paraId="125961EE">
                  <w:pPr>
                    <w:autoSpaceDE w:val="0"/>
                    <w:autoSpaceDN w:val="0"/>
                    <w:adjustRightInd w:val="0"/>
                    <w:snapToGrid w:val="0"/>
                    <w:spacing w:line="280" w:lineRule="exact"/>
                    <w:jc w:val="center"/>
                    <w:rPr>
                      <w:rFonts w:hint="default" w:ascii="Times New Roman" w:hAnsi="Times New Roman"/>
                      <w:color w:val="auto"/>
                      <w:kern w:val="0"/>
                      <w:szCs w:val="21"/>
                      <w:highlight w:val="none"/>
                      <w:lang w:val="en-US" w:eastAsia="zh-CN"/>
                    </w:rPr>
                  </w:pPr>
                  <w:r>
                    <w:rPr>
                      <w:rFonts w:hint="eastAsia"/>
                      <w:color w:val="auto"/>
                      <w:kern w:val="0"/>
                      <w:szCs w:val="21"/>
                      <w:highlight w:val="none"/>
                      <w:lang w:val="en-US" w:eastAsia="zh-CN"/>
                    </w:rPr>
                    <w:t>OCV测试</w:t>
                  </w:r>
                </w:p>
              </w:tc>
              <w:tc>
                <w:tcPr>
                  <w:tcW w:w="1784" w:type="dxa"/>
                  <w:noWrap w:val="0"/>
                  <w:vAlign w:val="center"/>
                </w:tcPr>
                <w:p w14:paraId="2E4BD465">
                  <w:pPr>
                    <w:autoSpaceDE w:val="0"/>
                    <w:autoSpaceDN w:val="0"/>
                    <w:adjustRightInd w:val="0"/>
                    <w:snapToGrid w:val="0"/>
                    <w:spacing w:line="280" w:lineRule="exact"/>
                    <w:jc w:val="center"/>
                    <w:rPr>
                      <w:rFonts w:hint="default" w:ascii="Times New Roman" w:hAnsi="Times New Roman"/>
                      <w:color w:val="auto"/>
                      <w:kern w:val="0"/>
                      <w:szCs w:val="21"/>
                      <w:highlight w:val="none"/>
                      <w:lang w:val="en-US" w:eastAsia="zh-CN"/>
                    </w:rPr>
                  </w:pPr>
                  <w:r>
                    <w:rPr>
                      <w:rFonts w:hint="eastAsia"/>
                      <w:color w:val="auto"/>
                      <w:kern w:val="0"/>
                      <w:szCs w:val="21"/>
                      <w:highlight w:val="none"/>
                      <w:lang w:val="en-US" w:eastAsia="zh-CN"/>
                    </w:rPr>
                    <w:t>不合格品</w:t>
                  </w:r>
                </w:p>
              </w:tc>
              <w:tc>
                <w:tcPr>
                  <w:tcW w:w="2623" w:type="dxa"/>
                  <w:noWrap w:val="0"/>
                  <w:vAlign w:val="center"/>
                </w:tcPr>
                <w:p w14:paraId="1057468D">
                  <w:pPr>
                    <w:autoSpaceDE w:val="0"/>
                    <w:autoSpaceDN w:val="0"/>
                    <w:adjustRightInd w:val="0"/>
                    <w:snapToGrid w:val="0"/>
                    <w:spacing w:line="280" w:lineRule="exact"/>
                    <w:jc w:val="center"/>
                    <w:rPr>
                      <w:rFonts w:hint="default" w:ascii="Times New Roman" w:hAnsi="Times New Roman"/>
                      <w:color w:val="auto"/>
                      <w:kern w:val="0"/>
                      <w:szCs w:val="21"/>
                      <w:highlight w:val="none"/>
                      <w:lang w:val="en-US" w:eastAsia="zh-CN"/>
                    </w:rPr>
                  </w:pPr>
                  <w:r>
                    <w:rPr>
                      <w:rFonts w:hint="eastAsia"/>
                      <w:color w:val="auto"/>
                      <w:kern w:val="0"/>
                      <w:szCs w:val="21"/>
                      <w:highlight w:val="none"/>
                      <w:lang w:val="en-US" w:eastAsia="zh-CN"/>
                    </w:rPr>
                    <w:t>一般固废</w:t>
                  </w:r>
                </w:p>
              </w:tc>
            </w:tr>
            <w:tr w14:paraId="776D5FD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51" w:hRule="atLeast"/>
                <w:jc w:val="center"/>
              </w:trPr>
              <w:tc>
                <w:tcPr>
                  <w:tcW w:w="899" w:type="dxa"/>
                  <w:vMerge w:val="continue"/>
                  <w:noWrap w:val="0"/>
                  <w:vAlign w:val="center"/>
                </w:tcPr>
                <w:p w14:paraId="0C693573">
                  <w:pPr>
                    <w:autoSpaceDE w:val="0"/>
                    <w:autoSpaceDN w:val="0"/>
                    <w:adjustRightInd w:val="0"/>
                    <w:snapToGrid w:val="0"/>
                    <w:spacing w:line="280" w:lineRule="exact"/>
                    <w:jc w:val="center"/>
                    <w:rPr>
                      <w:rFonts w:hint="default" w:ascii="Times New Roman" w:hAnsi="Times New Roman"/>
                      <w:color w:val="auto"/>
                      <w:kern w:val="0"/>
                      <w:szCs w:val="21"/>
                      <w:highlight w:val="none"/>
                      <w:lang w:val="en-US" w:eastAsia="zh-CN"/>
                    </w:rPr>
                  </w:pPr>
                  <w:r>
                    <w:rPr>
                      <w:rFonts w:hint="eastAsia" w:ascii="Times New Roman" w:hAnsi="Times New Roman"/>
                      <w:color w:val="auto"/>
                      <w:kern w:val="0"/>
                      <w:szCs w:val="21"/>
                      <w:highlight w:val="none"/>
                      <w:lang w:val="en-US" w:eastAsia="zh-CN"/>
                    </w:rPr>
                    <w:t>纯水</w:t>
                  </w:r>
                </w:p>
              </w:tc>
              <w:tc>
                <w:tcPr>
                  <w:tcW w:w="2312" w:type="dxa"/>
                  <w:noWrap w:val="0"/>
                  <w:vAlign w:val="center"/>
                </w:tcPr>
                <w:p w14:paraId="30B6EC9C">
                  <w:pPr>
                    <w:autoSpaceDE w:val="0"/>
                    <w:autoSpaceDN w:val="0"/>
                    <w:adjustRightInd w:val="0"/>
                    <w:snapToGrid w:val="0"/>
                    <w:spacing w:line="280" w:lineRule="exact"/>
                    <w:jc w:val="center"/>
                    <w:rPr>
                      <w:rFonts w:hint="default" w:ascii="Times New Roman" w:hAnsi="Times New Roman"/>
                      <w:color w:val="auto"/>
                      <w:kern w:val="0"/>
                      <w:szCs w:val="21"/>
                      <w:highlight w:val="none"/>
                      <w:lang w:val="en-US" w:eastAsia="zh-CN"/>
                    </w:rPr>
                  </w:pPr>
                  <w:r>
                    <w:rPr>
                      <w:rFonts w:hint="eastAsia" w:ascii="Times New Roman" w:hAnsi="Times New Roman"/>
                      <w:color w:val="auto"/>
                      <w:kern w:val="0"/>
                      <w:szCs w:val="21"/>
                      <w:highlight w:val="none"/>
                      <w:lang w:val="en-US" w:eastAsia="zh-CN"/>
                    </w:rPr>
                    <w:t>正极涂布</w:t>
                  </w:r>
                </w:p>
              </w:tc>
              <w:tc>
                <w:tcPr>
                  <w:tcW w:w="1784" w:type="dxa"/>
                  <w:noWrap w:val="0"/>
                  <w:vAlign w:val="center"/>
                </w:tcPr>
                <w:p w14:paraId="77AA0A8C">
                  <w:pPr>
                    <w:autoSpaceDE w:val="0"/>
                    <w:autoSpaceDN w:val="0"/>
                    <w:adjustRightInd w:val="0"/>
                    <w:snapToGrid w:val="0"/>
                    <w:spacing w:line="280" w:lineRule="exact"/>
                    <w:jc w:val="center"/>
                    <w:rPr>
                      <w:rFonts w:hint="default" w:ascii="Times New Roman" w:hAnsi="Times New Roman"/>
                      <w:color w:val="auto"/>
                      <w:kern w:val="0"/>
                      <w:szCs w:val="21"/>
                      <w:highlight w:val="none"/>
                      <w:lang w:val="en-US" w:eastAsia="zh-CN"/>
                    </w:rPr>
                  </w:pPr>
                  <w:r>
                    <w:rPr>
                      <w:rFonts w:hint="eastAsia" w:ascii="Times New Roman" w:hAnsi="Times New Roman"/>
                      <w:color w:val="auto"/>
                      <w:kern w:val="0"/>
                      <w:szCs w:val="21"/>
                      <w:highlight w:val="none"/>
                      <w:lang w:val="en-US" w:eastAsia="zh-CN"/>
                    </w:rPr>
                    <w:t>废铝箔</w:t>
                  </w:r>
                </w:p>
              </w:tc>
              <w:tc>
                <w:tcPr>
                  <w:tcW w:w="2623" w:type="dxa"/>
                  <w:noWrap w:val="0"/>
                  <w:vAlign w:val="center"/>
                </w:tcPr>
                <w:p w14:paraId="0974DE39">
                  <w:pPr>
                    <w:autoSpaceDE w:val="0"/>
                    <w:autoSpaceDN w:val="0"/>
                    <w:adjustRightInd w:val="0"/>
                    <w:snapToGrid w:val="0"/>
                    <w:spacing w:line="280" w:lineRule="exact"/>
                    <w:jc w:val="center"/>
                    <w:rPr>
                      <w:rFonts w:hint="default" w:ascii="Times New Roman" w:hAnsi="Times New Roman"/>
                      <w:color w:val="auto"/>
                      <w:kern w:val="0"/>
                      <w:szCs w:val="21"/>
                      <w:highlight w:val="none"/>
                      <w:lang w:val="en-US" w:eastAsia="zh-CN"/>
                    </w:rPr>
                  </w:pPr>
                  <w:r>
                    <w:rPr>
                      <w:rFonts w:hint="eastAsia" w:ascii="Times New Roman" w:hAnsi="Times New Roman"/>
                      <w:color w:val="auto"/>
                      <w:kern w:val="0"/>
                      <w:szCs w:val="21"/>
                      <w:highlight w:val="none"/>
                      <w:lang w:val="en-US" w:eastAsia="zh-CN"/>
                    </w:rPr>
                    <w:t>一般固废</w:t>
                  </w:r>
                </w:p>
              </w:tc>
            </w:tr>
            <w:tr w14:paraId="49C0791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51" w:hRule="atLeast"/>
                <w:jc w:val="center"/>
              </w:trPr>
              <w:tc>
                <w:tcPr>
                  <w:tcW w:w="899" w:type="dxa"/>
                  <w:vMerge w:val="continue"/>
                  <w:noWrap w:val="0"/>
                  <w:vAlign w:val="center"/>
                </w:tcPr>
                <w:p w14:paraId="0D63FE03">
                  <w:pPr>
                    <w:autoSpaceDE w:val="0"/>
                    <w:autoSpaceDN w:val="0"/>
                    <w:adjustRightInd w:val="0"/>
                    <w:snapToGrid w:val="0"/>
                    <w:spacing w:line="280" w:lineRule="exact"/>
                    <w:jc w:val="center"/>
                    <w:rPr>
                      <w:rFonts w:hint="eastAsia" w:ascii="Times New Roman" w:hAnsi="Times New Roman"/>
                      <w:color w:val="auto"/>
                      <w:kern w:val="0"/>
                      <w:szCs w:val="21"/>
                      <w:highlight w:val="none"/>
                    </w:rPr>
                  </w:pPr>
                </w:p>
              </w:tc>
              <w:tc>
                <w:tcPr>
                  <w:tcW w:w="2312" w:type="dxa"/>
                  <w:noWrap w:val="0"/>
                  <w:vAlign w:val="center"/>
                </w:tcPr>
                <w:p w14:paraId="14314C5A">
                  <w:pPr>
                    <w:autoSpaceDE w:val="0"/>
                    <w:autoSpaceDN w:val="0"/>
                    <w:adjustRightInd w:val="0"/>
                    <w:snapToGrid w:val="0"/>
                    <w:spacing w:line="280" w:lineRule="exact"/>
                    <w:jc w:val="center"/>
                    <w:rPr>
                      <w:rFonts w:hint="default" w:ascii="Times New Roman" w:hAnsi="Times New Roman" w:eastAsia="宋体" w:cs="Times New Roman"/>
                      <w:color w:val="auto"/>
                      <w:kern w:val="0"/>
                      <w:szCs w:val="21"/>
                      <w:highlight w:val="none"/>
                      <w:lang w:val="en-US" w:eastAsia="zh-CN"/>
                    </w:rPr>
                  </w:pPr>
                  <w:r>
                    <w:rPr>
                      <w:rFonts w:hint="eastAsia" w:ascii="Times New Roman" w:hAnsi="Times New Roman" w:cs="Times New Roman"/>
                      <w:color w:val="auto"/>
                      <w:kern w:val="0"/>
                      <w:szCs w:val="21"/>
                      <w:highlight w:val="none"/>
                      <w:lang w:val="en-US" w:eastAsia="zh-CN"/>
                    </w:rPr>
                    <w:t>负极涂布</w:t>
                  </w:r>
                </w:p>
              </w:tc>
              <w:tc>
                <w:tcPr>
                  <w:tcW w:w="1784" w:type="dxa"/>
                  <w:noWrap w:val="0"/>
                  <w:vAlign w:val="center"/>
                </w:tcPr>
                <w:p w14:paraId="4E17DA70">
                  <w:pPr>
                    <w:autoSpaceDE w:val="0"/>
                    <w:autoSpaceDN w:val="0"/>
                    <w:adjustRightInd w:val="0"/>
                    <w:snapToGrid w:val="0"/>
                    <w:spacing w:line="280" w:lineRule="exact"/>
                    <w:jc w:val="center"/>
                    <w:rPr>
                      <w:rFonts w:hint="default" w:ascii="Times New Roman" w:hAnsi="Times New Roman" w:eastAsia="宋体" w:cs="Times New Roman"/>
                      <w:color w:val="auto"/>
                      <w:kern w:val="0"/>
                      <w:sz w:val="21"/>
                      <w:szCs w:val="21"/>
                      <w:highlight w:val="none"/>
                      <w:lang w:val="en-US" w:eastAsia="zh-CN" w:bidi="ar-SA"/>
                    </w:rPr>
                  </w:pPr>
                  <w:r>
                    <w:rPr>
                      <w:rFonts w:hint="eastAsia" w:ascii="Times New Roman" w:hAnsi="Times New Roman"/>
                      <w:color w:val="auto"/>
                      <w:kern w:val="0"/>
                      <w:szCs w:val="21"/>
                      <w:highlight w:val="none"/>
                      <w:lang w:val="en-US" w:eastAsia="zh-CN"/>
                    </w:rPr>
                    <w:t>废铜箔</w:t>
                  </w:r>
                </w:p>
              </w:tc>
              <w:tc>
                <w:tcPr>
                  <w:tcW w:w="2623" w:type="dxa"/>
                  <w:noWrap w:val="0"/>
                  <w:vAlign w:val="center"/>
                </w:tcPr>
                <w:p w14:paraId="27FF687B">
                  <w:pPr>
                    <w:autoSpaceDE w:val="0"/>
                    <w:autoSpaceDN w:val="0"/>
                    <w:adjustRightInd w:val="0"/>
                    <w:snapToGrid w:val="0"/>
                    <w:spacing w:line="280" w:lineRule="exact"/>
                    <w:jc w:val="center"/>
                    <w:rPr>
                      <w:rFonts w:hint="default" w:ascii="Times New Roman" w:hAnsi="Times New Roman" w:eastAsia="宋体" w:cs="Times New Roman"/>
                      <w:color w:val="auto"/>
                      <w:kern w:val="0"/>
                      <w:szCs w:val="21"/>
                      <w:highlight w:val="none"/>
                      <w:lang w:val="en-US" w:eastAsia="zh-CN"/>
                    </w:rPr>
                  </w:pPr>
                  <w:r>
                    <w:rPr>
                      <w:rFonts w:hint="eastAsia" w:ascii="Times New Roman" w:hAnsi="Times New Roman"/>
                      <w:color w:val="auto"/>
                      <w:kern w:val="0"/>
                      <w:szCs w:val="21"/>
                      <w:highlight w:val="none"/>
                      <w:lang w:val="en-US" w:eastAsia="zh-CN"/>
                    </w:rPr>
                    <w:t>一般固废</w:t>
                  </w:r>
                </w:p>
              </w:tc>
            </w:tr>
            <w:tr w14:paraId="0C34795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51" w:hRule="atLeast"/>
                <w:jc w:val="center"/>
              </w:trPr>
              <w:tc>
                <w:tcPr>
                  <w:tcW w:w="899" w:type="dxa"/>
                  <w:vMerge w:val="continue"/>
                  <w:noWrap w:val="0"/>
                  <w:vAlign w:val="center"/>
                </w:tcPr>
                <w:p w14:paraId="07A3E918">
                  <w:pPr>
                    <w:autoSpaceDE w:val="0"/>
                    <w:autoSpaceDN w:val="0"/>
                    <w:adjustRightInd w:val="0"/>
                    <w:snapToGrid w:val="0"/>
                    <w:spacing w:line="280" w:lineRule="exact"/>
                    <w:jc w:val="center"/>
                    <w:rPr>
                      <w:rFonts w:hint="eastAsia" w:ascii="Times New Roman" w:hAnsi="Times New Roman"/>
                      <w:color w:val="auto"/>
                      <w:kern w:val="0"/>
                      <w:szCs w:val="21"/>
                      <w:highlight w:val="none"/>
                    </w:rPr>
                  </w:pPr>
                </w:p>
              </w:tc>
              <w:tc>
                <w:tcPr>
                  <w:tcW w:w="2312" w:type="dxa"/>
                  <w:noWrap w:val="0"/>
                  <w:vAlign w:val="center"/>
                </w:tcPr>
                <w:p w14:paraId="453EFA70">
                  <w:pPr>
                    <w:autoSpaceDE w:val="0"/>
                    <w:autoSpaceDN w:val="0"/>
                    <w:adjustRightInd w:val="0"/>
                    <w:snapToGrid w:val="0"/>
                    <w:spacing w:line="280" w:lineRule="exact"/>
                    <w:jc w:val="center"/>
                    <w:rPr>
                      <w:rFonts w:hint="default" w:ascii="Times New Roman" w:hAnsi="Times New Roman"/>
                      <w:color w:val="auto"/>
                      <w:kern w:val="0"/>
                      <w:szCs w:val="21"/>
                      <w:highlight w:val="none"/>
                      <w:lang w:val="en-US" w:eastAsia="zh-CN"/>
                    </w:rPr>
                  </w:pPr>
                  <w:r>
                    <w:rPr>
                      <w:rFonts w:hint="eastAsia" w:ascii="Times New Roman" w:hAnsi="Times New Roman"/>
                      <w:color w:val="auto"/>
                      <w:kern w:val="0"/>
                      <w:szCs w:val="21"/>
                      <w:highlight w:val="none"/>
                      <w:lang w:val="en-US" w:eastAsia="zh-CN"/>
                    </w:rPr>
                    <w:t>原辅料使用</w:t>
                  </w:r>
                </w:p>
              </w:tc>
              <w:tc>
                <w:tcPr>
                  <w:tcW w:w="1784" w:type="dxa"/>
                  <w:noWrap w:val="0"/>
                  <w:vAlign w:val="center"/>
                </w:tcPr>
                <w:p w14:paraId="1031ABFC">
                  <w:pPr>
                    <w:autoSpaceDE w:val="0"/>
                    <w:autoSpaceDN w:val="0"/>
                    <w:adjustRightInd w:val="0"/>
                    <w:snapToGrid w:val="0"/>
                    <w:spacing w:line="280" w:lineRule="exact"/>
                    <w:jc w:val="center"/>
                    <w:rPr>
                      <w:rFonts w:hint="default" w:ascii="Times New Roman" w:hAnsi="Times New Roman" w:eastAsia="宋体"/>
                      <w:color w:val="auto"/>
                      <w:kern w:val="0"/>
                      <w:sz w:val="21"/>
                      <w:szCs w:val="21"/>
                      <w:highlight w:val="none"/>
                      <w:lang w:val="en-US" w:eastAsia="zh-CN" w:bidi="ar-SA"/>
                    </w:rPr>
                  </w:pPr>
                  <w:r>
                    <w:rPr>
                      <w:rFonts w:hint="eastAsia" w:ascii="Times New Roman" w:hAnsi="Times New Roman"/>
                      <w:color w:val="auto"/>
                      <w:kern w:val="0"/>
                      <w:sz w:val="21"/>
                      <w:szCs w:val="21"/>
                      <w:highlight w:val="none"/>
                      <w:lang w:val="en-US" w:eastAsia="zh-CN" w:bidi="ar-SA"/>
                    </w:rPr>
                    <w:t>废包装材料</w:t>
                  </w:r>
                  <w:r>
                    <w:rPr>
                      <w:rFonts w:hint="eastAsia"/>
                      <w:color w:val="auto"/>
                      <w:kern w:val="0"/>
                      <w:sz w:val="21"/>
                      <w:szCs w:val="21"/>
                      <w:highlight w:val="none"/>
                      <w:lang w:val="en-US" w:eastAsia="zh-CN" w:bidi="ar-SA"/>
                    </w:rPr>
                    <w:t>、废NMP包装桶</w:t>
                  </w:r>
                </w:p>
              </w:tc>
              <w:tc>
                <w:tcPr>
                  <w:tcW w:w="2623" w:type="dxa"/>
                  <w:noWrap w:val="0"/>
                  <w:vAlign w:val="center"/>
                </w:tcPr>
                <w:p w14:paraId="3DB56466">
                  <w:pPr>
                    <w:autoSpaceDE w:val="0"/>
                    <w:autoSpaceDN w:val="0"/>
                    <w:adjustRightInd w:val="0"/>
                    <w:snapToGrid w:val="0"/>
                    <w:spacing w:line="280" w:lineRule="exact"/>
                    <w:jc w:val="center"/>
                    <w:rPr>
                      <w:rFonts w:hint="default" w:ascii="Times New Roman" w:hAnsi="Times New Roman" w:eastAsia="宋体"/>
                      <w:color w:val="auto"/>
                      <w:kern w:val="0"/>
                      <w:szCs w:val="21"/>
                      <w:highlight w:val="none"/>
                      <w:lang w:val="en-US" w:eastAsia="zh-CN"/>
                    </w:rPr>
                  </w:pPr>
                  <w:r>
                    <w:rPr>
                      <w:rFonts w:hint="eastAsia" w:ascii="Times New Roman" w:hAnsi="Times New Roman"/>
                      <w:color w:val="auto"/>
                      <w:kern w:val="0"/>
                      <w:szCs w:val="21"/>
                      <w:highlight w:val="none"/>
                      <w:lang w:val="en-US" w:eastAsia="zh-CN"/>
                    </w:rPr>
                    <w:t>一般固废</w:t>
                  </w:r>
                </w:p>
              </w:tc>
            </w:tr>
            <w:tr w14:paraId="4946B8E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51" w:hRule="atLeast"/>
                <w:jc w:val="center"/>
              </w:trPr>
              <w:tc>
                <w:tcPr>
                  <w:tcW w:w="899" w:type="dxa"/>
                  <w:vMerge w:val="continue"/>
                  <w:noWrap w:val="0"/>
                  <w:vAlign w:val="center"/>
                </w:tcPr>
                <w:p w14:paraId="7D124CF8">
                  <w:pPr>
                    <w:autoSpaceDE w:val="0"/>
                    <w:autoSpaceDN w:val="0"/>
                    <w:adjustRightInd w:val="0"/>
                    <w:snapToGrid w:val="0"/>
                    <w:spacing w:line="280" w:lineRule="exact"/>
                    <w:jc w:val="center"/>
                    <w:rPr>
                      <w:rFonts w:hint="eastAsia" w:ascii="Times New Roman" w:hAnsi="Times New Roman"/>
                      <w:color w:val="auto"/>
                      <w:kern w:val="0"/>
                      <w:szCs w:val="21"/>
                      <w:highlight w:val="none"/>
                    </w:rPr>
                  </w:pPr>
                </w:p>
              </w:tc>
              <w:tc>
                <w:tcPr>
                  <w:tcW w:w="2312" w:type="dxa"/>
                  <w:noWrap w:val="0"/>
                  <w:vAlign w:val="center"/>
                </w:tcPr>
                <w:p w14:paraId="719D6780">
                  <w:pPr>
                    <w:autoSpaceDE w:val="0"/>
                    <w:autoSpaceDN w:val="0"/>
                    <w:adjustRightInd w:val="0"/>
                    <w:snapToGrid w:val="0"/>
                    <w:spacing w:line="280" w:lineRule="exact"/>
                    <w:jc w:val="center"/>
                    <w:rPr>
                      <w:rFonts w:hint="default" w:ascii="Times New Roman" w:hAnsi="Times New Roman"/>
                      <w:color w:val="auto"/>
                      <w:kern w:val="0"/>
                      <w:szCs w:val="21"/>
                      <w:highlight w:val="none"/>
                      <w:lang w:val="en-US" w:eastAsia="zh-CN"/>
                    </w:rPr>
                  </w:pPr>
                  <w:r>
                    <w:rPr>
                      <w:rFonts w:hint="eastAsia"/>
                      <w:color w:val="auto"/>
                      <w:kern w:val="0"/>
                      <w:szCs w:val="21"/>
                      <w:highlight w:val="none"/>
                      <w:lang w:val="en-US" w:eastAsia="zh-CN"/>
                    </w:rPr>
                    <w:t>叠片</w:t>
                  </w:r>
                </w:p>
              </w:tc>
              <w:tc>
                <w:tcPr>
                  <w:tcW w:w="1784" w:type="dxa"/>
                  <w:noWrap w:val="0"/>
                  <w:vAlign w:val="center"/>
                </w:tcPr>
                <w:p w14:paraId="5ABD1D8B">
                  <w:pPr>
                    <w:autoSpaceDE w:val="0"/>
                    <w:autoSpaceDN w:val="0"/>
                    <w:adjustRightInd w:val="0"/>
                    <w:snapToGrid w:val="0"/>
                    <w:spacing w:line="280" w:lineRule="exact"/>
                    <w:jc w:val="center"/>
                    <w:rPr>
                      <w:rFonts w:hint="default" w:ascii="Times New Roman" w:hAnsi="Times New Roman"/>
                      <w:color w:val="auto"/>
                      <w:kern w:val="0"/>
                      <w:sz w:val="21"/>
                      <w:szCs w:val="21"/>
                      <w:highlight w:val="none"/>
                      <w:lang w:val="en-US" w:eastAsia="zh-CN" w:bidi="ar-SA"/>
                    </w:rPr>
                  </w:pPr>
                  <w:r>
                    <w:rPr>
                      <w:rFonts w:hint="eastAsia"/>
                      <w:color w:val="auto"/>
                      <w:kern w:val="0"/>
                      <w:sz w:val="21"/>
                      <w:szCs w:val="21"/>
                      <w:highlight w:val="none"/>
                      <w:lang w:val="en-US" w:eastAsia="zh-CN" w:bidi="ar-SA"/>
                    </w:rPr>
                    <w:t>废隔膜、废极片</w:t>
                  </w:r>
                </w:p>
              </w:tc>
              <w:tc>
                <w:tcPr>
                  <w:tcW w:w="2623" w:type="dxa"/>
                  <w:noWrap w:val="0"/>
                  <w:vAlign w:val="center"/>
                </w:tcPr>
                <w:p w14:paraId="17BE82DC">
                  <w:pPr>
                    <w:autoSpaceDE w:val="0"/>
                    <w:autoSpaceDN w:val="0"/>
                    <w:adjustRightInd w:val="0"/>
                    <w:snapToGrid w:val="0"/>
                    <w:spacing w:line="280" w:lineRule="exact"/>
                    <w:jc w:val="center"/>
                    <w:rPr>
                      <w:rFonts w:hint="eastAsia" w:ascii="Times New Roman" w:hAnsi="Times New Roman"/>
                      <w:color w:val="auto"/>
                      <w:kern w:val="0"/>
                      <w:szCs w:val="21"/>
                      <w:highlight w:val="none"/>
                      <w:lang w:val="en-US" w:eastAsia="zh-CN"/>
                    </w:rPr>
                  </w:pPr>
                  <w:r>
                    <w:rPr>
                      <w:rFonts w:hint="eastAsia" w:ascii="Times New Roman" w:hAnsi="Times New Roman"/>
                      <w:color w:val="auto"/>
                      <w:kern w:val="0"/>
                      <w:szCs w:val="21"/>
                      <w:highlight w:val="none"/>
                      <w:lang w:val="en-US" w:eastAsia="zh-CN"/>
                    </w:rPr>
                    <w:t>一般固废</w:t>
                  </w:r>
                </w:p>
              </w:tc>
            </w:tr>
            <w:tr w14:paraId="1A34892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51" w:hRule="atLeast"/>
                <w:jc w:val="center"/>
              </w:trPr>
              <w:tc>
                <w:tcPr>
                  <w:tcW w:w="899" w:type="dxa"/>
                  <w:vMerge w:val="continue"/>
                  <w:noWrap w:val="0"/>
                  <w:vAlign w:val="center"/>
                </w:tcPr>
                <w:p w14:paraId="7633C042">
                  <w:pPr>
                    <w:autoSpaceDE w:val="0"/>
                    <w:autoSpaceDN w:val="0"/>
                    <w:adjustRightInd w:val="0"/>
                    <w:snapToGrid w:val="0"/>
                    <w:spacing w:line="280" w:lineRule="exact"/>
                    <w:jc w:val="center"/>
                    <w:rPr>
                      <w:rFonts w:hint="eastAsia" w:ascii="Times New Roman" w:hAnsi="Times New Roman"/>
                      <w:color w:val="auto"/>
                      <w:kern w:val="0"/>
                      <w:szCs w:val="21"/>
                      <w:highlight w:val="none"/>
                    </w:rPr>
                  </w:pPr>
                </w:p>
              </w:tc>
              <w:tc>
                <w:tcPr>
                  <w:tcW w:w="2312" w:type="dxa"/>
                  <w:vMerge w:val="restart"/>
                  <w:noWrap w:val="0"/>
                  <w:vAlign w:val="center"/>
                </w:tcPr>
                <w:p w14:paraId="4B5AD511">
                  <w:pPr>
                    <w:autoSpaceDE w:val="0"/>
                    <w:autoSpaceDN w:val="0"/>
                    <w:adjustRightInd w:val="0"/>
                    <w:snapToGrid w:val="0"/>
                    <w:spacing w:line="280" w:lineRule="exact"/>
                    <w:jc w:val="center"/>
                    <w:rPr>
                      <w:rFonts w:hint="eastAsia"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压缩空气</w:t>
                  </w:r>
                </w:p>
              </w:tc>
              <w:tc>
                <w:tcPr>
                  <w:tcW w:w="1784" w:type="dxa"/>
                  <w:noWrap w:val="0"/>
                  <w:vAlign w:val="center"/>
                </w:tcPr>
                <w:p w14:paraId="79EB57CB">
                  <w:pPr>
                    <w:autoSpaceDE w:val="0"/>
                    <w:autoSpaceDN w:val="0"/>
                    <w:adjustRightInd w:val="0"/>
                    <w:snapToGrid w:val="0"/>
                    <w:spacing w:line="280" w:lineRule="exact"/>
                    <w:jc w:val="center"/>
                    <w:rPr>
                      <w:rFonts w:hint="eastAsia"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滤渣</w:t>
                  </w:r>
                </w:p>
              </w:tc>
              <w:tc>
                <w:tcPr>
                  <w:tcW w:w="2623" w:type="dxa"/>
                  <w:noWrap w:val="0"/>
                  <w:vAlign w:val="center"/>
                </w:tcPr>
                <w:p w14:paraId="0E18819F">
                  <w:pPr>
                    <w:autoSpaceDE w:val="0"/>
                    <w:autoSpaceDN w:val="0"/>
                    <w:adjustRightInd w:val="0"/>
                    <w:snapToGrid w:val="0"/>
                    <w:spacing w:line="280" w:lineRule="exact"/>
                    <w:jc w:val="center"/>
                    <w:rPr>
                      <w:rFonts w:hint="eastAsia" w:ascii="Times New Roman" w:hAnsi="Times New Roman"/>
                      <w:color w:val="auto"/>
                      <w:kern w:val="0"/>
                      <w:szCs w:val="21"/>
                      <w:highlight w:val="none"/>
                      <w:lang w:val="en-US" w:eastAsia="zh-CN"/>
                    </w:rPr>
                  </w:pPr>
                  <w:r>
                    <w:rPr>
                      <w:rFonts w:hint="eastAsia" w:ascii="Times New Roman" w:hAnsi="Times New Roman"/>
                      <w:color w:val="auto"/>
                      <w:kern w:val="0"/>
                      <w:szCs w:val="21"/>
                      <w:highlight w:val="none"/>
                      <w:lang w:val="en-US" w:eastAsia="zh-CN"/>
                    </w:rPr>
                    <w:t>一般固废</w:t>
                  </w:r>
                </w:p>
              </w:tc>
            </w:tr>
            <w:tr w14:paraId="2C4D1BE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51" w:hRule="atLeast"/>
                <w:jc w:val="center"/>
              </w:trPr>
              <w:tc>
                <w:tcPr>
                  <w:tcW w:w="899" w:type="dxa"/>
                  <w:vMerge w:val="continue"/>
                  <w:noWrap w:val="0"/>
                  <w:vAlign w:val="center"/>
                </w:tcPr>
                <w:p w14:paraId="5154F9B2">
                  <w:pPr>
                    <w:autoSpaceDE w:val="0"/>
                    <w:autoSpaceDN w:val="0"/>
                    <w:adjustRightInd w:val="0"/>
                    <w:snapToGrid w:val="0"/>
                    <w:spacing w:line="280" w:lineRule="exact"/>
                    <w:jc w:val="center"/>
                    <w:rPr>
                      <w:rFonts w:hint="eastAsia" w:ascii="Times New Roman" w:hAnsi="Times New Roman"/>
                      <w:color w:val="auto"/>
                      <w:kern w:val="0"/>
                      <w:szCs w:val="21"/>
                      <w:highlight w:val="none"/>
                    </w:rPr>
                  </w:pPr>
                </w:p>
              </w:tc>
              <w:tc>
                <w:tcPr>
                  <w:tcW w:w="2312" w:type="dxa"/>
                  <w:vMerge w:val="continue"/>
                  <w:noWrap w:val="0"/>
                  <w:vAlign w:val="center"/>
                </w:tcPr>
                <w:p w14:paraId="21DBB270">
                  <w:pPr>
                    <w:autoSpaceDE w:val="0"/>
                    <w:autoSpaceDN w:val="0"/>
                    <w:adjustRightInd w:val="0"/>
                    <w:snapToGrid w:val="0"/>
                    <w:spacing w:line="280" w:lineRule="exact"/>
                    <w:jc w:val="center"/>
                    <w:rPr>
                      <w:rFonts w:hint="eastAsia" w:ascii="Times New Roman" w:hAnsi="Times New Roman" w:eastAsia="宋体" w:cs="Times New Roman"/>
                      <w:color w:val="auto"/>
                      <w:kern w:val="0"/>
                      <w:szCs w:val="21"/>
                      <w:highlight w:val="none"/>
                      <w:lang w:val="en-US" w:eastAsia="zh-CN"/>
                    </w:rPr>
                  </w:pPr>
                </w:p>
              </w:tc>
              <w:tc>
                <w:tcPr>
                  <w:tcW w:w="1784" w:type="dxa"/>
                  <w:noWrap w:val="0"/>
                  <w:vAlign w:val="center"/>
                </w:tcPr>
                <w:p w14:paraId="646E7E8C">
                  <w:pPr>
                    <w:autoSpaceDE w:val="0"/>
                    <w:autoSpaceDN w:val="0"/>
                    <w:adjustRightInd w:val="0"/>
                    <w:snapToGrid w:val="0"/>
                    <w:spacing w:line="280" w:lineRule="exact"/>
                    <w:jc w:val="center"/>
                    <w:rPr>
                      <w:rFonts w:hint="eastAsia"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废滤芯</w:t>
                  </w:r>
                </w:p>
              </w:tc>
              <w:tc>
                <w:tcPr>
                  <w:tcW w:w="2623" w:type="dxa"/>
                  <w:noWrap w:val="0"/>
                  <w:vAlign w:val="center"/>
                </w:tcPr>
                <w:p w14:paraId="19A2AD96">
                  <w:pPr>
                    <w:autoSpaceDE w:val="0"/>
                    <w:autoSpaceDN w:val="0"/>
                    <w:adjustRightInd w:val="0"/>
                    <w:snapToGrid w:val="0"/>
                    <w:spacing w:line="280" w:lineRule="exact"/>
                    <w:jc w:val="center"/>
                    <w:rPr>
                      <w:rFonts w:hint="eastAsia" w:ascii="Times New Roman" w:hAnsi="Times New Roman"/>
                      <w:color w:val="auto"/>
                      <w:kern w:val="0"/>
                      <w:szCs w:val="21"/>
                      <w:highlight w:val="none"/>
                      <w:lang w:val="en-US" w:eastAsia="zh-CN"/>
                    </w:rPr>
                  </w:pPr>
                  <w:r>
                    <w:rPr>
                      <w:rFonts w:hint="eastAsia" w:ascii="Times New Roman" w:hAnsi="Times New Roman"/>
                      <w:color w:val="auto"/>
                      <w:kern w:val="0"/>
                      <w:szCs w:val="21"/>
                      <w:highlight w:val="none"/>
                      <w:lang w:val="en-US" w:eastAsia="zh-CN"/>
                    </w:rPr>
                    <w:t>一般固废</w:t>
                  </w:r>
                </w:p>
              </w:tc>
            </w:tr>
            <w:tr w14:paraId="3ABB0C2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51" w:hRule="atLeast"/>
                <w:jc w:val="center"/>
              </w:trPr>
              <w:tc>
                <w:tcPr>
                  <w:tcW w:w="899" w:type="dxa"/>
                  <w:vMerge w:val="continue"/>
                  <w:noWrap w:val="0"/>
                  <w:vAlign w:val="center"/>
                </w:tcPr>
                <w:p w14:paraId="7DE5EF9F">
                  <w:pPr>
                    <w:autoSpaceDE w:val="0"/>
                    <w:autoSpaceDN w:val="0"/>
                    <w:adjustRightInd w:val="0"/>
                    <w:snapToGrid w:val="0"/>
                    <w:spacing w:line="280" w:lineRule="exact"/>
                    <w:jc w:val="center"/>
                    <w:rPr>
                      <w:rFonts w:hint="eastAsia" w:ascii="Times New Roman" w:hAnsi="Times New Roman"/>
                      <w:color w:val="auto"/>
                      <w:kern w:val="0"/>
                      <w:szCs w:val="21"/>
                      <w:highlight w:val="none"/>
                    </w:rPr>
                  </w:pPr>
                </w:p>
              </w:tc>
              <w:tc>
                <w:tcPr>
                  <w:tcW w:w="2312" w:type="dxa"/>
                  <w:noWrap w:val="0"/>
                  <w:vAlign w:val="center"/>
                </w:tcPr>
                <w:p w14:paraId="2C109D72">
                  <w:pPr>
                    <w:autoSpaceDE w:val="0"/>
                    <w:autoSpaceDN w:val="0"/>
                    <w:adjustRightInd w:val="0"/>
                    <w:snapToGrid w:val="0"/>
                    <w:spacing w:line="280" w:lineRule="exact"/>
                    <w:jc w:val="center"/>
                    <w:rPr>
                      <w:rFonts w:hint="eastAsia"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制氮</w:t>
                  </w:r>
                </w:p>
              </w:tc>
              <w:tc>
                <w:tcPr>
                  <w:tcW w:w="1784" w:type="dxa"/>
                  <w:noWrap w:val="0"/>
                  <w:vAlign w:val="center"/>
                </w:tcPr>
                <w:p w14:paraId="3F3B14E2">
                  <w:pPr>
                    <w:autoSpaceDE w:val="0"/>
                    <w:autoSpaceDN w:val="0"/>
                    <w:adjustRightInd w:val="0"/>
                    <w:snapToGrid w:val="0"/>
                    <w:spacing w:line="280" w:lineRule="exact"/>
                    <w:jc w:val="center"/>
                    <w:rPr>
                      <w:rFonts w:hint="eastAsia"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废</w:t>
                  </w:r>
                  <w:r>
                    <w:rPr>
                      <w:rFonts w:hint="eastAsia" w:cs="Times New Roman"/>
                      <w:color w:val="auto"/>
                      <w:kern w:val="0"/>
                      <w:szCs w:val="21"/>
                      <w:highlight w:val="none"/>
                      <w:lang w:val="en-US" w:eastAsia="zh-CN"/>
                    </w:rPr>
                    <w:t>分子筛</w:t>
                  </w:r>
                </w:p>
              </w:tc>
              <w:tc>
                <w:tcPr>
                  <w:tcW w:w="2623" w:type="dxa"/>
                  <w:noWrap w:val="0"/>
                  <w:vAlign w:val="center"/>
                </w:tcPr>
                <w:p w14:paraId="17F4F87C">
                  <w:pPr>
                    <w:autoSpaceDE w:val="0"/>
                    <w:autoSpaceDN w:val="0"/>
                    <w:adjustRightInd w:val="0"/>
                    <w:snapToGrid w:val="0"/>
                    <w:spacing w:line="280" w:lineRule="exact"/>
                    <w:jc w:val="center"/>
                    <w:rPr>
                      <w:rFonts w:hint="eastAsia" w:ascii="Times New Roman" w:hAnsi="Times New Roman"/>
                      <w:color w:val="auto"/>
                      <w:kern w:val="0"/>
                      <w:szCs w:val="21"/>
                      <w:highlight w:val="none"/>
                      <w:lang w:val="en-US" w:eastAsia="zh-CN"/>
                    </w:rPr>
                  </w:pPr>
                  <w:r>
                    <w:rPr>
                      <w:rFonts w:hint="eastAsia" w:ascii="Times New Roman" w:hAnsi="Times New Roman"/>
                      <w:color w:val="auto"/>
                      <w:kern w:val="0"/>
                      <w:szCs w:val="21"/>
                      <w:highlight w:val="none"/>
                      <w:lang w:val="en-US" w:eastAsia="zh-CN"/>
                    </w:rPr>
                    <w:t>一般固废</w:t>
                  </w:r>
                </w:p>
              </w:tc>
            </w:tr>
            <w:tr w14:paraId="752CEC5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99" w:type="dxa"/>
                  <w:vMerge w:val="continue"/>
                  <w:noWrap w:val="0"/>
                  <w:vAlign w:val="center"/>
                </w:tcPr>
                <w:p w14:paraId="2ADB0293">
                  <w:pPr>
                    <w:autoSpaceDE w:val="0"/>
                    <w:autoSpaceDN w:val="0"/>
                    <w:adjustRightInd w:val="0"/>
                    <w:snapToGrid w:val="0"/>
                    <w:spacing w:line="280" w:lineRule="exact"/>
                    <w:jc w:val="center"/>
                    <w:rPr>
                      <w:rFonts w:hint="eastAsia" w:ascii="Times New Roman" w:hAnsi="Times New Roman"/>
                      <w:color w:val="auto"/>
                      <w:kern w:val="0"/>
                      <w:szCs w:val="21"/>
                      <w:highlight w:val="none"/>
                    </w:rPr>
                  </w:pPr>
                </w:p>
              </w:tc>
              <w:tc>
                <w:tcPr>
                  <w:tcW w:w="2312" w:type="dxa"/>
                  <w:shd w:val="clear" w:color="auto" w:fill="auto"/>
                  <w:noWrap w:val="0"/>
                  <w:vAlign w:val="center"/>
                </w:tcPr>
                <w:p w14:paraId="2BFBE9E2">
                  <w:pPr>
                    <w:autoSpaceDE w:val="0"/>
                    <w:autoSpaceDN w:val="0"/>
                    <w:adjustRightInd w:val="0"/>
                    <w:snapToGrid w:val="0"/>
                    <w:spacing w:line="280" w:lineRule="exact"/>
                    <w:jc w:val="center"/>
                    <w:rPr>
                      <w:rFonts w:hint="default" w:ascii="Times New Roman" w:hAnsi="Times New Roman" w:eastAsia="宋体" w:cs="Times New Roman"/>
                      <w:color w:val="auto"/>
                      <w:kern w:val="0"/>
                      <w:szCs w:val="21"/>
                      <w:highlight w:val="none"/>
                      <w:lang w:val="en-US" w:eastAsia="zh-CN"/>
                    </w:rPr>
                  </w:pPr>
                  <w:r>
                    <w:rPr>
                      <w:rFonts w:hint="eastAsia" w:cs="Times New Roman"/>
                      <w:color w:val="auto"/>
                      <w:kern w:val="0"/>
                      <w:szCs w:val="21"/>
                      <w:highlight w:val="none"/>
                      <w:lang w:val="en-US" w:eastAsia="zh-CN"/>
                    </w:rPr>
                    <w:t>纯水制备</w:t>
                  </w:r>
                </w:p>
              </w:tc>
              <w:tc>
                <w:tcPr>
                  <w:tcW w:w="1784" w:type="dxa"/>
                  <w:shd w:val="clear" w:color="auto" w:fill="auto"/>
                  <w:noWrap w:val="0"/>
                  <w:vAlign w:val="center"/>
                </w:tcPr>
                <w:p w14:paraId="44CA3FDA">
                  <w:pPr>
                    <w:autoSpaceDE w:val="0"/>
                    <w:autoSpaceDN w:val="0"/>
                    <w:adjustRightInd w:val="0"/>
                    <w:snapToGrid w:val="0"/>
                    <w:spacing w:line="280" w:lineRule="exact"/>
                    <w:jc w:val="center"/>
                    <w:rPr>
                      <w:rFonts w:hint="default" w:ascii="Times New Roman" w:hAnsi="Times New Roman" w:eastAsia="宋体" w:cs="Times New Roman"/>
                      <w:color w:val="auto"/>
                      <w:kern w:val="0"/>
                      <w:szCs w:val="21"/>
                      <w:highlight w:val="none"/>
                      <w:lang w:val="en-US" w:eastAsia="zh-CN"/>
                    </w:rPr>
                  </w:pPr>
                  <w:r>
                    <w:rPr>
                      <w:rFonts w:hint="eastAsia" w:cs="Times New Roman"/>
                      <w:color w:val="auto"/>
                      <w:kern w:val="0"/>
                      <w:szCs w:val="21"/>
                      <w:highlight w:val="none"/>
                      <w:lang w:val="en-US" w:eastAsia="zh-CN"/>
                    </w:rPr>
                    <w:t>废过滤材料</w:t>
                  </w:r>
                </w:p>
              </w:tc>
              <w:tc>
                <w:tcPr>
                  <w:tcW w:w="2623" w:type="dxa"/>
                  <w:shd w:val="clear" w:color="auto" w:fill="auto"/>
                  <w:noWrap w:val="0"/>
                  <w:vAlign w:val="center"/>
                </w:tcPr>
                <w:p w14:paraId="553A899E">
                  <w:pPr>
                    <w:autoSpaceDE w:val="0"/>
                    <w:autoSpaceDN w:val="0"/>
                    <w:adjustRightInd w:val="0"/>
                    <w:snapToGrid w:val="0"/>
                    <w:spacing w:line="280" w:lineRule="exact"/>
                    <w:jc w:val="center"/>
                    <w:rPr>
                      <w:rFonts w:hint="default" w:ascii="Times New Roman" w:hAnsi="Times New Roman" w:eastAsia="宋体"/>
                      <w:color w:val="auto"/>
                      <w:kern w:val="0"/>
                      <w:szCs w:val="21"/>
                      <w:highlight w:val="none"/>
                      <w:lang w:val="en-US" w:eastAsia="zh-CN"/>
                    </w:rPr>
                  </w:pPr>
                  <w:r>
                    <w:rPr>
                      <w:rFonts w:hint="eastAsia" w:ascii="Times New Roman" w:hAnsi="Times New Roman"/>
                      <w:color w:val="auto"/>
                      <w:kern w:val="0"/>
                      <w:szCs w:val="21"/>
                      <w:highlight w:val="none"/>
                      <w:lang w:val="en-US" w:eastAsia="zh-CN"/>
                    </w:rPr>
                    <w:t>一般固废</w:t>
                  </w:r>
                </w:p>
              </w:tc>
            </w:tr>
            <w:tr w14:paraId="5948D99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99" w:type="dxa"/>
                  <w:vMerge w:val="continue"/>
                  <w:noWrap w:val="0"/>
                  <w:vAlign w:val="center"/>
                </w:tcPr>
                <w:p w14:paraId="3F9CC7A2">
                  <w:pPr>
                    <w:autoSpaceDE w:val="0"/>
                    <w:autoSpaceDN w:val="0"/>
                    <w:adjustRightInd w:val="0"/>
                    <w:snapToGrid w:val="0"/>
                    <w:spacing w:line="280" w:lineRule="exact"/>
                    <w:jc w:val="center"/>
                    <w:rPr>
                      <w:rFonts w:hint="eastAsia" w:ascii="Times New Roman" w:hAnsi="Times New Roman"/>
                      <w:color w:val="auto"/>
                      <w:kern w:val="0"/>
                      <w:szCs w:val="21"/>
                      <w:highlight w:val="none"/>
                    </w:rPr>
                  </w:pPr>
                </w:p>
              </w:tc>
              <w:tc>
                <w:tcPr>
                  <w:tcW w:w="2312" w:type="dxa"/>
                  <w:shd w:val="clear" w:color="auto" w:fill="auto"/>
                  <w:noWrap w:val="0"/>
                  <w:vAlign w:val="center"/>
                </w:tcPr>
                <w:p w14:paraId="60071734">
                  <w:pPr>
                    <w:autoSpaceDE w:val="0"/>
                    <w:autoSpaceDN w:val="0"/>
                    <w:adjustRightInd w:val="0"/>
                    <w:snapToGrid w:val="0"/>
                    <w:spacing w:line="280" w:lineRule="exact"/>
                    <w:jc w:val="center"/>
                    <w:rPr>
                      <w:rFonts w:hint="default" w:ascii="Times New Roman" w:hAnsi="Times New Roman" w:eastAsia="宋体" w:cs="Times New Roman"/>
                      <w:color w:val="auto"/>
                      <w:kern w:val="0"/>
                      <w:szCs w:val="21"/>
                      <w:highlight w:val="none"/>
                      <w:lang w:val="en-US" w:eastAsia="zh-CN"/>
                    </w:rPr>
                  </w:pPr>
                  <w:r>
                    <w:rPr>
                      <w:rFonts w:hint="eastAsia" w:cs="Times New Roman"/>
                      <w:color w:val="auto"/>
                      <w:kern w:val="0"/>
                      <w:szCs w:val="21"/>
                      <w:highlight w:val="none"/>
                      <w:lang w:val="en-US" w:eastAsia="zh-CN"/>
                    </w:rPr>
                    <w:t>投料</w:t>
                  </w:r>
                </w:p>
              </w:tc>
              <w:tc>
                <w:tcPr>
                  <w:tcW w:w="1784" w:type="dxa"/>
                  <w:shd w:val="clear" w:color="auto" w:fill="auto"/>
                  <w:noWrap w:val="0"/>
                  <w:vAlign w:val="center"/>
                </w:tcPr>
                <w:p w14:paraId="0CDC2F38">
                  <w:pPr>
                    <w:autoSpaceDE w:val="0"/>
                    <w:autoSpaceDN w:val="0"/>
                    <w:adjustRightInd w:val="0"/>
                    <w:snapToGrid w:val="0"/>
                    <w:spacing w:line="280" w:lineRule="exact"/>
                    <w:jc w:val="center"/>
                    <w:rPr>
                      <w:rFonts w:hint="default" w:ascii="Times New Roman" w:hAnsi="Times New Roman" w:eastAsia="宋体" w:cs="Times New Roman"/>
                      <w:color w:val="auto"/>
                      <w:kern w:val="0"/>
                      <w:szCs w:val="21"/>
                      <w:highlight w:val="none"/>
                      <w:lang w:val="en-US" w:eastAsia="zh-CN"/>
                    </w:rPr>
                  </w:pPr>
                  <w:r>
                    <w:rPr>
                      <w:rFonts w:hint="eastAsia" w:cs="Times New Roman"/>
                      <w:color w:val="auto"/>
                      <w:kern w:val="0"/>
                      <w:szCs w:val="21"/>
                      <w:highlight w:val="none"/>
                      <w:lang w:val="en-US" w:eastAsia="zh-CN"/>
                    </w:rPr>
                    <w:t>除尘器收集粉尘</w:t>
                  </w:r>
                </w:p>
              </w:tc>
              <w:tc>
                <w:tcPr>
                  <w:tcW w:w="2623" w:type="dxa"/>
                  <w:shd w:val="clear" w:color="auto" w:fill="auto"/>
                  <w:noWrap w:val="0"/>
                  <w:vAlign w:val="center"/>
                </w:tcPr>
                <w:p w14:paraId="703440C5">
                  <w:pPr>
                    <w:autoSpaceDE w:val="0"/>
                    <w:autoSpaceDN w:val="0"/>
                    <w:adjustRightInd w:val="0"/>
                    <w:snapToGrid w:val="0"/>
                    <w:spacing w:line="280" w:lineRule="exact"/>
                    <w:jc w:val="center"/>
                    <w:rPr>
                      <w:rFonts w:hint="eastAsia" w:ascii="Times New Roman" w:hAnsi="Times New Roman"/>
                      <w:color w:val="auto"/>
                      <w:kern w:val="0"/>
                      <w:szCs w:val="21"/>
                      <w:highlight w:val="none"/>
                      <w:lang w:val="en-US" w:eastAsia="zh-CN"/>
                    </w:rPr>
                  </w:pPr>
                  <w:r>
                    <w:rPr>
                      <w:rFonts w:hint="eastAsia" w:ascii="Times New Roman" w:hAnsi="Times New Roman"/>
                      <w:color w:val="auto"/>
                      <w:kern w:val="0"/>
                      <w:szCs w:val="21"/>
                      <w:highlight w:val="none"/>
                      <w:lang w:val="en-US" w:eastAsia="zh-CN"/>
                    </w:rPr>
                    <w:t>一般固废</w:t>
                  </w:r>
                </w:p>
              </w:tc>
            </w:tr>
            <w:tr w14:paraId="4F9C585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99" w:type="dxa"/>
                  <w:vMerge w:val="continue"/>
                  <w:noWrap w:val="0"/>
                  <w:vAlign w:val="center"/>
                </w:tcPr>
                <w:p w14:paraId="52FCFF51">
                  <w:pPr>
                    <w:autoSpaceDE w:val="0"/>
                    <w:autoSpaceDN w:val="0"/>
                    <w:adjustRightInd w:val="0"/>
                    <w:snapToGrid w:val="0"/>
                    <w:spacing w:line="280" w:lineRule="exact"/>
                    <w:jc w:val="center"/>
                    <w:rPr>
                      <w:rFonts w:hint="eastAsia" w:ascii="Times New Roman" w:hAnsi="Times New Roman"/>
                      <w:color w:val="auto"/>
                      <w:kern w:val="0"/>
                      <w:szCs w:val="21"/>
                      <w:highlight w:val="none"/>
                    </w:rPr>
                  </w:pPr>
                </w:p>
              </w:tc>
              <w:tc>
                <w:tcPr>
                  <w:tcW w:w="2312" w:type="dxa"/>
                  <w:shd w:val="clear" w:color="auto" w:fill="auto"/>
                  <w:noWrap w:val="0"/>
                  <w:vAlign w:val="center"/>
                </w:tcPr>
                <w:p w14:paraId="03833C9D">
                  <w:pPr>
                    <w:autoSpaceDE w:val="0"/>
                    <w:autoSpaceDN w:val="0"/>
                    <w:adjustRightInd w:val="0"/>
                    <w:snapToGrid w:val="0"/>
                    <w:spacing w:line="280" w:lineRule="exact"/>
                    <w:jc w:val="center"/>
                    <w:rPr>
                      <w:rFonts w:hint="default" w:ascii="Times New Roman" w:hAnsi="Times New Roman" w:eastAsia="宋体" w:cs="Times New Roman"/>
                      <w:color w:val="auto"/>
                      <w:kern w:val="0"/>
                      <w:szCs w:val="21"/>
                      <w:highlight w:val="none"/>
                      <w:lang w:val="en-US" w:eastAsia="zh-CN"/>
                    </w:rPr>
                  </w:pPr>
                  <w:r>
                    <w:rPr>
                      <w:rFonts w:hint="eastAsia" w:cs="Times New Roman"/>
                      <w:color w:val="auto"/>
                      <w:kern w:val="0"/>
                      <w:szCs w:val="21"/>
                      <w:highlight w:val="none"/>
                      <w:lang w:val="en-US" w:eastAsia="zh-CN"/>
                    </w:rPr>
                    <w:t>NMP回收</w:t>
                  </w:r>
                </w:p>
              </w:tc>
              <w:tc>
                <w:tcPr>
                  <w:tcW w:w="1784" w:type="dxa"/>
                  <w:shd w:val="clear" w:color="auto" w:fill="auto"/>
                  <w:noWrap w:val="0"/>
                  <w:vAlign w:val="center"/>
                </w:tcPr>
                <w:p w14:paraId="679FDDCE">
                  <w:pPr>
                    <w:autoSpaceDE w:val="0"/>
                    <w:autoSpaceDN w:val="0"/>
                    <w:adjustRightInd w:val="0"/>
                    <w:snapToGrid w:val="0"/>
                    <w:spacing w:line="280" w:lineRule="exact"/>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NMP回收液</w:t>
                  </w:r>
                </w:p>
              </w:tc>
              <w:tc>
                <w:tcPr>
                  <w:tcW w:w="2623" w:type="dxa"/>
                  <w:shd w:val="clear" w:color="auto" w:fill="auto"/>
                  <w:noWrap w:val="0"/>
                  <w:vAlign w:val="center"/>
                </w:tcPr>
                <w:p w14:paraId="3A1A3633">
                  <w:pPr>
                    <w:autoSpaceDE w:val="0"/>
                    <w:autoSpaceDN w:val="0"/>
                    <w:adjustRightInd w:val="0"/>
                    <w:snapToGrid w:val="0"/>
                    <w:spacing w:line="280" w:lineRule="exact"/>
                    <w:jc w:val="center"/>
                    <w:rPr>
                      <w:rFonts w:hint="eastAsia" w:ascii="Times New Roman" w:hAnsi="Times New Roman"/>
                      <w:color w:val="auto"/>
                      <w:kern w:val="0"/>
                      <w:szCs w:val="21"/>
                      <w:highlight w:val="none"/>
                      <w:lang w:val="en-US" w:eastAsia="zh-CN"/>
                    </w:rPr>
                  </w:pPr>
                  <w:r>
                    <w:rPr>
                      <w:rFonts w:hint="eastAsia" w:ascii="Times New Roman" w:hAnsi="Times New Roman"/>
                      <w:color w:val="auto"/>
                      <w:kern w:val="0"/>
                      <w:szCs w:val="21"/>
                      <w:highlight w:val="none"/>
                      <w:lang w:val="en-US" w:eastAsia="zh-CN"/>
                    </w:rPr>
                    <w:t>一般固废</w:t>
                  </w:r>
                </w:p>
              </w:tc>
            </w:tr>
            <w:tr w14:paraId="3E83F1E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99" w:type="dxa"/>
                  <w:vMerge w:val="continue"/>
                  <w:noWrap w:val="0"/>
                  <w:vAlign w:val="center"/>
                </w:tcPr>
                <w:p w14:paraId="3951B4F5">
                  <w:pPr>
                    <w:autoSpaceDE w:val="0"/>
                    <w:autoSpaceDN w:val="0"/>
                    <w:adjustRightInd w:val="0"/>
                    <w:snapToGrid w:val="0"/>
                    <w:spacing w:line="280" w:lineRule="exact"/>
                    <w:jc w:val="center"/>
                    <w:rPr>
                      <w:rFonts w:hint="eastAsia" w:ascii="Times New Roman" w:hAnsi="Times New Roman"/>
                      <w:color w:val="auto"/>
                      <w:kern w:val="0"/>
                      <w:szCs w:val="21"/>
                      <w:highlight w:val="none"/>
                    </w:rPr>
                  </w:pPr>
                </w:p>
              </w:tc>
              <w:tc>
                <w:tcPr>
                  <w:tcW w:w="2312" w:type="dxa"/>
                  <w:noWrap w:val="0"/>
                  <w:vAlign w:val="center"/>
                </w:tcPr>
                <w:p w14:paraId="4A23251A">
                  <w:pPr>
                    <w:autoSpaceDE w:val="0"/>
                    <w:autoSpaceDN w:val="0"/>
                    <w:adjustRightInd w:val="0"/>
                    <w:snapToGrid w:val="0"/>
                    <w:spacing w:line="280" w:lineRule="exact"/>
                    <w:jc w:val="center"/>
                    <w:rPr>
                      <w:rFonts w:hint="default" w:ascii="Times New Roman" w:hAnsi="Times New Roman" w:eastAsia="宋体" w:cs="Times New Roman"/>
                      <w:color w:val="auto"/>
                      <w:kern w:val="0"/>
                      <w:szCs w:val="21"/>
                      <w:highlight w:val="none"/>
                      <w:lang w:val="en-US" w:eastAsia="zh-CN"/>
                    </w:rPr>
                  </w:pPr>
                  <w:r>
                    <w:rPr>
                      <w:rFonts w:hint="eastAsia" w:cs="Times New Roman"/>
                      <w:color w:val="auto"/>
                      <w:kern w:val="0"/>
                      <w:szCs w:val="21"/>
                      <w:highlight w:val="none"/>
                      <w:lang w:val="en-US" w:eastAsia="zh-CN"/>
                    </w:rPr>
                    <w:t>活性炭吸附装置</w:t>
                  </w:r>
                </w:p>
              </w:tc>
              <w:tc>
                <w:tcPr>
                  <w:tcW w:w="1784" w:type="dxa"/>
                  <w:noWrap w:val="0"/>
                  <w:vAlign w:val="center"/>
                </w:tcPr>
                <w:p w14:paraId="452556C1">
                  <w:pPr>
                    <w:autoSpaceDE w:val="0"/>
                    <w:autoSpaceDN w:val="0"/>
                    <w:adjustRightInd w:val="0"/>
                    <w:snapToGrid w:val="0"/>
                    <w:spacing w:line="280" w:lineRule="exact"/>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废活性炭</w:t>
                  </w:r>
                </w:p>
              </w:tc>
              <w:tc>
                <w:tcPr>
                  <w:tcW w:w="2623" w:type="dxa"/>
                  <w:noWrap w:val="0"/>
                  <w:vAlign w:val="center"/>
                </w:tcPr>
                <w:p w14:paraId="11E912DF">
                  <w:pPr>
                    <w:autoSpaceDE w:val="0"/>
                    <w:autoSpaceDN w:val="0"/>
                    <w:adjustRightInd w:val="0"/>
                    <w:snapToGrid w:val="0"/>
                    <w:spacing w:line="280" w:lineRule="exact"/>
                    <w:jc w:val="center"/>
                    <w:rPr>
                      <w:rFonts w:hint="eastAsia" w:ascii="Times New Roman" w:hAnsi="Times New Roman"/>
                      <w:color w:val="auto"/>
                      <w:kern w:val="0"/>
                      <w:szCs w:val="21"/>
                      <w:highlight w:val="none"/>
                      <w:lang w:val="en-US" w:eastAsia="zh-CN"/>
                    </w:rPr>
                  </w:pPr>
                  <w:r>
                    <w:rPr>
                      <w:rFonts w:hint="eastAsia" w:ascii="Times New Roman" w:hAnsi="Times New Roman"/>
                      <w:color w:val="auto"/>
                      <w:kern w:val="0"/>
                      <w:szCs w:val="21"/>
                      <w:highlight w:val="none"/>
                      <w:lang w:val="en-US" w:eastAsia="zh-CN"/>
                    </w:rPr>
                    <w:t>危险废物</w:t>
                  </w:r>
                </w:p>
              </w:tc>
            </w:tr>
            <w:tr w14:paraId="02CD2C8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99" w:type="dxa"/>
                  <w:vMerge w:val="continue"/>
                  <w:noWrap w:val="0"/>
                  <w:vAlign w:val="center"/>
                </w:tcPr>
                <w:p w14:paraId="2141A58E">
                  <w:pPr>
                    <w:autoSpaceDE w:val="0"/>
                    <w:autoSpaceDN w:val="0"/>
                    <w:adjustRightInd w:val="0"/>
                    <w:snapToGrid w:val="0"/>
                    <w:spacing w:line="280" w:lineRule="exact"/>
                    <w:jc w:val="center"/>
                    <w:rPr>
                      <w:rFonts w:hint="eastAsia" w:ascii="Times New Roman" w:hAnsi="Times New Roman"/>
                      <w:color w:val="auto"/>
                      <w:kern w:val="0"/>
                      <w:szCs w:val="21"/>
                      <w:highlight w:val="none"/>
                    </w:rPr>
                  </w:pPr>
                </w:p>
              </w:tc>
              <w:tc>
                <w:tcPr>
                  <w:tcW w:w="2312" w:type="dxa"/>
                  <w:noWrap w:val="0"/>
                  <w:vAlign w:val="center"/>
                </w:tcPr>
                <w:p w14:paraId="03DC1575">
                  <w:pPr>
                    <w:autoSpaceDE w:val="0"/>
                    <w:autoSpaceDN w:val="0"/>
                    <w:adjustRightInd w:val="0"/>
                    <w:snapToGrid w:val="0"/>
                    <w:spacing w:line="280" w:lineRule="exact"/>
                    <w:jc w:val="center"/>
                    <w:rPr>
                      <w:rFonts w:hint="eastAsia"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废水处理</w:t>
                  </w:r>
                </w:p>
              </w:tc>
              <w:tc>
                <w:tcPr>
                  <w:tcW w:w="1784" w:type="dxa"/>
                  <w:noWrap w:val="0"/>
                  <w:vAlign w:val="center"/>
                </w:tcPr>
                <w:p w14:paraId="24D19B0E">
                  <w:pPr>
                    <w:autoSpaceDE w:val="0"/>
                    <w:autoSpaceDN w:val="0"/>
                    <w:adjustRightInd w:val="0"/>
                    <w:snapToGrid w:val="0"/>
                    <w:spacing w:line="280" w:lineRule="exact"/>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污泥</w:t>
                  </w:r>
                </w:p>
              </w:tc>
              <w:tc>
                <w:tcPr>
                  <w:tcW w:w="2623" w:type="dxa"/>
                  <w:noWrap w:val="0"/>
                  <w:vAlign w:val="center"/>
                </w:tcPr>
                <w:p w14:paraId="51118038">
                  <w:pPr>
                    <w:autoSpaceDE w:val="0"/>
                    <w:autoSpaceDN w:val="0"/>
                    <w:adjustRightInd w:val="0"/>
                    <w:snapToGrid w:val="0"/>
                    <w:spacing w:line="280" w:lineRule="exact"/>
                    <w:jc w:val="center"/>
                    <w:rPr>
                      <w:rFonts w:hint="eastAsia" w:ascii="Times New Roman" w:hAnsi="Times New Roman" w:eastAsia="宋体" w:cs="Times New Roman"/>
                      <w:color w:val="auto"/>
                      <w:kern w:val="0"/>
                      <w:szCs w:val="21"/>
                      <w:highlight w:val="none"/>
                      <w:lang w:val="en-US" w:eastAsia="zh-CN"/>
                    </w:rPr>
                  </w:pPr>
                  <w:r>
                    <w:rPr>
                      <w:rFonts w:hint="eastAsia" w:ascii="Times New Roman" w:hAnsi="Times New Roman"/>
                      <w:color w:val="auto"/>
                      <w:kern w:val="0"/>
                      <w:szCs w:val="21"/>
                      <w:highlight w:val="none"/>
                      <w:lang w:val="en-US" w:eastAsia="zh-CN"/>
                    </w:rPr>
                    <w:t>危险废物</w:t>
                  </w:r>
                </w:p>
              </w:tc>
            </w:tr>
            <w:tr w14:paraId="60024C5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99" w:type="dxa"/>
                  <w:vMerge w:val="continue"/>
                  <w:noWrap w:val="0"/>
                  <w:vAlign w:val="center"/>
                </w:tcPr>
                <w:p w14:paraId="54B87498">
                  <w:pPr>
                    <w:autoSpaceDE w:val="0"/>
                    <w:autoSpaceDN w:val="0"/>
                    <w:adjustRightInd w:val="0"/>
                    <w:snapToGrid w:val="0"/>
                    <w:spacing w:line="280" w:lineRule="exact"/>
                    <w:jc w:val="center"/>
                    <w:rPr>
                      <w:rFonts w:hint="eastAsia" w:ascii="Times New Roman" w:hAnsi="Times New Roman"/>
                      <w:color w:val="auto"/>
                      <w:kern w:val="0"/>
                      <w:szCs w:val="21"/>
                      <w:highlight w:val="none"/>
                    </w:rPr>
                  </w:pPr>
                </w:p>
              </w:tc>
              <w:tc>
                <w:tcPr>
                  <w:tcW w:w="2312" w:type="dxa"/>
                  <w:noWrap w:val="0"/>
                  <w:vAlign w:val="center"/>
                </w:tcPr>
                <w:p w14:paraId="1CC64098">
                  <w:pPr>
                    <w:autoSpaceDE w:val="0"/>
                    <w:autoSpaceDN w:val="0"/>
                    <w:adjustRightInd w:val="0"/>
                    <w:snapToGrid w:val="0"/>
                    <w:spacing w:line="280" w:lineRule="exact"/>
                    <w:jc w:val="center"/>
                    <w:rPr>
                      <w:rFonts w:hint="default" w:ascii="Times New Roman" w:hAnsi="Times New Roman" w:eastAsia="宋体" w:cs="Times New Roman"/>
                      <w:color w:val="auto"/>
                      <w:kern w:val="0"/>
                      <w:szCs w:val="21"/>
                      <w:highlight w:val="none"/>
                      <w:lang w:val="en-US" w:eastAsia="zh-CN"/>
                    </w:rPr>
                  </w:pPr>
                  <w:r>
                    <w:rPr>
                      <w:rFonts w:hint="eastAsia" w:cs="Times New Roman"/>
                      <w:color w:val="auto"/>
                      <w:kern w:val="0"/>
                      <w:szCs w:val="21"/>
                      <w:highlight w:val="none"/>
                      <w:lang w:val="en-US" w:eastAsia="zh-CN"/>
                    </w:rPr>
                    <w:t>电子拆解、清理注液机</w:t>
                  </w:r>
                </w:p>
              </w:tc>
              <w:tc>
                <w:tcPr>
                  <w:tcW w:w="1784" w:type="dxa"/>
                  <w:noWrap w:val="0"/>
                  <w:vAlign w:val="center"/>
                </w:tcPr>
                <w:p w14:paraId="31C52623">
                  <w:pPr>
                    <w:autoSpaceDE w:val="0"/>
                    <w:autoSpaceDN w:val="0"/>
                    <w:adjustRightInd w:val="0"/>
                    <w:snapToGrid w:val="0"/>
                    <w:spacing w:line="280" w:lineRule="exact"/>
                    <w:jc w:val="center"/>
                    <w:rPr>
                      <w:rFonts w:hint="default" w:ascii="Times New Roman" w:hAnsi="Times New Roman" w:eastAsia="宋体" w:cs="Times New Roman"/>
                      <w:color w:val="auto"/>
                      <w:kern w:val="0"/>
                      <w:szCs w:val="21"/>
                      <w:highlight w:val="none"/>
                      <w:lang w:val="en-US" w:eastAsia="zh-CN"/>
                    </w:rPr>
                  </w:pPr>
                  <w:r>
                    <w:rPr>
                      <w:rFonts w:hint="eastAsia" w:cs="Times New Roman"/>
                      <w:color w:val="auto"/>
                      <w:kern w:val="0"/>
                      <w:szCs w:val="21"/>
                      <w:highlight w:val="none"/>
                      <w:lang w:val="en-US" w:eastAsia="zh-CN"/>
                    </w:rPr>
                    <w:t>废电解液</w:t>
                  </w:r>
                </w:p>
              </w:tc>
              <w:tc>
                <w:tcPr>
                  <w:tcW w:w="2623" w:type="dxa"/>
                  <w:noWrap w:val="0"/>
                  <w:vAlign w:val="center"/>
                </w:tcPr>
                <w:p w14:paraId="3403AECE">
                  <w:pPr>
                    <w:autoSpaceDE w:val="0"/>
                    <w:autoSpaceDN w:val="0"/>
                    <w:adjustRightInd w:val="0"/>
                    <w:snapToGrid w:val="0"/>
                    <w:spacing w:line="280" w:lineRule="exact"/>
                    <w:jc w:val="center"/>
                    <w:rPr>
                      <w:rFonts w:hint="eastAsia" w:ascii="Times New Roman" w:hAnsi="Times New Roman"/>
                      <w:color w:val="auto"/>
                      <w:kern w:val="0"/>
                      <w:szCs w:val="21"/>
                      <w:highlight w:val="none"/>
                      <w:lang w:val="en-US" w:eastAsia="zh-CN"/>
                    </w:rPr>
                  </w:pPr>
                  <w:r>
                    <w:rPr>
                      <w:rFonts w:hint="eastAsia" w:ascii="Times New Roman" w:hAnsi="Times New Roman"/>
                      <w:color w:val="auto"/>
                      <w:kern w:val="0"/>
                      <w:szCs w:val="21"/>
                      <w:highlight w:val="none"/>
                      <w:lang w:val="en-US" w:eastAsia="zh-CN"/>
                    </w:rPr>
                    <w:t>危险废物</w:t>
                  </w:r>
                </w:p>
              </w:tc>
            </w:tr>
            <w:tr w14:paraId="7DBE049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99" w:type="dxa"/>
                  <w:vMerge w:val="continue"/>
                  <w:noWrap w:val="0"/>
                  <w:vAlign w:val="center"/>
                </w:tcPr>
                <w:p w14:paraId="2BD90AB7">
                  <w:pPr>
                    <w:autoSpaceDE w:val="0"/>
                    <w:autoSpaceDN w:val="0"/>
                    <w:adjustRightInd w:val="0"/>
                    <w:snapToGrid w:val="0"/>
                    <w:spacing w:line="280" w:lineRule="exact"/>
                    <w:jc w:val="center"/>
                    <w:rPr>
                      <w:rFonts w:hint="eastAsia" w:ascii="Times New Roman" w:hAnsi="Times New Roman"/>
                      <w:color w:val="auto"/>
                      <w:kern w:val="0"/>
                      <w:szCs w:val="21"/>
                      <w:highlight w:val="none"/>
                    </w:rPr>
                  </w:pPr>
                </w:p>
              </w:tc>
              <w:tc>
                <w:tcPr>
                  <w:tcW w:w="2312" w:type="dxa"/>
                  <w:noWrap w:val="0"/>
                  <w:vAlign w:val="center"/>
                </w:tcPr>
                <w:p w14:paraId="482B20C5">
                  <w:pPr>
                    <w:autoSpaceDE w:val="0"/>
                    <w:autoSpaceDN w:val="0"/>
                    <w:adjustRightInd w:val="0"/>
                    <w:snapToGrid w:val="0"/>
                    <w:spacing w:line="280" w:lineRule="exact"/>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设备维护</w:t>
                  </w:r>
                </w:p>
              </w:tc>
              <w:tc>
                <w:tcPr>
                  <w:tcW w:w="1784" w:type="dxa"/>
                  <w:noWrap w:val="0"/>
                  <w:vAlign w:val="center"/>
                </w:tcPr>
                <w:p w14:paraId="4B209B57">
                  <w:pPr>
                    <w:autoSpaceDE w:val="0"/>
                    <w:autoSpaceDN w:val="0"/>
                    <w:adjustRightInd w:val="0"/>
                    <w:snapToGrid w:val="0"/>
                    <w:spacing w:line="280" w:lineRule="exact"/>
                    <w:jc w:val="center"/>
                    <w:rPr>
                      <w:rFonts w:hint="eastAsia" w:ascii="Times New Roman" w:hAnsi="Times New Roman" w:eastAsia="宋体" w:cs="Times New Roman"/>
                      <w:color w:val="auto"/>
                      <w:kern w:val="0"/>
                      <w:szCs w:val="21"/>
                      <w:highlight w:val="none"/>
                      <w:lang w:val="en-US" w:eastAsia="zh-CN"/>
                    </w:rPr>
                  </w:pPr>
                  <w:r>
                    <w:rPr>
                      <w:rFonts w:hint="eastAsia" w:ascii="Times New Roman" w:hAnsi="Times New Roman" w:eastAsia="宋体" w:cs="Times New Roman"/>
                      <w:color w:val="auto"/>
                      <w:kern w:val="0"/>
                      <w:szCs w:val="21"/>
                      <w:highlight w:val="none"/>
                      <w:lang w:val="en-US" w:eastAsia="zh-CN"/>
                    </w:rPr>
                    <w:t>含油抹布、手套、废油桶、废机油</w:t>
                  </w:r>
                </w:p>
              </w:tc>
              <w:tc>
                <w:tcPr>
                  <w:tcW w:w="2623" w:type="dxa"/>
                  <w:noWrap w:val="0"/>
                  <w:vAlign w:val="center"/>
                </w:tcPr>
                <w:p w14:paraId="0E8498E7">
                  <w:pPr>
                    <w:autoSpaceDE w:val="0"/>
                    <w:autoSpaceDN w:val="0"/>
                    <w:adjustRightInd w:val="0"/>
                    <w:snapToGrid w:val="0"/>
                    <w:spacing w:line="280" w:lineRule="exact"/>
                    <w:jc w:val="center"/>
                    <w:rPr>
                      <w:rFonts w:hint="default" w:ascii="Times New Roman" w:hAnsi="Times New Roman" w:eastAsia="宋体" w:cs="Times New Roman"/>
                      <w:color w:val="auto"/>
                      <w:kern w:val="0"/>
                      <w:szCs w:val="21"/>
                      <w:highlight w:val="none"/>
                      <w:lang w:val="en-US" w:eastAsia="zh-CN"/>
                    </w:rPr>
                  </w:pPr>
                  <w:r>
                    <w:rPr>
                      <w:rFonts w:hint="eastAsia" w:ascii="Times New Roman" w:hAnsi="Times New Roman"/>
                      <w:color w:val="auto"/>
                      <w:kern w:val="0"/>
                      <w:szCs w:val="21"/>
                      <w:highlight w:val="none"/>
                      <w:lang w:val="en-US" w:eastAsia="zh-CN"/>
                    </w:rPr>
                    <w:t>危险废物</w:t>
                  </w:r>
                </w:p>
              </w:tc>
            </w:tr>
            <w:tr w14:paraId="17BE3C6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99" w:type="dxa"/>
                  <w:vMerge w:val="continue"/>
                  <w:noWrap w:val="0"/>
                  <w:vAlign w:val="center"/>
                </w:tcPr>
                <w:p w14:paraId="08A082C1">
                  <w:pPr>
                    <w:autoSpaceDE w:val="0"/>
                    <w:autoSpaceDN w:val="0"/>
                    <w:adjustRightInd w:val="0"/>
                    <w:snapToGrid w:val="0"/>
                    <w:spacing w:line="280" w:lineRule="exact"/>
                    <w:jc w:val="center"/>
                    <w:rPr>
                      <w:rFonts w:hint="eastAsia" w:ascii="Times New Roman" w:hAnsi="Times New Roman"/>
                      <w:color w:val="auto"/>
                      <w:kern w:val="0"/>
                      <w:szCs w:val="21"/>
                      <w:highlight w:val="none"/>
                    </w:rPr>
                  </w:pPr>
                </w:p>
              </w:tc>
              <w:tc>
                <w:tcPr>
                  <w:tcW w:w="2312" w:type="dxa"/>
                  <w:noWrap w:val="0"/>
                  <w:vAlign w:val="center"/>
                </w:tcPr>
                <w:p w14:paraId="62009132">
                  <w:pPr>
                    <w:autoSpaceDE w:val="0"/>
                    <w:autoSpaceDN w:val="0"/>
                    <w:adjustRightInd w:val="0"/>
                    <w:snapToGrid w:val="0"/>
                    <w:spacing w:line="280" w:lineRule="exact"/>
                    <w:jc w:val="center"/>
                    <w:rPr>
                      <w:rFonts w:hint="default" w:ascii="Times New Roman" w:hAnsi="Times New Roman" w:eastAsia="宋体" w:cs="Times New Roman"/>
                      <w:color w:val="auto"/>
                      <w:kern w:val="0"/>
                      <w:szCs w:val="21"/>
                      <w:highlight w:val="none"/>
                      <w:lang w:val="en-US" w:eastAsia="zh-CN"/>
                    </w:rPr>
                  </w:pPr>
                  <w:r>
                    <w:rPr>
                      <w:rFonts w:hint="eastAsia" w:ascii="Times New Roman" w:hAnsi="Times New Roman" w:eastAsia="宋体" w:cs="Times New Roman"/>
                      <w:color w:val="auto"/>
                      <w:kern w:val="0"/>
                      <w:szCs w:val="21"/>
                      <w:highlight w:val="none"/>
                      <w:lang w:val="en-US" w:eastAsia="zh-CN"/>
                    </w:rPr>
                    <w:t>原辅料使用</w:t>
                  </w:r>
                </w:p>
              </w:tc>
              <w:tc>
                <w:tcPr>
                  <w:tcW w:w="1784" w:type="dxa"/>
                  <w:noWrap w:val="0"/>
                  <w:vAlign w:val="center"/>
                </w:tcPr>
                <w:p w14:paraId="66E2E915">
                  <w:pPr>
                    <w:autoSpaceDE w:val="0"/>
                    <w:autoSpaceDN w:val="0"/>
                    <w:adjustRightInd w:val="0"/>
                    <w:snapToGrid w:val="0"/>
                    <w:spacing w:line="280" w:lineRule="exact"/>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废危化品包装桶</w:t>
                  </w:r>
                </w:p>
              </w:tc>
              <w:tc>
                <w:tcPr>
                  <w:tcW w:w="2623" w:type="dxa"/>
                  <w:noWrap w:val="0"/>
                  <w:vAlign w:val="center"/>
                </w:tcPr>
                <w:p w14:paraId="06F20B1D">
                  <w:pPr>
                    <w:autoSpaceDE w:val="0"/>
                    <w:autoSpaceDN w:val="0"/>
                    <w:adjustRightInd w:val="0"/>
                    <w:snapToGrid w:val="0"/>
                    <w:spacing w:line="280" w:lineRule="exact"/>
                    <w:jc w:val="center"/>
                    <w:rPr>
                      <w:rFonts w:hint="eastAsia" w:ascii="Times New Roman" w:hAnsi="Times New Roman" w:eastAsia="宋体" w:cs="Times New Roman"/>
                      <w:color w:val="auto"/>
                      <w:kern w:val="0"/>
                      <w:szCs w:val="21"/>
                      <w:highlight w:val="none"/>
                      <w:lang w:val="en-US" w:eastAsia="zh-CN"/>
                    </w:rPr>
                  </w:pPr>
                  <w:r>
                    <w:rPr>
                      <w:rFonts w:hint="eastAsia" w:ascii="Times New Roman" w:hAnsi="Times New Roman"/>
                      <w:color w:val="auto"/>
                      <w:kern w:val="0"/>
                      <w:szCs w:val="21"/>
                      <w:highlight w:val="none"/>
                      <w:lang w:val="en-US" w:eastAsia="zh-CN"/>
                    </w:rPr>
                    <w:t>危险废物</w:t>
                  </w:r>
                </w:p>
              </w:tc>
            </w:tr>
            <w:bookmarkEnd w:id="11"/>
          </w:tbl>
          <w:p w14:paraId="0950266B">
            <w:pPr>
              <w:pStyle w:val="34"/>
              <w:rPr>
                <w:rFonts w:hint="eastAsia"/>
                <w:color w:val="auto"/>
                <w:lang w:eastAsia="zh-CN"/>
              </w:rPr>
            </w:pPr>
          </w:p>
        </w:tc>
      </w:tr>
      <w:tr w14:paraId="35036B8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613" w:hRule="atLeast"/>
          <w:jc w:val="center"/>
        </w:trPr>
        <w:tc>
          <w:tcPr>
            <w:tcW w:w="1008" w:type="dxa"/>
            <w:vAlign w:val="center"/>
          </w:tcPr>
          <w:p w14:paraId="451FC0D9">
            <w:pPr>
              <w:pStyle w:val="37"/>
              <w:adjustRightInd w:val="0"/>
              <w:snapToGrid w:val="0"/>
              <w:spacing w:before="0" w:beforeAutospacing="0" w:after="0" w:afterAutospacing="0"/>
              <w:jc w:val="center"/>
              <w:rPr>
                <w:rFonts w:hint="eastAsia" w:ascii="Times New Roman" w:hAnsi="Times New Roman" w:eastAsia="宋体" w:cs="Times New Roman"/>
                <w:color w:val="auto"/>
                <w:kern w:val="0"/>
                <w:sz w:val="24"/>
                <w:szCs w:val="24"/>
                <w:lang w:val="en-US" w:eastAsia="zh-CN" w:bidi="ar-SA"/>
              </w:rPr>
            </w:pPr>
            <w:r>
              <w:rPr>
                <w:rFonts w:hint="eastAsia" w:ascii="Times New Roman" w:hAnsi="Times New Roman" w:cs="宋体"/>
                <w:b/>
                <w:bCs w:val="0"/>
                <w:color w:val="auto"/>
                <w:kern w:val="2"/>
                <w:sz w:val="24"/>
                <w:szCs w:val="24"/>
              </w:rPr>
              <w:t>与项目有关的原有环境污染问题</w:t>
            </w:r>
          </w:p>
        </w:tc>
        <w:tc>
          <w:tcPr>
            <w:tcW w:w="7976" w:type="dxa"/>
            <w:vAlign w:val="top"/>
          </w:tcPr>
          <w:p w14:paraId="08DD1B62">
            <w:pPr>
              <w:pStyle w:val="66"/>
              <w:keepNext w:val="0"/>
              <w:keepLines w:val="0"/>
              <w:pageBreakBefore w:val="0"/>
              <w:widowControl w:val="0"/>
              <w:kinsoku/>
              <w:wordWrap/>
              <w:overflowPunct/>
              <w:topLinePunct w:val="0"/>
              <w:autoSpaceDE w:val="0"/>
              <w:autoSpaceDN w:val="0"/>
              <w:bidi w:val="0"/>
              <w:spacing w:line="360" w:lineRule="auto"/>
              <w:ind w:firstLine="480" w:firstLineChars="200"/>
              <w:textAlignment w:val="auto"/>
              <w:rPr>
                <w:rFonts w:hint="eastAsia" w:cs="Times New Roman"/>
                <w:color w:val="auto"/>
                <w:lang w:val="en-US" w:eastAsia="zh-CN"/>
              </w:rPr>
            </w:pPr>
            <w:r>
              <w:rPr>
                <w:rFonts w:hint="eastAsia" w:cs="Times New Roman"/>
                <w:color w:val="auto"/>
                <w:lang w:val="en-US" w:eastAsia="zh-CN"/>
              </w:rPr>
              <w:t>本项目选址于四川巴中经济开发区核心片区，建设性质为新建，生产场所租赁四川秦巴瑞耀产业园经营管理有限公司在建标准厂房。该厂房建设主体前身为巴中名嘉物业管理有限公司（企业更名前后为同一法人主体），其所属《四川巴中经济开发区数字经济产业园区基础设施建设项目》已于2023年11月16日取得四川巴中经济开发区生态环境局出具的无需办理环评手续说明。经现场实地踏勘，项目所租厂房现阶段尚在土建施工阶段，厂房场地无原有生产历史，不存在原有遗留污染源、无历史环境污染问题</w:t>
            </w:r>
            <w:r>
              <w:rPr>
                <w:rFonts w:hint="default" w:cs="Times New Roman"/>
                <w:color w:val="auto"/>
                <w:lang w:val="en-US" w:eastAsia="zh-CN"/>
              </w:rPr>
              <w:t>。</w:t>
            </w:r>
          </w:p>
          <w:p w14:paraId="6014ACB5">
            <w:pPr>
              <w:pStyle w:val="66"/>
              <w:spacing w:line="360" w:lineRule="auto"/>
              <w:ind w:firstLine="0" w:firstLineChars="0"/>
              <w:jc w:val="center"/>
              <w:rPr>
                <w:rFonts w:eastAsiaTheme="minorEastAsia"/>
                <w:snapToGrid w:val="0"/>
                <w:color w:val="auto"/>
                <w:w w:val="0"/>
                <w:sz w:val="0"/>
                <w:szCs w:val="0"/>
                <w:u w:color="000000"/>
                <w:shd w:val="clear" w:color="000000" w:fill="000000"/>
                <w:lang w:val="zh-CN" w:bidi="zh-CN"/>
              </w:rPr>
            </w:pPr>
            <w:r>
              <w:rPr>
                <w:rFonts w:eastAsia="Times New Roman"/>
                <w:snapToGrid w:val="0"/>
                <w:color w:val="auto"/>
                <w:w w:val="0"/>
                <w:sz w:val="0"/>
                <w:szCs w:val="0"/>
                <w:u w:color="000000"/>
                <w:shd w:val="clear" w:color="000000" w:fill="000000"/>
                <w:lang w:val="zh-CN" w:bidi="zh-CN"/>
              </w:rPr>
              <w:t xml:space="preserve"> </w:t>
            </w:r>
          </w:p>
          <w:p w14:paraId="4EFD7B77">
            <w:pPr>
              <w:pStyle w:val="66"/>
              <w:spacing w:line="360" w:lineRule="auto"/>
              <w:ind w:firstLine="0" w:firstLineChars="0"/>
              <w:jc w:val="center"/>
              <w:rPr>
                <w:rFonts w:eastAsiaTheme="minorEastAsia"/>
                <w:snapToGrid w:val="0"/>
                <w:color w:val="auto"/>
                <w:w w:val="0"/>
                <w:sz w:val="0"/>
                <w:szCs w:val="0"/>
                <w:u w:color="000000"/>
                <w:shd w:val="clear" w:color="000000" w:fill="000000"/>
                <w:lang w:val="zh-CN" w:bidi="zh-CN"/>
              </w:rPr>
            </w:pPr>
          </w:p>
          <w:p w14:paraId="40137AFC">
            <w:pPr>
              <w:pStyle w:val="66"/>
              <w:spacing w:line="360" w:lineRule="auto"/>
              <w:ind w:firstLine="0" w:firstLineChars="0"/>
              <w:jc w:val="center"/>
              <w:rPr>
                <w:rFonts w:eastAsiaTheme="minorEastAsia"/>
                <w:snapToGrid w:val="0"/>
                <w:color w:val="auto"/>
                <w:w w:val="0"/>
                <w:sz w:val="0"/>
                <w:szCs w:val="0"/>
                <w:u w:color="000000"/>
                <w:shd w:val="clear" w:color="000000" w:fill="000000"/>
                <w:lang w:val="zh-CN" w:bidi="zh-CN"/>
              </w:rPr>
            </w:pPr>
          </w:p>
          <w:p w14:paraId="5663D220">
            <w:pPr>
              <w:pStyle w:val="66"/>
              <w:spacing w:line="360" w:lineRule="auto"/>
              <w:ind w:firstLine="0" w:firstLineChars="0"/>
              <w:jc w:val="center"/>
              <w:rPr>
                <w:rFonts w:eastAsiaTheme="minorEastAsia"/>
                <w:snapToGrid w:val="0"/>
                <w:color w:val="auto"/>
                <w:w w:val="0"/>
                <w:sz w:val="0"/>
                <w:szCs w:val="0"/>
                <w:u w:color="000000"/>
                <w:shd w:val="clear" w:color="000000" w:fill="000000"/>
                <w:lang w:val="zh-CN" w:bidi="zh-CN"/>
              </w:rPr>
            </w:pPr>
          </w:p>
          <w:p w14:paraId="571DC196">
            <w:pPr>
              <w:pStyle w:val="66"/>
              <w:spacing w:line="360" w:lineRule="auto"/>
              <w:ind w:firstLine="0" w:firstLineChars="0"/>
              <w:jc w:val="center"/>
              <w:rPr>
                <w:rFonts w:eastAsiaTheme="minorEastAsia"/>
                <w:snapToGrid w:val="0"/>
                <w:color w:val="auto"/>
                <w:w w:val="0"/>
                <w:sz w:val="0"/>
                <w:szCs w:val="0"/>
                <w:u w:color="000000"/>
                <w:shd w:val="clear" w:color="000000" w:fill="000000"/>
                <w:lang w:val="zh-CN" w:bidi="zh-CN"/>
              </w:rPr>
            </w:pPr>
          </w:p>
          <w:p w14:paraId="4FA4CD80">
            <w:pPr>
              <w:pStyle w:val="66"/>
              <w:spacing w:line="360" w:lineRule="auto"/>
              <w:ind w:firstLine="0" w:firstLineChars="0"/>
              <w:jc w:val="center"/>
              <w:rPr>
                <w:rFonts w:eastAsiaTheme="minorEastAsia"/>
                <w:snapToGrid w:val="0"/>
                <w:color w:val="auto"/>
                <w:w w:val="0"/>
                <w:sz w:val="0"/>
                <w:szCs w:val="0"/>
                <w:u w:color="000000"/>
                <w:shd w:val="clear" w:color="000000" w:fill="000000"/>
                <w:lang w:val="zh-CN" w:bidi="zh-CN"/>
              </w:rPr>
            </w:pPr>
          </w:p>
          <w:p w14:paraId="0F8265E9">
            <w:pPr>
              <w:pStyle w:val="66"/>
              <w:spacing w:line="360" w:lineRule="auto"/>
              <w:ind w:firstLine="0" w:firstLineChars="0"/>
              <w:jc w:val="center"/>
              <w:rPr>
                <w:rFonts w:eastAsiaTheme="minorEastAsia"/>
                <w:snapToGrid w:val="0"/>
                <w:color w:val="auto"/>
                <w:w w:val="0"/>
                <w:sz w:val="0"/>
                <w:szCs w:val="0"/>
                <w:u w:color="000000"/>
                <w:shd w:val="clear" w:color="000000" w:fill="000000"/>
                <w:lang w:val="zh-CN" w:bidi="zh-CN"/>
              </w:rPr>
            </w:pPr>
          </w:p>
          <w:p w14:paraId="3C59771D">
            <w:pPr>
              <w:pStyle w:val="66"/>
              <w:spacing w:line="360" w:lineRule="auto"/>
              <w:ind w:firstLine="0" w:firstLineChars="0"/>
              <w:jc w:val="center"/>
              <w:rPr>
                <w:snapToGrid w:val="0"/>
                <w:color w:val="auto"/>
                <w:w w:val="0"/>
                <w:sz w:val="0"/>
                <w:szCs w:val="0"/>
                <w:u w:color="000000"/>
                <w:shd w:val="clear" w:color="000000" w:fill="000000"/>
                <w:lang w:val="zh-CN" w:bidi="zh-CN"/>
              </w:rPr>
            </w:pPr>
          </w:p>
          <w:tbl>
            <w:tblPr>
              <w:tblStyle w:val="42"/>
              <w:tblW w:w="77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880"/>
              <w:gridCol w:w="3880"/>
            </w:tblGrid>
            <w:tr w14:paraId="2FDE48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6" w:hRule="atLeast"/>
              </w:trPr>
              <w:tc>
                <w:tcPr>
                  <w:tcW w:w="3880" w:type="dxa"/>
                </w:tcPr>
                <w:p w14:paraId="1764FD94">
                  <w:pPr>
                    <w:pStyle w:val="66"/>
                    <w:spacing w:line="240" w:lineRule="auto"/>
                    <w:ind w:left="0" w:leftChars="0" w:firstLine="0" w:firstLineChars="0"/>
                    <w:rPr>
                      <w:rFonts w:hint="eastAsia" w:eastAsia="宋体"/>
                      <w:color w:val="auto"/>
                      <w:vertAlign w:val="baseline"/>
                      <w:lang w:eastAsia="zh-CN"/>
                    </w:rPr>
                  </w:pPr>
                  <w:r>
                    <w:rPr>
                      <w:rFonts w:hint="eastAsia" w:eastAsia="宋体"/>
                      <w:color w:val="auto"/>
                      <w:vertAlign w:val="baseline"/>
                      <w:lang w:eastAsia="zh-CN"/>
                    </w:rPr>
                    <w:drawing>
                      <wp:anchor distT="0" distB="0" distL="114300" distR="114300" simplePos="0" relativeHeight="251666432" behindDoc="1" locked="0" layoutInCell="1" allowOverlap="1">
                        <wp:simplePos x="0" y="0"/>
                        <wp:positionH relativeFrom="column">
                          <wp:posOffset>50165</wp:posOffset>
                        </wp:positionH>
                        <wp:positionV relativeFrom="paragraph">
                          <wp:posOffset>69215</wp:posOffset>
                        </wp:positionV>
                        <wp:extent cx="2228850" cy="1671955"/>
                        <wp:effectExtent l="0" t="0" r="0" b="4445"/>
                        <wp:wrapNone/>
                        <wp:docPr id="4" name="图片 4" descr="f3e2c686cbbf97f2aee68252267817b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f3e2c686cbbf97f2aee68252267817bd"/>
                                <pic:cNvPicPr>
                                  <a:picLocks noChangeAspect="1"/>
                                </pic:cNvPicPr>
                              </pic:nvPicPr>
                              <pic:blipFill>
                                <a:blip r:embed="rId25"/>
                                <a:stretch>
                                  <a:fillRect/>
                                </a:stretch>
                              </pic:blipFill>
                              <pic:spPr>
                                <a:xfrm>
                                  <a:off x="0" y="0"/>
                                  <a:ext cx="2228850" cy="1671955"/>
                                </a:xfrm>
                                <a:prstGeom prst="rect">
                                  <a:avLst/>
                                </a:prstGeom>
                              </pic:spPr>
                            </pic:pic>
                          </a:graphicData>
                        </a:graphic>
                      </wp:anchor>
                    </w:drawing>
                  </w:r>
                </w:p>
                <w:p w14:paraId="151812F6">
                  <w:pPr>
                    <w:pStyle w:val="66"/>
                    <w:spacing w:line="240" w:lineRule="auto"/>
                    <w:ind w:left="0" w:leftChars="0" w:firstLine="0" w:firstLineChars="0"/>
                    <w:rPr>
                      <w:rFonts w:hint="eastAsia" w:eastAsia="宋体"/>
                      <w:color w:val="auto"/>
                      <w:vertAlign w:val="baseline"/>
                      <w:lang w:eastAsia="zh-CN"/>
                    </w:rPr>
                  </w:pPr>
                </w:p>
                <w:p w14:paraId="7E32E9DC">
                  <w:pPr>
                    <w:pStyle w:val="66"/>
                    <w:spacing w:line="240" w:lineRule="auto"/>
                    <w:ind w:left="0" w:leftChars="0" w:firstLine="0" w:firstLineChars="0"/>
                    <w:rPr>
                      <w:rFonts w:hint="eastAsia" w:eastAsia="宋体"/>
                      <w:color w:val="auto"/>
                      <w:vertAlign w:val="baseline"/>
                      <w:lang w:eastAsia="zh-CN"/>
                    </w:rPr>
                  </w:pPr>
                </w:p>
                <w:p w14:paraId="0A49FE90">
                  <w:pPr>
                    <w:pStyle w:val="66"/>
                    <w:spacing w:line="240" w:lineRule="auto"/>
                    <w:ind w:left="0" w:leftChars="0" w:firstLine="0" w:firstLineChars="0"/>
                    <w:rPr>
                      <w:rFonts w:hint="eastAsia" w:eastAsia="宋体"/>
                      <w:color w:val="auto"/>
                      <w:vertAlign w:val="baseline"/>
                      <w:lang w:eastAsia="zh-CN"/>
                    </w:rPr>
                  </w:pPr>
                </w:p>
                <w:p w14:paraId="56D5A4BA">
                  <w:pPr>
                    <w:pStyle w:val="66"/>
                    <w:spacing w:line="240" w:lineRule="auto"/>
                    <w:ind w:left="0" w:leftChars="0" w:firstLine="0" w:firstLineChars="0"/>
                    <w:rPr>
                      <w:rFonts w:hint="eastAsia" w:eastAsia="宋体"/>
                      <w:color w:val="auto"/>
                      <w:vertAlign w:val="baseline"/>
                      <w:lang w:eastAsia="zh-CN"/>
                    </w:rPr>
                  </w:pPr>
                </w:p>
                <w:p w14:paraId="7C08DA23">
                  <w:pPr>
                    <w:pStyle w:val="66"/>
                    <w:spacing w:line="240" w:lineRule="auto"/>
                    <w:ind w:left="0" w:leftChars="0" w:firstLine="0" w:firstLineChars="0"/>
                    <w:rPr>
                      <w:rFonts w:hint="eastAsia" w:eastAsia="宋体"/>
                      <w:color w:val="auto"/>
                      <w:vertAlign w:val="baseline"/>
                      <w:lang w:eastAsia="zh-CN"/>
                    </w:rPr>
                  </w:pPr>
                </w:p>
                <w:p w14:paraId="58A0DF41">
                  <w:pPr>
                    <w:pStyle w:val="66"/>
                    <w:spacing w:line="240" w:lineRule="auto"/>
                    <w:ind w:left="0" w:leftChars="0" w:firstLine="0" w:firstLineChars="0"/>
                    <w:rPr>
                      <w:rFonts w:hint="eastAsia" w:eastAsia="宋体"/>
                      <w:color w:val="auto"/>
                      <w:vertAlign w:val="baseline"/>
                      <w:lang w:eastAsia="zh-CN"/>
                    </w:rPr>
                  </w:pPr>
                </w:p>
                <w:p w14:paraId="53CF017E">
                  <w:pPr>
                    <w:pStyle w:val="66"/>
                    <w:spacing w:line="240" w:lineRule="auto"/>
                    <w:ind w:left="0" w:leftChars="0" w:firstLine="0" w:firstLineChars="0"/>
                    <w:rPr>
                      <w:rFonts w:hint="eastAsia" w:eastAsia="宋体"/>
                      <w:color w:val="auto"/>
                      <w:vertAlign w:val="baseline"/>
                      <w:lang w:eastAsia="zh-CN"/>
                    </w:rPr>
                  </w:pPr>
                </w:p>
                <w:p w14:paraId="223DE752">
                  <w:pPr>
                    <w:pStyle w:val="66"/>
                    <w:ind w:left="0" w:leftChars="0" w:firstLine="0" w:firstLineChars="0"/>
                    <w:rPr>
                      <w:rFonts w:hint="eastAsia" w:eastAsia="宋体"/>
                      <w:color w:val="auto"/>
                      <w:vertAlign w:val="baseline"/>
                      <w:lang w:eastAsia="zh-CN"/>
                    </w:rPr>
                  </w:pPr>
                </w:p>
              </w:tc>
              <w:tc>
                <w:tcPr>
                  <w:tcW w:w="3880" w:type="dxa"/>
                </w:tcPr>
                <w:p w14:paraId="38183F97">
                  <w:pPr>
                    <w:pStyle w:val="66"/>
                    <w:rPr>
                      <w:rFonts w:hint="eastAsia" w:eastAsia="宋体"/>
                      <w:color w:val="auto"/>
                      <w:vertAlign w:val="baseline"/>
                      <w:lang w:eastAsia="zh-CN"/>
                    </w:rPr>
                  </w:pPr>
                  <w:r>
                    <w:rPr>
                      <w:rFonts w:hint="eastAsia" w:eastAsia="宋体"/>
                      <w:color w:val="auto"/>
                      <w:vertAlign w:val="baseline"/>
                      <w:lang w:eastAsia="zh-CN"/>
                    </w:rPr>
                    <w:drawing>
                      <wp:anchor distT="0" distB="0" distL="114300" distR="114300" simplePos="0" relativeHeight="251667456" behindDoc="1" locked="0" layoutInCell="1" allowOverlap="1">
                        <wp:simplePos x="0" y="0"/>
                        <wp:positionH relativeFrom="column">
                          <wp:posOffset>106045</wp:posOffset>
                        </wp:positionH>
                        <wp:positionV relativeFrom="paragraph">
                          <wp:posOffset>67310</wp:posOffset>
                        </wp:positionV>
                        <wp:extent cx="2132330" cy="1650365"/>
                        <wp:effectExtent l="0" t="0" r="1270" b="6985"/>
                        <wp:wrapNone/>
                        <wp:docPr id="19" name="图片 19" descr="630c09233285930b8f29b7b55aeddcc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630c09233285930b8f29b7b55aeddcc9"/>
                                <pic:cNvPicPr>
                                  <a:picLocks noChangeAspect="1"/>
                                </pic:cNvPicPr>
                              </pic:nvPicPr>
                              <pic:blipFill>
                                <a:blip r:embed="rId26"/>
                                <a:stretch>
                                  <a:fillRect/>
                                </a:stretch>
                              </pic:blipFill>
                              <pic:spPr>
                                <a:xfrm>
                                  <a:off x="0" y="0"/>
                                  <a:ext cx="2132330" cy="1650365"/>
                                </a:xfrm>
                                <a:prstGeom prst="rect">
                                  <a:avLst/>
                                </a:prstGeom>
                              </pic:spPr>
                            </pic:pic>
                          </a:graphicData>
                        </a:graphic>
                      </wp:anchor>
                    </w:drawing>
                  </w:r>
                </w:p>
              </w:tc>
            </w:tr>
            <w:tr w14:paraId="6A541B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60" w:type="dxa"/>
                  <w:gridSpan w:val="2"/>
                </w:tcPr>
                <w:p w14:paraId="39129884">
                  <w:pPr>
                    <w:pStyle w:val="66"/>
                    <w:keepNext w:val="0"/>
                    <w:keepLines w:val="0"/>
                    <w:pageBreakBefore w:val="0"/>
                    <w:widowControl w:val="0"/>
                    <w:kinsoku/>
                    <w:wordWrap/>
                    <w:overflowPunct/>
                    <w:topLinePunct w:val="0"/>
                    <w:autoSpaceDE w:val="0"/>
                    <w:autoSpaceDN w:val="0"/>
                    <w:bidi w:val="0"/>
                    <w:adjustRightInd w:val="0"/>
                    <w:snapToGrid w:val="0"/>
                    <w:spacing w:line="240" w:lineRule="auto"/>
                    <w:ind w:left="0" w:leftChars="0" w:firstLine="0" w:firstLineChars="0"/>
                    <w:jc w:val="center"/>
                    <w:textAlignment w:val="auto"/>
                    <w:rPr>
                      <w:rFonts w:hint="default" w:eastAsia="宋体"/>
                      <w:b/>
                      <w:bCs/>
                      <w:color w:val="auto"/>
                      <w:vertAlign w:val="baseline"/>
                      <w:lang w:val="en-US" w:eastAsia="zh-CN"/>
                    </w:rPr>
                  </w:pPr>
                  <w:r>
                    <w:rPr>
                      <w:rFonts w:hint="eastAsia"/>
                      <w:b/>
                      <w:bCs/>
                      <w:color w:val="auto"/>
                      <w:sz w:val="21"/>
                      <w:szCs w:val="21"/>
                      <w:vertAlign w:val="baseline"/>
                      <w:lang w:val="en-US" w:eastAsia="zh-CN"/>
                    </w:rPr>
                    <w:t>现场照片</w:t>
                  </w:r>
                </w:p>
              </w:tc>
            </w:tr>
          </w:tbl>
          <w:p w14:paraId="1C049F8C">
            <w:pPr>
              <w:pStyle w:val="66"/>
              <w:ind w:left="0" w:leftChars="0" w:firstLine="0" w:firstLineChars="0"/>
              <w:rPr>
                <w:rFonts w:hint="eastAsia"/>
                <w:color w:val="auto"/>
                <w:lang w:eastAsia="zh-CN"/>
              </w:rPr>
            </w:pPr>
            <w:r>
              <w:rPr>
                <w:rFonts w:hint="eastAsia"/>
                <w:color w:val="auto"/>
                <w:lang w:eastAsia="zh-CN"/>
              </w:rPr>
              <w:t xml:space="preserve"> </w:t>
            </w:r>
          </w:p>
        </w:tc>
      </w:tr>
    </w:tbl>
    <w:p w14:paraId="03BA7C20">
      <w:pPr>
        <w:pStyle w:val="37"/>
        <w:jc w:val="center"/>
        <w:rPr>
          <w:rFonts w:hint="eastAsia" w:ascii="黑体" w:hAnsi="黑体" w:eastAsia="黑体"/>
          <w:snapToGrid w:val="0"/>
          <w:color w:val="auto"/>
          <w:sz w:val="36"/>
          <w:szCs w:val="36"/>
        </w:rPr>
        <w:sectPr>
          <w:pgSz w:w="11906" w:h="16838"/>
          <w:pgMar w:top="1701" w:right="1531" w:bottom="1701" w:left="1531" w:header="851" w:footer="1021" w:gutter="0"/>
          <w:cols w:space="720" w:num="1"/>
          <w:docGrid w:linePitch="312" w:charSpace="0"/>
        </w:sectPr>
      </w:pPr>
    </w:p>
    <w:p w14:paraId="4E9495B8">
      <w:pPr>
        <w:pStyle w:val="37"/>
        <w:jc w:val="center"/>
        <w:outlineLvl w:val="0"/>
        <w:rPr>
          <w:rFonts w:hint="eastAsia" w:ascii="黑体" w:hAnsi="黑体" w:eastAsia="黑体"/>
          <w:snapToGrid w:val="0"/>
          <w:color w:val="auto"/>
          <w:sz w:val="30"/>
          <w:szCs w:val="30"/>
        </w:rPr>
      </w:pPr>
      <w:bookmarkStart w:id="12" w:name="_Toc24591"/>
      <w:bookmarkStart w:id="13" w:name="_Toc186098079"/>
      <w:r>
        <w:rPr>
          <w:rFonts w:hint="eastAsia" w:ascii="黑体" w:hAnsi="黑体" w:eastAsia="黑体"/>
          <w:snapToGrid w:val="0"/>
          <w:color w:val="auto"/>
          <w:sz w:val="30"/>
          <w:szCs w:val="30"/>
        </w:rPr>
        <w:t>三、区域环境质量现状、环境保护目标及评价标准</w:t>
      </w:r>
      <w:bookmarkEnd w:id="12"/>
      <w:bookmarkEnd w:id="13"/>
    </w:p>
    <w:tbl>
      <w:tblPr>
        <w:tblStyle w:val="41"/>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499"/>
        <w:gridCol w:w="8491"/>
      </w:tblGrid>
      <w:tr w14:paraId="3C2DF8A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906" w:hRule="atLeast"/>
          <w:jc w:val="center"/>
        </w:trPr>
        <w:tc>
          <w:tcPr>
            <w:tcW w:w="499" w:type="dxa"/>
            <w:vAlign w:val="center"/>
          </w:tcPr>
          <w:p w14:paraId="32A74EB1">
            <w:pPr>
              <w:adjustRightInd w:val="0"/>
              <w:snapToGrid w:val="0"/>
              <w:jc w:val="center"/>
              <w:rPr>
                <w:rFonts w:cs="宋体"/>
                <w:color w:val="auto"/>
                <w:kern w:val="0"/>
                <w:szCs w:val="21"/>
              </w:rPr>
            </w:pPr>
            <w:r>
              <w:rPr>
                <w:rFonts w:hint="eastAsia" w:cs="宋体"/>
                <w:b/>
                <w:bCs/>
                <w:color w:val="auto"/>
                <w:kern w:val="0"/>
                <w:sz w:val="24"/>
                <w:szCs w:val="24"/>
              </w:rPr>
              <w:t>区域环境质量现状</w:t>
            </w:r>
          </w:p>
        </w:tc>
        <w:tc>
          <w:tcPr>
            <w:tcW w:w="8491" w:type="dxa"/>
          </w:tcPr>
          <w:p w14:paraId="245E8CA4">
            <w:pPr>
              <w:autoSpaceDE w:val="0"/>
              <w:autoSpaceDN w:val="0"/>
              <w:spacing w:line="360" w:lineRule="auto"/>
              <w:ind w:firstLine="482" w:firstLineChars="200"/>
              <w:rPr>
                <w:rFonts w:ascii="Times New Roman" w:hAnsi="Times New Roman"/>
                <w:b/>
                <w:bCs/>
                <w:color w:val="auto"/>
                <w:sz w:val="24"/>
                <w:highlight w:val="none"/>
              </w:rPr>
            </w:pPr>
            <w:r>
              <w:rPr>
                <w:rFonts w:ascii="Times New Roman" w:hAnsi="Times New Roman"/>
                <w:b/>
                <w:bCs/>
                <w:color w:val="auto"/>
                <w:sz w:val="24"/>
                <w:highlight w:val="none"/>
              </w:rPr>
              <w:t>1、环境空气质量现状调查与评价</w:t>
            </w:r>
          </w:p>
          <w:p w14:paraId="76D1A2C7">
            <w:pPr>
              <w:keepNext w:val="0"/>
              <w:keepLines w:val="0"/>
              <w:pageBreakBefore w:val="0"/>
              <w:widowControl w:val="0"/>
              <w:kinsoku/>
              <w:overflowPunct/>
              <w:topLinePunct w:val="0"/>
              <w:bidi w:val="0"/>
              <w:adjustRightInd w:val="0"/>
              <w:snapToGrid w:val="0"/>
              <w:spacing w:line="360" w:lineRule="auto"/>
              <w:ind w:firstLine="480" w:firstLineChars="200"/>
              <w:jc w:val="both"/>
              <w:textAlignment w:val="auto"/>
              <w:rPr>
                <w:rFonts w:ascii="Times New Roman" w:hAnsi="Times New Roman"/>
                <w:snapToGrid w:val="0"/>
                <w:color w:val="auto"/>
                <w:sz w:val="24"/>
                <w:highlight w:val="none"/>
              </w:rPr>
            </w:pPr>
            <w:r>
              <w:rPr>
                <w:rFonts w:hint="eastAsia" w:ascii="Times New Roman" w:hAnsi="Times New Roman"/>
                <w:color w:val="auto"/>
                <w:sz w:val="24"/>
                <w:szCs w:val="24"/>
                <w:highlight w:val="none"/>
              </w:rPr>
              <w:t>根据《建设项目环境影响报告表编制技术指南（污染影响类）（试行》要求，大气环境质量现状评价时，常规污染物引用与建设项目距离近的有效数据，包括近3年的规划环境影响评价的监测数据，国家、地方环境空气质量监测网数据或生态环境主管部门公开发布的质量数据等。排放国家、地方环境空气质量标准中有标准限值要求的特征污染物时，引用建设项目周边5千米范围内近3年的现有监测数据，无相关数据的选择当季主导风向下风向1个点位补充不少于3天的监测数据。根据建设项目所在环境功能区及适用的国家、地方环境质量标准，以及地方环境质量管理要求评价大气环境质量现状达标情况</w:t>
            </w:r>
            <w:r>
              <w:rPr>
                <w:rFonts w:ascii="Times New Roman" w:hAnsi="Times New Roman"/>
                <w:color w:val="auto"/>
                <w:sz w:val="24"/>
                <w:highlight w:val="none"/>
              </w:rPr>
              <w:t>。</w:t>
            </w:r>
          </w:p>
          <w:p w14:paraId="1AEDAD2E">
            <w:pPr>
              <w:pStyle w:val="119"/>
              <w:keepNext w:val="0"/>
              <w:keepLines w:val="0"/>
              <w:pageBreakBefore w:val="0"/>
              <w:widowControl w:val="0"/>
              <w:kinsoku/>
              <w:overflowPunct/>
              <w:topLinePunct w:val="0"/>
              <w:bidi w:val="0"/>
              <w:spacing w:line="360" w:lineRule="auto"/>
              <w:ind w:firstLineChars="200"/>
              <w:textAlignment w:val="auto"/>
              <w:rPr>
                <w:rFonts w:hint="default" w:ascii="Times New Roman" w:hAnsi="Times New Roman"/>
                <w:b/>
                <w:bCs/>
                <w:color w:val="auto"/>
                <w:sz w:val="24"/>
                <w:szCs w:val="24"/>
                <w:highlight w:val="none"/>
                <w:lang w:val="en-US" w:eastAsia="zh-CN"/>
              </w:rPr>
            </w:pPr>
            <w:r>
              <w:rPr>
                <w:rFonts w:hint="eastAsia" w:ascii="Times New Roman" w:hAnsi="Times New Roman"/>
                <w:b/>
                <w:bCs/>
                <w:color w:val="auto"/>
                <w:sz w:val="24"/>
                <w:szCs w:val="24"/>
                <w:highlight w:val="none"/>
                <w:lang w:val="en-US" w:eastAsia="zh-CN"/>
              </w:rPr>
              <w:t>（1）环境空气质量达标区判定</w:t>
            </w:r>
          </w:p>
          <w:p w14:paraId="5A38D4F4">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kern w:val="0"/>
                <w:sz w:val="24"/>
              </w:rPr>
            </w:pPr>
            <w:r>
              <w:rPr>
                <w:color w:val="auto"/>
                <w:kern w:val="0"/>
                <w:sz w:val="24"/>
              </w:rPr>
              <w:t>为了解项目所在区域环境空气质量状况，本次评价采用巴中市生态环境局于20</w:t>
            </w:r>
            <w:r>
              <w:rPr>
                <w:rFonts w:hint="eastAsia"/>
                <w:color w:val="auto"/>
                <w:kern w:val="0"/>
                <w:sz w:val="24"/>
                <w:lang w:val="en-US" w:eastAsia="zh-CN"/>
              </w:rPr>
              <w:t>26</w:t>
            </w:r>
            <w:r>
              <w:rPr>
                <w:color w:val="auto"/>
                <w:kern w:val="0"/>
                <w:sz w:val="24"/>
              </w:rPr>
              <w:t>年</w:t>
            </w:r>
            <w:r>
              <w:rPr>
                <w:rFonts w:hint="eastAsia"/>
                <w:color w:val="auto"/>
                <w:kern w:val="0"/>
                <w:sz w:val="24"/>
              </w:rPr>
              <w:t>6</w:t>
            </w:r>
            <w:r>
              <w:rPr>
                <w:color w:val="auto"/>
                <w:kern w:val="0"/>
                <w:sz w:val="24"/>
              </w:rPr>
              <w:t>月</w:t>
            </w:r>
            <w:r>
              <w:rPr>
                <w:rFonts w:hint="eastAsia"/>
                <w:color w:val="auto"/>
                <w:kern w:val="0"/>
                <w:sz w:val="24"/>
                <w:lang w:val="en-US" w:eastAsia="zh-CN"/>
              </w:rPr>
              <w:t>4</w:t>
            </w:r>
            <w:r>
              <w:rPr>
                <w:color w:val="auto"/>
                <w:kern w:val="0"/>
                <w:sz w:val="24"/>
              </w:rPr>
              <w:t>日发布的《</w:t>
            </w:r>
            <w:r>
              <w:rPr>
                <w:rFonts w:hint="eastAsia"/>
                <w:color w:val="auto"/>
                <w:kern w:val="0"/>
                <w:sz w:val="24"/>
                <w:lang w:val="en-US" w:eastAsia="zh-CN"/>
              </w:rPr>
              <w:t>2025巴中市生态环境状况公报</w:t>
            </w:r>
            <w:r>
              <w:rPr>
                <w:color w:val="auto"/>
                <w:kern w:val="0"/>
                <w:sz w:val="24"/>
              </w:rPr>
              <w:t>》相关数据</w:t>
            </w:r>
            <w:r>
              <w:rPr>
                <w:rFonts w:hint="default" w:ascii="Times New Roman" w:hAnsi="Times New Roman" w:eastAsia="宋体" w:cs="Times New Roman"/>
                <w:color w:val="auto"/>
                <w:kern w:val="0"/>
                <w:sz w:val="24"/>
              </w:rPr>
              <w:t>。</w:t>
            </w:r>
          </w:p>
          <w:p w14:paraId="0C882AAC">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kern w:val="0"/>
                <w:sz w:val="24"/>
              </w:rPr>
            </w:pPr>
            <w:r>
              <w:rPr>
                <w:rFonts w:cs="Times New Roman"/>
                <w:color w:val="auto"/>
                <w:sz w:val="24"/>
                <w:szCs w:val="24"/>
              </w:rPr>
              <w:t>本项目位于巴中市</w:t>
            </w:r>
            <w:r>
              <w:rPr>
                <w:rFonts w:hint="eastAsia" w:cs="Times New Roman"/>
                <w:color w:val="auto"/>
                <w:sz w:val="24"/>
                <w:szCs w:val="24"/>
                <w:lang w:val="en-US" w:eastAsia="zh-CN"/>
              </w:rPr>
              <w:t>经开区</w:t>
            </w:r>
            <w:r>
              <w:rPr>
                <w:rFonts w:cs="Times New Roman"/>
                <w:color w:val="auto"/>
                <w:sz w:val="24"/>
                <w:szCs w:val="24"/>
              </w:rPr>
              <w:t>，区域环境空气质量</w:t>
            </w:r>
            <w:r>
              <w:rPr>
                <w:rFonts w:hint="eastAsia" w:cs="Times New Roman"/>
                <w:color w:val="auto"/>
                <w:sz w:val="24"/>
                <w:szCs w:val="24"/>
                <w:lang w:eastAsia="zh-CN"/>
              </w:rPr>
              <w:t>现状</w:t>
            </w:r>
            <w:r>
              <w:rPr>
                <w:rFonts w:cs="Times New Roman"/>
                <w:color w:val="auto"/>
                <w:sz w:val="24"/>
                <w:szCs w:val="24"/>
              </w:rPr>
              <w:t>情况如下：</w:t>
            </w:r>
          </w:p>
          <w:p w14:paraId="51729304">
            <w:pPr>
              <w:pStyle w:val="4"/>
              <w:keepNext w:val="0"/>
              <w:keepLines w:val="0"/>
              <w:pageBreakBefore w:val="0"/>
              <w:widowControl/>
              <w:numPr>
                <w:ilvl w:val="0"/>
                <w:numId w:val="0"/>
              </w:numPr>
              <w:tabs>
                <w:tab w:val="left" w:pos="352"/>
              </w:tabs>
              <w:kinsoku/>
              <w:wordWrap/>
              <w:overflowPunct/>
              <w:topLinePunct w:val="0"/>
              <w:autoSpaceDE/>
              <w:autoSpaceDN/>
              <w:bidi w:val="0"/>
              <w:adjustRightInd w:val="0"/>
              <w:snapToGrid/>
              <w:spacing w:before="0" w:after="0" w:line="240" w:lineRule="auto"/>
              <w:ind w:left="0" w:leftChars="0" w:firstLine="0" w:firstLineChars="0"/>
              <w:jc w:val="center"/>
              <w:textAlignment w:val="baseline"/>
              <w:outlineLvl w:val="9"/>
              <w:rPr>
                <w:rFonts w:hint="default" w:ascii="Times New Roman" w:hAnsi="Times New Roman" w:eastAsia="宋体" w:cs="Times New Roman"/>
                <w:b/>
                <w:bCs w:val="0"/>
                <w:color w:val="auto"/>
                <w:sz w:val="21"/>
                <w:szCs w:val="21"/>
              </w:rPr>
            </w:pPr>
            <w:r>
              <w:rPr>
                <w:rFonts w:hint="default" w:ascii="Times New Roman" w:hAnsi="Times New Roman" w:eastAsia="宋体" w:cs="Times New Roman"/>
                <w:b/>
                <w:bCs w:val="0"/>
                <w:color w:val="auto"/>
                <w:sz w:val="21"/>
                <w:szCs w:val="21"/>
                <w:lang w:val="en-US" w:eastAsia="zh-CN"/>
              </w:rPr>
              <w:t>表3-</w:t>
            </w:r>
            <w:r>
              <w:rPr>
                <w:rFonts w:hint="eastAsia" w:ascii="Times New Roman" w:hAnsi="Times New Roman" w:cs="Times New Roman"/>
                <w:b/>
                <w:bCs w:val="0"/>
                <w:color w:val="auto"/>
                <w:sz w:val="21"/>
                <w:szCs w:val="21"/>
                <w:lang w:val="en-US" w:eastAsia="zh-CN"/>
              </w:rPr>
              <w:t>1</w:t>
            </w:r>
            <w:r>
              <w:rPr>
                <w:rFonts w:hint="default" w:ascii="Times New Roman" w:hAnsi="Times New Roman" w:eastAsia="宋体" w:cs="Times New Roman"/>
                <w:b/>
                <w:bCs w:val="0"/>
                <w:color w:val="auto"/>
                <w:sz w:val="21"/>
                <w:szCs w:val="21"/>
                <w:lang w:val="en-US" w:eastAsia="zh-CN"/>
              </w:rPr>
              <w:t xml:space="preserve"> </w:t>
            </w:r>
            <w:r>
              <w:rPr>
                <w:rFonts w:hint="default" w:ascii="Times New Roman" w:hAnsi="Times New Roman" w:eastAsia="宋体" w:cs="Times New Roman"/>
                <w:b/>
                <w:bCs w:val="0"/>
                <w:color w:val="auto"/>
                <w:sz w:val="21"/>
                <w:szCs w:val="21"/>
              </w:rPr>
              <w:t>202</w:t>
            </w:r>
            <w:r>
              <w:rPr>
                <w:rFonts w:hint="eastAsia" w:ascii="Times New Roman" w:hAnsi="Times New Roman" w:cs="Times New Roman"/>
                <w:b/>
                <w:bCs w:val="0"/>
                <w:color w:val="auto"/>
                <w:sz w:val="21"/>
                <w:szCs w:val="21"/>
                <w:lang w:val="en-US" w:eastAsia="zh-CN"/>
              </w:rPr>
              <w:t>4</w:t>
            </w:r>
            <w:r>
              <w:rPr>
                <w:rFonts w:hint="default" w:ascii="Times New Roman" w:hAnsi="Times New Roman" w:eastAsia="宋体" w:cs="Times New Roman"/>
                <w:b/>
                <w:bCs w:val="0"/>
                <w:color w:val="auto"/>
                <w:sz w:val="21"/>
                <w:szCs w:val="21"/>
              </w:rPr>
              <w:t>年巴中市环境空气质量主要污染物浓度评价表</w:t>
            </w:r>
          </w:p>
          <w:tbl>
            <w:tblPr>
              <w:tblStyle w:val="41"/>
              <w:tblW w:w="8316" w:type="dxa"/>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875"/>
              <w:gridCol w:w="2022"/>
              <w:gridCol w:w="1776"/>
              <w:gridCol w:w="1565"/>
              <w:gridCol w:w="1039"/>
              <w:gridCol w:w="1039"/>
            </w:tblGrid>
            <w:tr w14:paraId="5A4D553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48" w:hRule="atLeast"/>
                <w:jc w:val="center"/>
              </w:trPr>
              <w:tc>
                <w:tcPr>
                  <w:tcW w:w="526" w:type="pct"/>
                  <w:noWrap w:val="0"/>
                  <w:vAlign w:val="center"/>
                </w:tcPr>
                <w:p w14:paraId="7ED3F92E">
                  <w:pPr>
                    <w:pStyle w:val="16"/>
                    <w:overflowPunct w:val="0"/>
                    <w:autoSpaceDE w:val="0"/>
                    <w:autoSpaceDN w:val="0"/>
                    <w:snapToGrid/>
                    <w:spacing w:before="0" w:after="0" w:line="240" w:lineRule="auto"/>
                    <w:ind w:right="0"/>
                    <w:jc w:val="center"/>
                    <w:rPr>
                      <w:rFonts w:hint="default" w:ascii="Times New Roman" w:hAnsi="Times New Roman" w:eastAsia="宋体" w:cs="Times New Roman"/>
                      <w:b/>
                      <w:color w:val="auto"/>
                      <w:sz w:val="21"/>
                      <w:szCs w:val="21"/>
                    </w:rPr>
                  </w:pPr>
                  <w:r>
                    <w:rPr>
                      <w:rFonts w:hint="default" w:ascii="Times New Roman" w:hAnsi="Times New Roman" w:eastAsia="宋体" w:cs="Times New Roman"/>
                      <w:b/>
                      <w:color w:val="auto"/>
                      <w:sz w:val="21"/>
                      <w:szCs w:val="21"/>
                    </w:rPr>
                    <w:t>污染物</w:t>
                  </w:r>
                </w:p>
              </w:tc>
              <w:tc>
                <w:tcPr>
                  <w:tcW w:w="1215" w:type="pct"/>
                  <w:noWrap w:val="0"/>
                  <w:vAlign w:val="center"/>
                </w:tcPr>
                <w:p w14:paraId="3A9C4F68">
                  <w:pPr>
                    <w:pStyle w:val="16"/>
                    <w:overflowPunct w:val="0"/>
                    <w:autoSpaceDE w:val="0"/>
                    <w:autoSpaceDN w:val="0"/>
                    <w:snapToGrid/>
                    <w:spacing w:before="0" w:after="0" w:line="240" w:lineRule="auto"/>
                    <w:ind w:right="0"/>
                    <w:jc w:val="center"/>
                    <w:rPr>
                      <w:rFonts w:hint="default" w:ascii="Times New Roman" w:hAnsi="Times New Roman" w:eastAsia="宋体" w:cs="Times New Roman"/>
                      <w:b/>
                      <w:color w:val="auto"/>
                      <w:sz w:val="21"/>
                      <w:szCs w:val="21"/>
                    </w:rPr>
                  </w:pPr>
                  <w:r>
                    <w:rPr>
                      <w:rFonts w:hint="default" w:ascii="Times New Roman" w:hAnsi="Times New Roman" w:eastAsia="宋体" w:cs="Times New Roman"/>
                      <w:b/>
                      <w:color w:val="auto"/>
                      <w:sz w:val="21"/>
                      <w:szCs w:val="21"/>
                    </w:rPr>
                    <w:t>年评价指标</w:t>
                  </w:r>
                </w:p>
              </w:tc>
              <w:tc>
                <w:tcPr>
                  <w:tcW w:w="1067" w:type="pct"/>
                  <w:noWrap w:val="0"/>
                  <w:vAlign w:val="center"/>
                </w:tcPr>
                <w:p w14:paraId="44B4B0E5">
                  <w:pPr>
                    <w:pStyle w:val="16"/>
                    <w:overflowPunct w:val="0"/>
                    <w:autoSpaceDE w:val="0"/>
                    <w:autoSpaceDN w:val="0"/>
                    <w:snapToGrid/>
                    <w:spacing w:before="0" w:after="0" w:line="240" w:lineRule="auto"/>
                    <w:ind w:right="0"/>
                    <w:jc w:val="center"/>
                    <w:rPr>
                      <w:rFonts w:hint="default" w:ascii="Times New Roman" w:hAnsi="Times New Roman" w:eastAsia="宋体" w:cs="Times New Roman"/>
                      <w:b/>
                      <w:bCs w:val="0"/>
                      <w:color w:val="auto"/>
                      <w:sz w:val="21"/>
                      <w:szCs w:val="21"/>
                    </w:rPr>
                  </w:pPr>
                  <w:r>
                    <w:rPr>
                      <w:rFonts w:hint="default" w:ascii="Times New Roman" w:hAnsi="Times New Roman" w:eastAsia="宋体" w:cs="Times New Roman"/>
                      <w:b/>
                      <w:bCs w:val="0"/>
                      <w:color w:val="auto"/>
                      <w:sz w:val="21"/>
                      <w:szCs w:val="21"/>
                    </w:rPr>
                    <w:t>现状浓度</w:t>
                  </w:r>
                  <w:r>
                    <w:rPr>
                      <w:rFonts w:cs="Times New Roman"/>
                      <w:b/>
                      <w:bCs w:val="0"/>
                      <w:color w:val="auto"/>
                      <w:sz w:val="21"/>
                      <w:szCs w:val="21"/>
                    </w:rPr>
                    <w:t>（µg/m</w:t>
                  </w:r>
                  <w:r>
                    <w:rPr>
                      <w:rFonts w:cs="Times New Roman"/>
                      <w:b/>
                      <w:bCs w:val="0"/>
                      <w:color w:val="auto"/>
                      <w:sz w:val="21"/>
                      <w:szCs w:val="21"/>
                      <w:vertAlign w:val="superscript"/>
                    </w:rPr>
                    <w:t>3</w:t>
                  </w:r>
                  <w:r>
                    <w:rPr>
                      <w:rFonts w:cs="Times New Roman"/>
                      <w:b/>
                      <w:bCs w:val="0"/>
                      <w:color w:val="auto"/>
                      <w:sz w:val="21"/>
                      <w:szCs w:val="21"/>
                    </w:rPr>
                    <w:t>）</w:t>
                  </w:r>
                </w:p>
              </w:tc>
              <w:tc>
                <w:tcPr>
                  <w:tcW w:w="940" w:type="pct"/>
                  <w:noWrap w:val="0"/>
                  <w:vAlign w:val="center"/>
                </w:tcPr>
                <w:p w14:paraId="5E70BD77">
                  <w:pPr>
                    <w:pStyle w:val="16"/>
                    <w:overflowPunct w:val="0"/>
                    <w:autoSpaceDE w:val="0"/>
                    <w:autoSpaceDN w:val="0"/>
                    <w:snapToGrid/>
                    <w:spacing w:before="0" w:after="0" w:line="240" w:lineRule="auto"/>
                    <w:ind w:right="0"/>
                    <w:jc w:val="center"/>
                    <w:rPr>
                      <w:rFonts w:hint="default" w:ascii="Times New Roman" w:hAnsi="Times New Roman" w:eastAsia="宋体" w:cs="Times New Roman"/>
                      <w:b/>
                      <w:bCs w:val="0"/>
                      <w:color w:val="auto"/>
                      <w:sz w:val="21"/>
                      <w:szCs w:val="21"/>
                    </w:rPr>
                  </w:pPr>
                  <w:r>
                    <w:rPr>
                      <w:rFonts w:hint="default" w:ascii="Times New Roman" w:hAnsi="Times New Roman" w:eastAsia="宋体" w:cs="Times New Roman"/>
                      <w:b/>
                      <w:bCs w:val="0"/>
                      <w:color w:val="auto"/>
                      <w:sz w:val="21"/>
                      <w:szCs w:val="21"/>
                    </w:rPr>
                    <w:t>标准值</w:t>
                  </w:r>
                  <w:r>
                    <w:rPr>
                      <w:rFonts w:cs="Times New Roman"/>
                      <w:b/>
                      <w:bCs w:val="0"/>
                      <w:color w:val="auto"/>
                      <w:sz w:val="21"/>
                      <w:szCs w:val="21"/>
                    </w:rPr>
                    <w:t>（µg/m</w:t>
                  </w:r>
                  <w:r>
                    <w:rPr>
                      <w:rFonts w:cs="Times New Roman"/>
                      <w:b/>
                      <w:bCs w:val="0"/>
                      <w:color w:val="auto"/>
                      <w:sz w:val="21"/>
                      <w:szCs w:val="21"/>
                      <w:vertAlign w:val="superscript"/>
                    </w:rPr>
                    <w:t>3</w:t>
                  </w:r>
                  <w:r>
                    <w:rPr>
                      <w:rFonts w:cs="Times New Roman"/>
                      <w:b/>
                      <w:bCs w:val="0"/>
                      <w:color w:val="auto"/>
                      <w:sz w:val="21"/>
                      <w:szCs w:val="21"/>
                    </w:rPr>
                    <w:t>）</w:t>
                  </w:r>
                </w:p>
              </w:tc>
              <w:tc>
                <w:tcPr>
                  <w:tcW w:w="624" w:type="pct"/>
                  <w:noWrap w:val="0"/>
                  <w:vAlign w:val="center"/>
                </w:tcPr>
                <w:p w14:paraId="59F283B6">
                  <w:pPr>
                    <w:pStyle w:val="16"/>
                    <w:overflowPunct w:val="0"/>
                    <w:autoSpaceDE w:val="0"/>
                    <w:autoSpaceDN w:val="0"/>
                    <w:snapToGrid/>
                    <w:spacing w:before="0" w:after="0" w:line="240" w:lineRule="auto"/>
                    <w:ind w:right="0"/>
                    <w:jc w:val="center"/>
                    <w:rPr>
                      <w:rFonts w:hint="eastAsia" w:ascii="Times New Roman" w:hAnsi="Times New Roman" w:eastAsia="宋体" w:cs="Times New Roman"/>
                      <w:b/>
                      <w:bCs w:val="0"/>
                      <w:color w:val="auto"/>
                      <w:sz w:val="21"/>
                      <w:szCs w:val="21"/>
                      <w:lang w:val="en-US" w:eastAsia="zh-CN"/>
                    </w:rPr>
                  </w:pPr>
                  <w:r>
                    <w:rPr>
                      <w:rFonts w:hint="eastAsia" w:eastAsia="宋体" w:cs="Times New Roman"/>
                      <w:b/>
                      <w:bCs w:val="0"/>
                      <w:color w:val="auto"/>
                      <w:sz w:val="21"/>
                      <w:szCs w:val="21"/>
                      <w:lang w:val="en-US" w:eastAsia="zh-CN"/>
                    </w:rPr>
                    <w:t>占标率（%）</w:t>
                  </w:r>
                </w:p>
              </w:tc>
              <w:tc>
                <w:tcPr>
                  <w:tcW w:w="624" w:type="pct"/>
                  <w:noWrap w:val="0"/>
                  <w:vAlign w:val="center"/>
                </w:tcPr>
                <w:p w14:paraId="3B041175">
                  <w:pPr>
                    <w:pStyle w:val="16"/>
                    <w:overflowPunct w:val="0"/>
                    <w:autoSpaceDE w:val="0"/>
                    <w:autoSpaceDN w:val="0"/>
                    <w:snapToGrid/>
                    <w:spacing w:before="0" w:after="0" w:line="240" w:lineRule="auto"/>
                    <w:ind w:right="0"/>
                    <w:jc w:val="center"/>
                    <w:rPr>
                      <w:rFonts w:hint="default" w:ascii="Times New Roman" w:hAnsi="Times New Roman" w:eastAsia="宋体" w:cs="Times New Roman"/>
                      <w:b/>
                      <w:color w:val="auto"/>
                      <w:sz w:val="21"/>
                      <w:szCs w:val="21"/>
                    </w:rPr>
                  </w:pPr>
                  <w:r>
                    <w:rPr>
                      <w:rFonts w:hint="default" w:ascii="Times New Roman" w:hAnsi="Times New Roman" w:eastAsia="宋体" w:cs="Times New Roman"/>
                      <w:b/>
                      <w:color w:val="auto"/>
                      <w:sz w:val="21"/>
                      <w:szCs w:val="21"/>
                    </w:rPr>
                    <w:t>达标情况</w:t>
                  </w:r>
                </w:p>
              </w:tc>
            </w:tr>
            <w:tr w14:paraId="3E69B56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2" w:hRule="atLeast"/>
                <w:jc w:val="center"/>
              </w:trPr>
              <w:tc>
                <w:tcPr>
                  <w:tcW w:w="526" w:type="pct"/>
                  <w:noWrap w:val="0"/>
                  <w:vAlign w:val="center"/>
                </w:tcPr>
                <w:p w14:paraId="41E925FC">
                  <w:pPr>
                    <w:pStyle w:val="16"/>
                    <w:overflowPunct w:val="0"/>
                    <w:autoSpaceDE w:val="0"/>
                    <w:autoSpaceDN w:val="0"/>
                    <w:snapToGrid/>
                    <w:spacing w:before="0" w:after="0" w:line="240" w:lineRule="auto"/>
                    <w:ind w:right="0"/>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SO</w:t>
                  </w:r>
                  <w:r>
                    <w:rPr>
                      <w:rFonts w:hint="default" w:ascii="Times New Roman" w:hAnsi="Times New Roman" w:eastAsia="宋体" w:cs="Times New Roman"/>
                      <w:bCs/>
                      <w:color w:val="auto"/>
                      <w:sz w:val="21"/>
                      <w:szCs w:val="21"/>
                      <w:vertAlign w:val="subscript"/>
                    </w:rPr>
                    <w:t>2</w:t>
                  </w:r>
                </w:p>
              </w:tc>
              <w:tc>
                <w:tcPr>
                  <w:tcW w:w="1215" w:type="pct"/>
                  <w:noWrap w:val="0"/>
                  <w:vAlign w:val="center"/>
                </w:tcPr>
                <w:p w14:paraId="31C3F6C8">
                  <w:pPr>
                    <w:pStyle w:val="16"/>
                    <w:overflowPunct w:val="0"/>
                    <w:autoSpaceDE w:val="0"/>
                    <w:autoSpaceDN w:val="0"/>
                    <w:snapToGrid/>
                    <w:spacing w:before="0" w:after="0" w:line="240" w:lineRule="auto"/>
                    <w:ind w:right="0"/>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年平均质量浓度</w:t>
                  </w:r>
                </w:p>
              </w:tc>
              <w:tc>
                <w:tcPr>
                  <w:tcW w:w="1067" w:type="pct"/>
                  <w:noWrap w:val="0"/>
                  <w:vAlign w:val="center"/>
                </w:tcPr>
                <w:p w14:paraId="14BF2B49">
                  <w:pPr>
                    <w:pStyle w:val="16"/>
                    <w:overflowPunct w:val="0"/>
                    <w:autoSpaceDE w:val="0"/>
                    <w:autoSpaceDN w:val="0"/>
                    <w:snapToGrid/>
                    <w:spacing w:before="0" w:after="0" w:line="240" w:lineRule="auto"/>
                    <w:ind w:right="0"/>
                    <w:jc w:val="center"/>
                    <w:rPr>
                      <w:rFonts w:hint="default" w:ascii="Times New Roman" w:hAnsi="Times New Roman" w:eastAsia="宋体" w:cs="Times New Roman"/>
                      <w:bCs/>
                      <w:color w:val="auto"/>
                      <w:sz w:val="21"/>
                      <w:szCs w:val="21"/>
                      <w:lang w:val="en-US" w:eastAsia="zh-CN"/>
                    </w:rPr>
                  </w:pPr>
                  <w:r>
                    <w:rPr>
                      <w:rFonts w:hint="eastAsia" w:cs="Times New Roman"/>
                      <w:bCs/>
                      <w:color w:val="auto"/>
                      <w:sz w:val="21"/>
                      <w:szCs w:val="21"/>
                      <w:lang w:val="en-US" w:eastAsia="zh-CN"/>
                    </w:rPr>
                    <w:t>6.2</w:t>
                  </w:r>
                </w:p>
              </w:tc>
              <w:tc>
                <w:tcPr>
                  <w:tcW w:w="940" w:type="pct"/>
                  <w:noWrap w:val="0"/>
                  <w:vAlign w:val="center"/>
                </w:tcPr>
                <w:p w14:paraId="5A58DBC2">
                  <w:pPr>
                    <w:pStyle w:val="16"/>
                    <w:overflowPunct w:val="0"/>
                    <w:autoSpaceDE w:val="0"/>
                    <w:autoSpaceDN w:val="0"/>
                    <w:snapToGrid/>
                    <w:spacing w:before="0" w:after="0" w:line="240" w:lineRule="auto"/>
                    <w:ind w:right="0"/>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60</w:t>
                  </w:r>
                </w:p>
              </w:tc>
              <w:tc>
                <w:tcPr>
                  <w:tcW w:w="624" w:type="pct"/>
                  <w:noWrap w:val="0"/>
                  <w:vAlign w:val="center"/>
                </w:tcPr>
                <w:p w14:paraId="37BBF4F8">
                  <w:pPr>
                    <w:pStyle w:val="16"/>
                    <w:overflowPunct w:val="0"/>
                    <w:autoSpaceDE w:val="0"/>
                    <w:autoSpaceDN w:val="0"/>
                    <w:snapToGrid/>
                    <w:spacing w:before="0" w:after="0" w:line="240" w:lineRule="auto"/>
                    <w:ind w:right="0"/>
                    <w:jc w:val="center"/>
                    <w:rPr>
                      <w:rFonts w:hint="default" w:ascii="Times New Roman" w:hAnsi="Times New Roman" w:eastAsia="宋体" w:cs="Times New Roman"/>
                      <w:bCs/>
                      <w:color w:val="auto"/>
                      <w:sz w:val="21"/>
                      <w:szCs w:val="21"/>
                      <w:lang w:val="en-US" w:eastAsia="zh-CN"/>
                    </w:rPr>
                  </w:pPr>
                  <w:r>
                    <w:rPr>
                      <w:rFonts w:hint="eastAsia" w:cs="Times New Roman"/>
                      <w:bCs/>
                      <w:color w:val="auto"/>
                      <w:sz w:val="21"/>
                      <w:szCs w:val="21"/>
                      <w:lang w:val="en-US" w:eastAsia="zh-CN"/>
                    </w:rPr>
                    <w:t>10.3</w:t>
                  </w:r>
                </w:p>
              </w:tc>
              <w:tc>
                <w:tcPr>
                  <w:tcW w:w="624" w:type="pct"/>
                  <w:noWrap w:val="0"/>
                  <w:vAlign w:val="center"/>
                </w:tcPr>
                <w:p w14:paraId="61907894">
                  <w:pPr>
                    <w:pStyle w:val="16"/>
                    <w:overflowPunct w:val="0"/>
                    <w:autoSpaceDE w:val="0"/>
                    <w:autoSpaceDN w:val="0"/>
                    <w:snapToGrid/>
                    <w:spacing w:before="0" w:after="0" w:line="240" w:lineRule="auto"/>
                    <w:ind w:right="0"/>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达标</w:t>
                  </w:r>
                </w:p>
              </w:tc>
            </w:tr>
            <w:tr w14:paraId="2BB488A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2" w:hRule="atLeast"/>
                <w:jc w:val="center"/>
              </w:trPr>
              <w:tc>
                <w:tcPr>
                  <w:tcW w:w="526" w:type="pct"/>
                  <w:noWrap w:val="0"/>
                  <w:vAlign w:val="center"/>
                </w:tcPr>
                <w:p w14:paraId="720F6119">
                  <w:pPr>
                    <w:pStyle w:val="16"/>
                    <w:overflowPunct w:val="0"/>
                    <w:autoSpaceDE w:val="0"/>
                    <w:autoSpaceDN w:val="0"/>
                    <w:snapToGrid/>
                    <w:spacing w:before="0" w:after="0" w:line="240" w:lineRule="auto"/>
                    <w:ind w:right="0"/>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NO</w:t>
                  </w:r>
                  <w:r>
                    <w:rPr>
                      <w:rFonts w:hint="default" w:ascii="Times New Roman" w:hAnsi="Times New Roman" w:eastAsia="宋体" w:cs="Times New Roman"/>
                      <w:bCs/>
                      <w:color w:val="auto"/>
                      <w:sz w:val="21"/>
                      <w:szCs w:val="21"/>
                      <w:vertAlign w:val="subscript"/>
                    </w:rPr>
                    <w:t>2</w:t>
                  </w:r>
                </w:p>
              </w:tc>
              <w:tc>
                <w:tcPr>
                  <w:tcW w:w="1215" w:type="pct"/>
                  <w:noWrap w:val="0"/>
                  <w:vAlign w:val="center"/>
                </w:tcPr>
                <w:p w14:paraId="3FBC11B1">
                  <w:pPr>
                    <w:pStyle w:val="16"/>
                    <w:overflowPunct w:val="0"/>
                    <w:autoSpaceDE w:val="0"/>
                    <w:autoSpaceDN w:val="0"/>
                    <w:snapToGrid/>
                    <w:spacing w:before="0" w:after="0" w:line="240" w:lineRule="auto"/>
                    <w:ind w:right="0"/>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年平均质量浓度</w:t>
                  </w:r>
                </w:p>
              </w:tc>
              <w:tc>
                <w:tcPr>
                  <w:tcW w:w="1067" w:type="pct"/>
                  <w:noWrap w:val="0"/>
                  <w:vAlign w:val="center"/>
                </w:tcPr>
                <w:p w14:paraId="352A916D">
                  <w:pPr>
                    <w:pStyle w:val="16"/>
                    <w:overflowPunct w:val="0"/>
                    <w:autoSpaceDE w:val="0"/>
                    <w:autoSpaceDN w:val="0"/>
                    <w:snapToGrid/>
                    <w:spacing w:before="0" w:after="0" w:line="240" w:lineRule="auto"/>
                    <w:ind w:right="0"/>
                    <w:jc w:val="center"/>
                    <w:rPr>
                      <w:rFonts w:hint="default" w:ascii="Times New Roman" w:hAnsi="Times New Roman" w:eastAsia="宋体" w:cs="Times New Roman"/>
                      <w:bCs/>
                      <w:color w:val="auto"/>
                      <w:sz w:val="21"/>
                      <w:szCs w:val="21"/>
                      <w:lang w:val="en-US" w:eastAsia="zh-CN"/>
                    </w:rPr>
                  </w:pPr>
                  <w:r>
                    <w:rPr>
                      <w:rFonts w:hint="eastAsia" w:cs="Times New Roman"/>
                      <w:bCs/>
                      <w:color w:val="auto"/>
                      <w:sz w:val="21"/>
                      <w:szCs w:val="21"/>
                      <w:lang w:val="en-US" w:eastAsia="zh-CN"/>
                    </w:rPr>
                    <w:t>17.6</w:t>
                  </w:r>
                </w:p>
              </w:tc>
              <w:tc>
                <w:tcPr>
                  <w:tcW w:w="940" w:type="pct"/>
                  <w:noWrap w:val="0"/>
                  <w:vAlign w:val="center"/>
                </w:tcPr>
                <w:p w14:paraId="321FAB7F">
                  <w:pPr>
                    <w:pStyle w:val="16"/>
                    <w:overflowPunct w:val="0"/>
                    <w:autoSpaceDE w:val="0"/>
                    <w:autoSpaceDN w:val="0"/>
                    <w:snapToGrid/>
                    <w:spacing w:before="0" w:after="0" w:line="240" w:lineRule="auto"/>
                    <w:ind w:right="0"/>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40</w:t>
                  </w:r>
                </w:p>
              </w:tc>
              <w:tc>
                <w:tcPr>
                  <w:tcW w:w="624" w:type="pct"/>
                  <w:noWrap w:val="0"/>
                  <w:vAlign w:val="center"/>
                </w:tcPr>
                <w:p w14:paraId="00F97053">
                  <w:pPr>
                    <w:pStyle w:val="16"/>
                    <w:overflowPunct w:val="0"/>
                    <w:autoSpaceDE w:val="0"/>
                    <w:autoSpaceDN w:val="0"/>
                    <w:snapToGrid/>
                    <w:spacing w:before="0" w:after="0" w:line="240" w:lineRule="auto"/>
                    <w:ind w:right="0"/>
                    <w:jc w:val="center"/>
                    <w:rPr>
                      <w:rFonts w:hint="default" w:ascii="Times New Roman" w:hAnsi="Times New Roman" w:eastAsia="宋体" w:cs="Times New Roman"/>
                      <w:bCs/>
                      <w:color w:val="auto"/>
                      <w:sz w:val="21"/>
                      <w:szCs w:val="21"/>
                      <w:lang w:val="en-US" w:eastAsia="zh-CN"/>
                    </w:rPr>
                  </w:pPr>
                  <w:r>
                    <w:rPr>
                      <w:rFonts w:hint="eastAsia" w:cs="Times New Roman"/>
                      <w:bCs/>
                      <w:color w:val="auto"/>
                      <w:sz w:val="21"/>
                      <w:szCs w:val="21"/>
                      <w:lang w:val="en-US" w:eastAsia="zh-CN"/>
                    </w:rPr>
                    <w:t>44</w:t>
                  </w:r>
                </w:p>
              </w:tc>
              <w:tc>
                <w:tcPr>
                  <w:tcW w:w="624" w:type="pct"/>
                  <w:noWrap w:val="0"/>
                  <w:vAlign w:val="center"/>
                </w:tcPr>
                <w:p w14:paraId="779ACED0">
                  <w:pPr>
                    <w:pStyle w:val="16"/>
                    <w:overflowPunct w:val="0"/>
                    <w:autoSpaceDE w:val="0"/>
                    <w:autoSpaceDN w:val="0"/>
                    <w:snapToGrid/>
                    <w:spacing w:before="0" w:after="0" w:line="240" w:lineRule="auto"/>
                    <w:ind w:right="0"/>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达标</w:t>
                  </w:r>
                </w:p>
              </w:tc>
            </w:tr>
            <w:tr w14:paraId="68E8DA2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2" w:hRule="atLeast"/>
                <w:jc w:val="center"/>
              </w:trPr>
              <w:tc>
                <w:tcPr>
                  <w:tcW w:w="526" w:type="pct"/>
                  <w:noWrap w:val="0"/>
                  <w:vAlign w:val="center"/>
                </w:tcPr>
                <w:p w14:paraId="3B5D50A8">
                  <w:pPr>
                    <w:pStyle w:val="16"/>
                    <w:overflowPunct w:val="0"/>
                    <w:autoSpaceDE w:val="0"/>
                    <w:autoSpaceDN w:val="0"/>
                    <w:snapToGrid/>
                    <w:spacing w:before="0" w:after="0" w:line="240" w:lineRule="auto"/>
                    <w:ind w:right="0"/>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PM</w:t>
                  </w:r>
                  <w:r>
                    <w:rPr>
                      <w:rFonts w:hint="default" w:ascii="Times New Roman" w:hAnsi="Times New Roman" w:eastAsia="宋体" w:cs="Times New Roman"/>
                      <w:bCs/>
                      <w:color w:val="auto"/>
                      <w:sz w:val="21"/>
                      <w:szCs w:val="21"/>
                      <w:vertAlign w:val="subscript"/>
                    </w:rPr>
                    <w:t>10</w:t>
                  </w:r>
                </w:p>
              </w:tc>
              <w:tc>
                <w:tcPr>
                  <w:tcW w:w="1215" w:type="pct"/>
                  <w:noWrap w:val="0"/>
                  <w:vAlign w:val="center"/>
                </w:tcPr>
                <w:p w14:paraId="1542D51E">
                  <w:pPr>
                    <w:pStyle w:val="16"/>
                    <w:overflowPunct w:val="0"/>
                    <w:autoSpaceDE w:val="0"/>
                    <w:autoSpaceDN w:val="0"/>
                    <w:snapToGrid/>
                    <w:spacing w:before="0" w:after="0" w:line="240" w:lineRule="auto"/>
                    <w:ind w:right="0"/>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年平均质量浓度</w:t>
                  </w:r>
                </w:p>
              </w:tc>
              <w:tc>
                <w:tcPr>
                  <w:tcW w:w="1067" w:type="pct"/>
                  <w:noWrap w:val="0"/>
                  <w:vAlign w:val="center"/>
                </w:tcPr>
                <w:p w14:paraId="7F5C27D7">
                  <w:pPr>
                    <w:pStyle w:val="16"/>
                    <w:overflowPunct w:val="0"/>
                    <w:autoSpaceDE w:val="0"/>
                    <w:autoSpaceDN w:val="0"/>
                    <w:snapToGrid/>
                    <w:spacing w:before="0" w:after="0" w:line="240" w:lineRule="auto"/>
                    <w:ind w:right="0"/>
                    <w:jc w:val="center"/>
                    <w:rPr>
                      <w:rFonts w:hint="default" w:ascii="Times New Roman" w:hAnsi="Times New Roman" w:eastAsia="宋体" w:cs="Times New Roman"/>
                      <w:bCs/>
                      <w:color w:val="auto"/>
                      <w:sz w:val="21"/>
                      <w:szCs w:val="21"/>
                      <w:lang w:val="en-US" w:eastAsia="zh-CN"/>
                    </w:rPr>
                  </w:pPr>
                  <w:r>
                    <w:rPr>
                      <w:rFonts w:hint="eastAsia" w:cs="Times New Roman"/>
                      <w:bCs/>
                      <w:color w:val="auto"/>
                      <w:sz w:val="21"/>
                      <w:szCs w:val="21"/>
                      <w:lang w:val="en-US" w:eastAsia="zh-CN"/>
                    </w:rPr>
                    <w:t>40.9</w:t>
                  </w:r>
                </w:p>
              </w:tc>
              <w:tc>
                <w:tcPr>
                  <w:tcW w:w="940" w:type="pct"/>
                  <w:noWrap w:val="0"/>
                  <w:vAlign w:val="center"/>
                </w:tcPr>
                <w:p w14:paraId="1A012DCA">
                  <w:pPr>
                    <w:pStyle w:val="16"/>
                    <w:overflowPunct w:val="0"/>
                    <w:autoSpaceDE w:val="0"/>
                    <w:autoSpaceDN w:val="0"/>
                    <w:snapToGrid/>
                    <w:spacing w:before="0" w:after="0" w:line="240" w:lineRule="auto"/>
                    <w:ind w:right="0"/>
                    <w:jc w:val="center"/>
                    <w:rPr>
                      <w:rFonts w:hint="default" w:ascii="Times New Roman" w:hAnsi="Times New Roman" w:eastAsia="宋体" w:cs="Times New Roman"/>
                      <w:bCs/>
                      <w:color w:val="auto"/>
                      <w:sz w:val="21"/>
                      <w:szCs w:val="21"/>
                      <w:lang w:val="en-US" w:eastAsia="zh-CN"/>
                    </w:rPr>
                  </w:pPr>
                  <w:r>
                    <w:rPr>
                      <w:rFonts w:hint="eastAsia" w:cs="Times New Roman"/>
                      <w:bCs/>
                      <w:color w:val="auto"/>
                      <w:sz w:val="21"/>
                      <w:szCs w:val="21"/>
                      <w:lang w:val="en-US" w:eastAsia="zh-CN"/>
                    </w:rPr>
                    <w:t>60</w:t>
                  </w:r>
                </w:p>
              </w:tc>
              <w:tc>
                <w:tcPr>
                  <w:tcW w:w="624" w:type="pct"/>
                  <w:noWrap w:val="0"/>
                  <w:vAlign w:val="center"/>
                </w:tcPr>
                <w:p w14:paraId="1126A496">
                  <w:pPr>
                    <w:pStyle w:val="16"/>
                    <w:overflowPunct w:val="0"/>
                    <w:autoSpaceDE w:val="0"/>
                    <w:autoSpaceDN w:val="0"/>
                    <w:snapToGrid/>
                    <w:spacing w:before="0" w:after="0" w:line="240" w:lineRule="auto"/>
                    <w:ind w:right="0"/>
                    <w:jc w:val="center"/>
                    <w:rPr>
                      <w:rFonts w:hint="default" w:ascii="Times New Roman" w:hAnsi="Times New Roman" w:eastAsia="宋体" w:cs="Times New Roman"/>
                      <w:bCs/>
                      <w:color w:val="auto"/>
                      <w:sz w:val="21"/>
                      <w:szCs w:val="21"/>
                      <w:lang w:val="en-US" w:eastAsia="zh-CN"/>
                    </w:rPr>
                  </w:pPr>
                  <w:r>
                    <w:rPr>
                      <w:rFonts w:hint="eastAsia" w:cs="Times New Roman"/>
                      <w:bCs/>
                      <w:color w:val="auto"/>
                      <w:sz w:val="21"/>
                      <w:szCs w:val="21"/>
                      <w:lang w:val="en-US" w:eastAsia="zh-CN"/>
                    </w:rPr>
                    <w:t>68.17</w:t>
                  </w:r>
                </w:p>
              </w:tc>
              <w:tc>
                <w:tcPr>
                  <w:tcW w:w="624" w:type="pct"/>
                  <w:noWrap w:val="0"/>
                  <w:vAlign w:val="center"/>
                </w:tcPr>
                <w:p w14:paraId="05C1CFDB">
                  <w:pPr>
                    <w:pStyle w:val="16"/>
                    <w:overflowPunct w:val="0"/>
                    <w:autoSpaceDE w:val="0"/>
                    <w:autoSpaceDN w:val="0"/>
                    <w:snapToGrid/>
                    <w:spacing w:before="0" w:after="0" w:line="240" w:lineRule="auto"/>
                    <w:ind w:right="0"/>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达标</w:t>
                  </w:r>
                </w:p>
              </w:tc>
            </w:tr>
            <w:tr w14:paraId="5BC8946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2" w:hRule="atLeast"/>
                <w:jc w:val="center"/>
              </w:trPr>
              <w:tc>
                <w:tcPr>
                  <w:tcW w:w="526" w:type="pct"/>
                  <w:noWrap w:val="0"/>
                  <w:vAlign w:val="center"/>
                </w:tcPr>
                <w:p w14:paraId="0B854539">
                  <w:pPr>
                    <w:pStyle w:val="16"/>
                    <w:overflowPunct w:val="0"/>
                    <w:autoSpaceDE w:val="0"/>
                    <w:autoSpaceDN w:val="0"/>
                    <w:snapToGrid/>
                    <w:spacing w:before="0" w:after="0" w:line="240" w:lineRule="auto"/>
                    <w:ind w:right="0"/>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PM</w:t>
                  </w:r>
                  <w:r>
                    <w:rPr>
                      <w:rFonts w:hint="default" w:ascii="Times New Roman" w:hAnsi="Times New Roman" w:eastAsia="宋体" w:cs="Times New Roman"/>
                      <w:bCs/>
                      <w:color w:val="auto"/>
                      <w:sz w:val="21"/>
                      <w:szCs w:val="21"/>
                      <w:vertAlign w:val="subscript"/>
                    </w:rPr>
                    <w:t>2.5</w:t>
                  </w:r>
                </w:p>
              </w:tc>
              <w:tc>
                <w:tcPr>
                  <w:tcW w:w="1215" w:type="pct"/>
                  <w:noWrap w:val="0"/>
                  <w:vAlign w:val="center"/>
                </w:tcPr>
                <w:p w14:paraId="35EAC303">
                  <w:pPr>
                    <w:pStyle w:val="16"/>
                    <w:overflowPunct w:val="0"/>
                    <w:autoSpaceDE w:val="0"/>
                    <w:autoSpaceDN w:val="0"/>
                    <w:snapToGrid/>
                    <w:spacing w:before="0" w:after="0" w:line="240" w:lineRule="auto"/>
                    <w:ind w:right="0"/>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年平均质量浓度</w:t>
                  </w:r>
                </w:p>
              </w:tc>
              <w:tc>
                <w:tcPr>
                  <w:tcW w:w="1067" w:type="pct"/>
                  <w:noWrap w:val="0"/>
                  <w:vAlign w:val="center"/>
                </w:tcPr>
                <w:p w14:paraId="0FA78CAC">
                  <w:pPr>
                    <w:pStyle w:val="16"/>
                    <w:overflowPunct w:val="0"/>
                    <w:autoSpaceDE w:val="0"/>
                    <w:autoSpaceDN w:val="0"/>
                    <w:snapToGrid/>
                    <w:spacing w:before="0" w:after="0" w:line="240" w:lineRule="auto"/>
                    <w:ind w:right="0"/>
                    <w:jc w:val="center"/>
                    <w:rPr>
                      <w:rFonts w:hint="default" w:ascii="Times New Roman" w:hAnsi="Times New Roman" w:eastAsia="宋体" w:cs="Times New Roman"/>
                      <w:bCs/>
                      <w:color w:val="auto"/>
                      <w:sz w:val="21"/>
                      <w:szCs w:val="21"/>
                      <w:lang w:val="en-US" w:eastAsia="zh-CN"/>
                    </w:rPr>
                  </w:pPr>
                  <w:r>
                    <w:rPr>
                      <w:rFonts w:hint="eastAsia" w:cs="Times New Roman"/>
                      <w:bCs/>
                      <w:color w:val="auto"/>
                      <w:sz w:val="21"/>
                      <w:szCs w:val="21"/>
                      <w:lang w:val="en-US" w:eastAsia="zh-CN"/>
                    </w:rPr>
                    <w:t>27.8</w:t>
                  </w:r>
                </w:p>
              </w:tc>
              <w:tc>
                <w:tcPr>
                  <w:tcW w:w="940" w:type="pct"/>
                  <w:noWrap w:val="0"/>
                  <w:vAlign w:val="center"/>
                </w:tcPr>
                <w:p w14:paraId="1148319C">
                  <w:pPr>
                    <w:pStyle w:val="16"/>
                    <w:overflowPunct w:val="0"/>
                    <w:autoSpaceDE w:val="0"/>
                    <w:autoSpaceDN w:val="0"/>
                    <w:snapToGrid/>
                    <w:spacing w:before="0" w:after="0" w:line="240" w:lineRule="auto"/>
                    <w:ind w:right="0"/>
                    <w:jc w:val="center"/>
                    <w:rPr>
                      <w:rFonts w:hint="default" w:ascii="Times New Roman" w:hAnsi="Times New Roman" w:eastAsia="宋体" w:cs="Times New Roman"/>
                      <w:bCs/>
                      <w:color w:val="auto"/>
                      <w:sz w:val="21"/>
                      <w:szCs w:val="21"/>
                      <w:lang w:val="en-US" w:eastAsia="zh-CN"/>
                    </w:rPr>
                  </w:pPr>
                  <w:r>
                    <w:rPr>
                      <w:rFonts w:hint="eastAsia" w:cs="Times New Roman"/>
                      <w:bCs/>
                      <w:color w:val="auto"/>
                      <w:sz w:val="21"/>
                      <w:szCs w:val="21"/>
                      <w:lang w:val="en-US" w:eastAsia="zh-CN"/>
                    </w:rPr>
                    <w:t>30</w:t>
                  </w:r>
                </w:p>
              </w:tc>
              <w:tc>
                <w:tcPr>
                  <w:tcW w:w="624" w:type="pct"/>
                  <w:noWrap w:val="0"/>
                  <w:vAlign w:val="center"/>
                </w:tcPr>
                <w:p w14:paraId="47FC9268">
                  <w:pPr>
                    <w:pStyle w:val="16"/>
                    <w:overflowPunct w:val="0"/>
                    <w:autoSpaceDE w:val="0"/>
                    <w:autoSpaceDN w:val="0"/>
                    <w:snapToGrid/>
                    <w:spacing w:before="0" w:after="0" w:line="240" w:lineRule="auto"/>
                    <w:ind w:right="0"/>
                    <w:jc w:val="center"/>
                    <w:rPr>
                      <w:rFonts w:hint="default" w:ascii="Times New Roman" w:hAnsi="Times New Roman" w:eastAsia="宋体" w:cs="Times New Roman"/>
                      <w:bCs/>
                      <w:color w:val="auto"/>
                      <w:sz w:val="21"/>
                      <w:szCs w:val="21"/>
                      <w:lang w:val="en-US" w:eastAsia="zh-CN"/>
                    </w:rPr>
                  </w:pPr>
                  <w:r>
                    <w:rPr>
                      <w:rFonts w:hint="eastAsia" w:cs="Times New Roman"/>
                      <w:bCs/>
                      <w:color w:val="auto"/>
                      <w:sz w:val="21"/>
                      <w:szCs w:val="21"/>
                      <w:lang w:val="en-US" w:eastAsia="zh-CN"/>
                    </w:rPr>
                    <w:t>92.67</w:t>
                  </w:r>
                </w:p>
              </w:tc>
              <w:tc>
                <w:tcPr>
                  <w:tcW w:w="624" w:type="pct"/>
                  <w:noWrap w:val="0"/>
                  <w:vAlign w:val="center"/>
                </w:tcPr>
                <w:p w14:paraId="5E66475B">
                  <w:pPr>
                    <w:pStyle w:val="16"/>
                    <w:overflowPunct w:val="0"/>
                    <w:autoSpaceDE w:val="0"/>
                    <w:autoSpaceDN w:val="0"/>
                    <w:snapToGrid/>
                    <w:spacing w:before="0" w:after="0" w:line="240" w:lineRule="auto"/>
                    <w:ind w:right="0"/>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达标</w:t>
                  </w:r>
                </w:p>
              </w:tc>
            </w:tr>
            <w:tr w14:paraId="0D4C5E2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2" w:hRule="atLeast"/>
                <w:jc w:val="center"/>
              </w:trPr>
              <w:tc>
                <w:tcPr>
                  <w:tcW w:w="526" w:type="pct"/>
                  <w:noWrap w:val="0"/>
                  <w:vAlign w:val="center"/>
                </w:tcPr>
                <w:p w14:paraId="21A0DF2E">
                  <w:pPr>
                    <w:pStyle w:val="16"/>
                    <w:overflowPunct w:val="0"/>
                    <w:autoSpaceDE w:val="0"/>
                    <w:autoSpaceDN w:val="0"/>
                    <w:snapToGrid/>
                    <w:spacing w:before="0" w:after="0" w:line="240" w:lineRule="auto"/>
                    <w:ind w:right="0"/>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CO</w:t>
                  </w:r>
                </w:p>
              </w:tc>
              <w:tc>
                <w:tcPr>
                  <w:tcW w:w="1215" w:type="pct"/>
                  <w:noWrap w:val="0"/>
                  <w:vAlign w:val="center"/>
                </w:tcPr>
                <w:p w14:paraId="1677035C">
                  <w:pPr>
                    <w:pStyle w:val="16"/>
                    <w:overflowPunct w:val="0"/>
                    <w:autoSpaceDE w:val="0"/>
                    <w:autoSpaceDN w:val="0"/>
                    <w:snapToGrid/>
                    <w:spacing w:before="0" w:after="0" w:line="240" w:lineRule="auto"/>
                    <w:ind w:right="0"/>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日均第95百分位数</w:t>
                  </w:r>
                </w:p>
              </w:tc>
              <w:tc>
                <w:tcPr>
                  <w:tcW w:w="1067" w:type="pct"/>
                  <w:noWrap w:val="0"/>
                  <w:vAlign w:val="center"/>
                </w:tcPr>
                <w:p w14:paraId="0DC28A17">
                  <w:pPr>
                    <w:pStyle w:val="16"/>
                    <w:overflowPunct w:val="0"/>
                    <w:autoSpaceDE w:val="0"/>
                    <w:autoSpaceDN w:val="0"/>
                    <w:snapToGrid/>
                    <w:spacing w:before="0" w:after="0" w:line="240" w:lineRule="auto"/>
                    <w:ind w:right="0"/>
                    <w:jc w:val="center"/>
                    <w:rPr>
                      <w:rFonts w:hint="default" w:ascii="Times New Roman" w:hAnsi="Times New Roman" w:eastAsia="宋体" w:cs="Times New Roman"/>
                      <w:bCs/>
                      <w:color w:val="auto"/>
                      <w:sz w:val="21"/>
                      <w:szCs w:val="21"/>
                    </w:rPr>
                  </w:pPr>
                  <w:r>
                    <w:rPr>
                      <w:rFonts w:hint="eastAsia" w:cs="Times New Roman"/>
                      <w:bCs/>
                      <w:color w:val="auto"/>
                      <w:sz w:val="21"/>
                      <w:szCs w:val="21"/>
                      <w:lang w:val="en-US" w:eastAsia="zh-CN"/>
                    </w:rPr>
                    <w:t>0.1</w:t>
                  </w:r>
                  <w:r>
                    <w:rPr>
                      <w:rFonts w:hint="default" w:ascii="Times New Roman" w:hAnsi="Times New Roman" w:eastAsia="宋体" w:cs="Times New Roman"/>
                      <w:bCs/>
                      <w:color w:val="auto"/>
                      <w:sz w:val="21"/>
                      <w:szCs w:val="21"/>
                    </w:rPr>
                    <w:t>mg/m</w:t>
                  </w:r>
                  <w:r>
                    <w:rPr>
                      <w:rFonts w:hint="default" w:ascii="Times New Roman" w:hAnsi="Times New Roman" w:eastAsia="宋体" w:cs="Times New Roman"/>
                      <w:bCs/>
                      <w:color w:val="auto"/>
                      <w:sz w:val="21"/>
                      <w:szCs w:val="21"/>
                      <w:vertAlign w:val="superscript"/>
                    </w:rPr>
                    <w:t>3</w:t>
                  </w:r>
                </w:p>
              </w:tc>
              <w:tc>
                <w:tcPr>
                  <w:tcW w:w="940" w:type="pct"/>
                  <w:noWrap w:val="0"/>
                  <w:vAlign w:val="center"/>
                </w:tcPr>
                <w:p w14:paraId="4EE8F835">
                  <w:pPr>
                    <w:pStyle w:val="16"/>
                    <w:overflowPunct w:val="0"/>
                    <w:autoSpaceDE w:val="0"/>
                    <w:autoSpaceDN w:val="0"/>
                    <w:snapToGrid/>
                    <w:spacing w:before="0" w:after="0" w:line="240" w:lineRule="auto"/>
                    <w:ind w:right="0"/>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4mg/m</w:t>
                  </w:r>
                  <w:r>
                    <w:rPr>
                      <w:rFonts w:hint="default" w:ascii="Times New Roman" w:hAnsi="Times New Roman" w:eastAsia="宋体" w:cs="Times New Roman"/>
                      <w:bCs/>
                      <w:color w:val="auto"/>
                      <w:sz w:val="21"/>
                      <w:szCs w:val="21"/>
                      <w:vertAlign w:val="superscript"/>
                    </w:rPr>
                    <w:t>3</w:t>
                  </w:r>
                </w:p>
              </w:tc>
              <w:tc>
                <w:tcPr>
                  <w:tcW w:w="624" w:type="pct"/>
                  <w:noWrap w:val="0"/>
                  <w:vAlign w:val="center"/>
                </w:tcPr>
                <w:p w14:paraId="50C022A6">
                  <w:pPr>
                    <w:pStyle w:val="16"/>
                    <w:overflowPunct w:val="0"/>
                    <w:autoSpaceDE w:val="0"/>
                    <w:autoSpaceDN w:val="0"/>
                    <w:snapToGrid/>
                    <w:spacing w:before="0" w:after="0" w:line="240" w:lineRule="auto"/>
                    <w:ind w:right="0"/>
                    <w:jc w:val="center"/>
                    <w:rPr>
                      <w:rFonts w:hint="default" w:ascii="Times New Roman" w:hAnsi="Times New Roman" w:eastAsia="宋体" w:cs="Times New Roman"/>
                      <w:bCs/>
                      <w:color w:val="auto"/>
                      <w:sz w:val="21"/>
                      <w:szCs w:val="21"/>
                      <w:lang w:val="en-US" w:eastAsia="zh-CN"/>
                    </w:rPr>
                  </w:pPr>
                  <w:r>
                    <w:rPr>
                      <w:rFonts w:hint="eastAsia" w:cs="Times New Roman"/>
                      <w:bCs/>
                      <w:color w:val="auto"/>
                      <w:sz w:val="21"/>
                      <w:szCs w:val="21"/>
                      <w:lang w:val="en-US" w:eastAsia="zh-CN"/>
                    </w:rPr>
                    <w:t>2.5</w:t>
                  </w:r>
                </w:p>
              </w:tc>
              <w:tc>
                <w:tcPr>
                  <w:tcW w:w="624" w:type="pct"/>
                  <w:noWrap w:val="0"/>
                  <w:vAlign w:val="center"/>
                </w:tcPr>
                <w:p w14:paraId="7824A5C7">
                  <w:pPr>
                    <w:pStyle w:val="16"/>
                    <w:overflowPunct w:val="0"/>
                    <w:autoSpaceDE w:val="0"/>
                    <w:autoSpaceDN w:val="0"/>
                    <w:snapToGrid/>
                    <w:spacing w:before="0" w:after="0" w:line="240" w:lineRule="auto"/>
                    <w:ind w:right="0"/>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达标</w:t>
                  </w:r>
                </w:p>
              </w:tc>
            </w:tr>
            <w:tr w14:paraId="1562687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1" w:hRule="atLeast"/>
                <w:jc w:val="center"/>
              </w:trPr>
              <w:tc>
                <w:tcPr>
                  <w:tcW w:w="526" w:type="pct"/>
                  <w:noWrap w:val="0"/>
                  <w:vAlign w:val="center"/>
                </w:tcPr>
                <w:p w14:paraId="657EF570">
                  <w:pPr>
                    <w:pStyle w:val="16"/>
                    <w:overflowPunct w:val="0"/>
                    <w:autoSpaceDE w:val="0"/>
                    <w:autoSpaceDN w:val="0"/>
                    <w:snapToGrid/>
                    <w:spacing w:before="0" w:after="0" w:line="240" w:lineRule="auto"/>
                    <w:ind w:right="0"/>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O</w:t>
                  </w:r>
                  <w:r>
                    <w:rPr>
                      <w:rFonts w:hint="default" w:ascii="Times New Roman" w:hAnsi="Times New Roman" w:eastAsia="宋体" w:cs="Times New Roman"/>
                      <w:bCs/>
                      <w:color w:val="auto"/>
                      <w:sz w:val="21"/>
                      <w:szCs w:val="21"/>
                      <w:vertAlign w:val="subscript"/>
                    </w:rPr>
                    <w:t>3</w:t>
                  </w:r>
                </w:p>
              </w:tc>
              <w:tc>
                <w:tcPr>
                  <w:tcW w:w="1215" w:type="pct"/>
                  <w:noWrap w:val="0"/>
                  <w:vAlign w:val="center"/>
                </w:tcPr>
                <w:p w14:paraId="4C98CB43">
                  <w:pPr>
                    <w:pStyle w:val="16"/>
                    <w:overflowPunct w:val="0"/>
                    <w:autoSpaceDE w:val="0"/>
                    <w:autoSpaceDN w:val="0"/>
                    <w:snapToGrid/>
                    <w:spacing w:before="0" w:after="0" w:line="240" w:lineRule="auto"/>
                    <w:ind w:right="0"/>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日最大8小时均值</w:t>
                  </w:r>
                </w:p>
              </w:tc>
              <w:tc>
                <w:tcPr>
                  <w:tcW w:w="1067" w:type="pct"/>
                  <w:noWrap w:val="0"/>
                  <w:vAlign w:val="center"/>
                </w:tcPr>
                <w:p w14:paraId="2F69D669">
                  <w:pPr>
                    <w:pStyle w:val="16"/>
                    <w:overflowPunct w:val="0"/>
                    <w:autoSpaceDE w:val="0"/>
                    <w:autoSpaceDN w:val="0"/>
                    <w:snapToGrid/>
                    <w:spacing w:before="0" w:after="0" w:line="240" w:lineRule="auto"/>
                    <w:ind w:right="0"/>
                    <w:jc w:val="center"/>
                    <w:rPr>
                      <w:rFonts w:hint="default" w:ascii="Times New Roman" w:hAnsi="Times New Roman" w:eastAsia="宋体" w:cs="Times New Roman"/>
                      <w:bCs/>
                      <w:color w:val="auto"/>
                      <w:sz w:val="21"/>
                      <w:szCs w:val="21"/>
                      <w:lang w:val="en-US" w:eastAsia="zh-CN"/>
                    </w:rPr>
                  </w:pPr>
                  <w:r>
                    <w:rPr>
                      <w:rFonts w:hint="eastAsia" w:cs="Times New Roman"/>
                      <w:bCs/>
                      <w:color w:val="auto"/>
                      <w:sz w:val="21"/>
                      <w:szCs w:val="21"/>
                      <w:lang w:val="en-US" w:eastAsia="zh-CN"/>
                    </w:rPr>
                    <w:t>131.0</w:t>
                  </w:r>
                </w:p>
              </w:tc>
              <w:tc>
                <w:tcPr>
                  <w:tcW w:w="940" w:type="pct"/>
                  <w:noWrap w:val="0"/>
                  <w:vAlign w:val="center"/>
                </w:tcPr>
                <w:p w14:paraId="45F324AC">
                  <w:pPr>
                    <w:pStyle w:val="16"/>
                    <w:overflowPunct w:val="0"/>
                    <w:autoSpaceDE w:val="0"/>
                    <w:autoSpaceDN w:val="0"/>
                    <w:snapToGrid/>
                    <w:spacing w:before="0" w:after="0" w:line="240" w:lineRule="auto"/>
                    <w:ind w:right="0"/>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160</w:t>
                  </w:r>
                </w:p>
              </w:tc>
              <w:tc>
                <w:tcPr>
                  <w:tcW w:w="624" w:type="pct"/>
                  <w:noWrap w:val="0"/>
                  <w:vAlign w:val="center"/>
                </w:tcPr>
                <w:p w14:paraId="772627E3">
                  <w:pPr>
                    <w:pStyle w:val="16"/>
                    <w:overflowPunct w:val="0"/>
                    <w:autoSpaceDE w:val="0"/>
                    <w:autoSpaceDN w:val="0"/>
                    <w:snapToGrid/>
                    <w:spacing w:before="0" w:after="0" w:line="240" w:lineRule="auto"/>
                    <w:ind w:right="0"/>
                    <w:jc w:val="center"/>
                    <w:rPr>
                      <w:rFonts w:hint="default" w:ascii="Times New Roman" w:hAnsi="Times New Roman" w:eastAsia="宋体" w:cs="Times New Roman"/>
                      <w:bCs/>
                      <w:color w:val="auto"/>
                      <w:sz w:val="21"/>
                      <w:szCs w:val="21"/>
                      <w:lang w:val="en-US" w:eastAsia="zh-CN"/>
                    </w:rPr>
                  </w:pPr>
                  <w:r>
                    <w:rPr>
                      <w:rFonts w:hint="eastAsia" w:cs="Times New Roman"/>
                      <w:bCs/>
                      <w:color w:val="auto"/>
                      <w:sz w:val="21"/>
                      <w:szCs w:val="21"/>
                      <w:lang w:val="en-US" w:eastAsia="zh-CN"/>
                    </w:rPr>
                    <w:t>81.88</w:t>
                  </w:r>
                </w:p>
              </w:tc>
              <w:tc>
                <w:tcPr>
                  <w:tcW w:w="624" w:type="pct"/>
                  <w:noWrap w:val="0"/>
                  <w:vAlign w:val="center"/>
                </w:tcPr>
                <w:p w14:paraId="34E257DA">
                  <w:pPr>
                    <w:pStyle w:val="16"/>
                    <w:overflowPunct w:val="0"/>
                    <w:autoSpaceDE w:val="0"/>
                    <w:autoSpaceDN w:val="0"/>
                    <w:snapToGrid/>
                    <w:spacing w:before="0" w:after="0" w:line="240" w:lineRule="auto"/>
                    <w:ind w:right="0"/>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达标</w:t>
                  </w:r>
                </w:p>
              </w:tc>
            </w:tr>
          </w:tbl>
          <w:p w14:paraId="5E041B85">
            <w:pPr>
              <w:spacing w:line="360" w:lineRule="auto"/>
              <w:ind w:firstLine="480" w:firstLineChars="200"/>
              <w:rPr>
                <w:rFonts w:hint="default" w:ascii="Times New Roman" w:hAnsi="Times New Roman" w:cs="Times New Roman"/>
                <w:color w:val="auto"/>
                <w:sz w:val="24"/>
                <w:szCs w:val="24"/>
              </w:rPr>
            </w:pPr>
            <w:r>
              <w:rPr>
                <w:rFonts w:hint="default" w:ascii="Times New Roman" w:hAnsi="Times New Roman" w:eastAsia="宋体" w:cs="Times New Roman"/>
                <w:color w:val="auto"/>
                <w:sz w:val="24"/>
                <w:szCs w:val="24"/>
                <w:lang w:bidi="ar"/>
              </w:rPr>
              <w:t>根据上表可知，202</w:t>
            </w:r>
            <w:r>
              <w:rPr>
                <w:rFonts w:hint="eastAsia" w:cs="Times New Roman"/>
                <w:color w:val="auto"/>
                <w:sz w:val="24"/>
                <w:szCs w:val="24"/>
                <w:lang w:val="en-US" w:eastAsia="zh-CN" w:bidi="ar"/>
              </w:rPr>
              <w:t>5</w:t>
            </w:r>
            <w:r>
              <w:rPr>
                <w:rFonts w:hint="default" w:ascii="Times New Roman" w:hAnsi="Times New Roman" w:eastAsia="宋体" w:cs="Times New Roman"/>
                <w:color w:val="auto"/>
                <w:sz w:val="24"/>
                <w:szCs w:val="24"/>
                <w:lang w:bidi="ar"/>
              </w:rPr>
              <w:t>年巴中市环境空气质量现状</w:t>
            </w:r>
            <w:r>
              <w:rPr>
                <w:rFonts w:hint="default" w:ascii="Times New Roman" w:hAnsi="Times New Roman" w:eastAsia="宋体" w:cs="Times New Roman"/>
                <w:color w:val="auto"/>
                <w:kern w:val="0"/>
                <w:sz w:val="24"/>
                <w:szCs w:val="24"/>
              </w:rPr>
              <w:t>PM</w:t>
            </w:r>
            <w:r>
              <w:rPr>
                <w:rFonts w:hint="default" w:ascii="Times New Roman" w:hAnsi="Times New Roman" w:eastAsia="宋体" w:cs="Times New Roman"/>
                <w:color w:val="auto"/>
                <w:kern w:val="0"/>
                <w:sz w:val="24"/>
                <w:szCs w:val="24"/>
                <w:vertAlign w:val="subscript"/>
              </w:rPr>
              <w:t>10</w:t>
            </w:r>
            <w:r>
              <w:rPr>
                <w:rFonts w:hint="default" w:ascii="Times New Roman" w:hAnsi="Times New Roman" w:eastAsia="宋体" w:cs="Times New Roman"/>
                <w:color w:val="auto"/>
                <w:kern w:val="0"/>
                <w:sz w:val="24"/>
                <w:szCs w:val="24"/>
              </w:rPr>
              <w:t>、PM</w:t>
            </w:r>
            <w:r>
              <w:rPr>
                <w:rFonts w:hint="default" w:ascii="Times New Roman" w:hAnsi="Times New Roman" w:eastAsia="宋体" w:cs="Times New Roman"/>
                <w:color w:val="auto"/>
                <w:kern w:val="0"/>
                <w:sz w:val="24"/>
                <w:szCs w:val="24"/>
                <w:vertAlign w:val="subscript"/>
              </w:rPr>
              <w:t>2.5</w:t>
            </w:r>
            <w:r>
              <w:rPr>
                <w:rFonts w:hint="default" w:ascii="Times New Roman" w:hAnsi="Times New Roman" w:eastAsia="宋体" w:cs="Times New Roman"/>
                <w:color w:val="auto"/>
                <w:kern w:val="0"/>
                <w:sz w:val="24"/>
                <w:szCs w:val="24"/>
              </w:rPr>
              <w:t>、SO</w:t>
            </w:r>
            <w:r>
              <w:rPr>
                <w:rFonts w:hint="default" w:ascii="Times New Roman" w:hAnsi="Times New Roman" w:eastAsia="宋体" w:cs="Times New Roman"/>
                <w:color w:val="auto"/>
                <w:kern w:val="0"/>
                <w:sz w:val="24"/>
                <w:szCs w:val="24"/>
                <w:vertAlign w:val="subscript"/>
              </w:rPr>
              <w:t>2</w:t>
            </w:r>
            <w:r>
              <w:rPr>
                <w:rFonts w:hint="default" w:ascii="Times New Roman" w:hAnsi="Times New Roman" w:eastAsia="宋体" w:cs="Times New Roman"/>
                <w:color w:val="auto"/>
                <w:kern w:val="0"/>
                <w:sz w:val="24"/>
                <w:szCs w:val="24"/>
              </w:rPr>
              <w:t>、NO</w:t>
            </w:r>
            <w:r>
              <w:rPr>
                <w:rFonts w:hint="default" w:ascii="Times New Roman" w:hAnsi="Times New Roman" w:eastAsia="宋体" w:cs="Times New Roman"/>
                <w:color w:val="auto"/>
                <w:kern w:val="0"/>
                <w:sz w:val="24"/>
                <w:szCs w:val="24"/>
                <w:vertAlign w:val="subscript"/>
              </w:rPr>
              <w:t>2</w:t>
            </w:r>
            <w:r>
              <w:rPr>
                <w:rFonts w:hint="default" w:ascii="Times New Roman" w:hAnsi="Times New Roman" w:eastAsia="宋体" w:cs="Times New Roman"/>
                <w:color w:val="auto"/>
                <w:kern w:val="0"/>
                <w:sz w:val="24"/>
                <w:szCs w:val="24"/>
              </w:rPr>
              <w:t>、O</w:t>
            </w:r>
            <w:r>
              <w:rPr>
                <w:rFonts w:hint="default" w:ascii="Times New Roman" w:hAnsi="Times New Roman" w:eastAsia="宋体" w:cs="Times New Roman"/>
                <w:color w:val="auto"/>
                <w:kern w:val="0"/>
                <w:sz w:val="24"/>
                <w:szCs w:val="24"/>
                <w:vertAlign w:val="subscript"/>
              </w:rPr>
              <w:t>3</w:t>
            </w:r>
            <w:r>
              <w:rPr>
                <w:rFonts w:hint="default" w:ascii="Times New Roman" w:hAnsi="Times New Roman" w:eastAsia="宋体" w:cs="Times New Roman"/>
                <w:color w:val="auto"/>
                <w:kern w:val="0"/>
                <w:sz w:val="24"/>
                <w:szCs w:val="24"/>
              </w:rPr>
              <w:t>和CO的</w:t>
            </w:r>
            <w:r>
              <w:rPr>
                <w:rFonts w:hint="default" w:ascii="Times New Roman" w:hAnsi="Times New Roman" w:eastAsia="宋体" w:cs="Times New Roman"/>
                <w:color w:val="auto"/>
                <w:sz w:val="24"/>
                <w:szCs w:val="24"/>
                <w:lang w:bidi="ar"/>
              </w:rPr>
              <w:t>年均浓度均达到《环境空气质量标准》（GB3095-</w:t>
            </w:r>
            <w:r>
              <w:rPr>
                <w:rFonts w:hint="eastAsia" w:eastAsia="宋体" w:cs="Times New Roman"/>
                <w:color w:val="auto"/>
                <w:sz w:val="24"/>
                <w:szCs w:val="24"/>
                <w:lang w:val="en-US" w:eastAsia="zh-CN" w:bidi="ar"/>
              </w:rPr>
              <w:t>2026</w:t>
            </w:r>
            <w:r>
              <w:rPr>
                <w:rFonts w:hint="default" w:ascii="Times New Roman" w:hAnsi="Times New Roman" w:eastAsia="宋体" w:cs="Times New Roman"/>
                <w:color w:val="auto"/>
                <w:sz w:val="24"/>
                <w:szCs w:val="24"/>
                <w:lang w:bidi="ar"/>
              </w:rPr>
              <w:t>）二级标准要求，项目所在区域为达标区，环境空气质量良好。</w:t>
            </w:r>
          </w:p>
          <w:p w14:paraId="3EED121D">
            <w:pPr>
              <w:spacing w:line="360" w:lineRule="auto"/>
              <w:ind w:firstLine="482" w:firstLineChars="200"/>
              <w:jc w:val="left"/>
              <w:rPr>
                <w:rFonts w:hint="default" w:ascii="Times New Roman" w:hAnsi="Times New Roman" w:eastAsia="宋体" w:cs="Times New Roman"/>
                <w:b/>
                <w:bCs/>
                <w:color w:val="auto"/>
                <w:kern w:val="2"/>
                <w:sz w:val="24"/>
                <w:szCs w:val="24"/>
                <w:highlight w:val="none"/>
                <w:lang w:val="en-US" w:eastAsia="zh-CN" w:bidi="ar-SA"/>
              </w:rPr>
            </w:pPr>
            <w:r>
              <w:rPr>
                <w:rFonts w:hint="eastAsia" w:ascii="Times New Roman" w:hAnsi="Times New Roman" w:eastAsia="宋体" w:cs="Times New Roman"/>
                <w:b/>
                <w:bCs/>
                <w:color w:val="auto"/>
                <w:kern w:val="2"/>
                <w:sz w:val="24"/>
                <w:szCs w:val="24"/>
                <w:highlight w:val="none"/>
                <w:lang w:val="en-US" w:eastAsia="zh-CN" w:bidi="ar-SA"/>
              </w:rPr>
              <w:t>（2）</w:t>
            </w:r>
            <w:r>
              <w:rPr>
                <w:rFonts w:hint="default" w:ascii="Times New Roman" w:hAnsi="Times New Roman" w:eastAsia="宋体" w:cs="Times New Roman"/>
                <w:b/>
                <w:bCs/>
                <w:color w:val="auto"/>
                <w:kern w:val="2"/>
                <w:sz w:val="24"/>
                <w:szCs w:val="24"/>
                <w:highlight w:val="none"/>
                <w:lang w:val="en-US" w:eastAsia="zh-CN" w:bidi="ar-SA"/>
              </w:rPr>
              <w:t>评价范围内环境质量现状</w:t>
            </w:r>
          </w:p>
          <w:p w14:paraId="5073D731">
            <w:pPr>
              <w:keepNext w:val="0"/>
              <w:keepLines w:val="0"/>
              <w:pageBreakBefore w:val="0"/>
              <w:widowControl w:val="0"/>
              <w:kinsoku/>
              <w:wordWrap/>
              <w:overflowPunct/>
              <w:topLinePunct w:val="0"/>
              <w:bidi w:val="0"/>
              <w:adjustRightInd w:val="0"/>
              <w:snapToGrid w:val="0"/>
              <w:spacing w:line="360" w:lineRule="auto"/>
              <w:ind w:firstLine="480" w:firstLineChars="200"/>
              <w:jc w:val="both"/>
              <w:textAlignment w:val="auto"/>
              <w:rPr>
                <w:rFonts w:hint="eastAsia" w:ascii="Times New Roman" w:hAnsi="Times New Roman" w:eastAsia="宋体"/>
                <w:color w:val="auto"/>
                <w:kern w:val="0"/>
                <w:sz w:val="24"/>
                <w:highlight w:val="none"/>
                <w:lang w:val="en-US" w:eastAsia="zh-CN"/>
              </w:rPr>
            </w:pPr>
            <w:r>
              <w:rPr>
                <w:rFonts w:hint="eastAsia" w:ascii="Times New Roman" w:hAnsi="Times New Roman"/>
                <w:color w:val="auto"/>
                <w:kern w:val="0"/>
                <w:sz w:val="24"/>
                <w:highlight w:val="none"/>
              </w:rPr>
              <w:t>根据</w:t>
            </w:r>
            <w:r>
              <w:rPr>
                <w:rFonts w:hint="eastAsia" w:ascii="Times New Roman" w:hAnsi="Times New Roman"/>
                <w:color w:val="auto"/>
                <w:kern w:val="0"/>
                <w:sz w:val="24"/>
                <w:highlight w:val="none"/>
                <w:lang w:val="en-US" w:eastAsia="zh-CN"/>
              </w:rPr>
              <w:t>生态环境部环境工程评估中心对《建设项目环境影响报告表》内容、格式及编制技术指南常见问题解答中第7条对大气特征污染物现状监测的回复：技术指南中提到“排放国家、地方环境空气质量标准中有标准限值要求的特征污染物”，其中环境空气质量标准指《环境空气质量标</w:t>
            </w:r>
            <w:r>
              <w:rPr>
                <w:rFonts w:hint="eastAsia" w:ascii="宋体" w:hAnsi="宋体" w:eastAsia="宋体" w:cs="宋体"/>
                <w:color w:val="auto"/>
                <w:kern w:val="0"/>
                <w:sz w:val="24"/>
                <w:highlight w:val="none"/>
                <w:lang w:val="en-US" w:eastAsia="zh-CN"/>
              </w:rPr>
              <w:t>准》</w:t>
            </w:r>
            <w:r>
              <w:rPr>
                <w:rFonts w:hint="eastAsia" w:ascii="宋体" w:hAnsi="宋体" w:cs="宋体"/>
                <w:color w:val="auto"/>
                <w:kern w:val="0"/>
                <w:sz w:val="24"/>
                <w:highlight w:val="none"/>
                <w:lang w:val="en-US" w:eastAsia="zh-CN"/>
              </w:rPr>
              <w:t>（</w:t>
            </w:r>
            <w:r>
              <w:rPr>
                <w:rFonts w:hint="eastAsia" w:ascii="Times New Roman" w:hAnsi="Times New Roman"/>
                <w:color w:val="auto"/>
                <w:kern w:val="0"/>
                <w:sz w:val="24"/>
                <w:highlight w:val="none"/>
                <w:lang w:val="en-US" w:eastAsia="zh-CN"/>
              </w:rPr>
              <w:t>GB3095</w:t>
            </w:r>
            <w:r>
              <w:rPr>
                <w:rFonts w:hint="eastAsia"/>
                <w:color w:val="auto"/>
                <w:kern w:val="0"/>
                <w:sz w:val="24"/>
                <w:highlight w:val="none"/>
                <w:lang w:val="en-US" w:eastAsia="zh-CN"/>
              </w:rPr>
              <w:t>）</w:t>
            </w:r>
            <w:r>
              <w:rPr>
                <w:rFonts w:hint="eastAsia" w:ascii="宋体" w:hAnsi="宋体" w:eastAsia="宋体" w:cs="宋体"/>
                <w:color w:val="auto"/>
                <w:kern w:val="0"/>
                <w:sz w:val="24"/>
                <w:highlight w:val="none"/>
                <w:lang w:val="en-US" w:eastAsia="zh-CN"/>
              </w:rPr>
              <w:t>和</w:t>
            </w:r>
            <w:r>
              <w:rPr>
                <w:rFonts w:hint="eastAsia" w:ascii="Times New Roman" w:hAnsi="Times New Roman"/>
                <w:color w:val="auto"/>
                <w:kern w:val="0"/>
                <w:sz w:val="24"/>
                <w:highlight w:val="none"/>
                <w:lang w:val="en-US" w:eastAsia="zh-CN"/>
              </w:rPr>
              <w:t>地方的环境空气质量标准，不包括《环境影响评价技术导则 大气环境</w:t>
            </w:r>
            <w:r>
              <w:rPr>
                <w:rFonts w:hint="eastAsia" w:ascii="宋体" w:hAnsi="宋体" w:eastAsia="宋体" w:cs="宋体"/>
                <w:color w:val="auto"/>
                <w:kern w:val="0"/>
                <w:sz w:val="24"/>
                <w:highlight w:val="none"/>
                <w:lang w:val="en-US" w:eastAsia="zh-CN"/>
              </w:rPr>
              <w:t>》</w:t>
            </w:r>
            <w:r>
              <w:rPr>
                <w:rFonts w:hint="eastAsia" w:ascii="宋体" w:hAnsi="宋体" w:cs="宋体"/>
                <w:color w:val="auto"/>
                <w:kern w:val="0"/>
                <w:sz w:val="24"/>
                <w:highlight w:val="none"/>
                <w:lang w:val="en-US" w:eastAsia="zh-CN"/>
              </w:rPr>
              <w:t>（</w:t>
            </w:r>
            <w:r>
              <w:rPr>
                <w:rFonts w:hint="eastAsia" w:ascii="Times New Roman" w:hAnsi="Times New Roman"/>
                <w:color w:val="auto"/>
                <w:kern w:val="0"/>
                <w:sz w:val="24"/>
                <w:highlight w:val="none"/>
                <w:lang w:val="en-US" w:eastAsia="zh-CN"/>
              </w:rPr>
              <w:t>HJ2.2-2018</w:t>
            </w:r>
            <w:r>
              <w:rPr>
                <w:rFonts w:hint="eastAsia"/>
                <w:color w:val="auto"/>
                <w:kern w:val="0"/>
                <w:sz w:val="24"/>
                <w:highlight w:val="none"/>
                <w:lang w:val="en-US" w:eastAsia="zh-CN"/>
              </w:rPr>
              <w:t>）</w:t>
            </w:r>
            <w:r>
              <w:rPr>
                <w:rFonts w:hint="eastAsia" w:ascii="宋体" w:hAnsi="宋体" w:eastAsia="宋体" w:cs="宋体"/>
                <w:color w:val="auto"/>
                <w:kern w:val="0"/>
                <w:sz w:val="24"/>
                <w:highlight w:val="none"/>
                <w:lang w:val="en-US" w:eastAsia="zh-CN"/>
              </w:rPr>
              <w:t>附录</w:t>
            </w:r>
            <w:r>
              <w:rPr>
                <w:rFonts w:hint="eastAsia" w:ascii="Times New Roman" w:hAnsi="Times New Roman"/>
                <w:color w:val="auto"/>
                <w:kern w:val="0"/>
                <w:sz w:val="24"/>
                <w:highlight w:val="none"/>
                <w:lang w:val="en-US" w:eastAsia="zh-CN"/>
              </w:rPr>
              <w:t>D、《工业企业设计卫生标</w:t>
            </w:r>
            <w:r>
              <w:rPr>
                <w:rFonts w:hint="eastAsia" w:ascii="宋体" w:hAnsi="宋体" w:eastAsia="宋体" w:cs="宋体"/>
                <w:color w:val="auto"/>
                <w:kern w:val="0"/>
                <w:sz w:val="24"/>
                <w:highlight w:val="none"/>
                <w:lang w:val="en-US" w:eastAsia="zh-CN"/>
              </w:rPr>
              <w:t>准》</w:t>
            </w:r>
            <w:r>
              <w:rPr>
                <w:rFonts w:hint="eastAsia" w:ascii="宋体" w:hAnsi="宋体" w:cs="宋体"/>
                <w:color w:val="auto"/>
                <w:kern w:val="0"/>
                <w:sz w:val="24"/>
                <w:highlight w:val="none"/>
                <w:lang w:val="en-US" w:eastAsia="zh-CN"/>
              </w:rPr>
              <w:t>（</w:t>
            </w:r>
            <w:r>
              <w:rPr>
                <w:rFonts w:hint="eastAsia" w:ascii="Times New Roman" w:hAnsi="Times New Roman"/>
                <w:color w:val="auto"/>
                <w:kern w:val="0"/>
                <w:sz w:val="24"/>
                <w:highlight w:val="none"/>
                <w:lang w:val="en-US" w:eastAsia="zh-CN"/>
              </w:rPr>
              <w:t>TJ36-97</w:t>
            </w:r>
            <w:r>
              <w:rPr>
                <w:rFonts w:hint="eastAsia"/>
                <w:color w:val="auto"/>
                <w:kern w:val="0"/>
                <w:sz w:val="24"/>
                <w:highlight w:val="none"/>
                <w:lang w:val="en-US" w:eastAsia="zh-CN"/>
              </w:rPr>
              <w:t>）</w:t>
            </w:r>
            <w:r>
              <w:rPr>
                <w:rFonts w:hint="eastAsia" w:ascii="宋体" w:hAnsi="宋体" w:eastAsia="宋体" w:cs="宋体"/>
                <w:color w:val="auto"/>
                <w:kern w:val="0"/>
                <w:sz w:val="24"/>
                <w:highlight w:val="none"/>
                <w:lang w:val="en-US" w:eastAsia="zh-CN"/>
              </w:rPr>
              <w:t>、《环境影响评价技术导则制药建设项目》</w:t>
            </w:r>
            <w:r>
              <w:rPr>
                <w:rFonts w:hint="eastAsia" w:ascii="宋体" w:hAnsi="宋体" w:cs="宋体"/>
                <w:color w:val="auto"/>
                <w:kern w:val="0"/>
                <w:sz w:val="24"/>
                <w:highlight w:val="none"/>
                <w:lang w:val="en-US" w:eastAsia="zh-CN"/>
              </w:rPr>
              <w:t>（</w:t>
            </w:r>
            <w:r>
              <w:rPr>
                <w:rFonts w:hint="eastAsia" w:ascii="Times New Roman" w:hAnsi="Times New Roman"/>
                <w:color w:val="auto"/>
                <w:kern w:val="0"/>
                <w:sz w:val="24"/>
                <w:highlight w:val="none"/>
                <w:lang w:val="en-US" w:eastAsia="zh-CN"/>
              </w:rPr>
              <w:t>HJ611-2011</w:t>
            </w:r>
            <w:r>
              <w:rPr>
                <w:rFonts w:hint="eastAsia"/>
                <w:color w:val="auto"/>
                <w:kern w:val="0"/>
                <w:sz w:val="24"/>
                <w:highlight w:val="none"/>
                <w:lang w:val="en-US" w:eastAsia="zh-CN"/>
              </w:rPr>
              <w:t>）</w:t>
            </w:r>
            <w:r>
              <w:rPr>
                <w:rFonts w:hint="eastAsia" w:ascii="宋体" w:hAnsi="宋体" w:eastAsia="宋体" w:cs="宋体"/>
                <w:color w:val="auto"/>
                <w:kern w:val="0"/>
                <w:sz w:val="24"/>
                <w:highlight w:val="none"/>
                <w:lang w:val="en-US" w:eastAsia="zh-CN"/>
              </w:rPr>
              <w:t>、《大气污染物综合</w:t>
            </w:r>
            <w:r>
              <w:rPr>
                <w:rFonts w:hint="eastAsia" w:ascii="Times New Roman" w:hAnsi="Times New Roman"/>
                <w:color w:val="auto"/>
                <w:kern w:val="0"/>
                <w:sz w:val="24"/>
                <w:highlight w:val="none"/>
                <w:lang w:val="en-US" w:eastAsia="zh-CN"/>
              </w:rPr>
              <w:t>排放标准详解》等导则或参考资料。排放的特征污染物需要在国家、地方环境空气质量标准中有限值要求才涉及现状监测，且优先引用现有监测数据。</w:t>
            </w:r>
          </w:p>
          <w:p w14:paraId="2BE82E38">
            <w:pPr>
              <w:pStyle w:val="66"/>
              <w:keepNext w:val="0"/>
              <w:keepLines w:val="0"/>
              <w:pageBreakBefore w:val="0"/>
              <w:widowControl w:val="0"/>
              <w:kinsoku/>
              <w:wordWrap/>
              <w:overflowPunct/>
              <w:topLinePunct w:val="0"/>
              <w:autoSpaceDE w:val="0"/>
              <w:autoSpaceDN w:val="0"/>
              <w:bidi w:val="0"/>
              <w:spacing w:line="360" w:lineRule="auto"/>
              <w:ind w:firstLine="480" w:firstLineChars="200"/>
              <w:textAlignment w:val="auto"/>
              <w:rPr>
                <w:rFonts w:hint="eastAsia" w:ascii="Times New Roman" w:hAnsi="Times New Roman" w:eastAsia="宋体" w:cs="Times New Roman"/>
                <w:color w:val="auto"/>
              </w:rPr>
            </w:pPr>
            <w:r>
              <w:rPr>
                <w:rFonts w:hint="eastAsia" w:ascii="Times New Roman" w:hAnsi="Times New Roman"/>
                <w:color w:val="auto"/>
                <w:kern w:val="0"/>
                <w:sz w:val="24"/>
                <w:highlight w:val="none"/>
                <w:lang w:val="en-US" w:eastAsia="zh-CN"/>
              </w:rPr>
              <w:t>根据《环境空气质量标</w:t>
            </w:r>
            <w:r>
              <w:rPr>
                <w:rFonts w:hint="eastAsia" w:ascii="宋体" w:hAnsi="宋体" w:eastAsia="宋体" w:cs="宋体"/>
                <w:color w:val="auto"/>
                <w:kern w:val="0"/>
                <w:sz w:val="24"/>
                <w:highlight w:val="none"/>
                <w:lang w:val="en-US" w:eastAsia="zh-CN"/>
              </w:rPr>
              <w:t>准》</w:t>
            </w:r>
            <w:r>
              <w:rPr>
                <w:rFonts w:hint="eastAsia" w:ascii="宋体" w:hAnsi="宋体" w:cs="宋体"/>
                <w:color w:val="auto"/>
                <w:kern w:val="0"/>
                <w:sz w:val="24"/>
                <w:highlight w:val="none"/>
                <w:lang w:val="en-US" w:eastAsia="zh-CN"/>
              </w:rPr>
              <w:t>（</w:t>
            </w:r>
            <w:r>
              <w:rPr>
                <w:rFonts w:hint="eastAsia" w:ascii="Times New Roman" w:hAnsi="Times New Roman"/>
                <w:color w:val="auto"/>
                <w:kern w:val="0"/>
                <w:sz w:val="24"/>
                <w:highlight w:val="none"/>
                <w:lang w:val="en-US" w:eastAsia="zh-CN"/>
              </w:rPr>
              <w:t>GB3095-2026</w:t>
            </w:r>
            <w:r>
              <w:rPr>
                <w:rFonts w:hint="eastAsia"/>
                <w:color w:val="auto"/>
                <w:kern w:val="0"/>
                <w:sz w:val="24"/>
                <w:highlight w:val="none"/>
                <w:lang w:val="en-US" w:eastAsia="zh-CN"/>
              </w:rPr>
              <w:t>）</w:t>
            </w:r>
            <w:r>
              <w:rPr>
                <w:rFonts w:hint="eastAsia" w:ascii="宋体" w:hAnsi="宋体" w:eastAsia="宋体" w:cs="宋体"/>
                <w:color w:val="auto"/>
                <w:kern w:val="0"/>
                <w:sz w:val="24"/>
                <w:highlight w:val="none"/>
                <w:lang w:val="en-US" w:eastAsia="zh-CN"/>
              </w:rPr>
              <w:t>，</w:t>
            </w:r>
            <w:r>
              <w:rPr>
                <w:rFonts w:ascii="Times New Roman" w:hAnsi="Times New Roman"/>
                <w:color w:val="auto"/>
                <w:kern w:val="0"/>
                <w:sz w:val="24"/>
                <w:highlight w:val="none"/>
              </w:rPr>
              <w:t>本项目</w:t>
            </w:r>
            <w:r>
              <w:rPr>
                <w:rFonts w:hint="eastAsia" w:ascii="Times New Roman" w:hAnsi="Times New Roman"/>
                <w:color w:val="auto"/>
                <w:kern w:val="0"/>
                <w:sz w:val="24"/>
                <w:highlight w:val="none"/>
                <w:lang w:val="en-US" w:eastAsia="zh-CN"/>
              </w:rPr>
              <w:t>涉及的</w:t>
            </w:r>
            <w:r>
              <w:rPr>
                <w:rFonts w:ascii="Times New Roman" w:hAnsi="Times New Roman"/>
                <w:color w:val="auto"/>
                <w:kern w:val="0"/>
                <w:sz w:val="24"/>
                <w:highlight w:val="none"/>
              </w:rPr>
              <w:t>特征污染物为</w:t>
            </w:r>
            <w:r>
              <w:rPr>
                <w:rFonts w:hint="eastAsia" w:ascii="Times New Roman" w:hAnsi="Times New Roman"/>
                <w:color w:val="auto"/>
                <w:kern w:val="0"/>
                <w:sz w:val="24"/>
                <w:highlight w:val="none"/>
                <w:lang w:val="en-US" w:eastAsia="zh-CN"/>
              </w:rPr>
              <w:t>总悬浮颗粒物</w:t>
            </w:r>
            <w:r>
              <w:rPr>
                <w:rFonts w:hint="eastAsia"/>
                <w:color w:val="auto"/>
                <w:kern w:val="0"/>
                <w:lang w:val="en-US" w:eastAsia="zh-CN"/>
              </w:rPr>
              <w:t>，本次评价</w:t>
            </w:r>
            <w:r>
              <w:rPr>
                <w:rFonts w:hint="eastAsia"/>
                <w:color w:val="auto"/>
                <w:kern w:val="0"/>
              </w:rPr>
              <w:t>引用</w:t>
            </w:r>
            <w:r>
              <w:rPr>
                <w:rFonts w:hint="eastAsia"/>
                <w:color w:val="auto"/>
                <w:kern w:val="0"/>
                <w:lang w:val="en-US" w:eastAsia="zh-CN"/>
              </w:rPr>
              <w:t>四川省环科源科技有限公司</w:t>
            </w:r>
            <w:r>
              <w:rPr>
                <w:rFonts w:hint="eastAsia"/>
                <w:color w:val="auto"/>
                <w:kern w:val="0"/>
              </w:rPr>
              <w:t>委托</w:t>
            </w:r>
            <w:r>
              <w:rPr>
                <w:rFonts w:hint="eastAsia"/>
                <w:color w:val="auto"/>
                <w:kern w:val="0"/>
                <w:lang w:val="en-US" w:eastAsia="zh-CN"/>
              </w:rPr>
              <w:t>四川省川环源创检测科技有限公司</w:t>
            </w:r>
            <w:r>
              <w:rPr>
                <w:rFonts w:hint="eastAsia"/>
                <w:color w:val="auto"/>
                <w:kern w:val="0"/>
              </w:rPr>
              <w:t>于20</w:t>
            </w:r>
            <w:r>
              <w:rPr>
                <w:rFonts w:hint="eastAsia"/>
                <w:color w:val="auto"/>
                <w:kern w:val="0"/>
                <w:lang w:val="en-US" w:eastAsia="zh-CN"/>
              </w:rPr>
              <w:t>24</w:t>
            </w:r>
            <w:r>
              <w:rPr>
                <w:rFonts w:hint="eastAsia"/>
                <w:color w:val="auto"/>
                <w:kern w:val="0"/>
              </w:rPr>
              <w:t>年</w:t>
            </w:r>
            <w:r>
              <w:rPr>
                <w:rFonts w:hint="eastAsia"/>
                <w:color w:val="auto"/>
                <w:kern w:val="0"/>
                <w:lang w:val="en-US" w:eastAsia="zh-CN"/>
              </w:rPr>
              <w:t>8</w:t>
            </w:r>
            <w:r>
              <w:rPr>
                <w:rFonts w:hint="eastAsia"/>
                <w:color w:val="auto"/>
                <w:kern w:val="0"/>
              </w:rPr>
              <w:t>月</w:t>
            </w:r>
            <w:r>
              <w:rPr>
                <w:rFonts w:hint="eastAsia" w:ascii="Times New Roman" w:hAnsi="Times New Roman" w:eastAsia="宋体" w:cs="Times New Roman"/>
                <w:color w:val="auto"/>
                <w:lang w:val="en-US" w:eastAsia="zh-CN"/>
              </w:rPr>
              <w:t>9</w:t>
            </w:r>
            <w:r>
              <w:rPr>
                <w:rFonts w:hint="eastAsia" w:ascii="Times New Roman" w:hAnsi="Times New Roman" w:eastAsia="宋体" w:cs="Times New Roman"/>
                <w:color w:val="auto"/>
              </w:rPr>
              <w:t>日~</w:t>
            </w:r>
            <w:r>
              <w:rPr>
                <w:rFonts w:hint="eastAsia" w:ascii="Times New Roman" w:hAnsi="Times New Roman" w:eastAsia="宋体" w:cs="Times New Roman"/>
                <w:color w:val="auto"/>
                <w:lang w:val="en-US" w:eastAsia="zh-CN"/>
              </w:rPr>
              <w:t>16</w:t>
            </w:r>
            <w:r>
              <w:rPr>
                <w:rFonts w:hint="eastAsia" w:ascii="Times New Roman" w:hAnsi="Times New Roman" w:eastAsia="宋体" w:cs="Times New Roman"/>
                <w:color w:val="auto"/>
              </w:rPr>
              <w:t>日监测的“</w:t>
            </w:r>
            <w:r>
              <w:rPr>
                <w:rFonts w:hint="eastAsia" w:ascii="Times New Roman" w:hAnsi="Times New Roman" w:eastAsia="宋体" w:cs="Times New Roman"/>
                <w:color w:val="auto"/>
                <w:lang w:val="en-US" w:eastAsia="zh-CN"/>
              </w:rPr>
              <w:t>四川佰思格新材料科技有限公司钠离子电池硬碳负极材料生产项目监测</w:t>
            </w:r>
            <w:r>
              <w:rPr>
                <w:rFonts w:hint="eastAsia" w:ascii="Times New Roman" w:hAnsi="Times New Roman" w:eastAsia="宋体" w:cs="Times New Roman"/>
                <w:color w:val="auto"/>
              </w:rPr>
              <w:t>（报告编号：</w:t>
            </w:r>
            <w:r>
              <w:rPr>
                <w:rFonts w:hint="eastAsia" w:ascii="Times New Roman" w:hAnsi="Times New Roman" w:eastAsia="宋体" w:cs="Times New Roman"/>
                <w:color w:val="auto"/>
                <w:lang w:val="en-US" w:eastAsia="zh-CN"/>
              </w:rPr>
              <w:t>川环源创检字（2024）第CHYC/24H10801-1号</w:t>
            </w:r>
            <w:r>
              <w:rPr>
                <w:rFonts w:hint="eastAsia" w:ascii="Times New Roman" w:hAnsi="Times New Roman" w:eastAsia="宋体" w:cs="Times New Roman"/>
                <w:color w:val="auto"/>
              </w:rPr>
              <w:t>）”（详见附件），</w:t>
            </w:r>
            <w:r>
              <w:rPr>
                <w:rFonts w:hint="eastAsia" w:ascii="Times New Roman" w:hAnsi="Times New Roman" w:eastAsia="宋体" w:cs="Times New Roman"/>
                <w:color w:val="auto"/>
                <w:lang w:val="en-US" w:eastAsia="zh-CN"/>
              </w:rPr>
              <w:t>该</w:t>
            </w:r>
            <w:r>
              <w:rPr>
                <w:rFonts w:hint="eastAsia" w:ascii="Times New Roman" w:hAnsi="Times New Roman" w:eastAsia="宋体" w:cs="Times New Roman"/>
                <w:color w:val="auto"/>
              </w:rPr>
              <w:t>项目</w:t>
            </w:r>
            <w:r>
              <w:rPr>
                <w:rFonts w:hint="eastAsia" w:ascii="Times New Roman" w:hAnsi="Times New Roman" w:eastAsia="宋体" w:cs="Times New Roman"/>
                <w:color w:val="auto"/>
                <w:lang w:val="en-US" w:eastAsia="zh-CN"/>
              </w:rPr>
              <w:t>点位</w:t>
            </w:r>
            <w:r>
              <w:rPr>
                <w:rFonts w:hint="eastAsia" w:ascii="Times New Roman" w:hAnsi="Times New Roman" w:eastAsia="宋体" w:cs="Times New Roman"/>
                <w:color w:val="auto"/>
              </w:rPr>
              <w:t>位于本项目</w:t>
            </w:r>
            <w:r>
              <w:rPr>
                <w:rFonts w:hint="eastAsia" w:ascii="Times New Roman" w:hAnsi="Times New Roman" w:eastAsia="宋体" w:cs="Times New Roman"/>
                <w:color w:val="auto"/>
                <w:lang w:val="en-US" w:eastAsia="zh-CN"/>
              </w:rPr>
              <w:t>东北</w:t>
            </w:r>
            <w:r>
              <w:rPr>
                <w:rFonts w:hint="eastAsia" w:ascii="Times New Roman" w:hAnsi="Times New Roman" w:eastAsia="宋体" w:cs="Times New Roman"/>
                <w:color w:val="auto"/>
              </w:rPr>
              <w:t>侧</w:t>
            </w:r>
            <w:r>
              <w:rPr>
                <w:rFonts w:hint="eastAsia" w:ascii="Times New Roman" w:hAnsi="Times New Roman" w:eastAsia="宋体" w:cs="Times New Roman"/>
                <w:color w:val="auto"/>
                <w:lang w:val="en-US" w:eastAsia="zh-CN"/>
              </w:rPr>
              <w:t>约</w:t>
            </w:r>
            <w:r>
              <w:rPr>
                <w:rFonts w:hint="eastAsia" w:cs="Times New Roman"/>
                <w:color w:val="auto"/>
                <w:lang w:val="en-US" w:eastAsia="zh-CN"/>
              </w:rPr>
              <w:t>1.797</w:t>
            </w:r>
            <w:r>
              <w:rPr>
                <w:rFonts w:hint="eastAsia" w:ascii="Times New Roman" w:hAnsi="Times New Roman" w:eastAsia="宋体" w:cs="Times New Roman"/>
                <w:color w:val="auto"/>
                <w:lang w:val="en-US" w:eastAsia="zh-CN"/>
              </w:rPr>
              <w:t>k</w:t>
            </w:r>
            <w:r>
              <w:rPr>
                <w:rFonts w:hint="eastAsia" w:ascii="Times New Roman" w:hAnsi="Times New Roman" w:eastAsia="宋体" w:cs="Times New Roman"/>
                <w:color w:val="auto"/>
              </w:rPr>
              <w:t>m处</w:t>
            </w:r>
            <w:r>
              <w:rPr>
                <w:rFonts w:hint="eastAsia" w:ascii="Times New Roman" w:hAnsi="Times New Roman" w:eastAsia="宋体" w:cs="Times New Roman"/>
                <w:color w:val="auto"/>
                <w:lang w:eastAsia="zh-CN"/>
              </w:rPr>
              <w:t>，</w:t>
            </w:r>
            <w:r>
              <w:rPr>
                <w:rFonts w:hint="eastAsia" w:ascii="Times New Roman" w:hAnsi="Times New Roman" w:eastAsia="宋体" w:cs="Times New Roman"/>
                <w:color w:val="auto"/>
              </w:rPr>
              <w:t>因此，引用具有时效性和有效性。</w:t>
            </w:r>
          </w:p>
          <w:p w14:paraId="450C63BE">
            <w:pPr>
              <w:keepNext w:val="0"/>
              <w:keepLines w:val="0"/>
              <w:pageBreakBefore w:val="0"/>
              <w:widowControl w:val="0"/>
              <w:kinsoku/>
              <w:wordWrap/>
              <w:overflowPunct/>
              <w:topLinePunct w:val="0"/>
              <w:autoSpaceDE/>
              <w:autoSpaceDN/>
              <w:bidi w:val="0"/>
              <w:adjustRightInd w:val="0"/>
              <w:snapToGrid w:val="0"/>
              <w:spacing w:line="360" w:lineRule="auto"/>
              <w:ind w:firstLine="482" w:firstLineChars="200"/>
              <w:jc w:val="left"/>
              <w:textAlignment w:val="auto"/>
              <w:rPr>
                <w:rFonts w:ascii="Times New Roman" w:hAnsi="Times New Roman"/>
                <w:b/>
                <w:bCs/>
                <w:color w:val="auto"/>
                <w:kern w:val="0"/>
                <w:sz w:val="24"/>
                <w:highlight w:val="none"/>
              </w:rPr>
            </w:pPr>
            <w:r>
              <w:rPr>
                <w:rFonts w:ascii="Times New Roman" w:hAnsi="Times New Roman"/>
                <w:b/>
                <w:bCs/>
                <w:color w:val="auto"/>
                <w:kern w:val="0"/>
                <w:sz w:val="24"/>
                <w:highlight w:val="none"/>
              </w:rPr>
              <w:t>①调查因子</w:t>
            </w:r>
          </w:p>
          <w:p w14:paraId="2FBF3E79">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ascii="Times New Roman" w:hAnsi="Times New Roman" w:eastAsia="宋体" w:cs="Times New Roman"/>
                <w:color w:val="auto"/>
                <w:kern w:val="0"/>
                <w:sz w:val="24"/>
                <w:highlight w:val="none"/>
              </w:rPr>
            </w:pPr>
            <w:r>
              <w:rPr>
                <w:rFonts w:ascii="Times New Roman" w:hAnsi="Times New Roman" w:eastAsia="宋体" w:cs="Times New Roman"/>
                <w:color w:val="auto"/>
                <w:kern w:val="0"/>
                <w:sz w:val="24"/>
                <w:highlight w:val="none"/>
              </w:rPr>
              <w:t>监测因子：</w:t>
            </w:r>
            <w:r>
              <w:rPr>
                <w:rFonts w:hint="eastAsia" w:ascii="Times New Roman" w:hAnsi="Times New Roman" w:eastAsia="宋体" w:cs="Times New Roman"/>
                <w:color w:val="auto"/>
                <w:kern w:val="0"/>
                <w:sz w:val="24"/>
                <w:highlight w:val="none"/>
                <w:lang w:val="en-US" w:eastAsia="zh-CN"/>
              </w:rPr>
              <w:t>TSP</w:t>
            </w:r>
            <w:r>
              <w:rPr>
                <w:rFonts w:ascii="Times New Roman" w:hAnsi="Times New Roman" w:eastAsia="宋体" w:cs="Times New Roman"/>
                <w:color w:val="auto"/>
                <w:kern w:val="0"/>
                <w:sz w:val="24"/>
                <w:highlight w:val="none"/>
              </w:rPr>
              <w:t>；</w:t>
            </w:r>
          </w:p>
          <w:p w14:paraId="6ED82BEF">
            <w:pPr>
              <w:keepNext w:val="0"/>
              <w:keepLines w:val="0"/>
              <w:pageBreakBefore w:val="0"/>
              <w:widowControl w:val="0"/>
              <w:kinsoku/>
              <w:wordWrap/>
              <w:overflowPunct/>
              <w:topLinePunct w:val="0"/>
              <w:autoSpaceDE/>
              <w:autoSpaceDN/>
              <w:bidi w:val="0"/>
              <w:adjustRightInd w:val="0"/>
              <w:snapToGrid w:val="0"/>
              <w:spacing w:line="360" w:lineRule="auto"/>
              <w:ind w:firstLine="482" w:firstLineChars="200"/>
              <w:jc w:val="left"/>
              <w:textAlignment w:val="auto"/>
              <w:rPr>
                <w:rFonts w:ascii="Times New Roman" w:hAnsi="Times New Roman"/>
                <w:b/>
                <w:bCs/>
                <w:color w:val="auto"/>
                <w:kern w:val="0"/>
                <w:sz w:val="24"/>
                <w:highlight w:val="none"/>
              </w:rPr>
            </w:pPr>
            <w:r>
              <w:rPr>
                <w:rFonts w:ascii="Times New Roman" w:hAnsi="Times New Roman"/>
                <w:b/>
                <w:bCs/>
                <w:color w:val="auto"/>
                <w:kern w:val="0"/>
                <w:sz w:val="24"/>
                <w:highlight w:val="none"/>
              </w:rPr>
              <w:t>②监测点位</w:t>
            </w:r>
          </w:p>
          <w:p w14:paraId="2094B73E">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Times New Roman" w:hAnsi="Times New Roman" w:eastAsia="宋体" w:cs="Times New Roman"/>
                <w:color w:val="auto"/>
                <w:kern w:val="0"/>
                <w:sz w:val="24"/>
                <w:highlight w:val="none"/>
                <w:lang w:val="en-US" w:eastAsia="zh-CN"/>
              </w:rPr>
            </w:pPr>
            <w:r>
              <w:rPr>
                <w:rFonts w:hint="eastAsia" w:ascii="Times New Roman" w:hAnsi="Times New Roman" w:eastAsia="宋体" w:cs="Times New Roman"/>
                <w:color w:val="auto"/>
                <w:kern w:val="0"/>
                <w:sz w:val="24"/>
                <w:highlight w:val="none"/>
                <w:lang w:val="en-US" w:eastAsia="zh-CN"/>
              </w:rPr>
              <w:t>四川佰思格新材料科技有限公司钠离子电池硬碳负极材料生产项目所在地。</w:t>
            </w:r>
          </w:p>
          <w:p w14:paraId="118402E1">
            <w:pPr>
              <w:keepNext w:val="0"/>
              <w:keepLines w:val="0"/>
              <w:pageBreakBefore w:val="0"/>
              <w:widowControl w:val="0"/>
              <w:kinsoku/>
              <w:wordWrap/>
              <w:overflowPunct/>
              <w:topLinePunct w:val="0"/>
              <w:autoSpaceDE/>
              <w:autoSpaceDN/>
              <w:bidi w:val="0"/>
              <w:adjustRightInd w:val="0"/>
              <w:snapToGrid w:val="0"/>
              <w:spacing w:line="360" w:lineRule="auto"/>
              <w:ind w:firstLine="482" w:firstLineChars="200"/>
              <w:jc w:val="left"/>
              <w:textAlignment w:val="auto"/>
              <w:rPr>
                <w:rFonts w:ascii="Times New Roman" w:hAnsi="Times New Roman"/>
                <w:b/>
                <w:bCs/>
                <w:color w:val="auto"/>
                <w:kern w:val="0"/>
                <w:sz w:val="24"/>
                <w:highlight w:val="none"/>
              </w:rPr>
            </w:pPr>
            <w:r>
              <w:rPr>
                <w:rFonts w:ascii="Times New Roman" w:hAnsi="Times New Roman"/>
                <w:b/>
                <w:bCs/>
                <w:color w:val="auto"/>
                <w:kern w:val="0"/>
                <w:sz w:val="24"/>
                <w:highlight w:val="none"/>
              </w:rPr>
              <w:t>③监测数据的监测时间</w:t>
            </w:r>
          </w:p>
          <w:p w14:paraId="08619CCB">
            <w:pPr>
              <w:adjustRightInd w:val="0"/>
              <w:snapToGrid w:val="0"/>
              <w:spacing w:line="360" w:lineRule="auto"/>
              <w:ind w:firstLine="480" w:firstLineChars="200"/>
              <w:jc w:val="left"/>
              <w:rPr>
                <w:rFonts w:ascii="Times New Roman" w:hAnsi="Times New Roman"/>
                <w:color w:val="auto"/>
                <w:kern w:val="0"/>
                <w:sz w:val="24"/>
                <w:highlight w:val="none"/>
              </w:rPr>
            </w:pPr>
            <w:r>
              <w:rPr>
                <w:rFonts w:hint="eastAsia" w:ascii="Times New Roman" w:hAnsi="Times New Roman"/>
                <w:color w:val="auto"/>
                <w:kern w:val="0"/>
                <w:sz w:val="24"/>
                <w:highlight w:val="none"/>
                <w:lang w:val="en-US" w:eastAsia="zh-CN"/>
              </w:rPr>
              <w:t>2024.8.9</w:t>
            </w:r>
            <w:r>
              <w:rPr>
                <w:rFonts w:ascii="Times New Roman" w:hAnsi="Times New Roman"/>
                <w:color w:val="auto"/>
                <w:kern w:val="0"/>
                <w:sz w:val="24"/>
                <w:highlight w:val="none"/>
              </w:rPr>
              <w:t>~</w:t>
            </w:r>
            <w:r>
              <w:rPr>
                <w:rFonts w:hint="eastAsia" w:ascii="Times New Roman" w:hAnsi="Times New Roman"/>
                <w:color w:val="auto"/>
                <w:kern w:val="0"/>
                <w:sz w:val="24"/>
                <w:highlight w:val="none"/>
                <w:lang w:val="en-US" w:eastAsia="zh-CN"/>
              </w:rPr>
              <w:t>2024.8.16</w:t>
            </w:r>
            <w:r>
              <w:rPr>
                <w:rFonts w:ascii="Times New Roman" w:hAnsi="Times New Roman"/>
                <w:color w:val="auto"/>
                <w:kern w:val="0"/>
                <w:sz w:val="24"/>
                <w:highlight w:val="none"/>
              </w:rPr>
              <w:t>；连续监测</w:t>
            </w:r>
            <w:r>
              <w:rPr>
                <w:rFonts w:hint="eastAsia" w:ascii="Times New Roman" w:hAnsi="Times New Roman"/>
                <w:color w:val="auto"/>
                <w:kern w:val="0"/>
                <w:sz w:val="24"/>
                <w:highlight w:val="none"/>
                <w:lang w:val="en-US" w:eastAsia="zh-CN"/>
              </w:rPr>
              <w:t>7</w:t>
            </w:r>
            <w:r>
              <w:rPr>
                <w:rFonts w:ascii="Times New Roman" w:hAnsi="Times New Roman"/>
                <w:color w:val="auto"/>
                <w:kern w:val="0"/>
                <w:sz w:val="24"/>
                <w:highlight w:val="none"/>
              </w:rPr>
              <w:t>天。</w:t>
            </w:r>
          </w:p>
          <w:p w14:paraId="4B1FDC2F">
            <w:pPr>
              <w:pStyle w:val="119"/>
              <w:spacing w:line="360" w:lineRule="auto"/>
              <w:ind w:firstLineChars="200"/>
              <w:rPr>
                <w:rFonts w:hint="default" w:ascii="Times New Roman" w:hAnsi="Times New Roman" w:eastAsia="宋体" w:cs="Times New Roman"/>
                <w:b/>
                <w:bCs/>
                <w:color w:val="auto"/>
                <w:sz w:val="24"/>
                <w:szCs w:val="24"/>
                <w:lang w:val="en-US" w:eastAsia="zh-CN"/>
              </w:rPr>
            </w:pPr>
            <w:r>
              <w:rPr>
                <w:rFonts w:ascii="Times New Roman" w:hAnsi="Times New Roman"/>
                <w:b/>
                <w:bCs/>
                <w:color w:val="auto"/>
                <w:kern w:val="0"/>
                <w:sz w:val="24"/>
                <w:highlight w:val="none"/>
              </w:rPr>
              <w:t>④</w:t>
            </w:r>
            <w:r>
              <w:rPr>
                <w:rFonts w:hint="default" w:ascii="Times New Roman" w:hAnsi="Times New Roman" w:eastAsia="宋体" w:cs="Times New Roman"/>
                <w:b/>
                <w:bCs/>
                <w:color w:val="auto"/>
                <w:sz w:val="24"/>
                <w:szCs w:val="24"/>
                <w:lang w:val="en-US" w:eastAsia="zh-CN"/>
              </w:rPr>
              <w:t>评价方法</w:t>
            </w:r>
          </w:p>
          <w:p w14:paraId="057FBF2B">
            <w:pPr>
              <w:keepNext w:val="0"/>
              <w:keepLines w:val="0"/>
              <w:pageBreakBefore w:val="0"/>
              <w:kinsoku/>
              <w:wordWrap/>
              <w:overflowPunct/>
              <w:topLinePunct w:val="0"/>
              <w:autoSpaceDE/>
              <w:autoSpaceDN/>
              <w:bidi w:val="0"/>
              <w:adjustRightInd/>
              <w:spacing w:line="360" w:lineRule="auto"/>
              <w:ind w:right="0" w:firstLine="480" w:firstLineChars="200"/>
              <w:jc w:val="left"/>
              <w:textAlignment w:val="auto"/>
              <w:rPr>
                <w:rFonts w:ascii="Times New Roman" w:hAnsi="Times New Roman"/>
                <w:color w:val="auto"/>
                <w:kern w:val="1"/>
                <w:sz w:val="24"/>
                <w:szCs w:val="24"/>
              </w:rPr>
            </w:pPr>
            <w:r>
              <w:rPr>
                <w:rFonts w:hint="eastAsia" w:ascii="Times New Roman" w:hAnsi="Times New Roman"/>
                <w:color w:val="auto"/>
                <w:kern w:val="1"/>
                <w:sz w:val="24"/>
                <w:szCs w:val="24"/>
              </w:rPr>
              <w:t>采用单项因子质量指数法进行评价，其公式为</w:t>
            </w:r>
            <w:r>
              <w:rPr>
                <w:rFonts w:ascii="Times New Roman" w:hAnsi="Times New Roman"/>
                <w:color w:val="auto"/>
                <w:kern w:val="1"/>
                <w:sz w:val="24"/>
                <w:szCs w:val="24"/>
              </w:rPr>
              <w:t>：</w:t>
            </w:r>
          </w:p>
          <w:p w14:paraId="1E3E426C">
            <w:pPr>
              <w:keepNext w:val="0"/>
              <w:keepLines w:val="0"/>
              <w:pageBreakBefore w:val="0"/>
              <w:kinsoku/>
              <w:wordWrap/>
              <w:overflowPunct/>
              <w:topLinePunct w:val="0"/>
              <w:autoSpaceDE/>
              <w:autoSpaceDN/>
              <w:bidi w:val="0"/>
              <w:adjustRightInd/>
              <w:spacing w:line="360" w:lineRule="auto"/>
              <w:ind w:right="0" w:firstLine="480" w:firstLineChars="200"/>
              <w:jc w:val="center"/>
              <w:textAlignment w:val="auto"/>
              <w:rPr>
                <w:rFonts w:ascii="Times New Roman" w:hAnsi="Times New Roman"/>
                <w:color w:val="auto"/>
                <w:kern w:val="1"/>
                <w:sz w:val="24"/>
                <w:szCs w:val="24"/>
              </w:rPr>
            </w:pPr>
            <w:r>
              <w:rPr>
                <w:rFonts w:ascii="Times New Roman" w:hAnsi="Times New Roman"/>
                <w:color w:val="auto"/>
                <w:position w:val="-30"/>
                <w:sz w:val="24"/>
                <w:szCs w:val="24"/>
              </w:rPr>
              <w:object>
                <v:shape id="_x0000_i1030" o:spt="75" type="#_x0000_t75" style="height:34.1pt;width:38.15pt;" o:ole="t" filled="f" o:preferrelative="f" stroked="f" coordsize="21600,21600">
                  <v:path/>
                  <v:fill on="f" focussize="0,0"/>
                  <v:stroke on="f"/>
                  <v:imagedata r:id="rId28" o:title=""/>
                  <o:lock v:ext="edit" rotation="t" aspectratio="f"/>
                  <w10:wrap type="none"/>
                  <w10:anchorlock/>
                </v:shape>
                <o:OLEObject Type="Embed" ProgID="Equation.3" ShapeID="_x0000_i1030" DrawAspect="Content" ObjectID="_1468075730" r:id="rId27">
                  <o:LockedField>false</o:LockedField>
                </o:OLEObject>
              </w:object>
            </w:r>
          </w:p>
          <w:p w14:paraId="34D751B4">
            <w:pPr>
              <w:keepNext w:val="0"/>
              <w:keepLines w:val="0"/>
              <w:pageBreakBefore w:val="0"/>
              <w:kinsoku/>
              <w:wordWrap/>
              <w:overflowPunct/>
              <w:topLinePunct w:val="0"/>
              <w:autoSpaceDE/>
              <w:autoSpaceDN/>
              <w:bidi w:val="0"/>
              <w:adjustRightInd/>
              <w:spacing w:line="360" w:lineRule="auto"/>
              <w:ind w:right="0" w:firstLine="480" w:firstLineChars="200"/>
              <w:textAlignment w:val="auto"/>
              <w:rPr>
                <w:rFonts w:ascii="Times New Roman" w:hAnsi="Times New Roman"/>
                <w:color w:val="auto"/>
                <w:sz w:val="24"/>
                <w:szCs w:val="24"/>
              </w:rPr>
            </w:pPr>
            <w:r>
              <w:rPr>
                <w:rFonts w:ascii="Times New Roman" w:hAnsi="Times New Roman"/>
                <w:color w:val="auto"/>
                <w:kern w:val="1"/>
                <w:sz w:val="24"/>
                <w:szCs w:val="24"/>
              </w:rPr>
              <w:t>式中：</w:t>
            </w:r>
            <w:r>
              <w:rPr>
                <w:rFonts w:hint="eastAsia" w:ascii="Times New Roman" w:hAnsi="Times New Roman"/>
                <w:color w:val="auto"/>
                <w:kern w:val="1"/>
                <w:sz w:val="24"/>
                <w:szCs w:val="24"/>
                <w:lang w:val="en-US" w:eastAsia="zh-CN"/>
              </w:rPr>
              <w:t>P</w:t>
            </w:r>
            <w:r>
              <w:rPr>
                <w:rFonts w:ascii="Times New Roman" w:hAnsi="Times New Roman"/>
                <w:color w:val="auto"/>
                <w:sz w:val="24"/>
                <w:szCs w:val="24"/>
                <w:vertAlign w:val="subscript"/>
              </w:rPr>
              <w:t>i</w:t>
            </w:r>
            <w:r>
              <w:rPr>
                <w:rFonts w:ascii="Times New Roman" w:hAnsi="Times New Roman"/>
                <w:color w:val="auto"/>
                <w:sz w:val="24"/>
                <w:szCs w:val="24"/>
              </w:rPr>
              <w:t>——</w:t>
            </w:r>
            <w:r>
              <w:rPr>
                <w:rFonts w:hint="eastAsia" w:ascii="Times New Roman" w:hAnsi="Times New Roman"/>
                <w:color w:val="auto"/>
                <w:sz w:val="24"/>
                <w:szCs w:val="24"/>
              </w:rPr>
              <w:t>第i种污染物的最大质量浓度占标率</w:t>
            </w:r>
            <w:r>
              <w:rPr>
                <w:rFonts w:ascii="Times New Roman" w:hAnsi="Times New Roman"/>
                <w:color w:val="auto"/>
                <w:sz w:val="24"/>
                <w:szCs w:val="24"/>
              </w:rPr>
              <w:t>；</w:t>
            </w:r>
          </w:p>
          <w:p w14:paraId="1B0422F4">
            <w:pPr>
              <w:keepNext w:val="0"/>
              <w:keepLines w:val="0"/>
              <w:pageBreakBefore w:val="0"/>
              <w:kinsoku/>
              <w:wordWrap/>
              <w:overflowPunct/>
              <w:topLinePunct w:val="0"/>
              <w:autoSpaceDE/>
              <w:autoSpaceDN/>
              <w:bidi w:val="0"/>
              <w:adjustRightInd/>
              <w:spacing w:line="360" w:lineRule="auto"/>
              <w:ind w:right="0" w:firstLine="480" w:firstLineChars="200"/>
              <w:textAlignment w:val="auto"/>
              <w:rPr>
                <w:rFonts w:ascii="Times New Roman" w:hAnsi="Times New Roman"/>
                <w:color w:val="auto"/>
                <w:sz w:val="24"/>
                <w:szCs w:val="24"/>
              </w:rPr>
            </w:pPr>
            <w:r>
              <w:rPr>
                <w:rFonts w:ascii="Times New Roman" w:hAnsi="Times New Roman"/>
                <w:color w:val="auto"/>
                <w:sz w:val="24"/>
                <w:szCs w:val="24"/>
              </w:rPr>
              <w:t>C</w:t>
            </w:r>
            <w:r>
              <w:rPr>
                <w:rFonts w:ascii="Times New Roman" w:hAnsi="Times New Roman"/>
                <w:color w:val="auto"/>
                <w:sz w:val="24"/>
                <w:szCs w:val="24"/>
                <w:vertAlign w:val="subscript"/>
              </w:rPr>
              <w:t>i</w:t>
            </w:r>
            <w:r>
              <w:rPr>
                <w:rFonts w:ascii="Times New Roman" w:hAnsi="Times New Roman"/>
                <w:color w:val="auto"/>
                <w:sz w:val="24"/>
                <w:szCs w:val="24"/>
              </w:rPr>
              <w:t>——第i个污染物</w:t>
            </w:r>
            <w:r>
              <w:rPr>
                <w:rFonts w:hint="eastAsia" w:ascii="Times New Roman" w:hAnsi="Times New Roman"/>
                <w:color w:val="auto"/>
                <w:sz w:val="24"/>
                <w:szCs w:val="24"/>
              </w:rPr>
              <w:t>实测最大质量浓度</w:t>
            </w:r>
            <w:r>
              <w:rPr>
                <w:rFonts w:ascii="Times New Roman" w:hAnsi="Times New Roman"/>
                <w:color w:val="auto"/>
                <w:sz w:val="24"/>
                <w:szCs w:val="24"/>
              </w:rPr>
              <w:t>，</w:t>
            </w:r>
            <w:r>
              <w:rPr>
                <w:rFonts w:hint="eastAsia" w:ascii="Times New Roman" w:hAnsi="Times New Roman"/>
                <w:color w:val="auto"/>
                <w:sz w:val="24"/>
                <w:szCs w:val="24"/>
                <w:lang w:val="en-US" w:eastAsia="zh-CN"/>
              </w:rPr>
              <w:t>m</w:t>
            </w:r>
            <w:r>
              <w:rPr>
                <w:rFonts w:ascii="Times New Roman" w:hAnsi="Times New Roman"/>
                <w:color w:val="auto"/>
                <w:sz w:val="24"/>
                <w:szCs w:val="24"/>
              </w:rPr>
              <w:t>g/m</w:t>
            </w:r>
            <w:r>
              <w:rPr>
                <w:rFonts w:ascii="Times New Roman" w:hAnsi="Times New Roman"/>
                <w:color w:val="auto"/>
                <w:sz w:val="24"/>
                <w:szCs w:val="24"/>
                <w:vertAlign w:val="superscript"/>
              </w:rPr>
              <w:t>3</w:t>
            </w:r>
            <w:r>
              <w:rPr>
                <w:rFonts w:ascii="Times New Roman" w:hAnsi="Times New Roman"/>
                <w:color w:val="auto"/>
                <w:sz w:val="24"/>
                <w:szCs w:val="24"/>
              </w:rPr>
              <w:t>；</w:t>
            </w:r>
          </w:p>
          <w:p w14:paraId="0B2BCB3C">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textAlignment w:val="auto"/>
              <w:rPr>
                <w:rFonts w:ascii="Times New Roman" w:hAnsi="Times New Roman"/>
                <w:color w:val="auto"/>
                <w:sz w:val="24"/>
                <w:szCs w:val="24"/>
              </w:rPr>
            </w:pPr>
            <w:r>
              <w:rPr>
                <w:rFonts w:hint="eastAsia" w:ascii="Times New Roman" w:hAnsi="Times New Roman"/>
                <w:color w:val="auto"/>
                <w:sz w:val="24"/>
                <w:szCs w:val="24"/>
                <w:lang w:val="en-US" w:eastAsia="zh-CN"/>
              </w:rPr>
              <w:t>S</w:t>
            </w:r>
            <w:r>
              <w:rPr>
                <w:rFonts w:ascii="Times New Roman" w:hAnsi="Times New Roman"/>
                <w:color w:val="auto"/>
                <w:sz w:val="24"/>
                <w:szCs w:val="24"/>
                <w:vertAlign w:val="subscript"/>
              </w:rPr>
              <w:t>i</w:t>
            </w:r>
            <w:r>
              <w:rPr>
                <w:rFonts w:ascii="Times New Roman" w:hAnsi="Times New Roman"/>
                <w:color w:val="auto"/>
                <w:sz w:val="24"/>
                <w:szCs w:val="24"/>
              </w:rPr>
              <w:t>——第i个污染物的环境空气质量标准，</w:t>
            </w:r>
            <w:r>
              <w:rPr>
                <w:rFonts w:hint="eastAsia" w:ascii="Times New Roman" w:hAnsi="Times New Roman"/>
                <w:color w:val="auto"/>
                <w:sz w:val="24"/>
                <w:szCs w:val="24"/>
                <w:lang w:val="en-US" w:eastAsia="zh-CN"/>
              </w:rPr>
              <w:t>m</w:t>
            </w:r>
            <w:r>
              <w:rPr>
                <w:rFonts w:ascii="Times New Roman" w:hAnsi="Times New Roman"/>
                <w:color w:val="auto"/>
                <w:sz w:val="24"/>
                <w:szCs w:val="24"/>
              </w:rPr>
              <w:t>g/m</w:t>
            </w:r>
            <w:r>
              <w:rPr>
                <w:rFonts w:ascii="Times New Roman" w:hAnsi="Times New Roman"/>
                <w:color w:val="auto"/>
                <w:sz w:val="24"/>
                <w:szCs w:val="24"/>
                <w:vertAlign w:val="superscript"/>
              </w:rPr>
              <w:t>3</w:t>
            </w:r>
            <w:r>
              <w:rPr>
                <w:rFonts w:ascii="Times New Roman" w:hAnsi="Times New Roman"/>
                <w:color w:val="auto"/>
                <w:sz w:val="24"/>
                <w:szCs w:val="24"/>
              </w:rPr>
              <w:t>。</w:t>
            </w:r>
          </w:p>
          <w:p w14:paraId="00B020AE">
            <w:pPr>
              <w:pStyle w:val="119"/>
              <w:ind w:firstLineChars="200"/>
              <w:rPr>
                <w:rFonts w:hint="eastAsia" w:ascii="Times New Roman" w:hAnsi="Times New Roman"/>
                <w:b/>
                <w:bCs/>
                <w:color w:val="auto"/>
                <w:sz w:val="24"/>
                <w:szCs w:val="24"/>
                <w:lang w:val="en-US" w:eastAsia="zh-CN"/>
              </w:rPr>
            </w:pPr>
            <w:r>
              <w:rPr>
                <w:rFonts w:hint="eastAsia" w:ascii="Times New Roman" w:hAnsi="Times New Roman"/>
                <w:b/>
                <w:bCs/>
                <w:color w:val="auto"/>
                <w:sz w:val="24"/>
                <w:szCs w:val="24"/>
                <w:lang w:val="en-US" w:eastAsia="zh-CN"/>
              </w:rPr>
              <w:t>⑤评价结果</w:t>
            </w:r>
          </w:p>
          <w:p w14:paraId="1BC7CFA6">
            <w:pPr>
              <w:pStyle w:val="119"/>
              <w:ind w:firstLineChars="200"/>
              <w:rPr>
                <w:rFonts w:hint="default" w:ascii="Times New Roman" w:hAnsi="Times New Roman"/>
                <w:color w:val="auto"/>
                <w:sz w:val="24"/>
                <w:szCs w:val="24"/>
                <w:lang w:val="en-US" w:eastAsia="zh-CN"/>
              </w:rPr>
            </w:pPr>
            <w:r>
              <w:rPr>
                <w:rFonts w:hint="eastAsia" w:ascii="Times New Roman" w:hAnsi="Times New Roman"/>
                <w:color w:val="auto"/>
                <w:sz w:val="24"/>
                <w:szCs w:val="24"/>
                <w:lang w:val="en-US" w:eastAsia="zh-CN"/>
              </w:rPr>
              <w:t>项目所在区域环境空气质量（其他污染物）评价结果见下表。</w:t>
            </w:r>
          </w:p>
          <w:p w14:paraId="13A477B4">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b/>
                <w:bCs/>
                <w:color w:val="auto"/>
                <w:kern w:val="0"/>
                <w:sz w:val="21"/>
                <w:szCs w:val="21"/>
                <w:highlight w:val="none"/>
                <w:lang w:val="en-US" w:eastAsia="zh-CN"/>
              </w:rPr>
            </w:pPr>
            <w:r>
              <w:rPr>
                <w:rFonts w:ascii="Times New Roman" w:hAnsi="Times New Roman" w:eastAsia="宋体" w:cs="Times New Roman"/>
                <w:b/>
                <w:bCs/>
                <w:color w:val="auto"/>
                <w:kern w:val="0"/>
                <w:sz w:val="21"/>
                <w:szCs w:val="21"/>
                <w:highlight w:val="none"/>
              </w:rPr>
              <w:t>表</w:t>
            </w:r>
            <w:r>
              <w:rPr>
                <w:rFonts w:hint="eastAsia" w:ascii="Times New Roman" w:hAnsi="Times New Roman" w:eastAsia="宋体" w:cs="Times New Roman"/>
                <w:b/>
                <w:bCs/>
                <w:color w:val="auto"/>
                <w:kern w:val="0"/>
                <w:sz w:val="21"/>
                <w:szCs w:val="21"/>
                <w:highlight w:val="none"/>
              </w:rPr>
              <w:t>3-</w:t>
            </w:r>
            <w:r>
              <w:rPr>
                <w:rFonts w:hint="eastAsia" w:ascii="Times New Roman" w:hAnsi="Times New Roman" w:cs="Times New Roman"/>
                <w:b/>
                <w:bCs/>
                <w:color w:val="auto"/>
                <w:kern w:val="0"/>
                <w:sz w:val="21"/>
                <w:szCs w:val="21"/>
                <w:highlight w:val="none"/>
                <w:lang w:val="en-US" w:eastAsia="zh-CN"/>
              </w:rPr>
              <w:t>2</w:t>
            </w:r>
            <w:r>
              <w:rPr>
                <w:rFonts w:hint="eastAsia" w:ascii="Times New Roman" w:hAnsi="Times New Roman" w:eastAsia="宋体" w:cs="Times New Roman"/>
                <w:b/>
                <w:bCs/>
                <w:color w:val="auto"/>
                <w:kern w:val="0"/>
                <w:sz w:val="21"/>
                <w:szCs w:val="21"/>
                <w:highlight w:val="none"/>
                <w:lang w:val="en-US" w:eastAsia="zh-CN"/>
              </w:rPr>
              <w:t xml:space="preserve"> 环境空气质量评价结果表</w:t>
            </w:r>
          </w:p>
          <w:tbl>
            <w:tblPr>
              <w:tblStyle w:val="42"/>
              <w:tblW w:w="0" w:type="auto"/>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711"/>
              <w:gridCol w:w="1414"/>
              <w:gridCol w:w="1854"/>
              <w:gridCol w:w="1324"/>
              <w:gridCol w:w="1514"/>
            </w:tblGrid>
            <w:tr w14:paraId="6FD2C33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711" w:type="dxa"/>
                  <w:tcBorders>
                    <w:tl2br w:val="nil"/>
                    <w:tr2bl w:val="nil"/>
                  </w:tcBorders>
                  <w:shd w:val="clear" w:color="auto" w:fill="auto"/>
                  <w:noWrap w:val="0"/>
                  <w:vAlign w:val="center"/>
                </w:tcPr>
                <w:p w14:paraId="565DAE5D">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b/>
                      <w:color w:val="auto"/>
                      <w:sz w:val="21"/>
                      <w:szCs w:val="21"/>
                      <w:vertAlign w:val="baseline"/>
                      <w:lang w:val="en-US" w:eastAsia="zh-CN"/>
                    </w:rPr>
                  </w:pPr>
                  <w:r>
                    <w:rPr>
                      <w:rFonts w:hint="eastAsia" w:ascii="Times New Roman" w:hAnsi="Times New Roman"/>
                      <w:b/>
                      <w:color w:val="auto"/>
                      <w:sz w:val="21"/>
                      <w:szCs w:val="21"/>
                      <w:vertAlign w:val="baseline"/>
                      <w:lang w:val="en-US" w:eastAsia="zh-CN"/>
                    </w:rPr>
                    <w:t>监测项目</w:t>
                  </w:r>
                </w:p>
              </w:tc>
              <w:tc>
                <w:tcPr>
                  <w:tcW w:w="1414" w:type="dxa"/>
                  <w:tcBorders>
                    <w:tl2br w:val="nil"/>
                    <w:tr2bl w:val="nil"/>
                  </w:tcBorders>
                  <w:shd w:val="clear" w:color="auto" w:fill="auto"/>
                  <w:noWrap w:val="0"/>
                  <w:vAlign w:val="center"/>
                </w:tcPr>
                <w:p w14:paraId="3F8ABC7A">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b/>
                      <w:color w:val="auto"/>
                      <w:sz w:val="21"/>
                      <w:szCs w:val="21"/>
                      <w:vertAlign w:val="baseline"/>
                      <w:lang w:val="en-US" w:eastAsia="zh-CN"/>
                    </w:rPr>
                  </w:pPr>
                  <w:r>
                    <w:rPr>
                      <w:rFonts w:hint="eastAsia" w:ascii="Times New Roman" w:hAnsi="Times New Roman"/>
                      <w:b/>
                      <w:color w:val="auto"/>
                      <w:sz w:val="21"/>
                      <w:szCs w:val="21"/>
                      <w:vertAlign w:val="baseline"/>
                      <w:lang w:val="en-US" w:eastAsia="zh-CN"/>
                    </w:rPr>
                    <w:t>浓度范围</w:t>
                  </w:r>
                  <w:r>
                    <w:rPr>
                      <w:rFonts w:hint="eastAsia" w:ascii="Times New Roman" w:hAnsi="Times New Roman"/>
                      <w:b/>
                      <w:bCs w:val="0"/>
                      <w:color w:val="auto"/>
                      <w:sz w:val="21"/>
                      <w:szCs w:val="21"/>
                      <w:vertAlign w:val="baseline"/>
                      <w:lang w:val="en-US" w:eastAsia="zh-CN"/>
                    </w:rPr>
                    <w:t>（μ</w:t>
                  </w:r>
                  <w:r>
                    <w:rPr>
                      <w:rFonts w:hint="eastAsia" w:ascii="Times New Roman" w:hAnsi="Times New Roman"/>
                      <w:b/>
                      <w:bCs w:val="0"/>
                      <w:color w:val="auto"/>
                      <w:sz w:val="21"/>
                      <w:szCs w:val="21"/>
                      <w:lang w:val="en-US" w:eastAsia="zh-CN"/>
                    </w:rPr>
                    <w:t>g/m</w:t>
                  </w:r>
                  <w:r>
                    <w:rPr>
                      <w:rFonts w:hint="eastAsia" w:ascii="Times New Roman" w:hAnsi="Times New Roman"/>
                      <w:b/>
                      <w:bCs w:val="0"/>
                      <w:color w:val="auto"/>
                      <w:sz w:val="21"/>
                      <w:szCs w:val="21"/>
                      <w:vertAlign w:val="superscript"/>
                      <w:lang w:val="en-US" w:eastAsia="zh-CN"/>
                    </w:rPr>
                    <w:t>3</w:t>
                  </w:r>
                  <w:r>
                    <w:rPr>
                      <w:rFonts w:hint="eastAsia" w:ascii="Times New Roman" w:hAnsi="Times New Roman"/>
                      <w:b/>
                      <w:bCs w:val="0"/>
                      <w:color w:val="auto"/>
                      <w:sz w:val="21"/>
                      <w:szCs w:val="21"/>
                      <w:vertAlign w:val="baseline"/>
                      <w:lang w:val="en-US" w:eastAsia="zh-CN"/>
                    </w:rPr>
                    <w:t>）</w:t>
                  </w:r>
                </w:p>
              </w:tc>
              <w:tc>
                <w:tcPr>
                  <w:tcW w:w="1854" w:type="dxa"/>
                  <w:tcBorders>
                    <w:tl2br w:val="nil"/>
                    <w:tr2bl w:val="nil"/>
                  </w:tcBorders>
                  <w:shd w:val="clear" w:color="auto" w:fill="auto"/>
                  <w:noWrap w:val="0"/>
                  <w:vAlign w:val="center"/>
                </w:tcPr>
                <w:p w14:paraId="0828861E">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b/>
                      <w:color w:val="auto"/>
                      <w:sz w:val="21"/>
                      <w:szCs w:val="21"/>
                      <w:vertAlign w:val="baseline"/>
                      <w:lang w:val="en-US" w:eastAsia="zh-CN"/>
                    </w:rPr>
                  </w:pPr>
                  <w:r>
                    <w:rPr>
                      <w:rFonts w:hint="eastAsia" w:ascii="Times New Roman" w:hAnsi="Times New Roman"/>
                      <w:b/>
                      <w:color w:val="auto"/>
                      <w:sz w:val="21"/>
                      <w:szCs w:val="21"/>
                      <w:vertAlign w:val="baseline"/>
                      <w:lang w:val="en-US" w:eastAsia="zh-CN"/>
                    </w:rPr>
                    <w:t>标准值</w:t>
                  </w:r>
                  <w:r>
                    <w:rPr>
                      <w:rFonts w:hint="eastAsia" w:ascii="Times New Roman" w:hAnsi="Times New Roman"/>
                      <w:b/>
                      <w:bCs w:val="0"/>
                      <w:color w:val="auto"/>
                      <w:sz w:val="21"/>
                      <w:szCs w:val="21"/>
                      <w:vertAlign w:val="baseline"/>
                      <w:lang w:val="en-US" w:eastAsia="zh-CN"/>
                    </w:rPr>
                    <w:t>（μ</w:t>
                  </w:r>
                  <w:r>
                    <w:rPr>
                      <w:rFonts w:hint="eastAsia" w:ascii="Times New Roman" w:hAnsi="Times New Roman"/>
                      <w:b/>
                      <w:bCs w:val="0"/>
                      <w:color w:val="auto"/>
                      <w:sz w:val="21"/>
                      <w:szCs w:val="21"/>
                      <w:lang w:val="en-US" w:eastAsia="zh-CN"/>
                    </w:rPr>
                    <w:t>g/m</w:t>
                  </w:r>
                  <w:r>
                    <w:rPr>
                      <w:rFonts w:hint="eastAsia" w:ascii="Times New Roman" w:hAnsi="Times New Roman"/>
                      <w:b/>
                      <w:bCs w:val="0"/>
                      <w:color w:val="auto"/>
                      <w:sz w:val="21"/>
                      <w:szCs w:val="21"/>
                      <w:vertAlign w:val="superscript"/>
                      <w:lang w:val="en-US" w:eastAsia="zh-CN"/>
                    </w:rPr>
                    <w:t>3</w:t>
                  </w:r>
                  <w:r>
                    <w:rPr>
                      <w:rFonts w:hint="eastAsia" w:ascii="Times New Roman" w:hAnsi="Times New Roman"/>
                      <w:b/>
                      <w:bCs w:val="0"/>
                      <w:color w:val="auto"/>
                      <w:sz w:val="21"/>
                      <w:szCs w:val="21"/>
                      <w:vertAlign w:val="baseline"/>
                      <w:lang w:val="en-US" w:eastAsia="zh-CN"/>
                    </w:rPr>
                    <w:t>）</w:t>
                  </w:r>
                </w:p>
              </w:tc>
              <w:tc>
                <w:tcPr>
                  <w:tcW w:w="1324" w:type="dxa"/>
                  <w:tcBorders>
                    <w:tl2br w:val="nil"/>
                    <w:tr2bl w:val="nil"/>
                  </w:tcBorders>
                  <w:shd w:val="clear" w:color="auto" w:fill="auto"/>
                  <w:noWrap w:val="0"/>
                  <w:vAlign w:val="center"/>
                </w:tcPr>
                <w:p w14:paraId="563D5EE6">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b/>
                      <w:color w:val="auto"/>
                      <w:sz w:val="21"/>
                      <w:szCs w:val="21"/>
                      <w:vertAlign w:val="baseline"/>
                      <w:lang w:val="en-US" w:eastAsia="zh-CN"/>
                    </w:rPr>
                  </w:pPr>
                  <w:r>
                    <w:rPr>
                      <w:rFonts w:hint="eastAsia" w:ascii="Times New Roman" w:hAnsi="Times New Roman"/>
                      <w:b/>
                      <w:color w:val="auto"/>
                      <w:sz w:val="21"/>
                      <w:szCs w:val="21"/>
                      <w:vertAlign w:val="baseline"/>
                      <w:lang w:val="en-US" w:eastAsia="zh-CN"/>
                    </w:rPr>
                    <w:t>最大占标率</w:t>
                  </w:r>
                </w:p>
              </w:tc>
              <w:tc>
                <w:tcPr>
                  <w:tcW w:w="1514" w:type="dxa"/>
                  <w:tcBorders>
                    <w:tl2br w:val="nil"/>
                    <w:tr2bl w:val="nil"/>
                  </w:tcBorders>
                  <w:shd w:val="clear" w:color="auto" w:fill="auto"/>
                  <w:noWrap w:val="0"/>
                  <w:vAlign w:val="center"/>
                </w:tcPr>
                <w:p w14:paraId="4FADA057">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b/>
                      <w:color w:val="auto"/>
                      <w:sz w:val="21"/>
                      <w:szCs w:val="21"/>
                      <w:vertAlign w:val="baseline"/>
                      <w:lang w:val="en-US" w:eastAsia="zh-CN"/>
                    </w:rPr>
                  </w:pPr>
                  <w:r>
                    <w:rPr>
                      <w:rFonts w:hint="eastAsia" w:ascii="Times New Roman" w:hAnsi="Times New Roman"/>
                      <w:b/>
                      <w:color w:val="auto"/>
                      <w:sz w:val="21"/>
                      <w:szCs w:val="21"/>
                      <w:vertAlign w:val="baseline"/>
                      <w:lang w:val="en-US" w:eastAsia="zh-CN"/>
                    </w:rPr>
                    <w:t>达标情况</w:t>
                  </w:r>
                </w:p>
              </w:tc>
            </w:tr>
            <w:tr w14:paraId="76A8123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1711" w:type="dxa"/>
                  <w:tcBorders>
                    <w:tl2br w:val="nil"/>
                    <w:tr2bl w:val="nil"/>
                  </w:tcBorders>
                  <w:noWrap w:val="0"/>
                  <w:vAlign w:val="center"/>
                </w:tcPr>
                <w:p w14:paraId="191300A8">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b w:val="0"/>
                      <w:bCs/>
                      <w:color w:val="auto"/>
                      <w:sz w:val="21"/>
                      <w:szCs w:val="21"/>
                      <w:vertAlign w:val="baseline"/>
                      <w:lang w:val="en-US" w:eastAsia="zh-CN"/>
                    </w:rPr>
                  </w:pPr>
                  <w:r>
                    <w:rPr>
                      <w:rFonts w:hint="eastAsia" w:ascii="Times New Roman" w:hAnsi="Times New Roman" w:eastAsia="宋体"/>
                      <w:b w:val="0"/>
                      <w:bCs/>
                      <w:color w:val="auto"/>
                      <w:sz w:val="21"/>
                      <w:szCs w:val="21"/>
                      <w:vertAlign w:val="baseline"/>
                      <w:lang w:val="en-US" w:eastAsia="zh-CN"/>
                    </w:rPr>
                    <w:t>总悬浮颗粒物</w:t>
                  </w:r>
                </w:p>
              </w:tc>
              <w:tc>
                <w:tcPr>
                  <w:tcW w:w="1414" w:type="dxa"/>
                  <w:tcBorders>
                    <w:tl2br w:val="nil"/>
                    <w:tr2bl w:val="nil"/>
                  </w:tcBorders>
                  <w:noWrap w:val="0"/>
                  <w:vAlign w:val="center"/>
                </w:tcPr>
                <w:p w14:paraId="766BC51C">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b w:val="0"/>
                      <w:bCs/>
                      <w:color w:val="auto"/>
                      <w:sz w:val="21"/>
                      <w:szCs w:val="21"/>
                      <w:vertAlign w:val="baseline"/>
                      <w:lang w:val="en-US" w:eastAsia="zh-CN"/>
                    </w:rPr>
                  </w:pPr>
                  <w:r>
                    <w:rPr>
                      <w:rFonts w:hint="eastAsia" w:ascii="Times New Roman" w:hAnsi="Times New Roman"/>
                      <w:b w:val="0"/>
                      <w:bCs/>
                      <w:color w:val="auto"/>
                      <w:sz w:val="21"/>
                      <w:szCs w:val="21"/>
                      <w:vertAlign w:val="baseline"/>
                      <w:lang w:val="en-US" w:eastAsia="zh-CN"/>
                    </w:rPr>
                    <w:t>117~124</w:t>
                  </w:r>
                </w:p>
              </w:tc>
              <w:tc>
                <w:tcPr>
                  <w:tcW w:w="1854" w:type="dxa"/>
                  <w:tcBorders>
                    <w:tl2br w:val="nil"/>
                    <w:tr2bl w:val="nil"/>
                  </w:tcBorders>
                  <w:noWrap w:val="0"/>
                  <w:vAlign w:val="center"/>
                </w:tcPr>
                <w:p w14:paraId="613B0C79">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b w:val="0"/>
                      <w:bCs/>
                      <w:color w:val="auto"/>
                      <w:kern w:val="2"/>
                      <w:sz w:val="21"/>
                      <w:szCs w:val="21"/>
                      <w:vertAlign w:val="baseline"/>
                      <w:lang w:val="en-US" w:eastAsia="zh-CN" w:bidi="ar-SA"/>
                    </w:rPr>
                  </w:pPr>
                  <w:r>
                    <w:rPr>
                      <w:rFonts w:hint="eastAsia" w:ascii="Times New Roman" w:hAnsi="Times New Roman"/>
                      <w:b w:val="0"/>
                      <w:bCs/>
                      <w:color w:val="auto"/>
                      <w:sz w:val="21"/>
                      <w:szCs w:val="21"/>
                      <w:vertAlign w:val="baseline"/>
                      <w:lang w:val="en-US" w:eastAsia="zh-CN"/>
                    </w:rPr>
                    <w:t>300</w:t>
                  </w:r>
                </w:p>
              </w:tc>
              <w:tc>
                <w:tcPr>
                  <w:tcW w:w="1324" w:type="dxa"/>
                  <w:tcBorders>
                    <w:tl2br w:val="nil"/>
                    <w:tr2bl w:val="nil"/>
                  </w:tcBorders>
                  <w:noWrap w:val="0"/>
                  <w:vAlign w:val="center"/>
                </w:tcPr>
                <w:p w14:paraId="477D62C6">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b w:val="0"/>
                      <w:bCs/>
                      <w:color w:val="auto"/>
                      <w:sz w:val="21"/>
                      <w:szCs w:val="21"/>
                      <w:vertAlign w:val="baseline"/>
                      <w:lang w:val="en-US" w:eastAsia="zh-CN"/>
                    </w:rPr>
                  </w:pPr>
                  <w:r>
                    <w:rPr>
                      <w:rFonts w:hint="eastAsia" w:ascii="Times New Roman" w:hAnsi="Times New Roman"/>
                      <w:b w:val="0"/>
                      <w:bCs/>
                      <w:color w:val="auto"/>
                      <w:sz w:val="21"/>
                      <w:szCs w:val="21"/>
                      <w:vertAlign w:val="baseline"/>
                      <w:lang w:val="en-US" w:eastAsia="zh-CN"/>
                    </w:rPr>
                    <w:t>41.33</w:t>
                  </w:r>
                </w:p>
              </w:tc>
              <w:tc>
                <w:tcPr>
                  <w:tcW w:w="1514" w:type="dxa"/>
                  <w:tcBorders>
                    <w:tl2br w:val="nil"/>
                    <w:tr2bl w:val="nil"/>
                  </w:tcBorders>
                  <w:noWrap w:val="0"/>
                  <w:vAlign w:val="center"/>
                </w:tcPr>
                <w:p w14:paraId="7B537486">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b w:val="0"/>
                      <w:bCs/>
                      <w:color w:val="auto"/>
                      <w:kern w:val="2"/>
                      <w:sz w:val="21"/>
                      <w:szCs w:val="21"/>
                      <w:vertAlign w:val="baseline"/>
                      <w:lang w:val="en-US" w:eastAsia="zh-CN" w:bidi="ar-SA"/>
                    </w:rPr>
                  </w:pPr>
                  <w:r>
                    <w:rPr>
                      <w:rFonts w:hint="eastAsia" w:ascii="Times New Roman" w:hAnsi="Times New Roman" w:eastAsia="宋体"/>
                      <w:b w:val="0"/>
                      <w:bCs/>
                      <w:color w:val="auto"/>
                      <w:sz w:val="21"/>
                      <w:szCs w:val="21"/>
                      <w:vertAlign w:val="baseline"/>
                      <w:lang w:val="en-US" w:eastAsia="zh-CN"/>
                    </w:rPr>
                    <w:t>达标</w:t>
                  </w:r>
                </w:p>
              </w:tc>
            </w:tr>
          </w:tbl>
          <w:p w14:paraId="137B4DA0">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textAlignment w:val="auto"/>
              <w:rPr>
                <w:color w:val="auto"/>
              </w:rPr>
            </w:pPr>
            <w:r>
              <w:rPr>
                <w:rFonts w:ascii="Times New Roman" w:hAnsi="Times New Roman"/>
                <w:color w:val="auto"/>
                <w:kern w:val="0"/>
                <w:sz w:val="24"/>
                <w:highlight w:val="none"/>
              </w:rPr>
              <w:t>由上表可知，</w:t>
            </w:r>
            <w:r>
              <w:rPr>
                <w:rFonts w:hint="eastAsia" w:ascii="Times New Roman" w:hAnsi="Times New Roman"/>
                <w:color w:val="auto"/>
                <w:kern w:val="0"/>
                <w:sz w:val="24"/>
                <w:highlight w:val="none"/>
                <w:lang w:val="en-US" w:eastAsia="zh-CN"/>
              </w:rPr>
              <w:t>总悬浮颗粒物满足《环境空气质量标准》（GB3095-2026）表2中相关标准限值</w:t>
            </w:r>
            <w:r>
              <w:rPr>
                <w:rFonts w:ascii="Times New Roman" w:hAnsi="Times New Roman"/>
                <w:color w:val="auto"/>
                <w:kern w:val="0"/>
                <w:sz w:val="24"/>
                <w:highlight w:val="none"/>
              </w:rPr>
              <w:t>。</w:t>
            </w:r>
          </w:p>
          <w:p w14:paraId="61C2E70A">
            <w:pPr>
              <w:pStyle w:val="66"/>
              <w:spacing w:line="360" w:lineRule="auto"/>
              <w:rPr>
                <w:rFonts w:hint="default" w:ascii="Times New Roman" w:hAnsi="Times New Roman" w:cs="Times New Roman"/>
                <w:b/>
                <w:color w:val="auto"/>
                <w:sz w:val="24"/>
                <w:szCs w:val="24"/>
              </w:rPr>
            </w:pPr>
            <w:r>
              <w:rPr>
                <w:rFonts w:hint="default" w:ascii="Times New Roman" w:hAnsi="Times New Roman" w:cs="Times New Roman"/>
                <w:b/>
                <w:color w:val="auto"/>
                <w:sz w:val="24"/>
                <w:szCs w:val="24"/>
              </w:rPr>
              <w:t>2、地表水环境质量现状</w:t>
            </w:r>
          </w:p>
          <w:p w14:paraId="6B921693">
            <w:pPr>
              <w:widowControl/>
              <w:spacing w:line="360" w:lineRule="auto"/>
              <w:ind w:firstLine="480" w:firstLineChars="200"/>
              <w:rPr>
                <w:rFonts w:cs="Times New Roman"/>
                <w:color w:val="auto"/>
                <w:sz w:val="24"/>
                <w:szCs w:val="24"/>
              </w:rPr>
            </w:pPr>
            <w:r>
              <w:rPr>
                <w:rFonts w:cs="Times New Roman"/>
                <w:color w:val="auto"/>
                <w:sz w:val="24"/>
                <w:szCs w:val="24"/>
              </w:rPr>
              <w:t>根据《环境影响评价技术导则-地</w:t>
            </w:r>
            <w:r>
              <w:rPr>
                <w:rFonts w:hint="eastAsia" w:cs="Times New Roman"/>
                <w:color w:val="auto"/>
                <w:sz w:val="24"/>
                <w:szCs w:val="24"/>
                <w:lang w:val="en-US" w:eastAsia="zh-CN"/>
              </w:rPr>
              <w:t>表</w:t>
            </w:r>
            <w:r>
              <w:rPr>
                <w:rFonts w:cs="Times New Roman"/>
                <w:color w:val="auto"/>
                <w:sz w:val="24"/>
                <w:szCs w:val="24"/>
              </w:rPr>
              <w:t>水环境》（HJ/2.3-2018）中水质调查时期要</w:t>
            </w:r>
            <w:r>
              <w:rPr>
                <w:rFonts w:hint="eastAsia" w:ascii="宋体" w:hAnsi="宋体" w:eastAsia="宋体" w:cs="宋体"/>
                <w:color w:val="auto"/>
                <w:sz w:val="24"/>
                <w:szCs w:val="24"/>
              </w:rPr>
              <w:t>求：“</w:t>
            </w:r>
            <w:r>
              <w:rPr>
                <w:rFonts w:cs="Times New Roman"/>
                <w:color w:val="auto"/>
                <w:sz w:val="24"/>
                <w:szCs w:val="24"/>
              </w:rPr>
              <w:t>三级B评价，可不考虑评价时</w:t>
            </w:r>
            <w:r>
              <w:rPr>
                <w:rFonts w:hint="eastAsia" w:ascii="宋体" w:hAnsi="宋体" w:eastAsia="宋体" w:cs="宋体"/>
                <w:color w:val="auto"/>
                <w:sz w:val="24"/>
                <w:szCs w:val="24"/>
              </w:rPr>
              <w:t>期”。</w:t>
            </w:r>
            <w:r>
              <w:rPr>
                <w:rFonts w:cs="Times New Roman"/>
                <w:color w:val="auto"/>
                <w:sz w:val="24"/>
                <w:szCs w:val="24"/>
              </w:rPr>
              <w:t>根据《</w:t>
            </w:r>
            <w:r>
              <w:rPr>
                <w:rFonts w:hint="eastAsia" w:cs="Times New Roman"/>
                <w:color w:val="auto"/>
                <w:sz w:val="24"/>
                <w:szCs w:val="24"/>
              </w:rPr>
              <w:fldChar w:fldCharType="begin"/>
            </w:r>
            <w:r>
              <w:rPr>
                <w:rFonts w:hint="eastAsia" w:cs="Times New Roman"/>
                <w:color w:val="auto"/>
                <w:sz w:val="24"/>
                <w:szCs w:val="24"/>
              </w:rPr>
              <w:instrText xml:space="preserve"> HYPERLINK "https://www.mee.gov.cn/xxgk2018/xxgk/xxgk05/202101/W020210104371003931528.pdf" </w:instrText>
            </w:r>
            <w:r>
              <w:rPr>
                <w:rFonts w:hint="eastAsia" w:cs="Times New Roman"/>
                <w:color w:val="auto"/>
                <w:sz w:val="24"/>
                <w:szCs w:val="24"/>
              </w:rPr>
              <w:fldChar w:fldCharType="separate"/>
            </w:r>
            <w:r>
              <w:rPr>
                <w:rFonts w:hint="eastAsia" w:cs="Times New Roman"/>
                <w:color w:val="auto"/>
                <w:sz w:val="24"/>
                <w:szCs w:val="24"/>
              </w:rPr>
              <w:t>建设项目环境影响报告表编制技术指南（污染影响类）（试行）</w:t>
            </w:r>
            <w:r>
              <w:rPr>
                <w:rFonts w:hint="eastAsia" w:cs="Times New Roman"/>
                <w:color w:val="auto"/>
                <w:sz w:val="24"/>
                <w:szCs w:val="24"/>
              </w:rPr>
              <w:fldChar w:fldCharType="end"/>
            </w:r>
            <w:r>
              <w:rPr>
                <w:rFonts w:hint="eastAsia" w:cs="Times New Roman"/>
                <w:color w:val="auto"/>
                <w:sz w:val="24"/>
                <w:szCs w:val="24"/>
              </w:rPr>
              <w:t>》</w:t>
            </w:r>
            <w:r>
              <w:rPr>
                <w:rFonts w:cs="Times New Roman"/>
                <w:color w:val="auto"/>
                <w:sz w:val="24"/>
                <w:szCs w:val="24"/>
              </w:rPr>
              <w:t>，区域地表水环境常规污染物引用与建设项目距离近的有效数据，包括近3年的规划环境影响评价的监测数据，所在流域控制单元内国家、地方控制断面监测数据，生态环境主管部门发布的水环境质量数据或地表水达标情况的结论。本项目位于四川巴中经济开发区，因此，本次评价引用</w:t>
            </w:r>
            <w:r>
              <w:rPr>
                <w:color w:val="auto"/>
                <w:kern w:val="0"/>
                <w:sz w:val="24"/>
              </w:rPr>
              <w:t>《</w:t>
            </w:r>
            <w:r>
              <w:rPr>
                <w:rFonts w:hint="eastAsia"/>
                <w:color w:val="auto"/>
                <w:kern w:val="0"/>
                <w:sz w:val="24"/>
                <w:lang w:val="en-US" w:eastAsia="zh-CN"/>
              </w:rPr>
              <w:t>2025巴中市生态环境状况公报</w:t>
            </w:r>
            <w:r>
              <w:rPr>
                <w:color w:val="auto"/>
                <w:kern w:val="0"/>
                <w:sz w:val="24"/>
              </w:rPr>
              <w:t>》</w:t>
            </w:r>
            <w:r>
              <w:rPr>
                <w:rFonts w:cs="Times New Roman"/>
                <w:color w:val="auto"/>
                <w:sz w:val="24"/>
                <w:szCs w:val="24"/>
              </w:rPr>
              <w:t>满足指南要求。</w:t>
            </w:r>
          </w:p>
          <w:p w14:paraId="12708C36">
            <w:pPr>
              <w:keepNext w:val="0"/>
              <w:keepLines w:val="0"/>
              <w:pageBreakBefore w:val="0"/>
              <w:widowControl/>
              <w:kinsoku/>
              <w:wordWrap w:val="0"/>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根据</w:t>
            </w:r>
            <w:r>
              <w:rPr>
                <w:color w:val="auto"/>
                <w:kern w:val="0"/>
                <w:sz w:val="24"/>
              </w:rPr>
              <w:t>《</w:t>
            </w:r>
            <w:r>
              <w:rPr>
                <w:rFonts w:hint="eastAsia"/>
                <w:color w:val="auto"/>
                <w:kern w:val="0"/>
                <w:sz w:val="24"/>
                <w:lang w:val="en-US" w:eastAsia="zh-CN"/>
              </w:rPr>
              <w:t>2025巴中市生态环境状况公报</w:t>
            </w:r>
            <w:r>
              <w:rPr>
                <w:color w:val="auto"/>
                <w:kern w:val="0"/>
                <w:sz w:val="24"/>
              </w:rPr>
              <w:t>》</w:t>
            </w:r>
            <w:r>
              <w:rPr>
                <w:rFonts w:hint="default" w:ascii="Times New Roman" w:hAnsi="Times New Roman" w:cs="Times New Roman"/>
                <w:color w:val="auto"/>
                <w:sz w:val="24"/>
                <w:szCs w:val="24"/>
              </w:rPr>
              <w:t>，</w:t>
            </w:r>
            <w:r>
              <w:rPr>
                <w:rFonts w:hint="eastAsia" w:cs="Times New Roman"/>
                <w:color w:val="auto"/>
                <w:sz w:val="24"/>
                <w:szCs w:val="24"/>
                <w:lang w:val="en-US" w:eastAsia="zh-CN"/>
              </w:rPr>
              <w:t>2025</w:t>
            </w:r>
            <w:r>
              <w:rPr>
                <w:rFonts w:hint="default" w:ascii="Times New Roman" w:hAnsi="Times New Roman" w:cs="Times New Roman"/>
                <w:color w:val="auto"/>
                <w:sz w:val="24"/>
                <w:szCs w:val="24"/>
              </w:rPr>
              <w:t>年，巴河总体水质为优，10个国省控断面和2个入境断面均达到或优于Ⅲ类水质。6个国控断面Ⅰ-Ⅱ类水质占比100%，4个省控断面Ⅰ-Ⅱ类水质占比75%，仅徐家河断面水质为Ⅲ类。与上年相比，巴河总体水质不变，保持为优，Ⅰ-Ⅲ类水质占比100%，各断面水质类别均无明显变化。</w:t>
            </w:r>
            <w:r>
              <w:rPr>
                <w:rFonts w:hint="eastAsia" w:cs="Times New Roman"/>
                <w:color w:val="auto"/>
                <w:sz w:val="24"/>
                <w:szCs w:val="24"/>
                <w:lang w:val="en-US" w:eastAsia="zh-CN"/>
              </w:rPr>
              <w:t>徐家河断面频次达标率下降8.3个百分点</w:t>
            </w:r>
            <w:r>
              <w:rPr>
                <w:rFonts w:hint="default" w:ascii="Times New Roman" w:hAnsi="Times New Roman" w:cs="Times New Roman"/>
                <w:color w:val="auto"/>
                <w:sz w:val="24"/>
                <w:szCs w:val="24"/>
              </w:rPr>
              <w:t>。</w:t>
            </w:r>
          </w:p>
          <w:p w14:paraId="2336EBD6">
            <w:pPr>
              <w:pStyle w:val="66"/>
              <w:spacing w:line="360" w:lineRule="auto"/>
              <w:rPr>
                <w:color w:val="auto"/>
              </w:rPr>
            </w:pPr>
            <w:r>
              <w:rPr>
                <w:rFonts w:hint="default" w:ascii="Times New Roman" w:hAnsi="Times New Roman" w:cs="Times New Roman"/>
                <w:color w:val="auto"/>
                <w:sz w:val="24"/>
                <w:szCs w:val="24"/>
              </w:rPr>
              <w:t>综上，本项目所在区域地表水水环境质量良好</w:t>
            </w:r>
            <w:r>
              <w:rPr>
                <w:color w:val="auto"/>
              </w:rPr>
              <w:t>。</w:t>
            </w:r>
          </w:p>
          <w:p w14:paraId="1808F2A6">
            <w:pPr>
              <w:spacing w:line="360" w:lineRule="auto"/>
              <w:ind w:firstLine="482" w:firstLineChars="200"/>
              <w:rPr>
                <w:rFonts w:hint="default" w:ascii="Times New Roman" w:hAnsi="Times New Roman" w:eastAsia="宋体" w:cs="Times New Roman"/>
                <w:b/>
                <w:color w:val="auto"/>
                <w:sz w:val="24"/>
                <w:szCs w:val="24"/>
                <w:highlight w:val="none"/>
              </w:rPr>
            </w:pPr>
            <w:r>
              <w:rPr>
                <w:rFonts w:hint="default" w:ascii="Times New Roman" w:hAnsi="Times New Roman" w:eastAsia="宋体" w:cs="Times New Roman"/>
                <w:b/>
                <w:color w:val="auto"/>
                <w:sz w:val="24"/>
                <w:szCs w:val="24"/>
                <w:highlight w:val="none"/>
              </w:rPr>
              <w:t>3、声环境质量现状</w:t>
            </w:r>
          </w:p>
          <w:p w14:paraId="14319178">
            <w:pPr>
              <w:pStyle w:val="66"/>
              <w:spacing w:line="360" w:lineRule="auto"/>
              <w:rPr>
                <w:color w:val="auto"/>
              </w:rPr>
            </w:pPr>
            <w:r>
              <w:rPr>
                <w:rFonts w:hint="eastAsia" w:ascii="Times New Roman" w:hAnsi="Times New Roman" w:cs="Times New Roman"/>
                <w:snapToGrid w:val="0"/>
                <w:color w:val="auto"/>
                <w:kern w:val="0"/>
                <w:sz w:val="24"/>
                <w:szCs w:val="24"/>
                <w:lang w:val="en-US" w:eastAsia="zh-CN"/>
              </w:rPr>
              <w:t>本</w:t>
            </w:r>
            <w:r>
              <w:rPr>
                <w:rFonts w:hint="default" w:ascii="Times New Roman" w:hAnsi="Times New Roman" w:cs="Times New Roman"/>
                <w:snapToGrid w:val="0"/>
                <w:color w:val="auto"/>
                <w:kern w:val="0"/>
                <w:sz w:val="24"/>
                <w:szCs w:val="24"/>
                <w:lang w:val="en-US" w:eastAsia="zh-CN"/>
              </w:rPr>
              <w:t>项目周边50m范围内无声环境敏感保护目标，声环境质量现状执行《声环境质量标准》（GB3096-2008）中3类标准。根据《建设项目环境影响报告表编制技术指南》（2021试行）要求，本项目无需进行声环境质量监测</w:t>
            </w:r>
            <w:r>
              <w:rPr>
                <w:color w:val="auto"/>
              </w:rPr>
              <w:t>。</w:t>
            </w:r>
          </w:p>
          <w:p w14:paraId="7C70B137">
            <w:pPr>
              <w:spacing w:line="360" w:lineRule="auto"/>
              <w:ind w:firstLine="482" w:firstLineChars="200"/>
              <w:rPr>
                <w:rFonts w:hint="default" w:ascii="Times New Roman" w:hAnsi="Times New Roman" w:eastAsia="宋体" w:cs="Times New Roman"/>
                <w:b/>
                <w:color w:val="auto"/>
                <w:sz w:val="24"/>
                <w:szCs w:val="24"/>
                <w:highlight w:val="none"/>
              </w:rPr>
            </w:pPr>
            <w:r>
              <w:rPr>
                <w:rFonts w:hint="default" w:ascii="Times New Roman" w:hAnsi="Times New Roman" w:eastAsia="宋体" w:cs="Times New Roman"/>
                <w:b/>
                <w:color w:val="auto"/>
                <w:sz w:val="24"/>
                <w:szCs w:val="24"/>
                <w:highlight w:val="none"/>
                <w:lang w:val="en-US" w:eastAsia="zh-CN"/>
              </w:rPr>
              <w:t>4</w:t>
            </w:r>
            <w:r>
              <w:rPr>
                <w:rFonts w:hint="default" w:ascii="Times New Roman" w:hAnsi="Times New Roman" w:eastAsia="宋体" w:cs="Times New Roman"/>
                <w:b/>
                <w:color w:val="auto"/>
                <w:sz w:val="24"/>
                <w:szCs w:val="24"/>
                <w:highlight w:val="none"/>
              </w:rPr>
              <w:t>、生态环境</w:t>
            </w:r>
          </w:p>
          <w:p w14:paraId="417E73AD">
            <w:pPr>
              <w:pStyle w:val="66"/>
              <w:spacing w:line="360" w:lineRule="auto"/>
              <w:rPr>
                <w:color w:val="auto"/>
              </w:rPr>
            </w:pPr>
            <w:r>
              <w:rPr>
                <w:rFonts w:hint="eastAsia" w:ascii="Times New Roman" w:hAnsi="Times New Roman"/>
                <w:color w:val="auto"/>
                <w:sz w:val="24"/>
                <w:szCs w:val="24"/>
                <w:highlight w:val="none"/>
              </w:rPr>
              <w:t>根据《建设项目环境影响报告表编制技术指南（污染影响类）（试行》，产业园区外建设项目新增用地且用地范围内含有生态环境保护目标时，应进行生态现状调查。根据调查，</w:t>
            </w:r>
            <w:r>
              <w:rPr>
                <w:rFonts w:hint="eastAsia" w:ascii="Times New Roman" w:hAnsi="Times New Roman"/>
                <w:color w:val="auto"/>
                <w:sz w:val="24"/>
                <w:szCs w:val="24"/>
                <w:highlight w:val="none"/>
                <w:lang w:val="en-US" w:eastAsia="zh-CN"/>
              </w:rPr>
              <w:t>本项目位于工业园区</w:t>
            </w:r>
            <w:r>
              <w:rPr>
                <w:rFonts w:hint="eastAsia"/>
                <w:b w:val="0"/>
                <w:bCs w:val="0"/>
                <w:color w:val="auto"/>
                <w:sz w:val="24"/>
                <w:lang w:val="en-US" w:eastAsia="zh-CN"/>
              </w:rPr>
              <w:t>内，</w:t>
            </w:r>
            <w:r>
              <w:rPr>
                <w:rFonts w:hint="eastAsia" w:ascii="Times New Roman" w:hAnsi="Times New Roman"/>
                <w:color w:val="auto"/>
                <w:sz w:val="24"/>
                <w:szCs w:val="24"/>
                <w:highlight w:val="none"/>
              </w:rPr>
              <w:t>本项目用地范围内不涉及自然保护区、风景名胜区、地质公园、森林公园等特殊及重要生态敏感区，因此无需进行生态现状调查</w:t>
            </w:r>
            <w:r>
              <w:rPr>
                <w:color w:val="auto"/>
              </w:rPr>
              <w:t>。</w:t>
            </w:r>
          </w:p>
          <w:p w14:paraId="3448BF01">
            <w:pPr>
              <w:adjustRightInd w:val="0"/>
              <w:snapToGrid w:val="0"/>
              <w:spacing w:line="360" w:lineRule="auto"/>
              <w:ind w:firstLine="482" w:firstLineChars="200"/>
              <w:jc w:val="left"/>
              <w:rPr>
                <w:rFonts w:hint="eastAsia" w:ascii="Times New Roman" w:hAnsi="Times New Roman"/>
                <w:b/>
                <w:bCs/>
                <w:color w:val="auto"/>
                <w:sz w:val="24"/>
                <w:szCs w:val="24"/>
                <w:highlight w:val="none"/>
              </w:rPr>
            </w:pPr>
            <w:r>
              <w:rPr>
                <w:rFonts w:hint="eastAsia" w:ascii="Times New Roman" w:hAnsi="Times New Roman"/>
                <w:b/>
                <w:bCs/>
                <w:color w:val="auto"/>
                <w:sz w:val="24"/>
                <w:szCs w:val="24"/>
                <w:highlight w:val="none"/>
              </w:rPr>
              <w:t>5、地下水、土壤环境</w:t>
            </w:r>
          </w:p>
          <w:p w14:paraId="3B059F52">
            <w:pPr>
              <w:spacing w:line="360" w:lineRule="auto"/>
              <w:ind w:firstLine="480" w:firstLineChars="200"/>
              <w:rPr>
                <w:rFonts w:hint="eastAsia" w:ascii="Times New Roman" w:hAnsi="Times New Roman" w:eastAsia="宋体" w:cs="Times New Roman"/>
                <w:color w:val="auto"/>
                <w:sz w:val="24"/>
                <w:highlight w:val="none"/>
              </w:rPr>
            </w:pPr>
            <w:r>
              <w:rPr>
                <w:rFonts w:hint="eastAsia" w:ascii="Times New Roman" w:hAnsi="Times New Roman" w:eastAsia="宋体" w:cs="Times New Roman"/>
                <w:color w:val="auto"/>
                <w:sz w:val="24"/>
                <w:highlight w:val="none"/>
              </w:rPr>
              <w:t>本项目属于污染影响类项目，位于园区内。根据《建设项目环境影响报告表编制技术指南（污染影响类）》（试行）中“原则上不开展环境质量现状调查。建设项目存在土壤、地下水环境污染途径的，应结合污染源、保护目标分布情况开展现状调查留作背景值</w:t>
            </w:r>
            <w:r>
              <w:rPr>
                <w:rFonts w:hint="eastAsia" w:ascii="Times New Roman" w:hAnsi="Times New Roman" w:eastAsia="宋体" w:cs="Times New Roman"/>
                <w:color w:val="auto"/>
                <w:sz w:val="24"/>
                <w:highlight w:val="none"/>
                <w:lang w:eastAsia="zh-CN"/>
              </w:rPr>
              <w:t>”</w:t>
            </w:r>
            <w:r>
              <w:rPr>
                <w:rFonts w:hint="eastAsia" w:ascii="Times New Roman" w:hAnsi="Times New Roman" w:eastAsia="宋体" w:cs="Times New Roman"/>
                <w:color w:val="auto"/>
                <w:sz w:val="24"/>
                <w:highlight w:val="none"/>
              </w:rPr>
              <w:t>。</w:t>
            </w:r>
          </w:p>
          <w:p w14:paraId="55D3DF65">
            <w:pPr>
              <w:pStyle w:val="66"/>
              <w:spacing w:line="360" w:lineRule="auto"/>
              <w:rPr>
                <w:rFonts w:hint="eastAsia"/>
                <w:bCs/>
                <w:color w:val="auto"/>
              </w:rPr>
            </w:pPr>
            <w:r>
              <w:rPr>
                <w:rFonts w:hint="eastAsia" w:ascii="Times New Roman" w:hAnsi="Times New Roman" w:eastAsia="宋体" w:cs="Times New Roman"/>
                <w:color w:val="auto"/>
                <w:sz w:val="24"/>
                <w:highlight w:val="none"/>
              </w:rPr>
              <w:t>本项目在采取相应的土壤、地下水环境污染防治措施后，不存在土壤、地下水环境污染途径，可不开展环境</w:t>
            </w:r>
            <w:r>
              <w:rPr>
                <w:rFonts w:hint="eastAsia" w:ascii="Times New Roman" w:hAnsi="Times New Roman"/>
                <w:color w:val="auto"/>
                <w:kern w:val="0"/>
                <w:sz w:val="24"/>
                <w:highlight w:val="none"/>
              </w:rPr>
              <w:t>质量现状调查</w:t>
            </w:r>
            <w:r>
              <w:rPr>
                <w:rFonts w:hint="eastAsia"/>
                <w:bCs/>
                <w:color w:val="auto"/>
              </w:rPr>
              <w:t>。</w:t>
            </w:r>
          </w:p>
          <w:p w14:paraId="23C0D279">
            <w:pPr>
              <w:adjustRightInd w:val="0"/>
              <w:snapToGrid w:val="0"/>
              <w:spacing w:line="360" w:lineRule="auto"/>
              <w:ind w:firstLine="482" w:firstLineChars="200"/>
              <w:jc w:val="left"/>
              <w:rPr>
                <w:rFonts w:hint="default" w:ascii="Times New Roman" w:hAnsi="Times New Roman" w:eastAsia="宋体" w:cs="Times New Roman"/>
                <w:b/>
                <w:bCs/>
                <w:color w:val="auto"/>
                <w:sz w:val="24"/>
                <w:szCs w:val="24"/>
                <w:highlight w:val="none"/>
              </w:rPr>
            </w:pPr>
            <w:r>
              <w:rPr>
                <w:rFonts w:hint="eastAsia" w:ascii="Times New Roman" w:hAnsi="Times New Roman" w:eastAsia="宋体" w:cs="Times New Roman"/>
                <w:b/>
                <w:bCs/>
                <w:color w:val="auto"/>
                <w:sz w:val="24"/>
                <w:szCs w:val="24"/>
                <w:highlight w:val="none"/>
                <w:lang w:val="en-US" w:eastAsia="zh-CN"/>
              </w:rPr>
              <w:t>6、</w:t>
            </w:r>
            <w:r>
              <w:rPr>
                <w:rFonts w:hint="default" w:ascii="Times New Roman" w:hAnsi="Times New Roman" w:eastAsia="宋体" w:cs="Times New Roman"/>
                <w:b/>
                <w:bCs/>
                <w:color w:val="auto"/>
                <w:sz w:val="24"/>
                <w:szCs w:val="24"/>
                <w:highlight w:val="none"/>
              </w:rPr>
              <w:t>电磁辐射环境质量现状</w:t>
            </w:r>
          </w:p>
          <w:p w14:paraId="614F3F1C">
            <w:pPr>
              <w:pStyle w:val="66"/>
              <w:spacing w:line="360" w:lineRule="auto"/>
              <w:rPr>
                <w:rFonts w:hint="eastAsia" w:eastAsia="宋体"/>
                <w:bCs/>
                <w:color w:val="auto"/>
                <w:lang w:eastAsia="zh-CN"/>
              </w:rPr>
            </w:pPr>
            <w:r>
              <w:rPr>
                <w:rFonts w:hint="default" w:ascii="Times New Roman" w:hAnsi="Times New Roman" w:eastAsia="宋体" w:cs="Times New Roman"/>
                <w:b w:val="0"/>
                <w:bCs/>
                <w:color w:val="auto"/>
                <w:sz w:val="24"/>
                <w:szCs w:val="24"/>
                <w:highlight w:val="none"/>
              </w:rPr>
              <w:t>本项目</w:t>
            </w:r>
            <w:r>
              <w:rPr>
                <w:rFonts w:hint="default" w:ascii="Times New Roman" w:hAnsi="Times New Roman" w:cs="Times New Roman"/>
                <w:b w:val="0"/>
                <w:bCs/>
                <w:color w:val="auto"/>
                <w:sz w:val="24"/>
                <w:szCs w:val="24"/>
                <w:highlight w:val="none"/>
                <w:lang w:val="en-US" w:eastAsia="zh-CN"/>
              </w:rPr>
              <w:t>为工业项目，</w:t>
            </w:r>
            <w:r>
              <w:rPr>
                <w:rFonts w:hint="default" w:ascii="Times New Roman" w:hAnsi="Times New Roman" w:eastAsia="宋体" w:cs="Times New Roman"/>
                <w:b w:val="0"/>
                <w:bCs/>
                <w:color w:val="auto"/>
                <w:sz w:val="24"/>
                <w:szCs w:val="24"/>
                <w:highlight w:val="none"/>
              </w:rPr>
              <w:t>不</w:t>
            </w:r>
            <w:r>
              <w:rPr>
                <w:rFonts w:hint="default" w:ascii="Times New Roman" w:hAnsi="Times New Roman" w:cs="Times New Roman"/>
                <w:b w:val="0"/>
                <w:bCs/>
                <w:color w:val="auto"/>
                <w:sz w:val="24"/>
                <w:szCs w:val="24"/>
                <w:highlight w:val="none"/>
                <w:lang w:val="en-US" w:eastAsia="zh-CN"/>
              </w:rPr>
              <w:t>涉及</w:t>
            </w:r>
            <w:r>
              <w:rPr>
                <w:rFonts w:hint="default" w:ascii="Times New Roman" w:hAnsi="Times New Roman" w:eastAsia="宋体" w:cs="Times New Roman"/>
                <w:b w:val="0"/>
                <w:bCs/>
                <w:color w:val="auto"/>
                <w:sz w:val="24"/>
                <w:szCs w:val="24"/>
                <w:highlight w:val="none"/>
              </w:rPr>
              <w:t>广播电台、差转台、电视塔台、卫星地球上行站、雷达等电磁辐射类</w:t>
            </w:r>
            <w:r>
              <w:rPr>
                <w:rFonts w:hint="default" w:ascii="Times New Roman" w:hAnsi="Times New Roman" w:cs="Times New Roman"/>
                <w:b w:val="0"/>
                <w:bCs/>
                <w:color w:val="auto"/>
                <w:sz w:val="24"/>
                <w:szCs w:val="24"/>
                <w:highlight w:val="none"/>
                <w:lang w:eastAsia="zh-CN"/>
              </w:rPr>
              <w:t>。</w:t>
            </w:r>
            <w:r>
              <w:rPr>
                <w:rFonts w:hint="default" w:ascii="Times New Roman" w:hAnsi="Times New Roman" w:eastAsia="宋体" w:cs="Times New Roman"/>
                <w:b w:val="0"/>
                <w:bCs/>
                <w:color w:val="auto"/>
                <w:sz w:val="24"/>
                <w:szCs w:val="24"/>
                <w:highlight w:val="none"/>
              </w:rPr>
              <w:t>因此</w:t>
            </w:r>
            <w:r>
              <w:rPr>
                <w:rFonts w:hint="default" w:ascii="Times New Roman" w:hAnsi="Times New Roman" w:cs="Times New Roman"/>
                <w:b w:val="0"/>
                <w:bCs/>
                <w:color w:val="auto"/>
                <w:sz w:val="24"/>
                <w:szCs w:val="24"/>
                <w:highlight w:val="none"/>
                <w:lang w:eastAsia="zh-CN"/>
              </w:rPr>
              <w:t>，</w:t>
            </w:r>
            <w:r>
              <w:rPr>
                <w:rFonts w:hint="default" w:ascii="Times New Roman" w:hAnsi="Times New Roman" w:eastAsia="宋体" w:cs="Times New Roman"/>
                <w:b w:val="0"/>
                <w:bCs/>
                <w:color w:val="auto"/>
                <w:sz w:val="24"/>
                <w:szCs w:val="24"/>
                <w:highlight w:val="none"/>
              </w:rPr>
              <w:t>本项目不开展电磁辐射环境现状调查</w:t>
            </w:r>
            <w:r>
              <w:rPr>
                <w:rFonts w:hint="eastAsia" w:ascii="Times New Roman" w:hAnsi="Times New Roman" w:eastAsia="宋体" w:cs="Times New Roman"/>
                <w:b w:val="0"/>
                <w:bCs/>
                <w:color w:val="auto"/>
                <w:sz w:val="24"/>
                <w:szCs w:val="24"/>
                <w:highlight w:val="none"/>
                <w:lang w:eastAsia="zh-CN"/>
              </w:rPr>
              <w:t>。</w:t>
            </w:r>
          </w:p>
        </w:tc>
      </w:tr>
      <w:tr w14:paraId="715D70F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499" w:type="dxa"/>
            <w:vAlign w:val="center"/>
          </w:tcPr>
          <w:p w14:paraId="4060A69A">
            <w:pPr>
              <w:adjustRightInd w:val="0"/>
              <w:snapToGrid w:val="0"/>
              <w:jc w:val="center"/>
              <w:rPr>
                <w:rFonts w:cs="宋体"/>
                <w:color w:val="auto"/>
                <w:kern w:val="0"/>
                <w:szCs w:val="21"/>
              </w:rPr>
            </w:pPr>
            <w:r>
              <w:rPr>
                <w:rFonts w:hint="eastAsia" w:cs="宋体"/>
                <w:b/>
                <w:bCs/>
                <w:color w:val="auto"/>
                <w:kern w:val="0"/>
                <w:sz w:val="24"/>
                <w:szCs w:val="24"/>
              </w:rPr>
              <w:t>环境保护目标</w:t>
            </w:r>
          </w:p>
        </w:tc>
        <w:tc>
          <w:tcPr>
            <w:tcW w:w="8491" w:type="dxa"/>
          </w:tcPr>
          <w:p w14:paraId="4C6E4236">
            <w:pPr>
              <w:autoSpaceDE w:val="0"/>
              <w:autoSpaceDN w:val="0"/>
              <w:spacing w:line="360" w:lineRule="auto"/>
              <w:ind w:firstLine="482" w:firstLineChars="200"/>
              <w:rPr>
                <w:rFonts w:ascii="Times New Roman" w:hAnsi="Times New Roman"/>
                <w:b/>
                <w:bCs/>
                <w:color w:val="auto"/>
                <w:sz w:val="24"/>
                <w:highlight w:val="none"/>
              </w:rPr>
            </w:pPr>
            <w:r>
              <w:rPr>
                <w:rFonts w:hint="eastAsia" w:ascii="Times New Roman" w:hAnsi="Times New Roman"/>
                <w:b/>
                <w:bCs/>
                <w:color w:val="auto"/>
                <w:sz w:val="24"/>
                <w:highlight w:val="none"/>
              </w:rPr>
              <w:t>1、环境保护目标</w:t>
            </w:r>
          </w:p>
          <w:p w14:paraId="16303593">
            <w:pPr>
              <w:adjustRightInd w:val="0"/>
              <w:snapToGrid w:val="0"/>
              <w:spacing w:line="360" w:lineRule="auto"/>
              <w:ind w:firstLine="480" w:firstLineChars="200"/>
              <w:rPr>
                <w:rFonts w:ascii="Times New Roman" w:hAnsi="Times New Roman"/>
                <w:color w:val="auto"/>
                <w:kern w:val="0"/>
                <w:sz w:val="24"/>
                <w:highlight w:val="none"/>
              </w:rPr>
            </w:pPr>
            <w:r>
              <w:rPr>
                <w:rFonts w:hint="eastAsia" w:ascii="Times New Roman" w:hAnsi="Times New Roman"/>
                <w:color w:val="auto"/>
                <w:kern w:val="0"/>
                <w:sz w:val="24"/>
                <w:highlight w:val="none"/>
              </w:rPr>
              <w:t>根据本项目所处的地理位置并结合本项目产排污特点和外环境特征，本项目主要环境保护目标为：</w:t>
            </w:r>
          </w:p>
          <w:p w14:paraId="08F5A05D">
            <w:pPr>
              <w:autoSpaceDE w:val="0"/>
              <w:autoSpaceDN w:val="0"/>
              <w:spacing w:line="360" w:lineRule="auto"/>
              <w:ind w:firstLine="482" w:firstLineChars="200"/>
              <w:rPr>
                <w:rFonts w:ascii="Times New Roman" w:hAnsi="Times New Roman"/>
                <w:b/>
                <w:bCs/>
                <w:color w:val="auto"/>
                <w:sz w:val="24"/>
                <w:highlight w:val="none"/>
              </w:rPr>
            </w:pPr>
            <w:r>
              <w:rPr>
                <w:rFonts w:hint="eastAsia" w:ascii="Times New Roman" w:hAnsi="Times New Roman"/>
                <w:b/>
                <w:bCs/>
                <w:color w:val="auto"/>
                <w:sz w:val="24"/>
                <w:highlight w:val="none"/>
              </w:rPr>
              <w:t>（1）地表水环境保护目标</w:t>
            </w:r>
          </w:p>
          <w:p w14:paraId="5AF91D8D">
            <w:pPr>
              <w:adjustRightInd w:val="0"/>
              <w:snapToGrid w:val="0"/>
              <w:spacing w:line="360" w:lineRule="auto"/>
              <w:ind w:firstLine="480" w:firstLineChars="200"/>
              <w:rPr>
                <w:rFonts w:ascii="Times New Roman" w:hAnsi="Times New Roman"/>
                <w:color w:val="auto"/>
                <w:kern w:val="0"/>
                <w:sz w:val="24"/>
                <w:highlight w:val="none"/>
              </w:rPr>
            </w:pPr>
            <w:r>
              <w:rPr>
                <w:rFonts w:hint="eastAsia" w:ascii="Times New Roman" w:hAnsi="Times New Roman"/>
                <w:color w:val="auto"/>
                <w:kern w:val="0"/>
                <w:sz w:val="24"/>
                <w:lang w:val="en-US" w:eastAsia="zh-CN"/>
              </w:rPr>
              <w:t>本项目</w:t>
            </w:r>
            <w:r>
              <w:rPr>
                <w:rFonts w:hint="eastAsia" w:ascii="Times New Roman" w:hAnsi="Times New Roman"/>
                <w:color w:val="auto"/>
                <w:kern w:val="0"/>
                <w:sz w:val="24"/>
              </w:rPr>
              <w:t>地表水环境保护目标为</w:t>
            </w:r>
            <w:r>
              <w:rPr>
                <w:rFonts w:hint="eastAsia" w:ascii="Times New Roman" w:hAnsi="Times New Roman"/>
                <w:color w:val="auto"/>
                <w:kern w:val="0"/>
                <w:sz w:val="24"/>
                <w:lang w:val="en-US" w:eastAsia="zh-CN"/>
              </w:rPr>
              <w:t>受纳水体</w:t>
            </w:r>
            <w:r>
              <w:rPr>
                <w:rFonts w:hint="eastAsia"/>
                <w:color w:val="auto"/>
                <w:kern w:val="0"/>
                <w:sz w:val="24"/>
                <w:lang w:val="en-US" w:eastAsia="zh-CN"/>
              </w:rPr>
              <w:t>巴河</w:t>
            </w:r>
            <w:r>
              <w:rPr>
                <w:rFonts w:hint="eastAsia" w:ascii="Times New Roman" w:hAnsi="Times New Roman"/>
                <w:color w:val="auto"/>
                <w:kern w:val="0"/>
                <w:sz w:val="24"/>
              </w:rPr>
              <w:t>，</w:t>
            </w:r>
            <w:r>
              <w:rPr>
                <w:rFonts w:hint="eastAsia" w:ascii="Times New Roman" w:hAnsi="Times New Roman"/>
                <w:color w:val="auto"/>
                <w:kern w:val="0"/>
                <w:sz w:val="24"/>
                <w:lang w:val="en-US" w:eastAsia="zh-CN"/>
              </w:rPr>
              <w:t>地表水环境质量</w:t>
            </w:r>
            <w:r>
              <w:rPr>
                <w:rFonts w:hint="eastAsia" w:ascii="Times New Roman" w:hAnsi="Times New Roman"/>
                <w:color w:val="auto"/>
                <w:kern w:val="0"/>
                <w:sz w:val="24"/>
              </w:rPr>
              <w:t>应符合《地表水环境质量标准》（GB3838-2002）</w:t>
            </w:r>
            <w:r>
              <w:rPr>
                <w:rFonts w:hint="default" w:ascii="Times New Roman" w:hAnsi="Times New Roman" w:cs="Times New Roman"/>
                <w:color w:val="auto"/>
                <w:kern w:val="0"/>
                <w:sz w:val="24"/>
                <w:lang w:eastAsia="zh-CN"/>
              </w:rPr>
              <w:t>Ⅲ</w:t>
            </w:r>
            <w:r>
              <w:rPr>
                <w:rFonts w:hint="eastAsia" w:ascii="Times New Roman" w:hAnsi="Times New Roman"/>
                <w:color w:val="auto"/>
                <w:kern w:val="0"/>
                <w:sz w:val="24"/>
              </w:rPr>
              <w:t>类水域标准</w:t>
            </w:r>
            <w:r>
              <w:rPr>
                <w:rFonts w:hint="eastAsia" w:ascii="Times New Roman" w:hAnsi="Times New Roman"/>
                <w:color w:val="auto"/>
                <w:kern w:val="0"/>
                <w:sz w:val="24"/>
                <w:highlight w:val="none"/>
                <w:lang w:eastAsia="zh-CN"/>
              </w:rPr>
              <w:t>。</w:t>
            </w:r>
          </w:p>
          <w:p w14:paraId="457C4956">
            <w:pPr>
              <w:autoSpaceDE w:val="0"/>
              <w:autoSpaceDN w:val="0"/>
              <w:spacing w:line="360" w:lineRule="auto"/>
              <w:ind w:firstLine="482" w:firstLineChars="200"/>
              <w:rPr>
                <w:rFonts w:ascii="Times New Roman" w:hAnsi="Times New Roman"/>
                <w:b/>
                <w:bCs/>
                <w:color w:val="auto"/>
                <w:sz w:val="24"/>
                <w:highlight w:val="none"/>
              </w:rPr>
            </w:pPr>
            <w:r>
              <w:rPr>
                <w:rFonts w:hint="eastAsia" w:ascii="Times New Roman" w:hAnsi="Times New Roman"/>
                <w:b/>
                <w:bCs/>
                <w:color w:val="auto"/>
                <w:sz w:val="24"/>
                <w:highlight w:val="none"/>
              </w:rPr>
              <w:t>（2）大气环境保护目标</w:t>
            </w:r>
          </w:p>
          <w:p w14:paraId="0663AA83">
            <w:pPr>
              <w:adjustRightInd w:val="0"/>
              <w:snapToGrid w:val="0"/>
              <w:spacing w:line="360" w:lineRule="auto"/>
              <w:ind w:firstLine="480" w:firstLineChars="200"/>
              <w:rPr>
                <w:rFonts w:hint="eastAsia" w:ascii="Times New Roman" w:hAnsi="Times New Roman"/>
                <w:color w:val="auto"/>
                <w:kern w:val="0"/>
                <w:sz w:val="24"/>
                <w:highlight w:val="none"/>
              </w:rPr>
            </w:pPr>
            <w:r>
              <w:rPr>
                <w:rFonts w:hint="eastAsia" w:ascii="Times New Roman" w:hAnsi="Times New Roman" w:eastAsia="宋体" w:cs="Times New Roman"/>
                <w:color w:val="auto"/>
                <w:kern w:val="0"/>
                <w:sz w:val="24"/>
                <w:highlight w:val="none"/>
                <w:lang w:val="en-US" w:eastAsia="zh-CN"/>
              </w:rPr>
              <w:t>本项目厂界外500m范围内，大气环境保护目标为公租房、云城.书香美邸（在建）、巴中经开区人才大楼、五谷社区</w:t>
            </w:r>
            <w:r>
              <w:rPr>
                <w:rFonts w:hint="eastAsia" w:cs="Times New Roman"/>
                <w:color w:val="auto"/>
                <w:kern w:val="0"/>
                <w:sz w:val="24"/>
                <w:highlight w:val="none"/>
                <w:lang w:val="en-US" w:eastAsia="zh-CN"/>
              </w:rPr>
              <w:t>原</w:t>
            </w:r>
            <w:r>
              <w:rPr>
                <w:rFonts w:hint="eastAsia" w:ascii="Times New Roman" w:hAnsi="Times New Roman" w:eastAsia="宋体" w:cs="Times New Roman"/>
                <w:color w:val="auto"/>
                <w:kern w:val="0"/>
                <w:sz w:val="24"/>
                <w:highlight w:val="none"/>
                <w:lang w:val="en-US" w:eastAsia="zh-CN"/>
              </w:rPr>
              <w:t>居委会</w:t>
            </w:r>
            <w:r>
              <w:rPr>
                <w:rFonts w:hint="eastAsia" w:cs="Times New Roman"/>
                <w:color w:val="auto"/>
                <w:kern w:val="0"/>
                <w:sz w:val="24"/>
                <w:highlight w:val="none"/>
                <w:lang w:val="en-US" w:eastAsia="zh-CN"/>
              </w:rPr>
              <w:t>（已闲置）</w:t>
            </w:r>
            <w:r>
              <w:rPr>
                <w:rFonts w:hint="eastAsia" w:ascii="Times New Roman" w:hAnsi="Times New Roman" w:eastAsia="宋体" w:cs="Times New Roman"/>
                <w:color w:val="auto"/>
                <w:kern w:val="0"/>
                <w:sz w:val="24"/>
                <w:highlight w:val="none"/>
                <w:lang w:val="en-US" w:eastAsia="zh-CN"/>
              </w:rPr>
              <w:t>等。</w:t>
            </w:r>
          </w:p>
          <w:p w14:paraId="16B857CE">
            <w:pPr>
              <w:autoSpaceDE w:val="0"/>
              <w:autoSpaceDN w:val="0"/>
              <w:spacing w:line="360" w:lineRule="auto"/>
              <w:ind w:firstLine="482" w:firstLineChars="200"/>
              <w:rPr>
                <w:rFonts w:ascii="Times New Roman" w:hAnsi="Times New Roman"/>
                <w:b/>
                <w:bCs/>
                <w:color w:val="auto"/>
                <w:sz w:val="24"/>
                <w:highlight w:val="none"/>
              </w:rPr>
            </w:pPr>
            <w:r>
              <w:rPr>
                <w:rFonts w:hint="eastAsia" w:ascii="Times New Roman" w:hAnsi="Times New Roman"/>
                <w:b/>
                <w:bCs/>
                <w:color w:val="auto"/>
                <w:sz w:val="24"/>
                <w:highlight w:val="none"/>
              </w:rPr>
              <w:t>（3）声环境保护目标</w:t>
            </w:r>
          </w:p>
          <w:p w14:paraId="53DE2F4B">
            <w:pPr>
              <w:adjustRightInd w:val="0"/>
              <w:snapToGrid w:val="0"/>
              <w:spacing w:line="360" w:lineRule="auto"/>
              <w:ind w:firstLine="480" w:firstLineChars="200"/>
              <w:rPr>
                <w:rFonts w:ascii="Times New Roman" w:hAnsi="Times New Roman"/>
                <w:color w:val="auto"/>
                <w:kern w:val="0"/>
                <w:sz w:val="24"/>
                <w:highlight w:val="none"/>
              </w:rPr>
            </w:pPr>
            <w:r>
              <w:rPr>
                <w:rFonts w:hint="eastAsia"/>
                <w:color w:val="auto"/>
                <w:sz w:val="24"/>
                <w:szCs w:val="22"/>
              </w:rPr>
              <w:t>厂界外5</w:t>
            </w:r>
            <w:r>
              <w:rPr>
                <w:color w:val="auto"/>
                <w:sz w:val="24"/>
                <w:szCs w:val="22"/>
              </w:rPr>
              <w:t>0</w:t>
            </w:r>
            <w:r>
              <w:rPr>
                <w:rFonts w:hint="eastAsia"/>
                <w:color w:val="auto"/>
                <w:sz w:val="24"/>
                <w:szCs w:val="22"/>
              </w:rPr>
              <w:t>米范围内均为工业企业，不存在声环境保护目标</w:t>
            </w:r>
            <w:r>
              <w:rPr>
                <w:rFonts w:hint="eastAsia" w:ascii="Times New Roman" w:hAnsi="Times New Roman"/>
                <w:color w:val="auto"/>
                <w:kern w:val="0"/>
                <w:sz w:val="24"/>
                <w:highlight w:val="none"/>
              </w:rPr>
              <w:t>。</w:t>
            </w:r>
          </w:p>
          <w:p w14:paraId="302D287A">
            <w:pPr>
              <w:autoSpaceDE w:val="0"/>
              <w:autoSpaceDN w:val="0"/>
              <w:spacing w:line="360" w:lineRule="auto"/>
              <w:ind w:firstLine="482" w:firstLineChars="200"/>
              <w:rPr>
                <w:rFonts w:ascii="Times New Roman" w:hAnsi="Times New Roman"/>
                <w:b/>
                <w:bCs/>
                <w:color w:val="auto"/>
                <w:sz w:val="24"/>
                <w:highlight w:val="none"/>
              </w:rPr>
            </w:pPr>
            <w:r>
              <w:rPr>
                <w:rFonts w:hint="eastAsia" w:ascii="Times New Roman" w:hAnsi="Times New Roman"/>
                <w:b/>
                <w:bCs/>
                <w:color w:val="auto"/>
                <w:sz w:val="24"/>
                <w:highlight w:val="none"/>
              </w:rPr>
              <w:t>（4）地下水环境保护目标</w:t>
            </w:r>
          </w:p>
          <w:p w14:paraId="57AC25B6">
            <w:pPr>
              <w:adjustRightInd w:val="0"/>
              <w:snapToGrid w:val="0"/>
              <w:spacing w:line="360" w:lineRule="auto"/>
              <w:ind w:firstLine="480" w:firstLineChars="200"/>
              <w:rPr>
                <w:rFonts w:hint="eastAsia" w:ascii="Times New Roman" w:hAnsi="Times New Roman"/>
                <w:color w:val="auto"/>
                <w:kern w:val="0"/>
                <w:sz w:val="24"/>
                <w:highlight w:val="none"/>
              </w:rPr>
            </w:pPr>
            <w:r>
              <w:rPr>
                <w:rFonts w:hint="eastAsia" w:ascii="Times New Roman" w:hAnsi="Times New Roman"/>
                <w:color w:val="auto"/>
                <w:kern w:val="0"/>
                <w:sz w:val="24"/>
                <w:highlight w:val="none"/>
                <w:lang w:val="en-US" w:eastAsia="zh-CN"/>
              </w:rPr>
              <w:t>本项目厂界外500m范围内无地下水集中式饮用水水源和热水、矿泉水、温泉等特殊地下水资源。</w:t>
            </w:r>
          </w:p>
          <w:p w14:paraId="33F5B993">
            <w:pPr>
              <w:autoSpaceDE w:val="0"/>
              <w:autoSpaceDN w:val="0"/>
              <w:spacing w:line="360" w:lineRule="auto"/>
              <w:ind w:firstLine="482" w:firstLineChars="200"/>
              <w:rPr>
                <w:rFonts w:ascii="Times New Roman" w:hAnsi="Times New Roman"/>
                <w:b/>
                <w:bCs/>
                <w:color w:val="auto"/>
                <w:sz w:val="24"/>
                <w:highlight w:val="none"/>
              </w:rPr>
            </w:pPr>
            <w:r>
              <w:rPr>
                <w:rFonts w:hint="eastAsia" w:ascii="Times New Roman" w:hAnsi="Times New Roman"/>
                <w:b/>
                <w:bCs/>
                <w:color w:val="auto"/>
                <w:sz w:val="24"/>
                <w:highlight w:val="none"/>
              </w:rPr>
              <w:t>（5）生态环境保护目标</w:t>
            </w:r>
          </w:p>
          <w:p w14:paraId="1A54ADFA">
            <w:pPr>
              <w:adjustRightInd w:val="0"/>
              <w:snapToGrid w:val="0"/>
              <w:spacing w:line="360" w:lineRule="auto"/>
              <w:ind w:firstLine="480" w:firstLineChars="200"/>
              <w:rPr>
                <w:rFonts w:hint="default" w:ascii="Times New Roman" w:hAnsi="Times New Roman"/>
                <w:color w:val="auto"/>
                <w:kern w:val="0"/>
                <w:sz w:val="24"/>
                <w:highlight w:val="none"/>
                <w:lang w:val="en-US"/>
              </w:rPr>
            </w:pPr>
            <w:r>
              <w:rPr>
                <w:rFonts w:hint="eastAsia" w:ascii="Times New Roman" w:hAnsi="Times New Roman"/>
                <w:color w:val="auto"/>
                <w:kern w:val="0"/>
                <w:sz w:val="24"/>
                <w:highlight w:val="none"/>
                <w:lang w:val="en-US" w:eastAsia="zh-CN"/>
              </w:rPr>
              <w:t>本项目位于园区内，</w:t>
            </w:r>
            <w:r>
              <w:rPr>
                <w:rFonts w:hint="eastAsia" w:ascii="Times New Roman" w:hAnsi="Times New Roman" w:eastAsia="宋体" w:cs="Times New Roman"/>
                <w:color w:val="auto"/>
                <w:kern w:val="0"/>
                <w:sz w:val="24"/>
                <w:szCs w:val="21"/>
                <w:lang w:val="en-US" w:eastAsia="zh-CN"/>
              </w:rPr>
              <w:t>租赁四川秦巴瑞耀产业园经营管理有限公司</w:t>
            </w:r>
            <w:r>
              <w:rPr>
                <w:rFonts w:hint="eastAsia" w:cs="Times New Roman"/>
                <w:color w:val="auto"/>
                <w:kern w:val="0"/>
                <w:sz w:val="24"/>
                <w:szCs w:val="21"/>
                <w:lang w:val="en-US" w:eastAsia="zh-CN"/>
              </w:rPr>
              <w:t>在建</w:t>
            </w:r>
            <w:r>
              <w:rPr>
                <w:rFonts w:hint="eastAsia" w:ascii="Times New Roman" w:hAnsi="Times New Roman" w:eastAsia="宋体" w:cs="Times New Roman"/>
                <w:color w:val="auto"/>
                <w:kern w:val="0"/>
                <w:sz w:val="24"/>
                <w:szCs w:val="21"/>
                <w:lang w:val="en-US" w:eastAsia="zh-CN"/>
              </w:rPr>
              <w:t>厂房</w:t>
            </w:r>
            <w:r>
              <w:rPr>
                <w:rFonts w:hint="eastAsia" w:ascii="Times New Roman" w:hAnsi="Times New Roman" w:eastAsia="宋体" w:cs="Times New Roman"/>
                <w:color w:val="auto"/>
                <w:kern w:val="0"/>
                <w:sz w:val="24"/>
                <w:szCs w:val="21"/>
              </w:rPr>
              <w:t>进行建设</w:t>
            </w:r>
            <w:r>
              <w:rPr>
                <w:rFonts w:hint="eastAsia" w:ascii="Times New Roman" w:hAnsi="Times New Roman" w:eastAsia="宋体" w:cs="Times New Roman"/>
                <w:color w:val="auto"/>
                <w:kern w:val="0"/>
                <w:sz w:val="24"/>
                <w:szCs w:val="21"/>
                <w:lang w:eastAsia="zh-CN"/>
              </w:rPr>
              <w:t>，</w:t>
            </w:r>
            <w:r>
              <w:rPr>
                <w:rFonts w:hint="eastAsia" w:ascii="Times New Roman" w:hAnsi="Times New Roman"/>
                <w:color w:val="auto"/>
                <w:kern w:val="0"/>
                <w:sz w:val="24"/>
                <w:highlight w:val="none"/>
                <w:lang w:val="en-US" w:eastAsia="zh-CN"/>
              </w:rPr>
              <w:t>无新增用地，不涉及生态环境保护目标。</w:t>
            </w:r>
          </w:p>
          <w:p w14:paraId="729D9A81">
            <w:pPr>
              <w:adjustRightInd w:val="0"/>
              <w:snapToGrid w:val="0"/>
              <w:spacing w:line="360" w:lineRule="auto"/>
              <w:ind w:firstLine="480" w:firstLineChars="200"/>
              <w:rPr>
                <w:rFonts w:ascii="Times New Roman" w:hAnsi="Times New Roman"/>
                <w:color w:val="auto"/>
                <w:kern w:val="0"/>
                <w:sz w:val="24"/>
                <w:highlight w:val="none"/>
              </w:rPr>
            </w:pPr>
            <w:r>
              <w:rPr>
                <w:rFonts w:hint="eastAsia" w:ascii="Times New Roman" w:hAnsi="Times New Roman"/>
                <w:color w:val="auto"/>
                <w:kern w:val="0"/>
                <w:sz w:val="24"/>
                <w:highlight w:val="none"/>
              </w:rPr>
              <w:t>本项目评价范</w:t>
            </w:r>
            <w:r>
              <w:rPr>
                <w:rFonts w:ascii="Times New Roman" w:hAnsi="Times New Roman"/>
                <w:color w:val="auto"/>
                <w:kern w:val="0"/>
                <w:sz w:val="24"/>
                <w:highlight w:val="none"/>
              </w:rPr>
              <w:t>围内主要环境保护目标一览表。</w:t>
            </w:r>
          </w:p>
          <w:p w14:paraId="7988D55E">
            <w:pPr>
              <w:autoSpaceDE w:val="0"/>
              <w:autoSpaceDN w:val="0"/>
              <w:adjustRightInd w:val="0"/>
              <w:snapToGrid w:val="0"/>
              <w:spacing w:line="240" w:lineRule="auto"/>
              <w:jc w:val="center"/>
              <w:rPr>
                <w:rFonts w:ascii="Times New Roman" w:hAnsi="Times New Roman"/>
                <w:b/>
                <w:bCs/>
                <w:color w:val="auto"/>
                <w:kern w:val="0"/>
                <w:sz w:val="21"/>
                <w:szCs w:val="21"/>
                <w:highlight w:val="none"/>
              </w:rPr>
            </w:pPr>
            <w:r>
              <w:rPr>
                <w:rFonts w:ascii="Times New Roman" w:hAnsi="Times New Roman"/>
                <w:b/>
                <w:bCs/>
                <w:color w:val="auto"/>
                <w:kern w:val="0"/>
                <w:sz w:val="21"/>
                <w:szCs w:val="21"/>
                <w:highlight w:val="none"/>
              </w:rPr>
              <w:t>表3</w:t>
            </w:r>
            <w:r>
              <w:rPr>
                <w:rFonts w:hint="eastAsia" w:ascii="Times New Roman" w:hAnsi="Times New Roman"/>
                <w:b/>
                <w:bCs/>
                <w:color w:val="auto"/>
                <w:kern w:val="0"/>
                <w:sz w:val="21"/>
                <w:szCs w:val="21"/>
                <w:highlight w:val="none"/>
                <w:lang w:val="en-US" w:eastAsia="zh-CN"/>
              </w:rPr>
              <w:t>-3</w:t>
            </w:r>
            <w:r>
              <w:rPr>
                <w:rFonts w:ascii="Times New Roman" w:hAnsi="Times New Roman"/>
                <w:b/>
                <w:bCs/>
                <w:color w:val="auto"/>
                <w:kern w:val="0"/>
                <w:sz w:val="21"/>
                <w:szCs w:val="21"/>
                <w:highlight w:val="none"/>
              </w:rPr>
              <w:t xml:space="preserve"> 本项目主要环境保护目标一览表</w:t>
            </w:r>
          </w:p>
          <w:tbl>
            <w:tblPr>
              <w:tblStyle w:val="41"/>
              <w:tblW w:w="0" w:type="auto"/>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175"/>
              <w:gridCol w:w="1481"/>
              <w:gridCol w:w="1266"/>
              <w:gridCol w:w="984"/>
              <w:gridCol w:w="1066"/>
              <w:gridCol w:w="2283"/>
            </w:tblGrid>
            <w:tr w14:paraId="093473E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1175" w:type="dxa"/>
                  <w:shd w:val="clear" w:color="auto" w:fill="auto"/>
                  <w:noWrap w:val="0"/>
                  <w:vAlign w:val="center"/>
                </w:tcPr>
                <w:p w14:paraId="62DECCFD">
                  <w:pPr>
                    <w:autoSpaceDE w:val="0"/>
                    <w:autoSpaceDN w:val="0"/>
                    <w:adjustRightInd w:val="0"/>
                    <w:snapToGrid w:val="0"/>
                    <w:spacing w:line="280" w:lineRule="exact"/>
                    <w:jc w:val="center"/>
                    <w:rPr>
                      <w:rFonts w:ascii="Times New Roman" w:hAnsi="Times New Roman"/>
                      <w:b/>
                      <w:bCs/>
                      <w:color w:val="auto"/>
                      <w:kern w:val="0"/>
                      <w:szCs w:val="21"/>
                      <w:highlight w:val="none"/>
                    </w:rPr>
                  </w:pPr>
                  <w:r>
                    <w:rPr>
                      <w:rFonts w:ascii="Times New Roman" w:hAnsi="Times New Roman"/>
                      <w:b/>
                      <w:bCs/>
                      <w:color w:val="auto"/>
                      <w:kern w:val="0"/>
                      <w:szCs w:val="21"/>
                      <w:highlight w:val="none"/>
                    </w:rPr>
                    <w:t>环境要素</w:t>
                  </w:r>
                </w:p>
              </w:tc>
              <w:tc>
                <w:tcPr>
                  <w:tcW w:w="1481" w:type="dxa"/>
                  <w:shd w:val="clear" w:color="auto" w:fill="auto"/>
                  <w:noWrap w:val="0"/>
                  <w:vAlign w:val="center"/>
                </w:tcPr>
                <w:p w14:paraId="57A5C437">
                  <w:pPr>
                    <w:autoSpaceDE w:val="0"/>
                    <w:autoSpaceDN w:val="0"/>
                    <w:adjustRightInd w:val="0"/>
                    <w:snapToGrid w:val="0"/>
                    <w:spacing w:line="280" w:lineRule="exact"/>
                    <w:jc w:val="center"/>
                    <w:rPr>
                      <w:rFonts w:ascii="Times New Roman" w:hAnsi="Times New Roman"/>
                      <w:b/>
                      <w:bCs/>
                      <w:color w:val="auto"/>
                      <w:kern w:val="0"/>
                      <w:szCs w:val="21"/>
                      <w:highlight w:val="none"/>
                    </w:rPr>
                  </w:pPr>
                  <w:r>
                    <w:rPr>
                      <w:rFonts w:ascii="Times New Roman" w:hAnsi="Times New Roman"/>
                      <w:b/>
                      <w:bCs/>
                      <w:color w:val="auto"/>
                      <w:kern w:val="0"/>
                      <w:szCs w:val="21"/>
                      <w:highlight w:val="none"/>
                    </w:rPr>
                    <w:t>目标名称</w:t>
                  </w:r>
                </w:p>
              </w:tc>
              <w:tc>
                <w:tcPr>
                  <w:tcW w:w="1266" w:type="dxa"/>
                  <w:shd w:val="clear" w:color="auto" w:fill="auto"/>
                  <w:noWrap w:val="0"/>
                  <w:vAlign w:val="center"/>
                </w:tcPr>
                <w:p w14:paraId="078BDC30">
                  <w:pPr>
                    <w:autoSpaceDE w:val="0"/>
                    <w:autoSpaceDN w:val="0"/>
                    <w:adjustRightInd w:val="0"/>
                    <w:snapToGrid w:val="0"/>
                    <w:spacing w:line="280" w:lineRule="exact"/>
                    <w:jc w:val="center"/>
                    <w:rPr>
                      <w:rFonts w:ascii="Times New Roman" w:hAnsi="Times New Roman"/>
                      <w:b/>
                      <w:bCs/>
                      <w:color w:val="auto"/>
                      <w:kern w:val="0"/>
                      <w:szCs w:val="21"/>
                      <w:highlight w:val="none"/>
                    </w:rPr>
                  </w:pPr>
                  <w:r>
                    <w:rPr>
                      <w:rFonts w:ascii="Times New Roman" w:hAnsi="Times New Roman"/>
                      <w:b/>
                      <w:bCs/>
                      <w:color w:val="auto"/>
                      <w:kern w:val="0"/>
                      <w:szCs w:val="21"/>
                      <w:highlight w:val="none"/>
                    </w:rPr>
                    <w:t>规模</w:t>
                  </w:r>
                </w:p>
              </w:tc>
              <w:tc>
                <w:tcPr>
                  <w:tcW w:w="984" w:type="dxa"/>
                  <w:shd w:val="clear" w:color="auto" w:fill="auto"/>
                  <w:noWrap w:val="0"/>
                  <w:vAlign w:val="center"/>
                </w:tcPr>
                <w:p w14:paraId="3A1C211F">
                  <w:pPr>
                    <w:autoSpaceDE w:val="0"/>
                    <w:autoSpaceDN w:val="0"/>
                    <w:adjustRightInd w:val="0"/>
                    <w:snapToGrid w:val="0"/>
                    <w:spacing w:line="280" w:lineRule="exact"/>
                    <w:jc w:val="center"/>
                    <w:rPr>
                      <w:rFonts w:ascii="Times New Roman" w:hAnsi="Times New Roman"/>
                      <w:b/>
                      <w:bCs/>
                      <w:color w:val="auto"/>
                      <w:kern w:val="0"/>
                      <w:szCs w:val="21"/>
                      <w:highlight w:val="none"/>
                    </w:rPr>
                  </w:pPr>
                  <w:r>
                    <w:rPr>
                      <w:rFonts w:ascii="Times New Roman" w:hAnsi="Times New Roman"/>
                      <w:b/>
                      <w:bCs/>
                      <w:color w:val="auto"/>
                      <w:kern w:val="0"/>
                      <w:szCs w:val="21"/>
                      <w:highlight w:val="none"/>
                    </w:rPr>
                    <w:t>方位</w:t>
                  </w:r>
                </w:p>
              </w:tc>
              <w:tc>
                <w:tcPr>
                  <w:tcW w:w="1066" w:type="dxa"/>
                  <w:shd w:val="clear" w:color="auto" w:fill="auto"/>
                  <w:noWrap w:val="0"/>
                  <w:vAlign w:val="center"/>
                </w:tcPr>
                <w:p w14:paraId="7127FE99">
                  <w:pPr>
                    <w:autoSpaceDE w:val="0"/>
                    <w:autoSpaceDN w:val="0"/>
                    <w:adjustRightInd w:val="0"/>
                    <w:snapToGrid w:val="0"/>
                    <w:spacing w:line="280" w:lineRule="exact"/>
                    <w:jc w:val="center"/>
                    <w:rPr>
                      <w:rFonts w:ascii="Times New Roman" w:hAnsi="Times New Roman"/>
                      <w:b/>
                      <w:bCs/>
                      <w:color w:val="auto"/>
                      <w:kern w:val="0"/>
                      <w:szCs w:val="21"/>
                      <w:highlight w:val="none"/>
                    </w:rPr>
                  </w:pPr>
                  <w:r>
                    <w:rPr>
                      <w:rFonts w:ascii="Times New Roman" w:hAnsi="Times New Roman"/>
                      <w:b/>
                      <w:bCs/>
                      <w:color w:val="auto"/>
                      <w:kern w:val="0"/>
                      <w:szCs w:val="21"/>
                      <w:highlight w:val="none"/>
                    </w:rPr>
                    <w:t>距离（m）</w:t>
                  </w:r>
                </w:p>
              </w:tc>
              <w:tc>
                <w:tcPr>
                  <w:tcW w:w="2283" w:type="dxa"/>
                  <w:shd w:val="clear" w:color="auto" w:fill="auto"/>
                  <w:noWrap w:val="0"/>
                  <w:vAlign w:val="center"/>
                </w:tcPr>
                <w:p w14:paraId="463E8BE7">
                  <w:pPr>
                    <w:autoSpaceDE w:val="0"/>
                    <w:autoSpaceDN w:val="0"/>
                    <w:adjustRightInd w:val="0"/>
                    <w:snapToGrid w:val="0"/>
                    <w:spacing w:line="280" w:lineRule="exact"/>
                    <w:jc w:val="center"/>
                    <w:rPr>
                      <w:rFonts w:ascii="Times New Roman" w:hAnsi="Times New Roman"/>
                      <w:b/>
                      <w:bCs/>
                      <w:color w:val="auto"/>
                      <w:kern w:val="0"/>
                      <w:szCs w:val="21"/>
                      <w:highlight w:val="none"/>
                    </w:rPr>
                  </w:pPr>
                  <w:r>
                    <w:rPr>
                      <w:rFonts w:ascii="Times New Roman" w:hAnsi="Times New Roman"/>
                      <w:b/>
                      <w:bCs/>
                      <w:color w:val="auto"/>
                      <w:kern w:val="0"/>
                      <w:szCs w:val="21"/>
                      <w:highlight w:val="none"/>
                    </w:rPr>
                    <w:t>执行标准</w:t>
                  </w:r>
                </w:p>
              </w:tc>
            </w:tr>
            <w:tr w14:paraId="7DC4F5A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7" w:hRule="atLeast"/>
                <w:jc w:val="center"/>
              </w:trPr>
              <w:tc>
                <w:tcPr>
                  <w:tcW w:w="1175" w:type="dxa"/>
                  <w:vMerge w:val="restart"/>
                  <w:noWrap w:val="0"/>
                  <w:vAlign w:val="center"/>
                </w:tcPr>
                <w:p w14:paraId="7A82EAC0">
                  <w:pPr>
                    <w:autoSpaceDE w:val="0"/>
                    <w:autoSpaceDN w:val="0"/>
                    <w:adjustRightInd w:val="0"/>
                    <w:snapToGrid w:val="0"/>
                    <w:spacing w:line="280" w:lineRule="exact"/>
                    <w:jc w:val="center"/>
                    <w:rPr>
                      <w:rFonts w:ascii="Times New Roman" w:hAnsi="Times New Roman"/>
                      <w:color w:val="auto"/>
                      <w:kern w:val="0"/>
                      <w:szCs w:val="21"/>
                      <w:highlight w:val="none"/>
                    </w:rPr>
                  </w:pPr>
                  <w:r>
                    <w:rPr>
                      <w:rFonts w:ascii="Times New Roman" w:hAnsi="Times New Roman"/>
                      <w:color w:val="auto"/>
                      <w:kern w:val="0"/>
                      <w:szCs w:val="21"/>
                      <w:highlight w:val="none"/>
                    </w:rPr>
                    <w:t>大气环境</w:t>
                  </w:r>
                </w:p>
              </w:tc>
              <w:tc>
                <w:tcPr>
                  <w:tcW w:w="1481" w:type="dxa"/>
                  <w:noWrap w:val="0"/>
                  <w:vAlign w:val="center"/>
                </w:tcPr>
                <w:p w14:paraId="36BB8DA4">
                  <w:pPr>
                    <w:autoSpaceDE w:val="0"/>
                    <w:autoSpaceDN w:val="0"/>
                    <w:adjustRightInd w:val="0"/>
                    <w:snapToGrid w:val="0"/>
                    <w:spacing w:line="280" w:lineRule="exact"/>
                    <w:jc w:val="center"/>
                    <w:rPr>
                      <w:rFonts w:hint="default" w:ascii="Times New Roman" w:hAnsi="Times New Roman" w:eastAsia="宋体"/>
                      <w:color w:val="auto"/>
                      <w:kern w:val="0"/>
                      <w:szCs w:val="21"/>
                      <w:highlight w:val="none"/>
                      <w:lang w:val="en-US" w:eastAsia="zh-CN"/>
                    </w:rPr>
                  </w:pPr>
                  <w:r>
                    <w:rPr>
                      <w:rFonts w:hint="eastAsia" w:ascii="Times New Roman" w:hAnsi="Times New Roman" w:eastAsia="宋体" w:cs="Times New Roman"/>
                      <w:color w:val="auto"/>
                      <w:sz w:val="21"/>
                      <w:szCs w:val="21"/>
                      <w:lang w:val="en-US" w:eastAsia="zh-CN"/>
                    </w:rPr>
                    <w:t>公租房</w:t>
                  </w:r>
                </w:p>
              </w:tc>
              <w:tc>
                <w:tcPr>
                  <w:tcW w:w="1266" w:type="dxa"/>
                  <w:noWrap w:val="0"/>
                  <w:vAlign w:val="center"/>
                </w:tcPr>
                <w:p w14:paraId="1EEEF008">
                  <w:pPr>
                    <w:autoSpaceDE w:val="0"/>
                    <w:autoSpaceDN w:val="0"/>
                    <w:adjustRightInd w:val="0"/>
                    <w:snapToGrid w:val="0"/>
                    <w:spacing w:line="280" w:lineRule="exact"/>
                    <w:jc w:val="center"/>
                    <w:rPr>
                      <w:rFonts w:hint="default" w:ascii="Times New Roman" w:hAnsi="Times New Roman" w:eastAsia="宋体"/>
                      <w:color w:val="auto"/>
                      <w:kern w:val="0"/>
                      <w:szCs w:val="21"/>
                      <w:highlight w:val="none"/>
                      <w:lang w:val="en-US" w:eastAsia="zh-CN"/>
                    </w:rPr>
                  </w:pPr>
                  <w:r>
                    <w:rPr>
                      <w:rFonts w:hint="eastAsia" w:cs="Times New Roman"/>
                      <w:color w:val="auto"/>
                      <w:sz w:val="21"/>
                      <w:szCs w:val="21"/>
                      <w:lang w:val="en-US" w:eastAsia="zh-CN"/>
                    </w:rPr>
                    <w:t>约200人</w:t>
                  </w:r>
                </w:p>
              </w:tc>
              <w:tc>
                <w:tcPr>
                  <w:tcW w:w="984" w:type="dxa"/>
                  <w:noWrap w:val="0"/>
                  <w:vAlign w:val="center"/>
                </w:tcPr>
                <w:p w14:paraId="5D6F3C2D">
                  <w:pPr>
                    <w:autoSpaceDE w:val="0"/>
                    <w:autoSpaceDN w:val="0"/>
                    <w:adjustRightInd w:val="0"/>
                    <w:snapToGrid w:val="0"/>
                    <w:spacing w:line="280" w:lineRule="exact"/>
                    <w:jc w:val="center"/>
                    <w:rPr>
                      <w:rFonts w:hint="default" w:ascii="Times New Roman" w:hAnsi="Times New Roman"/>
                      <w:color w:val="auto"/>
                      <w:kern w:val="0"/>
                      <w:szCs w:val="21"/>
                      <w:highlight w:val="none"/>
                      <w:lang w:val="en-US"/>
                    </w:rPr>
                  </w:pPr>
                  <w:r>
                    <w:rPr>
                      <w:rFonts w:hint="eastAsia" w:ascii="Times New Roman" w:hAnsi="Times New Roman" w:eastAsia="宋体" w:cs="Times New Roman"/>
                      <w:color w:val="auto"/>
                      <w:sz w:val="21"/>
                      <w:szCs w:val="21"/>
                      <w:lang w:val="en-US" w:eastAsia="zh-CN"/>
                    </w:rPr>
                    <w:t>北侧</w:t>
                  </w:r>
                </w:p>
              </w:tc>
              <w:tc>
                <w:tcPr>
                  <w:tcW w:w="1066" w:type="dxa"/>
                  <w:noWrap w:val="0"/>
                  <w:vAlign w:val="center"/>
                </w:tcPr>
                <w:p w14:paraId="4BDC0B7F">
                  <w:pPr>
                    <w:autoSpaceDE w:val="0"/>
                    <w:autoSpaceDN w:val="0"/>
                    <w:adjustRightInd w:val="0"/>
                    <w:snapToGrid w:val="0"/>
                    <w:spacing w:line="280" w:lineRule="exact"/>
                    <w:jc w:val="center"/>
                    <w:rPr>
                      <w:rFonts w:hint="default" w:ascii="Times New Roman" w:hAnsi="Times New Roman" w:eastAsia="宋体"/>
                      <w:color w:val="auto"/>
                      <w:kern w:val="0"/>
                      <w:szCs w:val="21"/>
                      <w:highlight w:val="none"/>
                      <w:lang w:val="en-US" w:eastAsia="zh-CN"/>
                    </w:rPr>
                  </w:pPr>
                  <w:r>
                    <w:rPr>
                      <w:rFonts w:hint="eastAsia" w:cs="Times New Roman"/>
                      <w:color w:val="auto"/>
                      <w:sz w:val="21"/>
                      <w:szCs w:val="21"/>
                      <w:lang w:val="en-US" w:eastAsia="zh-CN"/>
                    </w:rPr>
                    <w:t>52</w:t>
                  </w:r>
                </w:p>
              </w:tc>
              <w:tc>
                <w:tcPr>
                  <w:tcW w:w="2283" w:type="dxa"/>
                  <w:vMerge w:val="restart"/>
                  <w:noWrap w:val="0"/>
                  <w:vAlign w:val="center"/>
                </w:tcPr>
                <w:p w14:paraId="4F8E6E38">
                  <w:pPr>
                    <w:autoSpaceDE w:val="0"/>
                    <w:autoSpaceDN w:val="0"/>
                    <w:adjustRightInd w:val="0"/>
                    <w:snapToGrid w:val="0"/>
                    <w:spacing w:line="280" w:lineRule="exact"/>
                    <w:jc w:val="center"/>
                    <w:rPr>
                      <w:rFonts w:hint="default" w:ascii="Times New Roman" w:hAnsi="Times New Roman" w:eastAsia="宋体"/>
                      <w:color w:val="auto"/>
                      <w:kern w:val="0"/>
                      <w:szCs w:val="21"/>
                      <w:highlight w:val="none"/>
                      <w:lang w:val="en-US" w:eastAsia="zh-CN"/>
                    </w:rPr>
                  </w:pPr>
                  <w:r>
                    <w:rPr>
                      <w:rFonts w:hint="eastAsia" w:ascii="Times New Roman" w:hAnsi="Times New Roman"/>
                      <w:color w:val="auto"/>
                      <w:kern w:val="0"/>
                      <w:szCs w:val="21"/>
                      <w:highlight w:val="none"/>
                      <w:lang w:val="en-US" w:eastAsia="zh-CN"/>
                    </w:rPr>
                    <w:t>《环境空气质量标准》（GB3095-2026）二级标准</w:t>
                  </w:r>
                </w:p>
              </w:tc>
            </w:tr>
            <w:tr w14:paraId="0F60B74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7" w:hRule="atLeast"/>
                <w:jc w:val="center"/>
              </w:trPr>
              <w:tc>
                <w:tcPr>
                  <w:tcW w:w="1175" w:type="dxa"/>
                  <w:vMerge w:val="continue"/>
                  <w:noWrap w:val="0"/>
                  <w:vAlign w:val="center"/>
                </w:tcPr>
                <w:p w14:paraId="203F1ED4">
                  <w:pPr>
                    <w:autoSpaceDE w:val="0"/>
                    <w:autoSpaceDN w:val="0"/>
                    <w:adjustRightInd w:val="0"/>
                    <w:snapToGrid w:val="0"/>
                    <w:spacing w:line="280" w:lineRule="exact"/>
                    <w:jc w:val="center"/>
                    <w:rPr>
                      <w:rFonts w:ascii="Times New Roman" w:hAnsi="Times New Roman"/>
                      <w:color w:val="auto"/>
                      <w:kern w:val="0"/>
                      <w:szCs w:val="21"/>
                      <w:highlight w:val="none"/>
                    </w:rPr>
                  </w:pPr>
                </w:p>
              </w:tc>
              <w:tc>
                <w:tcPr>
                  <w:tcW w:w="1481" w:type="dxa"/>
                  <w:noWrap w:val="0"/>
                  <w:vAlign w:val="center"/>
                </w:tcPr>
                <w:p w14:paraId="6A5022CA">
                  <w:pPr>
                    <w:autoSpaceDE w:val="0"/>
                    <w:autoSpaceDN w:val="0"/>
                    <w:adjustRightInd w:val="0"/>
                    <w:snapToGrid w:val="0"/>
                    <w:spacing w:line="280" w:lineRule="exact"/>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五谷社区</w:t>
                  </w:r>
                  <w:r>
                    <w:rPr>
                      <w:rFonts w:hint="eastAsia" w:cs="Times New Roman"/>
                      <w:color w:val="auto"/>
                      <w:sz w:val="21"/>
                      <w:szCs w:val="21"/>
                      <w:lang w:val="en-US" w:eastAsia="zh-CN"/>
                    </w:rPr>
                    <w:t>原</w:t>
                  </w:r>
                  <w:r>
                    <w:rPr>
                      <w:rFonts w:hint="eastAsia" w:ascii="Times New Roman" w:hAnsi="Times New Roman" w:eastAsia="宋体" w:cs="Times New Roman"/>
                      <w:color w:val="auto"/>
                      <w:sz w:val="21"/>
                      <w:szCs w:val="21"/>
                      <w:lang w:val="en-US" w:eastAsia="zh-CN"/>
                    </w:rPr>
                    <w:t>居委会</w:t>
                  </w:r>
                  <w:r>
                    <w:rPr>
                      <w:rFonts w:hint="eastAsia" w:cs="Times New Roman"/>
                      <w:color w:val="auto"/>
                      <w:sz w:val="21"/>
                      <w:szCs w:val="21"/>
                      <w:lang w:val="en-US" w:eastAsia="zh-CN"/>
                    </w:rPr>
                    <w:t>（已闲置）</w:t>
                  </w:r>
                </w:p>
              </w:tc>
              <w:tc>
                <w:tcPr>
                  <w:tcW w:w="1266" w:type="dxa"/>
                  <w:noWrap w:val="0"/>
                  <w:vAlign w:val="center"/>
                </w:tcPr>
                <w:p w14:paraId="598CBA28">
                  <w:pPr>
                    <w:autoSpaceDE w:val="0"/>
                    <w:autoSpaceDN w:val="0"/>
                    <w:adjustRightInd w:val="0"/>
                    <w:snapToGrid w:val="0"/>
                    <w:spacing w:line="280" w:lineRule="exact"/>
                    <w:jc w:val="center"/>
                    <w:rPr>
                      <w:rFonts w:hint="eastAsia" w:cs="Times New Roman"/>
                      <w:color w:val="auto"/>
                      <w:sz w:val="21"/>
                      <w:szCs w:val="21"/>
                      <w:lang w:val="en-US" w:eastAsia="zh-CN"/>
                    </w:rPr>
                  </w:pPr>
                  <w:r>
                    <w:rPr>
                      <w:rFonts w:hint="eastAsia" w:cs="Times New Roman"/>
                      <w:color w:val="auto"/>
                      <w:sz w:val="21"/>
                      <w:szCs w:val="21"/>
                      <w:lang w:val="en-US" w:eastAsia="zh-CN"/>
                    </w:rPr>
                    <w:t>/</w:t>
                  </w:r>
                </w:p>
              </w:tc>
              <w:tc>
                <w:tcPr>
                  <w:tcW w:w="984" w:type="dxa"/>
                  <w:noWrap w:val="0"/>
                  <w:vAlign w:val="center"/>
                </w:tcPr>
                <w:p w14:paraId="78552200">
                  <w:pPr>
                    <w:autoSpaceDE w:val="0"/>
                    <w:autoSpaceDN w:val="0"/>
                    <w:adjustRightInd w:val="0"/>
                    <w:snapToGrid w:val="0"/>
                    <w:spacing w:line="280" w:lineRule="exact"/>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北侧</w:t>
                  </w:r>
                </w:p>
              </w:tc>
              <w:tc>
                <w:tcPr>
                  <w:tcW w:w="1066" w:type="dxa"/>
                  <w:noWrap w:val="0"/>
                  <w:vAlign w:val="center"/>
                </w:tcPr>
                <w:p w14:paraId="523228B5">
                  <w:pPr>
                    <w:autoSpaceDE w:val="0"/>
                    <w:autoSpaceDN w:val="0"/>
                    <w:adjustRightInd w:val="0"/>
                    <w:snapToGrid w:val="0"/>
                    <w:spacing w:line="280" w:lineRule="exact"/>
                    <w:jc w:val="center"/>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253</w:t>
                  </w:r>
                </w:p>
              </w:tc>
              <w:tc>
                <w:tcPr>
                  <w:tcW w:w="2283" w:type="dxa"/>
                  <w:vMerge w:val="continue"/>
                  <w:noWrap w:val="0"/>
                  <w:vAlign w:val="center"/>
                </w:tcPr>
                <w:p w14:paraId="6F4795B2">
                  <w:pPr>
                    <w:autoSpaceDE w:val="0"/>
                    <w:autoSpaceDN w:val="0"/>
                    <w:adjustRightInd w:val="0"/>
                    <w:snapToGrid w:val="0"/>
                    <w:spacing w:line="280" w:lineRule="exact"/>
                    <w:jc w:val="center"/>
                    <w:rPr>
                      <w:rFonts w:hint="eastAsia" w:ascii="Times New Roman" w:hAnsi="Times New Roman"/>
                      <w:color w:val="auto"/>
                      <w:kern w:val="0"/>
                      <w:szCs w:val="21"/>
                      <w:highlight w:val="none"/>
                      <w:lang w:val="en-US" w:eastAsia="zh-CN"/>
                    </w:rPr>
                  </w:pPr>
                </w:p>
              </w:tc>
            </w:tr>
            <w:tr w14:paraId="7E9154B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7" w:hRule="atLeast"/>
                <w:jc w:val="center"/>
              </w:trPr>
              <w:tc>
                <w:tcPr>
                  <w:tcW w:w="1175" w:type="dxa"/>
                  <w:vMerge w:val="continue"/>
                  <w:noWrap w:val="0"/>
                  <w:vAlign w:val="center"/>
                </w:tcPr>
                <w:p w14:paraId="53B2D550">
                  <w:pPr>
                    <w:autoSpaceDE w:val="0"/>
                    <w:autoSpaceDN w:val="0"/>
                    <w:adjustRightInd w:val="0"/>
                    <w:snapToGrid w:val="0"/>
                    <w:spacing w:line="280" w:lineRule="exact"/>
                    <w:jc w:val="center"/>
                    <w:rPr>
                      <w:rFonts w:ascii="Times New Roman" w:hAnsi="Times New Roman"/>
                      <w:color w:val="auto"/>
                      <w:kern w:val="0"/>
                      <w:szCs w:val="21"/>
                      <w:highlight w:val="none"/>
                    </w:rPr>
                  </w:pPr>
                </w:p>
              </w:tc>
              <w:tc>
                <w:tcPr>
                  <w:tcW w:w="1481" w:type="dxa"/>
                  <w:noWrap w:val="0"/>
                  <w:vAlign w:val="center"/>
                </w:tcPr>
                <w:p w14:paraId="14843D9B">
                  <w:pPr>
                    <w:autoSpaceDE w:val="0"/>
                    <w:autoSpaceDN w:val="0"/>
                    <w:adjustRightInd w:val="0"/>
                    <w:snapToGrid w:val="0"/>
                    <w:spacing w:line="280" w:lineRule="exact"/>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 w:val="21"/>
                      <w:szCs w:val="21"/>
                      <w:lang w:val="en-US" w:eastAsia="zh-CN"/>
                    </w:rPr>
                    <w:t>巴中经开区人才大楼</w:t>
                  </w:r>
                </w:p>
              </w:tc>
              <w:tc>
                <w:tcPr>
                  <w:tcW w:w="1266" w:type="dxa"/>
                  <w:noWrap w:val="0"/>
                  <w:vAlign w:val="center"/>
                </w:tcPr>
                <w:p w14:paraId="0A1FD1EA">
                  <w:pPr>
                    <w:autoSpaceDE w:val="0"/>
                    <w:autoSpaceDN w:val="0"/>
                    <w:adjustRightInd w:val="0"/>
                    <w:snapToGrid w:val="0"/>
                    <w:spacing w:line="280" w:lineRule="exact"/>
                    <w:jc w:val="center"/>
                    <w:rPr>
                      <w:rFonts w:hint="default" w:ascii="Times New Roman" w:hAnsi="Times New Roman"/>
                      <w:color w:val="auto"/>
                      <w:kern w:val="0"/>
                      <w:szCs w:val="21"/>
                      <w:highlight w:val="none"/>
                      <w:lang w:val="en-US" w:eastAsia="zh-CN"/>
                    </w:rPr>
                  </w:pPr>
                  <w:r>
                    <w:rPr>
                      <w:rFonts w:hint="eastAsia" w:cs="Times New Roman"/>
                      <w:color w:val="auto"/>
                      <w:sz w:val="21"/>
                      <w:szCs w:val="21"/>
                      <w:lang w:val="en-US" w:eastAsia="zh-CN"/>
                    </w:rPr>
                    <w:t>约150人</w:t>
                  </w:r>
                </w:p>
              </w:tc>
              <w:tc>
                <w:tcPr>
                  <w:tcW w:w="984" w:type="dxa"/>
                  <w:noWrap w:val="0"/>
                  <w:vAlign w:val="center"/>
                </w:tcPr>
                <w:p w14:paraId="096CC148">
                  <w:pPr>
                    <w:autoSpaceDE w:val="0"/>
                    <w:autoSpaceDN w:val="0"/>
                    <w:adjustRightInd w:val="0"/>
                    <w:snapToGrid w:val="0"/>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 w:val="21"/>
                      <w:szCs w:val="21"/>
                      <w:lang w:val="en-US" w:eastAsia="zh-CN"/>
                    </w:rPr>
                    <w:t>西北侧</w:t>
                  </w:r>
                </w:p>
              </w:tc>
              <w:tc>
                <w:tcPr>
                  <w:tcW w:w="1066" w:type="dxa"/>
                  <w:noWrap w:val="0"/>
                  <w:vAlign w:val="center"/>
                </w:tcPr>
                <w:p w14:paraId="76974026">
                  <w:pPr>
                    <w:autoSpaceDE w:val="0"/>
                    <w:autoSpaceDN w:val="0"/>
                    <w:adjustRightInd w:val="0"/>
                    <w:snapToGrid w:val="0"/>
                    <w:spacing w:line="280" w:lineRule="exact"/>
                    <w:jc w:val="center"/>
                    <w:rPr>
                      <w:rFonts w:hint="default" w:ascii="Times New Roman" w:hAnsi="Times New Roman"/>
                      <w:color w:val="auto"/>
                      <w:kern w:val="0"/>
                      <w:szCs w:val="21"/>
                      <w:highlight w:val="none"/>
                      <w:lang w:val="en-US" w:eastAsia="zh-CN"/>
                    </w:rPr>
                  </w:pPr>
                  <w:r>
                    <w:rPr>
                      <w:rFonts w:hint="eastAsia" w:cs="Times New Roman"/>
                      <w:color w:val="auto"/>
                      <w:sz w:val="21"/>
                      <w:szCs w:val="21"/>
                      <w:lang w:val="en-US" w:eastAsia="zh-CN"/>
                    </w:rPr>
                    <w:t>335</w:t>
                  </w:r>
                </w:p>
              </w:tc>
              <w:tc>
                <w:tcPr>
                  <w:tcW w:w="2283" w:type="dxa"/>
                  <w:vMerge w:val="continue"/>
                  <w:noWrap w:val="0"/>
                  <w:vAlign w:val="center"/>
                </w:tcPr>
                <w:p w14:paraId="6492D642">
                  <w:pPr>
                    <w:autoSpaceDE w:val="0"/>
                    <w:autoSpaceDN w:val="0"/>
                    <w:adjustRightInd w:val="0"/>
                    <w:snapToGrid w:val="0"/>
                    <w:spacing w:line="280" w:lineRule="exact"/>
                    <w:jc w:val="center"/>
                    <w:rPr>
                      <w:rFonts w:hint="eastAsia" w:ascii="Times New Roman" w:hAnsi="Times New Roman"/>
                      <w:color w:val="auto"/>
                      <w:kern w:val="0"/>
                      <w:szCs w:val="21"/>
                      <w:highlight w:val="none"/>
                      <w:lang w:val="en-US" w:eastAsia="zh-CN"/>
                    </w:rPr>
                  </w:pPr>
                </w:p>
              </w:tc>
            </w:tr>
            <w:tr w14:paraId="19EFEFB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1175" w:type="dxa"/>
                  <w:noWrap w:val="0"/>
                  <w:vAlign w:val="center"/>
                </w:tcPr>
                <w:p w14:paraId="7FAD581A">
                  <w:pPr>
                    <w:autoSpaceDE w:val="0"/>
                    <w:autoSpaceDN w:val="0"/>
                    <w:adjustRightInd w:val="0"/>
                    <w:snapToGrid w:val="0"/>
                    <w:spacing w:line="280" w:lineRule="exact"/>
                    <w:jc w:val="center"/>
                    <w:rPr>
                      <w:rFonts w:ascii="Times New Roman" w:hAnsi="Times New Roman"/>
                      <w:color w:val="auto"/>
                      <w:kern w:val="0"/>
                      <w:szCs w:val="21"/>
                      <w:highlight w:val="none"/>
                    </w:rPr>
                  </w:pPr>
                  <w:r>
                    <w:rPr>
                      <w:rFonts w:ascii="Times New Roman" w:hAnsi="Times New Roman"/>
                      <w:color w:val="auto"/>
                      <w:kern w:val="0"/>
                      <w:szCs w:val="21"/>
                      <w:highlight w:val="none"/>
                    </w:rPr>
                    <w:t>地表水</w:t>
                  </w:r>
                </w:p>
              </w:tc>
              <w:tc>
                <w:tcPr>
                  <w:tcW w:w="1481" w:type="dxa"/>
                  <w:noWrap w:val="0"/>
                  <w:vAlign w:val="center"/>
                </w:tcPr>
                <w:p w14:paraId="10BC230D">
                  <w:pPr>
                    <w:autoSpaceDE w:val="0"/>
                    <w:autoSpaceDN w:val="0"/>
                    <w:adjustRightInd w:val="0"/>
                    <w:snapToGrid w:val="0"/>
                    <w:spacing w:line="280" w:lineRule="exact"/>
                    <w:jc w:val="center"/>
                    <w:rPr>
                      <w:rFonts w:hint="default" w:ascii="Times New Roman" w:hAnsi="Times New Roman" w:eastAsia="宋体" w:cs="Times New Roman"/>
                      <w:color w:val="auto"/>
                      <w:kern w:val="0"/>
                      <w:szCs w:val="21"/>
                      <w:highlight w:val="none"/>
                      <w:lang w:val="en-US" w:eastAsia="zh-CN"/>
                    </w:rPr>
                  </w:pPr>
                  <w:r>
                    <w:rPr>
                      <w:rFonts w:hint="eastAsia" w:cs="Times New Roman"/>
                      <w:color w:val="auto"/>
                      <w:kern w:val="0"/>
                      <w:szCs w:val="21"/>
                      <w:highlight w:val="none"/>
                      <w:lang w:val="en-US" w:eastAsia="zh-CN"/>
                    </w:rPr>
                    <w:t>/</w:t>
                  </w:r>
                </w:p>
              </w:tc>
              <w:tc>
                <w:tcPr>
                  <w:tcW w:w="1266" w:type="dxa"/>
                  <w:noWrap w:val="0"/>
                  <w:vAlign w:val="center"/>
                </w:tcPr>
                <w:p w14:paraId="70FF791C">
                  <w:pPr>
                    <w:autoSpaceDE w:val="0"/>
                    <w:autoSpaceDN w:val="0"/>
                    <w:adjustRightInd w:val="0"/>
                    <w:snapToGrid w:val="0"/>
                    <w:spacing w:line="280" w:lineRule="exact"/>
                    <w:jc w:val="center"/>
                    <w:rPr>
                      <w:rFonts w:hint="default" w:ascii="Times New Roman" w:hAnsi="Times New Roman" w:eastAsia="宋体" w:cs="Times New Roman"/>
                      <w:color w:val="auto"/>
                      <w:kern w:val="0"/>
                      <w:szCs w:val="21"/>
                      <w:highlight w:val="none"/>
                      <w:lang w:val="en-US" w:eastAsia="zh-CN"/>
                    </w:rPr>
                  </w:pPr>
                  <w:r>
                    <w:rPr>
                      <w:rFonts w:hint="eastAsia" w:cs="Times New Roman"/>
                      <w:color w:val="auto"/>
                      <w:kern w:val="0"/>
                      <w:szCs w:val="21"/>
                      <w:highlight w:val="none"/>
                      <w:lang w:val="en-US" w:eastAsia="zh-CN"/>
                    </w:rPr>
                    <w:t>/</w:t>
                  </w:r>
                </w:p>
              </w:tc>
              <w:tc>
                <w:tcPr>
                  <w:tcW w:w="984" w:type="dxa"/>
                  <w:noWrap w:val="0"/>
                  <w:vAlign w:val="center"/>
                </w:tcPr>
                <w:p w14:paraId="174DAA17">
                  <w:pPr>
                    <w:autoSpaceDE w:val="0"/>
                    <w:autoSpaceDN w:val="0"/>
                    <w:adjustRightInd w:val="0"/>
                    <w:snapToGrid w:val="0"/>
                    <w:spacing w:line="280" w:lineRule="exact"/>
                    <w:jc w:val="center"/>
                    <w:rPr>
                      <w:rFonts w:hint="default" w:ascii="Times New Roman" w:hAnsi="Times New Roman" w:eastAsia="宋体" w:cs="Times New Roman"/>
                      <w:color w:val="auto"/>
                      <w:kern w:val="0"/>
                      <w:szCs w:val="21"/>
                      <w:highlight w:val="none"/>
                      <w:lang w:val="en-US" w:eastAsia="zh-CN"/>
                    </w:rPr>
                  </w:pPr>
                  <w:r>
                    <w:rPr>
                      <w:rFonts w:hint="eastAsia" w:cs="Times New Roman"/>
                      <w:color w:val="auto"/>
                      <w:kern w:val="0"/>
                      <w:szCs w:val="21"/>
                      <w:highlight w:val="none"/>
                      <w:lang w:val="en-US" w:eastAsia="zh-CN"/>
                    </w:rPr>
                    <w:t>/</w:t>
                  </w:r>
                </w:p>
              </w:tc>
              <w:tc>
                <w:tcPr>
                  <w:tcW w:w="1066" w:type="dxa"/>
                  <w:noWrap w:val="0"/>
                  <w:vAlign w:val="center"/>
                </w:tcPr>
                <w:p w14:paraId="496461F8">
                  <w:pPr>
                    <w:autoSpaceDE w:val="0"/>
                    <w:autoSpaceDN w:val="0"/>
                    <w:adjustRightInd w:val="0"/>
                    <w:snapToGrid w:val="0"/>
                    <w:spacing w:line="280" w:lineRule="exact"/>
                    <w:jc w:val="center"/>
                    <w:rPr>
                      <w:rFonts w:hint="default" w:ascii="Times New Roman" w:hAnsi="Times New Roman" w:eastAsia="宋体" w:cs="Times New Roman"/>
                      <w:color w:val="auto"/>
                      <w:kern w:val="0"/>
                      <w:szCs w:val="21"/>
                      <w:highlight w:val="none"/>
                      <w:lang w:val="en-US" w:eastAsia="zh-CN"/>
                    </w:rPr>
                  </w:pPr>
                  <w:r>
                    <w:rPr>
                      <w:rFonts w:hint="eastAsia" w:cs="Times New Roman"/>
                      <w:color w:val="auto"/>
                      <w:kern w:val="0"/>
                      <w:szCs w:val="21"/>
                      <w:highlight w:val="none"/>
                      <w:lang w:val="en-US" w:eastAsia="zh-CN"/>
                    </w:rPr>
                    <w:t>/</w:t>
                  </w:r>
                </w:p>
              </w:tc>
              <w:tc>
                <w:tcPr>
                  <w:tcW w:w="2283" w:type="dxa"/>
                  <w:noWrap w:val="0"/>
                  <w:vAlign w:val="center"/>
                </w:tcPr>
                <w:p w14:paraId="4DF38621">
                  <w:pPr>
                    <w:autoSpaceDE w:val="0"/>
                    <w:autoSpaceDN w:val="0"/>
                    <w:adjustRightInd w:val="0"/>
                    <w:snapToGrid w:val="0"/>
                    <w:spacing w:line="280" w:lineRule="exact"/>
                    <w:jc w:val="center"/>
                    <w:rPr>
                      <w:rFonts w:hint="eastAsia" w:ascii="Times New Roman" w:hAnsi="Times New Roman" w:eastAsia="宋体"/>
                      <w:color w:val="auto"/>
                      <w:kern w:val="0"/>
                      <w:szCs w:val="21"/>
                      <w:highlight w:val="none"/>
                      <w:lang w:val="en-US" w:eastAsia="zh-CN"/>
                    </w:rPr>
                  </w:pPr>
                  <w:r>
                    <w:rPr>
                      <w:rFonts w:hint="eastAsia"/>
                      <w:color w:val="auto"/>
                      <w:kern w:val="0"/>
                      <w:szCs w:val="21"/>
                      <w:highlight w:val="none"/>
                      <w:lang w:val="en-US" w:eastAsia="zh-CN"/>
                    </w:rPr>
                    <w:t>/</w:t>
                  </w:r>
                </w:p>
              </w:tc>
            </w:tr>
            <w:tr w14:paraId="79431CB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8" w:hRule="atLeast"/>
                <w:jc w:val="center"/>
              </w:trPr>
              <w:tc>
                <w:tcPr>
                  <w:tcW w:w="1175" w:type="dxa"/>
                  <w:noWrap w:val="0"/>
                  <w:vAlign w:val="center"/>
                </w:tcPr>
                <w:p w14:paraId="119A09E2">
                  <w:pPr>
                    <w:autoSpaceDE w:val="0"/>
                    <w:autoSpaceDN w:val="0"/>
                    <w:adjustRightInd w:val="0"/>
                    <w:snapToGrid w:val="0"/>
                    <w:spacing w:line="280" w:lineRule="exact"/>
                    <w:jc w:val="center"/>
                    <w:rPr>
                      <w:rFonts w:ascii="Times New Roman" w:hAnsi="Times New Roman"/>
                      <w:color w:val="auto"/>
                      <w:kern w:val="0"/>
                      <w:szCs w:val="21"/>
                      <w:highlight w:val="none"/>
                    </w:rPr>
                  </w:pPr>
                  <w:r>
                    <w:rPr>
                      <w:rFonts w:ascii="Times New Roman" w:hAnsi="Times New Roman"/>
                      <w:color w:val="auto"/>
                      <w:kern w:val="0"/>
                      <w:szCs w:val="21"/>
                      <w:highlight w:val="none"/>
                    </w:rPr>
                    <w:t>声环境</w:t>
                  </w:r>
                </w:p>
              </w:tc>
              <w:tc>
                <w:tcPr>
                  <w:tcW w:w="7080" w:type="dxa"/>
                  <w:gridSpan w:val="5"/>
                  <w:noWrap w:val="0"/>
                  <w:vAlign w:val="center"/>
                </w:tcPr>
                <w:p w14:paraId="2D1624F2">
                  <w:pPr>
                    <w:autoSpaceDE w:val="0"/>
                    <w:autoSpaceDN w:val="0"/>
                    <w:adjustRightInd w:val="0"/>
                    <w:snapToGrid w:val="0"/>
                    <w:spacing w:line="280" w:lineRule="exact"/>
                    <w:jc w:val="center"/>
                    <w:rPr>
                      <w:rFonts w:hint="eastAsia" w:ascii="Times New Roman" w:hAnsi="Times New Roman" w:eastAsia="宋体"/>
                      <w:color w:val="auto"/>
                      <w:kern w:val="0"/>
                      <w:szCs w:val="21"/>
                      <w:highlight w:val="none"/>
                      <w:lang w:val="en-US" w:eastAsia="zh-CN"/>
                    </w:rPr>
                  </w:pPr>
                  <w:r>
                    <w:rPr>
                      <w:rFonts w:hint="default" w:ascii="Times New Roman" w:hAnsi="Times New Roman" w:eastAsia="宋体" w:cs="Times New Roman"/>
                      <w:b w:val="0"/>
                      <w:color w:val="auto"/>
                      <w:kern w:val="0"/>
                      <w:sz w:val="21"/>
                      <w:szCs w:val="21"/>
                      <w:highlight w:val="none"/>
                      <w:lang w:val="en-US" w:eastAsia="zh-CN"/>
                    </w:rPr>
                    <w:t>本项目厂界外50m范围内</w:t>
                  </w:r>
                  <w:r>
                    <w:rPr>
                      <w:rFonts w:hint="eastAsia" w:ascii="Times New Roman" w:hAnsi="Times New Roman" w:eastAsia="宋体" w:cs="Times New Roman"/>
                      <w:b w:val="0"/>
                      <w:color w:val="auto"/>
                      <w:kern w:val="0"/>
                      <w:sz w:val="21"/>
                      <w:szCs w:val="21"/>
                      <w:highlight w:val="none"/>
                      <w:lang w:val="en-US" w:eastAsia="zh-CN"/>
                    </w:rPr>
                    <w:t>无</w:t>
                  </w:r>
                  <w:r>
                    <w:rPr>
                      <w:rFonts w:hint="default" w:ascii="Times New Roman" w:hAnsi="Times New Roman" w:eastAsia="宋体" w:cs="Times New Roman"/>
                      <w:b w:val="0"/>
                      <w:color w:val="auto"/>
                      <w:kern w:val="0"/>
                      <w:sz w:val="21"/>
                      <w:szCs w:val="21"/>
                      <w:highlight w:val="none"/>
                      <w:lang w:val="en-US" w:eastAsia="zh-CN"/>
                    </w:rPr>
                    <w:t>声</w:t>
                  </w:r>
                  <w:r>
                    <w:rPr>
                      <w:rFonts w:hint="eastAsia" w:cs="Times New Roman"/>
                      <w:b w:val="0"/>
                      <w:color w:val="auto"/>
                      <w:kern w:val="0"/>
                      <w:sz w:val="21"/>
                      <w:szCs w:val="21"/>
                      <w:highlight w:val="none"/>
                      <w:lang w:val="en-US" w:eastAsia="zh-CN"/>
                    </w:rPr>
                    <w:t>环境保护</w:t>
                  </w:r>
                  <w:r>
                    <w:rPr>
                      <w:rFonts w:hint="default" w:ascii="Times New Roman" w:hAnsi="Times New Roman" w:eastAsia="宋体" w:cs="Times New Roman"/>
                      <w:b w:val="0"/>
                      <w:color w:val="auto"/>
                      <w:kern w:val="0"/>
                      <w:sz w:val="21"/>
                      <w:szCs w:val="21"/>
                      <w:highlight w:val="none"/>
                      <w:lang w:val="en-US" w:eastAsia="zh-CN"/>
                    </w:rPr>
                    <w:t>目标</w:t>
                  </w:r>
                </w:p>
              </w:tc>
            </w:tr>
            <w:tr w14:paraId="71FFD2C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8" w:hRule="atLeast"/>
                <w:jc w:val="center"/>
              </w:trPr>
              <w:tc>
                <w:tcPr>
                  <w:tcW w:w="1175" w:type="dxa"/>
                  <w:noWrap w:val="0"/>
                  <w:vAlign w:val="center"/>
                </w:tcPr>
                <w:p w14:paraId="0B5E0E98">
                  <w:pPr>
                    <w:autoSpaceDE w:val="0"/>
                    <w:autoSpaceDN w:val="0"/>
                    <w:adjustRightInd w:val="0"/>
                    <w:snapToGrid w:val="0"/>
                    <w:spacing w:line="280" w:lineRule="exact"/>
                    <w:jc w:val="center"/>
                    <w:rPr>
                      <w:rFonts w:ascii="Times New Roman" w:hAnsi="Times New Roman"/>
                      <w:color w:val="auto"/>
                      <w:kern w:val="0"/>
                      <w:szCs w:val="21"/>
                      <w:highlight w:val="none"/>
                    </w:rPr>
                  </w:pPr>
                  <w:r>
                    <w:rPr>
                      <w:rFonts w:ascii="Times New Roman" w:hAnsi="Times New Roman"/>
                      <w:color w:val="auto"/>
                      <w:kern w:val="0"/>
                      <w:szCs w:val="21"/>
                      <w:highlight w:val="none"/>
                    </w:rPr>
                    <w:t>地下水环境</w:t>
                  </w:r>
                </w:p>
              </w:tc>
              <w:tc>
                <w:tcPr>
                  <w:tcW w:w="7080" w:type="dxa"/>
                  <w:gridSpan w:val="5"/>
                  <w:noWrap w:val="0"/>
                  <w:vAlign w:val="center"/>
                </w:tcPr>
                <w:p w14:paraId="6527CA2A">
                  <w:pPr>
                    <w:autoSpaceDE w:val="0"/>
                    <w:autoSpaceDN w:val="0"/>
                    <w:adjustRightInd w:val="0"/>
                    <w:snapToGrid w:val="0"/>
                    <w:spacing w:line="280" w:lineRule="exact"/>
                    <w:jc w:val="center"/>
                    <w:rPr>
                      <w:rFonts w:hint="eastAsia" w:ascii="Times New Roman" w:hAnsi="Times New Roman" w:eastAsia="宋体"/>
                      <w:color w:val="auto"/>
                      <w:kern w:val="0"/>
                      <w:szCs w:val="21"/>
                      <w:highlight w:val="none"/>
                      <w:lang w:eastAsia="zh-CN"/>
                    </w:rPr>
                  </w:pPr>
                  <w:r>
                    <w:rPr>
                      <w:rFonts w:ascii="Times New Roman" w:hAnsi="Times New Roman"/>
                      <w:color w:val="auto"/>
                      <w:kern w:val="0"/>
                      <w:szCs w:val="21"/>
                      <w:highlight w:val="none"/>
                    </w:rPr>
                    <w:t>厂界外500m范围内无地下水集中式饮用水水源和热水、矿泉水、温泉等特殊地下水资源</w:t>
                  </w:r>
                </w:p>
              </w:tc>
            </w:tr>
            <w:tr w14:paraId="76A71A7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23" w:hRule="atLeast"/>
                <w:jc w:val="center"/>
              </w:trPr>
              <w:tc>
                <w:tcPr>
                  <w:tcW w:w="1175" w:type="dxa"/>
                  <w:noWrap w:val="0"/>
                  <w:vAlign w:val="center"/>
                </w:tcPr>
                <w:p w14:paraId="2C6A23DB">
                  <w:pPr>
                    <w:autoSpaceDE w:val="0"/>
                    <w:autoSpaceDN w:val="0"/>
                    <w:adjustRightInd w:val="0"/>
                    <w:snapToGrid w:val="0"/>
                    <w:spacing w:line="280" w:lineRule="exact"/>
                    <w:jc w:val="center"/>
                    <w:rPr>
                      <w:rFonts w:ascii="Times New Roman" w:hAnsi="Times New Roman"/>
                      <w:color w:val="auto"/>
                      <w:kern w:val="0"/>
                      <w:szCs w:val="21"/>
                      <w:highlight w:val="none"/>
                    </w:rPr>
                  </w:pPr>
                  <w:r>
                    <w:rPr>
                      <w:rFonts w:ascii="Times New Roman" w:hAnsi="Times New Roman"/>
                      <w:color w:val="auto"/>
                      <w:kern w:val="0"/>
                      <w:szCs w:val="21"/>
                      <w:highlight w:val="none"/>
                    </w:rPr>
                    <w:t>生态环境</w:t>
                  </w:r>
                </w:p>
              </w:tc>
              <w:tc>
                <w:tcPr>
                  <w:tcW w:w="7080" w:type="dxa"/>
                  <w:gridSpan w:val="5"/>
                  <w:noWrap w:val="0"/>
                  <w:vAlign w:val="center"/>
                </w:tcPr>
                <w:p w14:paraId="0823E45F">
                  <w:pPr>
                    <w:autoSpaceDE w:val="0"/>
                    <w:autoSpaceDN w:val="0"/>
                    <w:adjustRightInd w:val="0"/>
                    <w:snapToGrid w:val="0"/>
                    <w:spacing w:line="280" w:lineRule="exact"/>
                    <w:jc w:val="center"/>
                    <w:rPr>
                      <w:rFonts w:ascii="Times New Roman" w:hAnsi="Times New Roman"/>
                      <w:color w:val="auto"/>
                      <w:kern w:val="0"/>
                      <w:szCs w:val="21"/>
                      <w:highlight w:val="none"/>
                    </w:rPr>
                  </w:pPr>
                  <w:r>
                    <w:rPr>
                      <w:rFonts w:hint="eastAsia"/>
                      <w:color w:val="auto"/>
                      <w:szCs w:val="21"/>
                      <w:lang w:val="en-US" w:eastAsia="zh-CN"/>
                    </w:rPr>
                    <w:t>本项目</w:t>
                  </w:r>
                  <w:r>
                    <w:rPr>
                      <w:color w:val="auto"/>
                      <w:szCs w:val="21"/>
                    </w:rPr>
                    <w:t>位于工业园区内，</w:t>
                  </w:r>
                  <w:r>
                    <w:rPr>
                      <w:rFonts w:hint="eastAsia"/>
                      <w:color w:val="auto"/>
                      <w:szCs w:val="21"/>
                      <w:lang w:val="en-US" w:eastAsia="zh-CN"/>
                    </w:rPr>
                    <w:t>用地性质为工业用地</w:t>
                  </w:r>
                  <w:r>
                    <w:rPr>
                      <w:color w:val="auto"/>
                      <w:szCs w:val="21"/>
                    </w:rPr>
                    <w:t>，且用地范围内无生态环境保护目标</w:t>
                  </w:r>
                </w:p>
              </w:tc>
            </w:tr>
          </w:tbl>
          <w:p w14:paraId="7C782263">
            <w:pPr>
              <w:pStyle w:val="66"/>
              <w:rPr>
                <w:color w:val="auto"/>
              </w:rPr>
            </w:pPr>
          </w:p>
        </w:tc>
      </w:tr>
      <w:tr w14:paraId="20CC338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499" w:type="dxa"/>
            <w:tcMar>
              <w:left w:w="28" w:type="dxa"/>
              <w:right w:w="28" w:type="dxa"/>
            </w:tcMar>
            <w:vAlign w:val="center"/>
          </w:tcPr>
          <w:p w14:paraId="0993E690">
            <w:pPr>
              <w:adjustRightInd w:val="0"/>
              <w:snapToGrid w:val="0"/>
              <w:jc w:val="center"/>
              <w:rPr>
                <w:rFonts w:cs="宋体"/>
                <w:color w:val="auto"/>
                <w:kern w:val="0"/>
                <w:szCs w:val="21"/>
              </w:rPr>
            </w:pPr>
            <w:r>
              <w:rPr>
                <w:rFonts w:hint="eastAsia" w:cs="宋体"/>
                <w:b/>
                <w:bCs/>
                <w:color w:val="auto"/>
                <w:kern w:val="0"/>
                <w:sz w:val="24"/>
                <w:szCs w:val="24"/>
              </w:rPr>
              <w:t>污染物排放控制标准</w:t>
            </w:r>
          </w:p>
        </w:tc>
        <w:tc>
          <w:tcPr>
            <w:tcW w:w="8491" w:type="dxa"/>
          </w:tcPr>
          <w:p w14:paraId="0A00D963">
            <w:pPr>
              <w:pStyle w:val="66"/>
              <w:spacing w:line="360" w:lineRule="auto"/>
              <w:ind w:firstLine="482"/>
              <w:rPr>
                <w:b/>
                <w:bCs/>
                <w:color w:val="auto"/>
              </w:rPr>
            </w:pPr>
            <w:r>
              <w:rPr>
                <w:rFonts w:hint="eastAsia"/>
                <w:b/>
                <w:bCs/>
                <w:color w:val="auto"/>
              </w:rPr>
              <w:t>1、废气</w:t>
            </w:r>
          </w:p>
          <w:p w14:paraId="5DA071D8">
            <w:pPr>
              <w:pStyle w:val="66"/>
              <w:spacing w:line="360" w:lineRule="auto"/>
              <w:ind w:firstLine="482"/>
              <w:rPr>
                <w:b/>
                <w:bCs/>
                <w:color w:val="auto"/>
              </w:rPr>
            </w:pPr>
            <w:r>
              <w:rPr>
                <w:rFonts w:hint="eastAsia"/>
                <w:b/>
                <w:bCs/>
                <w:color w:val="auto"/>
              </w:rPr>
              <w:t>（1）施工期</w:t>
            </w:r>
          </w:p>
          <w:p w14:paraId="6F3C653A">
            <w:pPr>
              <w:pStyle w:val="66"/>
              <w:spacing w:line="360" w:lineRule="auto"/>
              <w:rPr>
                <w:color w:val="auto"/>
              </w:rPr>
            </w:pPr>
            <w:r>
              <w:rPr>
                <w:rFonts w:hint="eastAsia"/>
                <w:color w:val="auto"/>
              </w:rPr>
              <w:t>施工期总悬浮颗粒物（T</w:t>
            </w:r>
            <w:r>
              <w:rPr>
                <w:color w:val="auto"/>
              </w:rPr>
              <w:t>SP</w:t>
            </w:r>
            <w:r>
              <w:rPr>
                <w:rFonts w:hint="eastAsia"/>
                <w:color w:val="auto"/>
              </w:rPr>
              <w:t>）执行《四川省施工场地扬尘排放标准》（D</w:t>
            </w:r>
            <w:r>
              <w:rPr>
                <w:color w:val="auto"/>
              </w:rPr>
              <w:t>B 51/2682-2020</w:t>
            </w:r>
            <w:r>
              <w:rPr>
                <w:rFonts w:hint="eastAsia"/>
                <w:color w:val="auto"/>
              </w:rPr>
              <w:t>）表1中相应标准限值。</w:t>
            </w:r>
          </w:p>
          <w:p w14:paraId="7B044246">
            <w:pPr>
              <w:pStyle w:val="68"/>
              <w:spacing w:line="240" w:lineRule="auto"/>
              <w:rPr>
                <w:rFonts w:hint="default" w:ascii="Times New Roman" w:hAnsi="Times New Roman" w:eastAsia="宋体" w:cs="Times New Roman"/>
                <w:b/>
                <w:bCs/>
                <w:color w:val="auto"/>
              </w:rPr>
            </w:pPr>
            <w:r>
              <w:rPr>
                <w:rFonts w:hint="default" w:ascii="Times New Roman" w:hAnsi="Times New Roman" w:eastAsia="宋体" w:cs="Times New Roman"/>
                <w:b/>
                <w:bCs/>
                <w:color w:val="auto"/>
              </w:rPr>
              <w:t>表3-</w:t>
            </w:r>
            <w:r>
              <w:rPr>
                <w:rFonts w:hint="default" w:ascii="Times New Roman" w:hAnsi="Times New Roman" w:eastAsia="宋体" w:cs="Times New Roman"/>
                <w:b/>
                <w:bCs/>
                <w:color w:val="auto"/>
                <w:lang w:val="en-US" w:eastAsia="zh-CN"/>
              </w:rPr>
              <w:t>4</w:t>
            </w:r>
            <w:r>
              <w:rPr>
                <w:rFonts w:hint="default" w:ascii="Times New Roman" w:hAnsi="Times New Roman" w:eastAsia="宋体" w:cs="Times New Roman"/>
                <w:b/>
                <w:bCs/>
                <w:color w:val="auto"/>
              </w:rPr>
              <w:t xml:space="preserve">  施工期总悬浮颗粒物（TSP）排放标准</w:t>
            </w:r>
          </w:p>
          <w:tbl>
            <w:tblPr>
              <w:tblStyle w:val="41"/>
              <w:tblW w:w="5000" w:type="pct"/>
              <w:tblInd w:w="0"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795"/>
              <w:gridCol w:w="789"/>
              <w:gridCol w:w="2877"/>
              <w:gridCol w:w="2073"/>
              <w:gridCol w:w="1741"/>
            </w:tblGrid>
            <w:tr w14:paraId="53CDE67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480" w:type="pct"/>
                  <w:tcMar>
                    <w:left w:w="28" w:type="dxa"/>
                    <w:right w:w="28" w:type="dxa"/>
                  </w:tcMar>
                  <w:vAlign w:val="center"/>
                </w:tcPr>
                <w:p w14:paraId="6D6F8052">
                  <w:pPr>
                    <w:autoSpaceDE w:val="0"/>
                    <w:autoSpaceDN w:val="0"/>
                    <w:adjustRightInd w:val="0"/>
                    <w:snapToGrid w:val="0"/>
                    <w:spacing w:line="280" w:lineRule="exact"/>
                    <w:jc w:val="center"/>
                    <w:rPr>
                      <w:rFonts w:ascii="Times New Roman" w:hAnsi="Times New Roman" w:eastAsia="宋体" w:cs="Times New Roman"/>
                      <w:b/>
                      <w:bCs/>
                      <w:color w:val="auto"/>
                      <w:kern w:val="0"/>
                      <w:szCs w:val="21"/>
                      <w:highlight w:val="none"/>
                    </w:rPr>
                  </w:pPr>
                  <w:r>
                    <w:rPr>
                      <w:rFonts w:hint="eastAsia" w:ascii="Times New Roman" w:hAnsi="Times New Roman" w:eastAsia="宋体" w:cs="Times New Roman"/>
                      <w:b/>
                      <w:bCs/>
                      <w:color w:val="auto"/>
                      <w:kern w:val="0"/>
                      <w:szCs w:val="21"/>
                      <w:highlight w:val="none"/>
                    </w:rPr>
                    <w:t>项目</w:t>
                  </w:r>
                </w:p>
              </w:tc>
              <w:tc>
                <w:tcPr>
                  <w:tcW w:w="476" w:type="pct"/>
                  <w:tcMar>
                    <w:left w:w="28" w:type="dxa"/>
                    <w:right w:w="28" w:type="dxa"/>
                  </w:tcMar>
                  <w:vAlign w:val="center"/>
                </w:tcPr>
                <w:p w14:paraId="699AC498">
                  <w:pPr>
                    <w:autoSpaceDE w:val="0"/>
                    <w:autoSpaceDN w:val="0"/>
                    <w:adjustRightInd w:val="0"/>
                    <w:snapToGrid w:val="0"/>
                    <w:spacing w:line="280" w:lineRule="exact"/>
                    <w:jc w:val="center"/>
                    <w:rPr>
                      <w:rFonts w:ascii="Times New Roman" w:hAnsi="Times New Roman" w:eastAsia="宋体" w:cs="Times New Roman"/>
                      <w:b/>
                      <w:bCs/>
                      <w:color w:val="auto"/>
                      <w:kern w:val="0"/>
                      <w:szCs w:val="21"/>
                      <w:highlight w:val="none"/>
                    </w:rPr>
                  </w:pPr>
                  <w:r>
                    <w:rPr>
                      <w:rFonts w:hint="eastAsia" w:ascii="Times New Roman" w:hAnsi="Times New Roman" w:eastAsia="宋体" w:cs="Times New Roman"/>
                      <w:b/>
                      <w:bCs/>
                      <w:color w:val="auto"/>
                      <w:kern w:val="0"/>
                      <w:szCs w:val="21"/>
                      <w:highlight w:val="none"/>
                    </w:rPr>
                    <w:t>区域</w:t>
                  </w:r>
                </w:p>
              </w:tc>
              <w:tc>
                <w:tcPr>
                  <w:tcW w:w="1738" w:type="pct"/>
                  <w:tcMar>
                    <w:left w:w="28" w:type="dxa"/>
                    <w:right w:w="28" w:type="dxa"/>
                  </w:tcMar>
                  <w:vAlign w:val="center"/>
                </w:tcPr>
                <w:p w14:paraId="7174F054">
                  <w:pPr>
                    <w:autoSpaceDE w:val="0"/>
                    <w:autoSpaceDN w:val="0"/>
                    <w:adjustRightInd w:val="0"/>
                    <w:snapToGrid w:val="0"/>
                    <w:spacing w:line="280" w:lineRule="exact"/>
                    <w:jc w:val="center"/>
                    <w:rPr>
                      <w:rFonts w:ascii="Times New Roman" w:hAnsi="Times New Roman" w:eastAsia="宋体" w:cs="Times New Roman"/>
                      <w:b/>
                      <w:bCs/>
                      <w:color w:val="auto"/>
                      <w:kern w:val="0"/>
                      <w:szCs w:val="21"/>
                      <w:highlight w:val="none"/>
                    </w:rPr>
                  </w:pPr>
                  <w:r>
                    <w:rPr>
                      <w:rFonts w:hint="eastAsia" w:ascii="Times New Roman" w:hAnsi="Times New Roman" w:eastAsia="宋体" w:cs="Times New Roman"/>
                      <w:b/>
                      <w:bCs/>
                      <w:color w:val="auto"/>
                      <w:kern w:val="0"/>
                      <w:szCs w:val="21"/>
                      <w:highlight w:val="none"/>
                    </w:rPr>
                    <w:t>施工阶段</w:t>
                  </w:r>
                </w:p>
              </w:tc>
              <w:tc>
                <w:tcPr>
                  <w:tcW w:w="1252" w:type="pct"/>
                  <w:vAlign w:val="center"/>
                </w:tcPr>
                <w:p w14:paraId="2E34C30C">
                  <w:pPr>
                    <w:autoSpaceDE w:val="0"/>
                    <w:autoSpaceDN w:val="0"/>
                    <w:adjustRightInd w:val="0"/>
                    <w:snapToGrid w:val="0"/>
                    <w:spacing w:line="280" w:lineRule="exact"/>
                    <w:jc w:val="center"/>
                    <w:rPr>
                      <w:rFonts w:ascii="Times New Roman" w:hAnsi="Times New Roman" w:eastAsia="宋体" w:cs="Times New Roman"/>
                      <w:b/>
                      <w:bCs/>
                      <w:color w:val="auto"/>
                      <w:kern w:val="0"/>
                      <w:szCs w:val="21"/>
                      <w:highlight w:val="none"/>
                    </w:rPr>
                  </w:pPr>
                  <w:r>
                    <w:rPr>
                      <w:rFonts w:hint="eastAsia" w:ascii="Times New Roman" w:hAnsi="Times New Roman" w:eastAsia="宋体" w:cs="Times New Roman"/>
                      <w:b/>
                      <w:bCs/>
                      <w:color w:val="auto"/>
                      <w:kern w:val="0"/>
                      <w:szCs w:val="21"/>
                      <w:highlight w:val="none"/>
                    </w:rPr>
                    <w:t>监测点排放浓度</w:t>
                  </w:r>
                  <w:r>
                    <w:rPr>
                      <w:rFonts w:ascii="Times New Roman" w:hAnsi="Times New Roman" w:eastAsia="宋体" w:cs="Times New Roman"/>
                      <w:b/>
                      <w:bCs/>
                      <w:color w:val="auto"/>
                      <w:kern w:val="0"/>
                      <w:szCs w:val="21"/>
                      <w:highlight w:val="none"/>
                    </w:rPr>
                    <w:t>（</w:t>
                  </w:r>
                  <w:r>
                    <w:rPr>
                      <w:rFonts w:hint="eastAsia" w:ascii="Times New Roman" w:hAnsi="Times New Roman" w:eastAsia="宋体" w:cs="Times New Roman"/>
                      <w:b/>
                      <w:bCs/>
                      <w:color w:val="auto"/>
                      <w:kern w:val="0"/>
                      <w:szCs w:val="21"/>
                      <w:highlight w:val="none"/>
                      <w:lang w:val="en-US" w:eastAsia="zh-CN"/>
                    </w:rPr>
                    <w:t>μ</w:t>
                  </w:r>
                  <w:r>
                    <w:rPr>
                      <w:rFonts w:ascii="Times New Roman" w:hAnsi="Times New Roman" w:eastAsia="宋体" w:cs="Times New Roman"/>
                      <w:b/>
                      <w:bCs/>
                      <w:color w:val="auto"/>
                      <w:kern w:val="0"/>
                      <w:szCs w:val="21"/>
                      <w:highlight w:val="none"/>
                    </w:rPr>
                    <w:t>g/m</w:t>
                  </w:r>
                  <w:r>
                    <w:rPr>
                      <w:rFonts w:ascii="Times New Roman" w:hAnsi="Times New Roman" w:eastAsia="宋体" w:cs="Times New Roman"/>
                      <w:b/>
                      <w:bCs/>
                      <w:color w:val="auto"/>
                      <w:kern w:val="0"/>
                      <w:szCs w:val="21"/>
                      <w:highlight w:val="none"/>
                      <w:vertAlign w:val="superscript"/>
                    </w:rPr>
                    <w:t>3</w:t>
                  </w:r>
                  <w:r>
                    <w:rPr>
                      <w:rFonts w:ascii="Times New Roman" w:hAnsi="Times New Roman" w:eastAsia="宋体" w:cs="Times New Roman"/>
                      <w:b/>
                      <w:bCs/>
                      <w:color w:val="auto"/>
                      <w:kern w:val="0"/>
                      <w:szCs w:val="21"/>
                      <w:highlight w:val="none"/>
                    </w:rPr>
                    <w:t>）</w:t>
                  </w:r>
                </w:p>
              </w:tc>
              <w:tc>
                <w:tcPr>
                  <w:tcW w:w="1051" w:type="pct"/>
                  <w:tcMar>
                    <w:left w:w="28" w:type="dxa"/>
                    <w:right w:w="28" w:type="dxa"/>
                  </w:tcMar>
                  <w:vAlign w:val="center"/>
                </w:tcPr>
                <w:p w14:paraId="392B7901">
                  <w:pPr>
                    <w:autoSpaceDE w:val="0"/>
                    <w:autoSpaceDN w:val="0"/>
                    <w:adjustRightInd w:val="0"/>
                    <w:snapToGrid w:val="0"/>
                    <w:spacing w:line="280" w:lineRule="exact"/>
                    <w:jc w:val="center"/>
                    <w:rPr>
                      <w:rFonts w:ascii="Times New Roman" w:hAnsi="Times New Roman" w:eastAsia="宋体" w:cs="Times New Roman"/>
                      <w:b/>
                      <w:bCs/>
                      <w:color w:val="auto"/>
                      <w:kern w:val="0"/>
                      <w:szCs w:val="21"/>
                      <w:highlight w:val="none"/>
                    </w:rPr>
                  </w:pPr>
                  <w:r>
                    <w:rPr>
                      <w:rFonts w:ascii="Times New Roman" w:hAnsi="Times New Roman" w:eastAsia="宋体" w:cs="Times New Roman"/>
                      <w:b/>
                      <w:bCs/>
                      <w:color w:val="auto"/>
                      <w:kern w:val="0"/>
                      <w:szCs w:val="21"/>
                      <w:highlight w:val="none"/>
                    </w:rPr>
                    <w:t>无组织排放监控浓度限值</w:t>
                  </w:r>
                </w:p>
              </w:tc>
            </w:tr>
            <w:tr w14:paraId="4F365BF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16" w:hRule="atLeast"/>
              </w:trPr>
              <w:tc>
                <w:tcPr>
                  <w:tcW w:w="480" w:type="pct"/>
                  <w:vMerge w:val="restart"/>
                  <w:tcMar>
                    <w:left w:w="28" w:type="dxa"/>
                    <w:right w:w="28" w:type="dxa"/>
                  </w:tcMar>
                  <w:vAlign w:val="center"/>
                </w:tcPr>
                <w:p w14:paraId="1D0E570B">
                  <w:pPr>
                    <w:pStyle w:val="70"/>
                    <w:rPr>
                      <w:color w:val="auto"/>
                      <w:sz w:val="21"/>
                      <w:szCs w:val="21"/>
                      <w:vertAlign w:val="subscript"/>
                      <w:lang w:val="zh-TW"/>
                    </w:rPr>
                  </w:pPr>
                  <w:r>
                    <w:rPr>
                      <w:color w:val="auto"/>
                      <w:sz w:val="21"/>
                      <w:szCs w:val="21"/>
                      <w:lang w:val="zh-TW"/>
                    </w:rPr>
                    <w:t>TSP</w:t>
                  </w:r>
                </w:p>
              </w:tc>
              <w:tc>
                <w:tcPr>
                  <w:tcW w:w="476" w:type="pct"/>
                  <w:vMerge w:val="restart"/>
                  <w:tcMar>
                    <w:left w:w="28" w:type="dxa"/>
                    <w:right w:w="28" w:type="dxa"/>
                  </w:tcMar>
                  <w:vAlign w:val="center"/>
                </w:tcPr>
                <w:p w14:paraId="4A2DFA3E">
                  <w:pPr>
                    <w:pStyle w:val="70"/>
                    <w:rPr>
                      <w:color w:val="auto"/>
                      <w:sz w:val="21"/>
                      <w:szCs w:val="21"/>
                      <w:lang w:val="zh-TW"/>
                    </w:rPr>
                  </w:pPr>
                  <w:r>
                    <w:rPr>
                      <w:rFonts w:hint="eastAsia"/>
                      <w:color w:val="auto"/>
                      <w:sz w:val="21"/>
                      <w:szCs w:val="21"/>
                      <w:lang w:val="zh-TW"/>
                    </w:rPr>
                    <w:t>巴中市</w:t>
                  </w:r>
                </w:p>
              </w:tc>
              <w:tc>
                <w:tcPr>
                  <w:tcW w:w="1738" w:type="pct"/>
                  <w:tcMar>
                    <w:left w:w="28" w:type="dxa"/>
                    <w:right w:w="28" w:type="dxa"/>
                  </w:tcMar>
                  <w:vAlign w:val="center"/>
                </w:tcPr>
                <w:p w14:paraId="60E5EDAB">
                  <w:pPr>
                    <w:pStyle w:val="70"/>
                    <w:rPr>
                      <w:color w:val="auto"/>
                      <w:sz w:val="21"/>
                      <w:szCs w:val="21"/>
                      <w:lang w:val="zh-TW"/>
                    </w:rPr>
                  </w:pPr>
                  <w:r>
                    <w:rPr>
                      <w:rFonts w:hint="eastAsia"/>
                      <w:color w:val="auto"/>
                      <w:sz w:val="21"/>
                      <w:szCs w:val="21"/>
                      <w:lang w:val="zh-TW"/>
                    </w:rPr>
                    <w:t>拆除工程/土方开挖/土方回填阶段</w:t>
                  </w:r>
                </w:p>
              </w:tc>
              <w:tc>
                <w:tcPr>
                  <w:tcW w:w="1252" w:type="pct"/>
                  <w:tcMar>
                    <w:left w:w="28" w:type="dxa"/>
                    <w:right w:w="28" w:type="dxa"/>
                  </w:tcMar>
                  <w:vAlign w:val="center"/>
                </w:tcPr>
                <w:p w14:paraId="6FDBAE75">
                  <w:pPr>
                    <w:pStyle w:val="70"/>
                    <w:rPr>
                      <w:color w:val="auto"/>
                      <w:sz w:val="21"/>
                      <w:szCs w:val="21"/>
                      <w:lang w:val="zh-TW"/>
                    </w:rPr>
                  </w:pPr>
                  <w:r>
                    <w:rPr>
                      <w:rFonts w:hint="eastAsia"/>
                      <w:color w:val="auto"/>
                      <w:sz w:val="21"/>
                      <w:szCs w:val="21"/>
                      <w:lang w:val="zh-TW"/>
                    </w:rPr>
                    <w:t>600</w:t>
                  </w:r>
                </w:p>
              </w:tc>
              <w:tc>
                <w:tcPr>
                  <w:tcW w:w="1051" w:type="pct"/>
                  <w:vMerge w:val="restart"/>
                  <w:tcMar>
                    <w:left w:w="28" w:type="dxa"/>
                    <w:right w:w="28" w:type="dxa"/>
                  </w:tcMar>
                  <w:vAlign w:val="center"/>
                </w:tcPr>
                <w:p w14:paraId="59C0A993">
                  <w:pPr>
                    <w:pStyle w:val="70"/>
                    <w:rPr>
                      <w:color w:val="auto"/>
                      <w:sz w:val="21"/>
                      <w:szCs w:val="21"/>
                      <w:lang w:val="zh-TW"/>
                    </w:rPr>
                  </w:pPr>
                  <w:r>
                    <w:rPr>
                      <w:rFonts w:hint="eastAsia"/>
                      <w:color w:val="auto"/>
                      <w:sz w:val="21"/>
                      <w:szCs w:val="21"/>
                      <w:lang w:val="zh-TW"/>
                    </w:rPr>
                    <w:t>自监测起持续1</w:t>
                  </w:r>
                  <w:r>
                    <w:rPr>
                      <w:color w:val="auto"/>
                      <w:sz w:val="21"/>
                      <w:szCs w:val="21"/>
                      <w:lang w:val="zh-TW"/>
                    </w:rPr>
                    <w:t>5</w:t>
                  </w:r>
                  <w:r>
                    <w:rPr>
                      <w:rFonts w:hint="eastAsia"/>
                      <w:color w:val="auto"/>
                      <w:sz w:val="21"/>
                      <w:szCs w:val="21"/>
                      <w:lang w:val="zh-TW"/>
                    </w:rPr>
                    <w:t>分钟</w:t>
                  </w:r>
                </w:p>
              </w:tc>
            </w:tr>
            <w:tr w14:paraId="5836414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21" w:hRule="atLeast"/>
              </w:trPr>
              <w:tc>
                <w:tcPr>
                  <w:tcW w:w="480" w:type="pct"/>
                  <w:vMerge w:val="continue"/>
                  <w:tcMar>
                    <w:left w:w="28" w:type="dxa"/>
                    <w:right w:w="28" w:type="dxa"/>
                  </w:tcMar>
                  <w:vAlign w:val="center"/>
                </w:tcPr>
                <w:p w14:paraId="737324B0">
                  <w:pPr>
                    <w:pStyle w:val="70"/>
                    <w:rPr>
                      <w:color w:val="auto"/>
                      <w:vertAlign w:val="subscript"/>
                      <w:lang w:val="zh-TW"/>
                    </w:rPr>
                  </w:pPr>
                </w:p>
              </w:tc>
              <w:tc>
                <w:tcPr>
                  <w:tcW w:w="476" w:type="pct"/>
                  <w:vMerge w:val="continue"/>
                  <w:tcMar>
                    <w:left w:w="28" w:type="dxa"/>
                    <w:right w:w="28" w:type="dxa"/>
                  </w:tcMar>
                  <w:vAlign w:val="center"/>
                </w:tcPr>
                <w:p w14:paraId="23536DD9">
                  <w:pPr>
                    <w:pStyle w:val="70"/>
                    <w:rPr>
                      <w:color w:val="auto"/>
                      <w:lang w:val="zh-TW"/>
                    </w:rPr>
                  </w:pPr>
                </w:p>
              </w:tc>
              <w:tc>
                <w:tcPr>
                  <w:tcW w:w="1738" w:type="pct"/>
                  <w:tcMar>
                    <w:left w:w="28" w:type="dxa"/>
                    <w:right w:w="28" w:type="dxa"/>
                  </w:tcMar>
                  <w:vAlign w:val="center"/>
                </w:tcPr>
                <w:p w14:paraId="52A9E5B0">
                  <w:pPr>
                    <w:pStyle w:val="70"/>
                    <w:rPr>
                      <w:color w:val="auto"/>
                      <w:sz w:val="21"/>
                      <w:szCs w:val="21"/>
                      <w:lang w:val="zh-TW"/>
                    </w:rPr>
                  </w:pPr>
                  <w:r>
                    <w:rPr>
                      <w:rFonts w:hint="eastAsia"/>
                      <w:color w:val="auto"/>
                      <w:sz w:val="21"/>
                      <w:szCs w:val="21"/>
                      <w:lang w:val="zh-TW"/>
                    </w:rPr>
                    <w:t>其他工程阶段</w:t>
                  </w:r>
                </w:p>
              </w:tc>
              <w:tc>
                <w:tcPr>
                  <w:tcW w:w="1252" w:type="pct"/>
                  <w:tcMar>
                    <w:left w:w="28" w:type="dxa"/>
                    <w:right w:w="28" w:type="dxa"/>
                  </w:tcMar>
                  <w:vAlign w:val="center"/>
                </w:tcPr>
                <w:p w14:paraId="5ADD7231">
                  <w:pPr>
                    <w:pStyle w:val="70"/>
                    <w:rPr>
                      <w:color w:val="auto"/>
                      <w:sz w:val="21"/>
                      <w:szCs w:val="21"/>
                      <w:lang w:val="zh-TW"/>
                    </w:rPr>
                  </w:pPr>
                  <w:r>
                    <w:rPr>
                      <w:rFonts w:hint="eastAsia"/>
                      <w:color w:val="auto"/>
                      <w:sz w:val="21"/>
                      <w:szCs w:val="21"/>
                      <w:lang w:val="zh-TW"/>
                    </w:rPr>
                    <w:t>250</w:t>
                  </w:r>
                </w:p>
              </w:tc>
              <w:tc>
                <w:tcPr>
                  <w:tcW w:w="1051" w:type="pct"/>
                  <w:vMerge w:val="continue"/>
                  <w:tcMar>
                    <w:left w:w="28" w:type="dxa"/>
                    <w:right w:w="28" w:type="dxa"/>
                  </w:tcMar>
                  <w:vAlign w:val="center"/>
                </w:tcPr>
                <w:p w14:paraId="7C72B928">
                  <w:pPr>
                    <w:pStyle w:val="70"/>
                    <w:rPr>
                      <w:color w:val="auto"/>
                      <w:lang w:val="zh-TW"/>
                    </w:rPr>
                  </w:pPr>
                </w:p>
              </w:tc>
            </w:tr>
          </w:tbl>
          <w:p w14:paraId="3473CD90">
            <w:pPr>
              <w:pStyle w:val="66"/>
              <w:spacing w:line="360" w:lineRule="auto"/>
              <w:ind w:firstLine="482"/>
              <w:rPr>
                <w:rFonts w:hint="eastAsia" w:ascii="Times New Roman" w:hAnsi="Times New Roman" w:eastAsia="宋体" w:cs="Times New Roman"/>
                <w:b/>
                <w:bCs/>
                <w:color w:val="auto"/>
              </w:rPr>
            </w:pPr>
            <w:r>
              <w:rPr>
                <w:rFonts w:hint="eastAsia" w:ascii="Times New Roman" w:hAnsi="Times New Roman" w:eastAsia="宋体" w:cs="Times New Roman"/>
                <w:b/>
                <w:bCs/>
                <w:color w:val="auto"/>
              </w:rPr>
              <w:t>（2）运营期</w:t>
            </w:r>
          </w:p>
          <w:p w14:paraId="5C6EB30F">
            <w:pPr>
              <w:pStyle w:val="66"/>
              <w:spacing w:line="360" w:lineRule="auto"/>
              <w:rPr>
                <w:rFonts w:hint="eastAsia" w:eastAsia="宋体"/>
                <w:color w:val="auto"/>
                <w:lang w:eastAsia="zh-CN"/>
              </w:rPr>
            </w:pPr>
            <w:r>
              <w:rPr>
                <w:rFonts w:hint="eastAsia"/>
                <w:color w:val="auto"/>
                <w:lang w:val="en-US" w:eastAsia="zh-CN"/>
              </w:rPr>
              <w:t>颗粒物参照执行</w:t>
            </w:r>
            <w:r>
              <w:rPr>
                <w:rFonts w:hint="default" w:ascii="Times New Roman" w:hAnsi="Times New Roman" w:cs="Times New Roman"/>
                <w:color w:val="auto"/>
              </w:rPr>
              <w:t>《电池工业污染物排放标准》（GB30484-2013）</w:t>
            </w:r>
            <w:r>
              <w:rPr>
                <w:rFonts w:hint="default" w:ascii="Times New Roman" w:hAnsi="Times New Roman" w:cs="Times New Roman"/>
                <w:color w:val="auto"/>
                <w:lang w:val="en-US" w:eastAsia="zh-CN"/>
              </w:rPr>
              <w:t>表5中锂离子/锂电池</w:t>
            </w:r>
            <w:r>
              <w:rPr>
                <w:rFonts w:hint="default" w:ascii="Times New Roman" w:hAnsi="Times New Roman" w:cs="Times New Roman"/>
                <w:color w:val="auto"/>
              </w:rPr>
              <w:t>相关</w:t>
            </w:r>
            <w:r>
              <w:rPr>
                <w:rFonts w:hint="default" w:ascii="Times New Roman" w:hAnsi="Times New Roman" w:cs="Times New Roman"/>
                <w:color w:val="auto"/>
                <w:lang w:val="en-US" w:eastAsia="zh-CN"/>
              </w:rPr>
              <w:t>限值；</w:t>
            </w:r>
            <w:r>
              <w:rPr>
                <w:rFonts w:hint="eastAsia" w:cs="Times New Roman"/>
                <w:color w:val="auto"/>
                <w:lang w:val="en-US" w:eastAsia="zh-CN"/>
              </w:rPr>
              <w:t>DA001、DA002</w:t>
            </w:r>
            <w:r>
              <w:rPr>
                <w:rFonts w:hint="eastAsia"/>
                <w:color w:val="auto"/>
                <w:lang w:val="en-US" w:eastAsia="zh-CN"/>
              </w:rPr>
              <w:t>执行</w:t>
            </w:r>
            <w:r>
              <w:rPr>
                <w:rFonts w:hint="default" w:ascii="Times New Roman" w:hAnsi="Times New Roman" w:cs="Times New Roman"/>
                <w:color w:val="auto"/>
              </w:rPr>
              <w:t>《电池工业污染物排放标准》（GB30484-2013）</w:t>
            </w:r>
            <w:r>
              <w:rPr>
                <w:rFonts w:hint="default" w:ascii="Times New Roman" w:hAnsi="Times New Roman" w:cs="Times New Roman"/>
                <w:color w:val="auto"/>
                <w:lang w:val="en-US" w:eastAsia="zh-CN"/>
              </w:rPr>
              <w:t>表5中锂离子/锂电池</w:t>
            </w:r>
            <w:r>
              <w:rPr>
                <w:rFonts w:hint="default" w:ascii="Times New Roman" w:hAnsi="Times New Roman" w:cs="Times New Roman"/>
                <w:color w:val="auto"/>
              </w:rPr>
              <w:t>相关</w:t>
            </w:r>
            <w:r>
              <w:rPr>
                <w:rFonts w:hint="default" w:ascii="Times New Roman" w:hAnsi="Times New Roman" w:cs="Times New Roman"/>
                <w:color w:val="auto"/>
                <w:lang w:val="en-US" w:eastAsia="zh-CN"/>
              </w:rPr>
              <w:t>限值；</w:t>
            </w:r>
            <w:r>
              <w:rPr>
                <w:rFonts w:hint="eastAsia" w:cs="Times New Roman"/>
                <w:color w:val="auto"/>
                <w:lang w:val="en-US" w:eastAsia="zh-CN"/>
              </w:rPr>
              <w:t>DA003参照执行</w:t>
            </w:r>
            <w:r>
              <w:rPr>
                <w:rFonts w:hint="eastAsia" w:ascii="Times New Roman" w:hAnsi="Times New Roman"/>
                <w:color w:val="auto"/>
                <w:sz w:val="24"/>
                <w:szCs w:val="24"/>
                <w:highlight w:val="none"/>
              </w:rPr>
              <w:t>《四川省固定污染源大气挥发性有机物排放标准》（DB51/2377-2017）表3、表5标准；</w:t>
            </w:r>
            <w:r>
              <w:rPr>
                <w:rFonts w:hint="eastAsia" w:ascii="Times New Roman" w:hAnsi="Times New Roman"/>
                <w:color w:val="auto"/>
                <w:sz w:val="24"/>
                <w:highlight w:val="none"/>
                <w:lang w:val="en-US" w:eastAsia="zh-CN"/>
              </w:rPr>
              <w:t>VOCs</w:t>
            </w:r>
            <w:r>
              <w:rPr>
                <w:rFonts w:hint="eastAsia" w:ascii="Times New Roman" w:hAnsi="Times New Roman"/>
                <w:color w:val="auto"/>
                <w:sz w:val="24"/>
                <w:highlight w:val="none"/>
              </w:rPr>
              <w:t>无组织排放限值执行《挥发性有机物无组织排放控制标准》（GB37822-2019）特别排放限值</w:t>
            </w:r>
            <w:r>
              <w:rPr>
                <w:rFonts w:hint="eastAsia"/>
                <w:color w:val="auto"/>
                <w:lang w:eastAsia="zh-CN"/>
              </w:rPr>
              <w:t>；</w:t>
            </w:r>
            <w:r>
              <w:rPr>
                <w:rFonts w:hint="eastAsia" w:ascii="Times New Roman" w:hAnsi="Times New Roman"/>
                <w:color w:val="auto"/>
                <w:sz w:val="24"/>
                <w:highlight w:val="none"/>
                <w:lang w:val="en-US" w:eastAsia="zh-CN"/>
              </w:rPr>
              <w:t>污水处理站产生</w:t>
            </w:r>
            <w:r>
              <w:rPr>
                <w:rFonts w:hint="eastAsia"/>
                <w:color w:val="auto"/>
                <w:sz w:val="24"/>
                <w:highlight w:val="none"/>
                <w:lang w:val="en-US" w:eastAsia="zh-CN"/>
              </w:rPr>
              <w:t>的</w:t>
            </w:r>
            <w:r>
              <w:rPr>
                <w:rFonts w:hint="eastAsia" w:ascii="Times New Roman" w:hAnsi="Times New Roman"/>
                <w:color w:val="auto"/>
                <w:sz w:val="24"/>
                <w:highlight w:val="none"/>
                <w:lang w:val="en-US" w:eastAsia="zh-CN"/>
              </w:rPr>
              <w:t>硫化氢、氨、臭气浓度执行《恶臭污染物排放标准》（GB 14554-93）表1相应排放限值。</w:t>
            </w:r>
          </w:p>
          <w:p w14:paraId="1C2E8D71">
            <w:pPr>
              <w:autoSpaceDE w:val="0"/>
              <w:autoSpaceDN w:val="0"/>
              <w:adjustRightInd w:val="0"/>
              <w:snapToGrid w:val="0"/>
              <w:spacing w:line="240" w:lineRule="auto"/>
              <w:jc w:val="center"/>
              <w:rPr>
                <w:rFonts w:ascii="Times New Roman" w:hAnsi="Times New Roman"/>
                <w:b/>
                <w:bCs/>
                <w:color w:val="auto"/>
                <w:kern w:val="0"/>
                <w:sz w:val="21"/>
                <w:szCs w:val="21"/>
                <w:highlight w:val="none"/>
              </w:rPr>
            </w:pPr>
            <w:r>
              <w:rPr>
                <w:rFonts w:ascii="Times New Roman" w:hAnsi="Times New Roman"/>
                <w:b/>
                <w:bCs/>
                <w:color w:val="auto"/>
                <w:kern w:val="0"/>
                <w:sz w:val="21"/>
                <w:szCs w:val="21"/>
                <w:highlight w:val="none"/>
              </w:rPr>
              <w:t>表3-</w:t>
            </w:r>
            <w:r>
              <w:rPr>
                <w:rFonts w:hint="eastAsia" w:ascii="Times New Roman" w:hAnsi="Times New Roman"/>
                <w:b/>
                <w:bCs/>
                <w:color w:val="auto"/>
                <w:kern w:val="0"/>
                <w:sz w:val="21"/>
                <w:szCs w:val="21"/>
                <w:highlight w:val="none"/>
                <w:lang w:val="en-US" w:eastAsia="zh-CN"/>
              </w:rPr>
              <w:t>5</w:t>
            </w:r>
            <w:r>
              <w:rPr>
                <w:rFonts w:ascii="Times New Roman" w:hAnsi="Times New Roman" w:eastAsia="宋体" w:cs="Times New Roman"/>
                <w:b/>
                <w:bCs/>
                <w:color w:val="auto"/>
                <w:kern w:val="0"/>
                <w:sz w:val="21"/>
                <w:szCs w:val="21"/>
                <w:highlight w:val="none"/>
              </w:rPr>
              <w:t xml:space="preserve"> </w:t>
            </w:r>
            <w:r>
              <w:rPr>
                <w:rFonts w:hint="eastAsia" w:ascii="Times New Roman" w:hAnsi="Times New Roman" w:eastAsia="宋体" w:cs="Times New Roman"/>
                <w:b/>
                <w:bCs/>
                <w:color w:val="auto"/>
                <w:kern w:val="0"/>
                <w:sz w:val="21"/>
                <w:szCs w:val="21"/>
                <w:highlight w:val="none"/>
              </w:rPr>
              <w:t>《挥发性有机物无组织排放控制标准》（GB37822-2019）</w:t>
            </w:r>
            <w:r>
              <w:rPr>
                <w:rFonts w:ascii="Times New Roman" w:hAnsi="Times New Roman" w:eastAsia="宋体" w:cs="Times New Roman"/>
                <w:b/>
                <w:bCs/>
                <w:color w:val="auto"/>
                <w:kern w:val="0"/>
                <w:sz w:val="21"/>
                <w:szCs w:val="21"/>
                <w:highlight w:val="none"/>
              </w:rPr>
              <w:t>（</w:t>
            </w:r>
            <w:r>
              <w:rPr>
                <w:rFonts w:ascii="Times New Roman" w:hAnsi="Times New Roman"/>
                <w:b/>
                <w:bCs/>
                <w:color w:val="auto"/>
                <w:kern w:val="0"/>
                <w:sz w:val="21"/>
                <w:szCs w:val="21"/>
                <w:highlight w:val="none"/>
              </w:rPr>
              <w:t>单位：mg/m</w:t>
            </w:r>
            <w:r>
              <w:rPr>
                <w:rFonts w:ascii="Times New Roman" w:hAnsi="Times New Roman"/>
                <w:b/>
                <w:bCs/>
                <w:color w:val="auto"/>
                <w:kern w:val="0"/>
                <w:sz w:val="21"/>
                <w:szCs w:val="21"/>
                <w:highlight w:val="none"/>
                <w:vertAlign w:val="superscript"/>
              </w:rPr>
              <w:t>3</w:t>
            </w:r>
            <w:r>
              <w:rPr>
                <w:rFonts w:ascii="Times New Roman" w:hAnsi="Times New Roman"/>
                <w:b/>
                <w:bCs/>
                <w:color w:val="auto"/>
                <w:kern w:val="0"/>
                <w:sz w:val="21"/>
                <w:szCs w:val="21"/>
                <w:highlight w:val="none"/>
              </w:rPr>
              <w:t>）</w:t>
            </w:r>
          </w:p>
          <w:tbl>
            <w:tblPr>
              <w:tblStyle w:val="41"/>
              <w:tblW w:w="8311"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506"/>
              <w:gridCol w:w="1670"/>
              <w:gridCol w:w="2837"/>
              <w:gridCol w:w="2298"/>
            </w:tblGrid>
            <w:tr w14:paraId="61365BF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506" w:type="dxa"/>
                  <w:shd w:val="clear" w:color="auto" w:fill="auto"/>
                  <w:noWrap w:val="0"/>
                  <w:vAlign w:val="center"/>
                </w:tcPr>
                <w:p w14:paraId="72674D2D">
                  <w:pPr>
                    <w:pStyle w:val="208"/>
                    <w:spacing w:line="280" w:lineRule="exact"/>
                    <w:ind w:firstLine="0"/>
                    <w:jc w:val="center"/>
                    <w:rPr>
                      <w:rFonts w:ascii="Times New Roman" w:hAnsi="Times New Roman"/>
                      <w:b/>
                      <w:bCs/>
                      <w:color w:val="auto"/>
                      <w:sz w:val="21"/>
                      <w:szCs w:val="21"/>
                      <w:highlight w:val="none"/>
                    </w:rPr>
                  </w:pPr>
                  <w:r>
                    <w:rPr>
                      <w:rFonts w:ascii="Times New Roman" w:hAnsi="Times New Roman"/>
                      <w:b/>
                      <w:bCs/>
                      <w:color w:val="auto"/>
                      <w:sz w:val="21"/>
                      <w:szCs w:val="21"/>
                      <w:highlight w:val="none"/>
                    </w:rPr>
                    <w:t>污染物项目</w:t>
                  </w:r>
                </w:p>
              </w:tc>
              <w:tc>
                <w:tcPr>
                  <w:tcW w:w="1670" w:type="dxa"/>
                  <w:shd w:val="clear" w:color="auto" w:fill="auto"/>
                  <w:noWrap w:val="0"/>
                  <w:vAlign w:val="center"/>
                </w:tcPr>
                <w:p w14:paraId="12D900A6">
                  <w:pPr>
                    <w:pStyle w:val="208"/>
                    <w:spacing w:line="280" w:lineRule="exact"/>
                    <w:ind w:firstLine="0"/>
                    <w:jc w:val="center"/>
                    <w:rPr>
                      <w:rFonts w:ascii="Times New Roman" w:hAnsi="Times New Roman"/>
                      <w:b/>
                      <w:bCs/>
                      <w:color w:val="auto"/>
                      <w:sz w:val="21"/>
                      <w:szCs w:val="21"/>
                      <w:highlight w:val="none"/>
                    </w:rPr>
                  </w:pPr>
                  <w:r>
                    <w:rPr>
                      <w:rFonts w:ascii="Times New Roman" w:hAnsi="Times New Roman"/>
                      <w:b/>
                      <w:bCs/>
                      <w:color w:val="auto"/>
                      <w:sz w:val="21"/>
                      <w:szCs w:val="21"/>
                      <w:highlight w:val="none"/>
                    </w:rPr>
                    <w:t>特别排放限值</w:t>
                  </w:r>
                </w:p>
              </w:tc>
              <w:tc>
                <w:tcPr>
                  <w:tcW w:w="2837" w:type="dxa"/>
                  <w:shd w:val="clear" w:color="auto" w:fill="auto"/>
                  <w:noWrap w:val="0"/>
                  <w:vAlign w:val="center"/>
                </w:tcPr>
                <w:p w14:paraId="58A616EB">
                  <w:pPr>
                    <w:pStyle w:val="208"/>
                    <w:spacing w:line="280" w:lineRule="exact"/>
                    <w:ind w:firstLine="0"/>
                    <w:jc w:val="center"/>
                    <w:rPr>
                      <w:rFonts w:ascii="Times New Roman" w:hAnsi="Times New Roman"/>
                      <w:b/>
                      <w:bCs/>
                      <w:color w:val="auto"/>
                      <w:sz w:val="21"/>
                      <w:szCs w:val="21"/>
                      <w:highlight w:val="none"/>
                    </w:rPr>
                  </w:pPr>
                  <w:r>
                    <w:rPr>
                      <w:rFonts w:ascii="Times New Roman" w:hAnsi="Times New Roman"/>
                      <w:b/>
                      <w:bCs/>
                      <w:color w:val="auto"/>
                      <w:sz w:val="21"/>
                      <w:szCs w:val="21"/>
                      <w:highlight w:val="none"/>
                    </w:rPr>
                    <w:t>限值含义</w:t>
                  </w:r>
                </w:p>
              </w:tc>
              <w:tc>
                <w:tcPr>
                  <w:tcW w:w="2298" w:type="dxa"/>
                  <w:shd w:val="clear" w:color="auto" w:fill="auto"/>
                  <w:noWrap w:val="0"/>
                  <w:vAlign w:val="center"/>
                </w:tcPr>
                <w:p w14:paraId="3D935FE1">
                  <w:pPr>
                    <w:pStyle w:val="208"/>
                    <w:spacing w:line="280" w:lineRule="exact"/>
                    <w:ind w:firstLine="0"/>
                    <w:jc w:val="center"/>
                    <w:rPr>
                      <w:rFonts w:ascii="Times New Roman" w:hAnsi="Times New Roman"/>
                      <w:b/>
                      <w:bCs/>
                      <w:color w:val="auto"/>
                      <w:sz w:val="21"/>
                      <w:szCs w:val="21"/>
                      <w:highlight w:val="none"/>
                    </w:rPr>
                  </w:pPr>
                  <w:r>
                    <w:rPr>
                      <w:rFonts w:ascii="Times New Roman" w:hAnsi="Times New Roman"/>
                      <w:b/>
                      <w:bCs/>
                      <w:color w:val="auto"/>
                      <w:sz w:val="21"/>
                      <w:szCs w:val="21"/>
                      <w:highlight w:val="none"/>
                    </w:rPr>
                    <w:t>无组织排放浓度</w:t>
                  </w:r>
                </w:p>
              </w:tc>
            </w:tr>
            <w:tr w14:paraId="7E3F39F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67" w:hRule="atLeast"/>
                <w:jc w:val="center"/>
              </w:trPr>
              <w:tc>
                <w:tcPr>
                  <w:tcW w:w="1506" w:type="dxa"/>
                  <w:vMerge w:val="restart"/>
                  <w:noWrap w:val="0"/>
                  <w:vAlign w:val="center"/>
                </w:tcPr>
                <w:p w14:paraId="334C2083">
                  <w:pPr>
                    <w:pStyle w:val="208"/>
                    <w:spacing w:line="280" w:lineRule="exact"/>
                    <w:ind w:firstLine="0"/>
                    <w:jc w:val="center"/>
                    <w:rPr>
                      <w:rFonts w:ascii="Times New Roman" w:hAnsi="Times New Roman"/>
                      <w:color w:val="auto"/>
                      <w:sz w:val="21"/>
                      <w:szCs w:val="21"/>
                      <w:highlight w:val="none"/>
                    </w:rPr>
                  </w:pPr>
                  <w:r>
                    <w:rPr>
                      <w:rFonts w:ascii="Times New Roman" w:hAnsi="Times New Roman"/>
                      <w:color w:val="auto"/>
                      <w:sz w:val="21"/>
                      <w:szCs w:val="21"/>
                      <w:highlight w:val="none"/>
                    </w:rPr>
                    <w:t>VOC</w:t>
                  </w:r>
                  <w:r>
                    <w:rPr>
                      <w:rFonts w:ascii="Times New Roman" w:hAnsi="Times New Roman"/>
                      <w:color w:val="auto"/>
                      <w:sz w:val="21"/>
                      <w:szCs w:val="21"/>
                      <w:highlight w:val="none"/>
                      <w:vertAlign w:val="subscript"/>
                    </w:rPr>
                    <w:t>S</w:t>
                  </w:r>
                </w:p>
              </w:tc>
              <w:tc>
                <w:tcPr>
                  <w:tcW w:w="1670" w:type="dxa"/>
                  <w:noWrap w:val="0"/>
                  <w:vAlign w:val="center"/>
                </w:tcPr>
                <w:p w14:paraId="27046AF7">
                  <w:pPr>
                    <w:pStyle w:val="208"/>
                    <w:spacing w:line="280" w:lineRule="exact"/>
                    <w:ind w:firstLine="0"/>
                    <w:jc w:val="center"/>
                    <w:rPr>
                      <w:rFonts w:hint="default" w:ascii="Times New Roman" w:hAnsi="Times New Roman" w:eastAsia="宋体"/>
                      <w:color w:val="auto"/>
                      <w:sz w:val="21"/>
                      <w:szCs w:val="21"/>
                      <w:highlight w:val="none"/>
                      <w:lang w:val="en-US" w:eastAsia="zh-CN"/>
                    </w:rPr>
                  </w:pPr>
                  <w:r>
                    <w:rPr>
                      <w:rFonts w:hint="eastAsia" w:ascii="Times New Roman" w:hAnsi="Times New Roman"/>
                      <w:color w:val="auto"/>
                      <w:sz w:val="21"/>
                      <w:szCs w:val="21"/>
                      <w:highlight w:val="none"/>
                      <w:lang w:val="en-US" w:eastAsia="zh-CN"/>
                    </w:rPr>
                    <w:t>10</w:t>
                  </w:r>
                </w:p>
              </w:tc>
              <w:tc>
                <w:tcPr>
                  <w:tcW w:w="2837" w:type="dxa"/>
                  <w:noWrap w:val="0"/>
                  <w:vAlign w:val="center"/>
                </w:tcPr>
                <w:p w14:paraId="41ED48E4">
                  <w:pPr>
                    <w:pStyle w:val="208"/>
                    <w:spacing w:line="280" w:lineRule="exact"/>
                    <w:ind w:firstLine="0"/>
                    <w:jc w:val="center"/>
                    <w:rPr>
                      <w:rFonts w:ascii="Times New Roman" w:hAnsi="Times New Roman"/>
                      <w:color w:val="auto"/>
                      <w:sz w:val="21"/>
                      <w:szCs w:val="21"/>
                      <w:highlight w:val="none"/>
                    </w:rPr>
                  </w:pPr>
                  <w:r>
                    <w:rPr>
                      <w:rFonts w:ascii="Times New Roman" w:hAnsi="Times New Roman"/>
                      <w:color w:val="auto"/>
                      <w:sz w:val="21"/>
                      <w:szCs w:val="21"/>
                      <w:highlight w:val="none"/>
                    </w:rPr>
                    <w:t>监控点处1h平均浓度值</w:t>
                  </w:r>
                </w:p>
              </w:tc>
              <w:tc>
                <w:tcPr>
                  <w:tcW w:w="2298" w:type="dxa"/>
                  <w:vMerge w:val="restart"/>
                  <w:noWrap w:val="0"/>
                  <w:vAlign w:val="center"/>
                </w:tcPr>
                <w:p w14:paraId="26B6AC3A">
                  <w:pPr>
                    <w:pStyle w:val="208"/>
                    <w:spacing w:line="280" w:lineRule="exact"/>
                    <w:ind w:firstLine="0"/>
                    <w:jc w:val="center"/>
                    <w:rPr>
                      <w:rFonts w:ascii="Times New Roman" w:hAnsi="Times New Roman"/>
                      <w:color w:val="auto"/>
                      <w:sz w:val="21"/>
                      <w:szCs w:val="21"/>
                      <w:highlight w:val="none"/>
                    </w:rPr>
                  </w:pPr>
                  <w:r>
                    <w:rPr>
                      <w:rFonts w:ascii="Times New Roman" w:hAnsi="Times New Roman"/>
                      <w:color w:val="auto"/>
                      <w:sz w:val="21"/>
                      <w:szCs w:val="21"/>
                      <w:highlight w:val="none"/>
                    </w:rPr>
                    <w:t>在厂房外设置监控点</w:t>
                  </w:r>
                </w:p>
              </w:tc>
            </w:tr>
            <w:tr w14:paraId="60C14B7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94" w:hRule="atLeast"/>
                <w:jc w:val="center"/>
              </w:trPr>
              <w:tc>
                <w:tcPr>
                  <w:tcW w:w="1506" w:type="dxa"/>
                  <w:vMerge w:val="continue"/>
                  <w:noWrap w:val="0"/>
                  <w:vAlign w:val="center"/>
                </w:tcPr>
                <w:p w14:paraId="60FA7876">
                  <w:pPr>
                    <w:pStyle w:val="208"/>
                    <w:spacing w:line="280" w:lineRule="exact"/>
                    <w:ind w:firstLine="198"/>
                    <w:jc w:val="center"/>
                    <w:rPr>
                      <w:rFonts w:ascii="Times New Roman" w:hAnsi="Times New Roman"/>
                      <w:color w:val="auto"/>
                      <w:sz w:val="21"/>
                      <w:szCs w:val="21"/>
                      <w:highlight w:val="none"/>
                    </w:rPr>
                  </w:pPr>
                </w:p>
              </w:tc>
              <w:tc>
                <w:tcPr>
                  <w:tcW w:w="1670" w:type="dxa"/>
                  <w:noWrap w:val="0"/>
                  <w:vAlign w:val="center"/>
                </w:tcPr>
                <w:p w14:paraId="4D9D8468">
                  <w:pPr>
                    <w:pStyle w:val="208"/>
                    <w:spacing w:line="280" w:lineRule="exact"/>
                    <w:ind w:firstLine="0"/>
                    <w:jc w:val="center"/>
                    <w:rPr>
                      <w:rFonts w:hint="default" w:ascii="Times New Roman" w:hAnsi="Times New Roman" w:eastAsia="宋体"/>
                      <w:color w:val="auto"/>
                      <w:sz w:val="21"/>
                      <w:szCs w:val="21"/>
                      <w:highlight w:val="none"/>
                      <w:lang w:val="en-US" w:eastAsia="zh-CN"/>
                    </w:rPr>
                  </w:pPr>
                  <w:r>
                    <w:rPr>
                      <w:rFonts w:hint="eastAsia" w:ascii="Times New Roman" w:hAnsi="Times New Roman"/>
                      <w:color w:val="auto"/>
                      <w:sz w:val="21"/>
                      <w:szCs w:val="21"/>
                      <w:highlight w:val="none"/>
                      <w:lang w:val="en-US" w:eastAsia="zh-CN"/>
                    </w:rPr>
                    <w:t>30</w:t>
                  </w:r>
                </w:p>
              </w:tc>
              <w:tc>
                <w:tcPr>
                  <w:tcW w:w="2837" w:type="dxa"/>
                  <w:noWrap w:val="0"/>
                  <w:vAlign w:val="center"/>
                </w:tcPr>
                <w:p w14:paraId="330E33E1">
                  <w:pPr>
                    <w:pStyle w:val="208"/>
                    <w:spacing w:line="280" w:lineRule="exact"/>
                    <w:ind w:firstLine="0"/>
                    <w:jc w:val="center"/>
                    <w:rPr>
                      <w:rFonts w:ascii="Times New Roman" w:hAnsi="Times New Roman"/>
                      <w:color w:val="auto"/>
                      <w:sz w:val="21"/>
                      <w:szCs w:val="21"/>
                      <w:highlight w:val="none"/>
                    </w:rPr>
                  </w:pPr>
                  <w:r>
                    <w:rPr>
                      <w:rFonts w:ascii="Times New Roman" w:hAnsi="Times New Roman"/>
                      <w:color w:val="auto"/>
                      <w:sz w:val="21"/>
                      <w:szCs w:val="21"/>
                      <w:highlight w:val="none"/>
                    </w:rPr>
                    <w:t>监控点处任意一次浓度值</w:t>
                  </w:r>
                </w:p>
              </w:tc>
              <w:tc>
                <w:tcPr>
                  <w:tcW w:w="2298" w:type="dxa"/>
                  <w:vMerge w:val="continue"/>
                  <w:noWrap w:val="0"/>
                  <w:vAlign w:val="center"/>
                </w:tcPr>
                <w:p w14:paraId="321C57E1">
                  <w:pPr>
                    <w:pStyle w:val="208"/>
                    <w:spacing w:line="280" w:lineRule="exact"/>
                    <w:ind w:firstLine="0"/>
                    <w:jc w:val="center"/>
                    <w:rPr>
                      <w:rFonts w:ascii="Times New Roman" w:hAnsi="Times New Roman"/>
                      <w:color w:val="auto"/>
                      <w:sz w:val="21"/>
                      <w:szCs w:val="21"/>
                      <w:highlight w:val="none"/>
                    </w:rPr>
                  </w:pPr>
                </w:p>
              </w:tc>
            </w:tr>
          </w:tbl>
          <w:p w14:paraId="48500AB5">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eastAsia" w:ascii="Times New Roman" w:hAnsi="Times New Roman" w:eastAsia="宋体" w:cs="Times New Roman"/>
                <w:b/>
                <w:bCs/>
                <w:color w:val="auto"/>
                <w:kern w:val="0"/>
                <w:sz w:val="21"/>
                <w:szCs w:val="21"/>
                <w:highlight w:val="none"/>
                <w:lang w:val="en-US" w:eastAsia="zh-CN"/>
              </w:rPr>
            </w:pPr>
            <w:r>
              <w:rPr>
                <w:rFonts w:ascii="Times New Roman" w:hAnsi="Times New Roman" w:eastAsia="宋体" w:cs="Times New Roman"/>
                <w:b/>
                <w:bCs/>
                <w:color w:val="auto"/>
                <w:kern w:val="0"/>
                <w:sz w:val="21"/>
                <w:szCs w:val="21"/>
                <w:highlight w:val="none"/>
              </w:rPr>
              <w:t>表3-</w:t>
            </w:r>
            <w:r>
              <w:rPr>
                <w:rFonts w:hint="eastAsia" w:cs="Times New Roman"/>
                <w:b/>
                <w:bCs/>
                <w:color w:val="auto"/>
                <w:kern w:val="0"/>
                <w:sz w:val="21"/>
                <w:szCs w:val="21"/>
                <w:highlight w:val="none"/>
                <w:lang w:val="en-US" w:eastAsia="zh-CN"/>
              </w:rPr>
              <w:t>6</w:t>
            </w:r>
            <w:r>
              <w:rPr>
                <w:rFonts w:hint="eastAsia" w:ascii="Times New Roman" w:hAnsi="Times New Roman" w:cs="Times New Roman"/>
                <w:b/>
                <w:bCs/>
                <w:color w:val="auto"/>
                <w:kern w:val="0"/>
                <w:sz w:val="21"/>
                <w:szCs w:val="21"/>
                <w:highlight w:val="none"/>
                <w:lang w:val="en-US" w:eastAsia="zh-CN"/>
              </w:rPr>
              <w:t xml:space="preserve"> </w:t>
            </w:r>
            <w:r>
              <w:rPr>
                <w:rFonts w:hint="eastAsia" w:ascii="Times New Roman" w:hAnsi="Times New Roman" w:eastAsia="宋体" w:cs="Times New Roman"/>
                <w:b/>
                <w:bCs/>
                <w:color w:val="auto"/>
                <w:kern w:val="0"/>
                <w:sz w:val="21"/>
                <w:szCs w:val="21"/>
                <w:highlight w:val="none"/>
                <w:lang w:val="en-US" w:eastAsia="zh-CN"/>
              </w:rPr>
              <w:t>《恶臭污染物排放标准》（GB 14554-93）</w:t>
            </w:r>
            <w:r>
              <w:rPr>
                <w:rFonts w:hint="eastAsia" w:ascii="Times New Roman" w:hAnsi="Times New Roman"/>
                <w:b/>
                <w:bCs/>
                <w:color w:val="auto"/>
                <w:kern w:val="0"/>
                <w:sz w:val="21"/>
                <w:szCs w:val="21"/>
                <w:highlight w:val="none"/>
                <w:vertAlign w:val="baseline"/>
                <w:lang w:val="en-US" w:eastAsia="zh-CN"/>
              </w:rPr>
              <w:t>（mg/m</w:t>
            </w:r>
            <w:r>
              <w:rPr>
                <w:rFonts w:hint="eastAsia" w:ascii="Times New Roman" w:hAnsi="Times New Roman"/>
                <w:b/>
                <w:bCs/>
                <w:color w:val="auto"/>
                <w:kern w:val="0"/>
                <w:sz w:val="21"/>
                <w:szCs w:val="21"/>
                <w:highlight w:val="none"/>
                <w:vertAlign w:val="superscript"/>
                <w:lang w:val="en-US" w:eastAsia="zh-CN"/>
              </w:rPr>
              <w:t>3</w:t>
            </w:r>
            <w:r>
              <w:rPr>
                <w:rFonts w:hint="eastAsia" w:ascii="Times New Roman" w:hAnsi="Times New Roman"/>
                <w:b/>
                <w:bCs/>
                <w:color w:val="auto"/>
                <w:kern w:val="0"/>
                <w:sz w:val="21"/>
                <w:szCs w:val="21"/>
                <w:highlight w:val="none"/>
                <w:vertAlign w:val="baseline"/>
                <w:lang w:val="en-US" w:eastAsia="zh-CN"/>
              </w:rPr>
              <w:t>）</w:t>
            </w:r>
          </w:p>
          <w:tbl>
            <w:tblPr>
              <w:tblStyle w:val="42"/>
              <w:tblW w:w="8247" w:type="dxa"/>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3595"/>
              <w:gridCol w:w="4652"/>
            </w:tblGrid>
            <w:tr w14:paraId="67E9AD5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3595" w:type="dxa"/>
                  <w:shd w:val="clear" w:color="auto" w:fill="auto"/>
                  <w:noWrap w:val="0"/>
                  <w:vAlign w:val="center"/>
                </w:tcPr>
                <w:p w14:paraId="6739A98D">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b/>
                      <w:bCs/>
                      <w:color w:val="auto"/>
                      <w:kern w:val="0"/>
                      <w:sz w:val="21"/>
                      <w:szCs w:val="21"/>
                      <w:highlight w:val="none"/>
                      <w:vertAlign w:val="baseline"/>
                      <w:lang w:val="en-US" w:eastAsia="zh-CN"/>
                    </w:rPr>
                  </w:pPr>
                  <w:r>
                    <w:rPr>
                      <w:rFonts w:hint="eastAsia" w:ascii="Times New Roman" w:hAnsi="Times New Roman" w:eastAsia="宋体"/>
                      <w:b/>
                      <w:bCs/>
                      <w:color w:val="auto"/>
                      <w:kern w:val="0"/>
                      <w:sz w:val="21"/>
                      <w:szCs w:val="21"/>
                      <w:highlight w:val="none"/>
                      <w:vertAlign w:val="baseline"/>
                      <w:lang w:val="en-US" w:eastAsia="zh-CN"/>
                    </w:rPr>
                    <w:t>污染物</w:t>
                  </w:r>
                </w:p>
              </w:tc>
              <w:tc>
                <w:tcPr>
                  <w:tcW w:w="4652" w:type="dxa"/>
                  <w:shd w:val="clear" w:color="auto" w:fill="auto"/>
                  <w:noWrap w:val="0"/>
                  <w:vAlign w:val="center"/>
                </w:tcPr>
                <w:p w14:paraId="2A844E39">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eastAsia" w:ascii="Times New Roman" w:hAnsi="Times New Roman"/>
                      <w:b/>
                      <w:bCs/>
                      <w:color w:val="auto"/>
                      <w:kern w:val="0"/>
                      <w:sz w:val="21"/>
                      <w:szCs w:val="21"/>
                      <w:highlight w:val="none"/>
                      <w:vertAlign w:val="baseline"/>
                      <w:lang w:val="en-US" w:eastAsia="zh-CN"/>
                    </w:rPr>
                  </w:pPr>
                  <w:r>
                    <w:rPr>
                      <w:rFonts w:hint="eastAsia" w:ascii="Times New Roman" w:hAnsi="Times New Roman"/>
                      <w:b/>
                      <w:bCs/>
                      <w:color w:val="auto"/>
                      <w:kern w:val="0"/>
                      <w:sz w:val="21"/>
                      <w:szCs w:val="21"/>
                      <w:highlight w:val="none"/>
                      <w:vertAlign w:val="baseline"/>
                      <w:lang w:val="en-US" w:eastAsia="zh-CN"/>
                    </w:rPr>
                    <w:t>无组织排放监控浓度</w:t>
                  </w:r>
                </w:p>
              </w:tc>
            </w:tr>
            <w:tr w14:paraId="31F8342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595" w:type="dxa"/>
                  <w:noWrap w:val="0"/>
                  <w:vAlign w:val="center"/>
                </w:tcPr>
                <w:p w14:paraId="7889D19C">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eastAsia" w:ascii="Times New Roman" w:hAnsi="Times New Roman"/>
                      <w:b w:val="0"/>
                      <w:bCs w:val="0"/>
                      <w:color w:val="auto"/>
                      <w:kern w:val="0"/>
                      <w:sz w:val="21"/>
                      <w:szCs w:val="21"/>
                      <w:highlight w:val="none"/>
                      <w:vertAlign w:val="baseline"/>
                      <w:lang w:val="en-US" w:eastAsia="zh-CN"/>
                    </w:rPr>
                  </w:pPr>
                  <w:r>
                    <w:rPr>
                      <w:rFonts w:hint="eastAsia" w:ascii="Times New Roman" w:hAnsi="Times New Roman"/>
                      <w:b w:val="0"/>
                      <w:bCs w:val="0"/>
                      <w:color w:val="auto"/>
                      <w:kern w:val="0"/>
                      <w:sz w:val="21"/>
                      <w:szCs w:val="21"/>
                      <w:highlight w:val="none"/>
                      <w:vertAlign w:val="baseline"/>
                      <w:lang w:val="en-US" w:eastAsia="zh-CN"/>
                    </w:rPr>
                    <w:t>氨</w:t>
                  </w:r>
                </w:p>
              </w:tc>
              <w:tc>
                <w:tcPr>
                  <w:tcW w:w="4652" w:type="dxa"/>
                  <w:noWrap w:val="0"/>
                  <w:vAlign w:val="center"/>
                </w:tcPr>
                <w:p w14:paraId="45DBAD77">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b w:val="0"/>
                      <w:bCs w:val="0"/>
                      <w:color w:val="auto"/>
                      <w:kern w:val="0"/>
                      <w:sz w:val="21"/>
                      <w:szCs w:val="21"/>
                      <w:highlight w:val="none"/>
                      <w:lang w:val="en-US" w:eastAsia="zh-CN"/>
                    </w:rPr>
                  </w:pPr>
                  <w:r>
                    <w:rPr>
                      <w:rFonts w:hint="eastAsia" w:ascii="Times New Roman" w:hAnsi="Times New Roman" w:eastAsia="宋体"/>
                      <w:b w:val="0"/>
                      <w:bCs w:val="0"/>
                      <w:color w:val="auto"/>
                      <w:kern w:val="0"/>
                      <w:sz w:val="21"/>
                      <w:szCs w:val="21"/>
                      <w:highlight w:val="none"/>
                      <w:vertAlign w:val="baseline"/>
                      <w:lang w:val="en-US" w:eastAsia="zh-CN"/>
                    </w:rPr>
                    <w:t>1.5</w:t>
                  </w:r>
                </w:p>
              </w:tc>
            </w:tr>
            <w:tr w14:paraId="62A6330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34" w:hRule="atLeast"/>
                <w:jc w:val="center"/>
              </w:trPr>
              <w:tc>
                <w:tcPr>
                  <w:tcW w:w="3595" w:type="dxa"/>
                  <w:noWrap w:val="0"/>
                  <w:vAlign w:val="center"/>
                </w:tcPr>
                <w:p w14:paraId="6E265B73">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b w:val="0"/>
                      <w:bCs w:val="0"/>
                      <w:color w:val="auto"/>
                      <w:kern w:val="0"/>
                      <w:sz w:val="21"/>
                      <w:szCs w:val="21"/>
                      <w:highlight w:val="none"/>
                      <w:vertAlign w:val="baseline"/>
                      <w:lang w:val="en-US" w:eastAsia="zh-CN"/>
                    </w:rPr>
                  </w:pPr>
                  <w:r>
                    <w:rPr>
                      <w:rFonts w:hint="eastAsia" w:ascii="Times New Roman" w:hAnsi="Times New Roman"/>
                      <w:b w:val="0"/>
                      <w:bCs w:val="0"/>
                      <w:color w:val="auto"/>
                      <w:kern w:val="0"/>
                      <w:sz w:val="21"/>
                      <w:szCs w:val="21"/>
                      <w:highlight w:val="none"/>
                      <w:vertAlign w:val="baseline"/>
                      <w:lang w:val="en-US" w:eastAsia="zh-CN"/>
                    </w:rPr>
                    <w:t>硫化氢</w:t>
                  </w:r>
                </w:p>
              </w:tc>
              <w:tc>
                <w:tcPr>
                  <w:tcW w:w="4652" w:type="dxa"/>
                  <w:noWrap w:val="0"/>
                  <w:vAlign w:val="center"/>
                </w:tcPr>
                <w:p w14:paraId="3869413C">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b w:val="0"/>
                      <w:bCs w:val="0"/>
                      <w:color w:val="auto"/>
                      <w:kern w:val="0"/>
                      <w:sz w:val="21"/>
                      <w:szCs w:val="21"/>
                      <w:highlight w:val="none"/>
                      <w:lang w:val="en-US" w:eastAsia="zh-CN"/>
                    </w:rPr>
                  </w:pPr>
                  <w:r>
                    <w:rPr>
                      <w:rFonts w:hint="eastAsia" w:ascii="Times New Roman" w:hAnsi="Times New Roman" w:eastAsia="宋体"/>
                      <w:b w:val="0"/>
                      <w:bCs w:val="0"/>
                      <w:color w:val="auto"/>
                      <w:kern w:val="0"/>
                      <w:sz w:val="21"/>
                      <w:szCs w:val="21"/>
                      <w:highlight w:val="none"/>
                      <w:vertAlign w:val="baseline"/>
                      <w:lang w:val="en-US" w:eastAsia="zh-CN"/>
                    </w:rPr>
                    <w:t>0.06</w:t>
                  </w:r>
                </w:p>
              </w:tc>
            </w:tr>
            <w:tr w14:paraId="4CE2823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67" w:hRule="atLeast"/>
                <w:jc w:val="center"/>
              </w:trPr>
              <w:tc>
                <w:tcPr>
                  <w:tcW w:w="3595" w:type="dxa"/>
                  <w:noWrap w:val="0"/>
                  <w:vAlign w:val="center"/>
                </w:tcPr>
                <w:p w14:paraId="29021183">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b w:val="0"/>
                      <w:bCs w:val="0"/>
                      <w:color w:val="auto"/>
                      <w:kern w:val="0"/>
                      <w:sz w:val="21"/>
                      <w:szCs w:val="21"/>
                      <w:highlight w:val="none"/>
                      <w:vertAlign w:val="baseline"/>
                      <w:lang w:val="en-US" w:eastAsia="zh-CN"/>
                    </w:rPr>
                  </w:pPr>
                  <w:r>
                    <w:rPr>
                      <w:rFonts w:hint="eastAsia" w:ascii="Times New Roman" w:hAnsi="Times New Roman"/>
                      <w:b w:val="0"/>
                      <w:bCs w:val="0"/>
                      <w:color w:val="auto"/>
                      <w:kern w:val="0"/>
                      <w:sz w:val="21"/>
                      <w:szCs w:val="21"/>
                      <w:highlight w:val="none"/>
                      <w:vertAlign w:val="baseline"/>
                      <w:lang w:val="en-US" w:eastAsia="zh-CN"/>
                    </w:rPr>
                    <w:t>臭气浓度</w:t>
                  </w:r>
                </w:p>
              </w:tc>
              <w:tc>
                <w:tcPr>
                  <w:tcW w:w="4652" w:type="dxa"/>
                  <w:noWrap w:val="0"/>
                  <w:vAlign w:val="center"/>
                </w:tcPr>
                <w:p w14:paraId="21D647EF">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b w:val="0"/>
                      <w:bCs w:val="0"/>
                      <w:color w:val="auto"/>
                      <w:kern w:val="0"/>
                      <w:sz w:val="21"/>
                      <w:szCs w:val="21"/>
                      <w:highlight w:val="none"/>
                      <w:lang w:val="en-US" w:eastAsia="zh-CN"/>
                    </w:rPr>
                  </w:pPr>
                  <w:r>
                    <w:rPr>
                      <w:rFonts w:hint="eastAsia" w:ascii="Times New Roman" w:hAnsi="Times New Roman" w:eastAsia="宋体"/>
                      <w:b w:val="0"/>
                      <w:bCs w:val="0"/>
                      <w:color w:val="auto"/>
                      <w:kern w:val="0"/>
                      <w:sz w:val="21"/>
                      <w:szCs w:val="21"/>
                      <w:highlight w:val="none"/>
                      <w:vertAlign w:val="baseline"/>
                      <w:lang w:val="en-US" w:eastAsia="zh-CN"/>
                    </w:rPr>
                    <w:t>20（无量纲）</w:t>
                  </w:r>
                </w:p>
              </w:tc>
            </w:tr>
          </w:tbl>
          <w:p w14:paraId="375830FE">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b/>
                <w:bCs/>
                <w:color w:val="auto"/>
                <w:kern w:val="0"/>
                <w:sz w:val="21"/>
                <w:szCs w:val="21"/>
                <w:highlight w:val="none"/>
              </w:rPr>
            </w:pPr>
            <w:r>
              <w:rPr>
                <w:rFonts w:hint="default" w:ascii="Times New Roman" w:hAnsi="Times New Roman" w:eastAsia="宋体" w:cs="Times New Roman"/>
                <w:b/>
                <w:bCs/>
                <w:color w:val="auto"/>
                <w:kern w:val="0"/>
                <w:sz w:val="21"/>
                <w:szCs w:val="21"/>
                <w:highlight w:val="none"/>
              </w:rPr>
              <w:t>表</w:t>
            </w:r>
            <w:r>
              <w:rPr>
                <w:rFonts w:hint="default" w:ascii="Times New Roman" w:hAnsi="Times New Roman" w:eastAsia="宋体" w:cs="Times New Roman"/>
                <w:b/>
                <w:bCs/>
                <w:color w:val="auto"/>
                <w:kern w:val="0"/>
                <w:sz w:val="21"/>
                <w:szCs w:val="21"/>
                <w:highlight w:val="none"/>
                <w:lang w:val="en-US" w:eastAsia="zh-CN"/>
              </w:rPr>
              <w:t xml:space="preserve">3-7 </w:t>
            </w:r>
            <w:r>
              <w:rPr>
                <w:rFonts w:hint="default" w:ascii="Times New Roman" w:hAnsi="Times New Roman" w:eastAsia="宋体" w:cs="Times New Roman"/>
                <w:b/>
                <w:bCs/>
                <w:color w:val="auto"/>
                <w:kern w:val="0"/>
                <w:sz w:val="21"/>
                <w:szCs w:val="21"/>
                <w:highlight w:val="none"/>
              </w:rPr>
              <w:t>《电池工业污染物排放标准》（GB30484-2013）</w:t>
            </w:r>
          </w:p>
          <w:tbl>
            <w:tblPr>
              <w:tblStyle w:val="41"/>
              <w:tblW w:w="4882" w:type="pct"/>
              <w:jc w:val="center"/>
              <w:tblBorders>
                <w:top w:val="single" w:color="auto" w:sz="12" w:space="0"/>
                <w:left w:val="none" w:color="auto" w:sz="0" w:space="0"/>
                <w:bottom w:val="single" w:color="auto" w:sz="12" w:space="0"/>
                <w:right w:val="none" w:color="auto" w:sz="0" w:space="0"/>
                <w:insideH w:val="single" w:color="auto" w:sz="4" w:space="0"/>
                <w:insideV w:val="single" w:color="auto" w:sz="6" w:space="0"/>
              </w:tblBorders>
              <w:tblLayout w:type="fixed"/>
              <w:tblCellMar>
                <w:top w:w="0" w:type="dxa"/>
                <w:left w:w="23" w:type="dxa"/>
                <w:bottom w:w="0" w:type="dxa"/>
                <w:right w:w="23" w:type="dxa"/>
              </w:tblCellMar>
            </w:tblPr>
            <w:tblGrid>
              <w:gridCol w:w="2141"/>
              <w:gridCol w:w="2728"/>
              <w:gridCol w:w="3211"/>
            </w:tblGrid>
            <w:tr w14:paraId="0B47D24B">
              <w:tblPrEx>
                <w:tblBorders>
                  <w:top w:val="single" w:color="auto" w:sz="12" w:space="0"/>
                  <w:left w:val="none" w:color="auto" w:sz="0" w:space="0"/>
                  <w:bottom w:val="single" w:color="auto" w:sz="12" w:space="0"/>
                  <w:right w:val="none" w:color="auto" w:sz="0" w:space="0"/>
                  <w:insideH w:val="single" w:color="auto" w:sz="4" w:space="0"/>
                  <w:insideV w:val="single" w:color="auto" w:sz="6" w:space="0"/>
                </w:tblBorders>
                <w:tblCellMar>
                  <w:top w:w="0" w:type="dxa"/>
                  <w:left w:w="23" w:type="dxa"/>
                  <w:bottom w:w="0" w:type="dxa"/>
                  <w:right w:w="23" w:type="dxa"/>
                </w:tblCellMar>
              </w:tblPrEx>
              <w:trPr>
                <w:trHeight w:val="340" w:hRule="atLeast"/>
                <w:jc w:val="center"/>
              </w:trPr>
              <w:tc>
                <w:tcPr>
                  <w:tcW w:w="1324" w:type="pct"/>
                  <w:vMerge w:val="restart"/>
                  <w:noWrap w:val="0"/>
                  <w:vAlign w:val="center"/>
                </w:tcPr>
                <w:p w14:paraId="20D947F6">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b/>
                      <w:bCs/>
                      <w:color w:val="auto"/>
                      <w:kern w:val="0"/>
                      <w:sz w:val="21"/>
                      <w:szCs w:val="21"/>
                      <w:highlight w:val="none"/>
                      <w:vertAlign w:val="baseline"/>
                      <w:lang w:val="en-US" w:eastAsia="zh-CN"/>
                    </w:rPr>
                  </w:pPr>
                  <w:r>
                    <w:rPr>
                      <w:rFonts w:hint="default" w:ascii="Times New Roman" w:hAnsi="Times New Roman" w:eastAsia="宋体" w:cs="Times New Roman"/>
                      <w:b/>
                      <w:bCs/>
                      <w:color w:val="auto"/>
                      <w:kern w:val="0"/>
                      <w:sz w:val="21"/>
                      <w:szCs w:val="21"/>
                      <w:highlight w:val="none"/>
                      <w:vertAlign w:val="baseline"/>
                      <w:lang w:val="en-US" w:eastAsia="zh-CN"/>
                    </w:rPr>
                    <w:t>污染物</w:t>
                  </w:r>
                </w:p>
              </w:tc>
              <w:tc>
                <w:tcPr>
                  <w:tcW w:w="3675" w:type="pct"/>
                  <w:gridSpan w:val="2"/>
                  <w:noWrap w:val="0"/>
                  <w:vAlign w:val="center"/>
                </w:tcPr>
                <w:p w14:paraId="4388ACD8">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b/>
                      <w:bCs/>
                      <w:color w:val="auto"/>
                      <w:kern w:val="0"/>
                      <w:sz w:val="21"/>
                      <w:szCs w:val="21"/>
                      <w:highlight w:val="none"/>
                      <w:vertAlign w:val="baseline"/>
                      <w:lang w:val="en-US" w:eastAsia="zh-CN"/>
                    </w:rPr>
                  </w:pPr>
                  <w:r>
                    <w:rPr>
                      <w:rFonts w:hint="default" w:ascii="Times New Roman" w:hAnsi="Times New Roman" w:eastAsia="宋体" w:cs="Times New Roman"/>
                      <w:b/>
                      <w:bCs/>
                      <w:color w:val="auto"/>
                      <w:kern w:val="0"/>
                      <w:sz w:val="21"/>
                      <w:szCs w:val="21"/>
                      <w:highlight w:val="none"/>
                      <w:vertAlign w:val="baseline"/>
                      <w:lang w:val="en-US" w:eastAsia="zh-CN"/>
                    </w:rPr>
                    <w:t>标准限值（mg/</w:t>
                  </w:r>
                  <w:r>
                    <w:rPr>
                      <w:rFonts w:hint="eastAsia" w:ascii="Times New Roman" w:hAnsi="Times New Roman" w:eastAsia="宋体" w:cs="Times New Roman"/>
                      <w:b/>
                      <w:bCs/>
                      <w:color w:val="auto"/>
                      <w:kern w:val="0"/>
                      <w:sz w:val="21"/>
                      <w:szCs w:val="21"/>
                      <w:highlight w:val="none"/>
                      <w:vertAlign w:val="baseline"/>
                      <w:lang w:val="en-US" w:eastAsia="zh-CN"/>
                    </w:rPr>
                    <w:t>m</w:t>
                  </w:r>
                  <w:r>
                    <w:rPr>
                      <w:rFonts w:hint="eastAsia" w:ascii="Times New Roman" w:hAnsi="Times New Roman" w:eastAsia="宋体" w:cs="Times New Roman"/>
                      <w:b/>
                      <w:bCs/>
                      <w:color w:val="auto"/>
                      <w:kern w:val="0"/>
                      <w:sz w:val="21"/>
                      <w:szCs w:val="21"/>
                      <w:highlight w:val="none"/>
                      <w:vertAlign w:val="superscript"/>
                      <w:lang w:val="en-US" w:eastAsia="zh-CN"/>
                    </w:rPr>
                    <w:t>3</w:t>
                  </w:r>
                  <w:r>
                    <w:rPr>
                      <w:rFonts w:hint="default" w:ascii="Times New Roman" w:hAnsi="Times New Roman" w:eastAsia="宋体" w:cs="Times New Roman"/>
                      <w:b/>
                      <w:bCs/>
                      <w:color w:val="auto"/>
                      <w:kern w:val="0"/>
                      <w:sz w:val="21"/>
                      <w:szCs w:val="21"/>
                      <w:highlight w:val="none"/>
                      <w:vertAlign w:val="baseline"/>
                      <w:lang w:val="en-US" w:eastAsia="zh-CN"/>
                    </w:rPr>
                    <w:t>）</w:t>
                  </w:r>
                </w:p>
              </w:tc>
            </w:tr>
            <w:tr w14:paraId="0484597F">
              <w:tblPrEx>
                <w:tblBorders>
                  <w:top w:val="single" w:color="auto" w:sz="12" w:space="0"/>
                  <w:left w:val="none" w:color="auto" w:sz="0" w:space="0"/>
                  <w:bottom w:val="single" w:color="auto" w:sz="12" w:space="0"/>
                  <w:right w:val="none" w:color="auto" w:sz="0" w:space="0"/>
                  <w:insideH w:val="single" w:color="auto" w:sz="4" w:space="0"/>
                  <w:insideV w:val="single" w:color="auto" w:sz="6" w:space="0"/>
                </w:tblBorders>
                <w:tblCellMar>
                  <w:top w:w="0" w:type="dxa"/>
                  <w:left w:w="23" w:type="dxa"/>
                  <w:bottom w:w="0" w:type="dxa"/>
                  <w:right w:w="23" w:type="dxa"/>
                </w:tblCellMar>
              </w:tblPrEx>
              <w:trPr>
                <w:trHeight w:val="340" w:hRule="atLeast"/>
                <w:jc w:val="center"/>
              </w:trPr>
              <w:tc>
                <w:tcPr>
                  <w:tcW w:w="1324" w:type="pct"/>
                  <w:vMerge w:val="continue"/>
                  <w:noWrap w:val="0"/>
                  <w:vAlign w:val="center"/>
                </w:tcPr>
                <w:p w14:paraId="397840D8">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b/>
                      <w:bCs/>
                      <w:color w:val="auto"/>
                      <w:kern w:val="0"/>
                      <w:sz w:val="21"/>
                      <w:szCs w:val="21"/>
                      <w:highlight w:val="none"/>
                      <w:vertAlign w:val="baseline"/>
                      <w:lang w:val="en-US" w:eastAsia="zh-CN"/>
                    </w:rPr>
                  </w:pPr>
                </w:p>
              </w:tc>
              <w:tc>
                <w:tcPr>
                  <w:tcW w:w="1688" w:type="pct"/>
                  <w:noWrap w:val="0"/>
                  <w:vAlign w:val="center"/>
                </w:tcPr>
                <w:p w14:paraId="1A799DDF">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b/>
                      <w:bCs/>
                      <w:color w:val="auto"/>
                      <w:kern w:val="0"/>
                      <w:sz w:val="21"/>
                      <w:szCs w:val="21"/>
                      <w:highlight w:val="none"/>
                      <w:vertAlign w:val="baseline"/>
                      <w:lang w:val="en-US" w:eastAsia="zh-CN"/>
                    </w:rPr>
                  </w:pPr>
                  <w:r>
                    <w:rPr>
                      <w:rFonts w:hint="default" w:ascii="Times New Roman" w:hAnsi="Times New Roman" w:eastAsia="宋体" w:cs="Times New Roman"/>
                      <w:b/>
                      <w:bCs/>
                      <w:color w:val="auto"/>
                      <w:kern w:val="0"/>
                      <w:sz w:val="21"/>
                      <w:szCs w:val="21"/>
                      <w:highlight w:val="none"/>
                      <w:vertAlign w:val="baseline"/>
                      <w:lang w:val="en-US" w:eastAsia="zh-CN"/>
                    </w:rPr>
                    <w:t>有组织（</w:t>
                  </w:r>
                  <w:r>
                    <w:rPr>
                      <w:rFonts w:hint="eastAsia" w:cs="Times New Roman"/>
                      <w:b/>
                      <w:bCs/>
                      <w:color w:val="auto"/>
                      <w:kern w:val="0"/>
                      <w:sz w:val="21"/>
                      <w:szCs w:val="21"/>
                      <w:highlight w:val="none"/>
                      <w:vertAlign w:val="baseline"/>
                      <w:lang w:val="en-US" w:eastAsia="zh-CN"/>
                    </w:rPr>
                    <w:t>生产设施</w:t>
                  </w:r>
                  <w:r>
                    <w:rPr>
                      <w:rFonts w:hint="default" w:ascii="Times New Roman" w:hAnsi="Times New Roman" w:eastAsia="宋体" w:cs="Times New Roman"/>
                      <w:b/>
                      <w:bCs/>
                      <w:color w:val="auto"/>
                      <w:kern w:val="0"/>
                      <w:sz w:val="21"/>
                      <w:szCs w:val="21"/>
                      <w:highlight w:val="none"/>
                      <w:vertAlign w:val="baseline"/>
                      <w:lang w:val="en-US" w:eastAsia="zh-CN"/>
                    </w:rPr>
                    <w:t>排气筒）</w:t>
                  </w:r>
                </w:p>
              </w:tc>
              <w:tc>
                <w:tcPr>
                  <w:tcW w:w="1987" w:type="pct"/>
                  <w:noWrap w:val="0"/>
                  <w:vAlign w:val="center"/>
                </w:tcPr>
                <w:p w14:paraId="4645396F">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b/>
                      <w:bCs/>
                      <w:color w:val="auto"/>
                      <w:kern w:val="0"/>
                      <w:sz w:val="21"/>
                      <w:szCs w:val="21"/>
                      <w:highlight w:val="none"/>
                      <w:vertAlign w:val="baseline"/>
                      <w:lang w:val="en-US" w:eastAsia="zh-CN"/>
                    </w:rPr>
                  </w:pPr>
                  <w:r>
                    <w:rPr>
                      <w:rFonts w:hint="default" w:ascii="Times New Roman" w:hAnsi="Times New Roman" w:eastAsia="宋体" w:cs="Times New Roman"/>
                      <w:b/>
                      <w:bCs/>
                      <w:color w:val="auto"/>
                      <w:kern w:val="0"/>
                      <w:sz w:val="21"/>
                      <w:szCs w:val="21"/>
                      <w:highlight w:val="none"/>
                      <w:vertAlign w:val="baseline"/>
                      <w:lang w:val="en-US" w:eastAsia="zh-CN"/>
                    </w:rPr>
                    <w:t>无组织（企业边界最高浓度限值）</w:t>
                  </w:r>
                </w:p>
              </w:tc>
            </w:tr>
            <w:tr w14:paraId="60A55460">
              <w:tblPrEx>
                <w:tblBorders>
                  <w:top w:val="single" w:color="auto" w:sz="12" w:space="0"/>
                  <w:left w:val="none" w:color="auto" w:sz="0" w:space="0"/>
                  <w:bottom w:val="single" w:color="auto" w:sz="12" w:space="0"/>
                  <w:right w:val="none" w:color="auto" w:sz="0" w:space="0"/>
                  <w:insideH w:val="single" w:color="auto" w:sz="4" w:space="0"/>
                  <w:insideV w:val="single" w:color="auto" w:sz="6" w:space="0"/>
                </w:tblBorders>
                <w:tblCellMar>
                  <w:top w:w="0" w:type="dxa"/>
                  <w:left w:w="23" w:type="dxa"/>
                  <w:bottom w:w="0" w:type="dxa"/>
                  <w:right w:w="23" w:type="dxa"/>
                </w:tblCellMar>
              </w:tblPrEx>
              <w:trPr>
                <w:trHeight w:val="340" w:hRule="atLeast"/>
                <w:jc w:val="center"/>
              </w:trPr>
              <w:tc>
                <w:tcPr>
                  <w:tcW w:w="1324" w:type="pct"/>
                  <w:noWrap w:val="0"/>
                  <w:vAlign w:val="center"/>
                </w:tcPr>
                <w:p w14:paraId="5F36E569">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b w:val="0"/>
                      <w:bCs w:val="0"/>
                      <w:color w:val="auto"/>
                      <w:kern w:val="0"/>
                      <w:sz w:val="21"/>
                      <w:szCs w:val="21"/>
                      <w:highlight w:val="none"/>
                      <w:vertAlign w:val="baseline"/>
                      <w:lang w:val="en-US" w:eastAsia="zh-CN"/>
                    </w:rPr>
                  </w:pPr>
                  <w:r>
                    <w:rPr>
                      <w:rFonts w:hint="default" w:ascii="Times New Roman" w:hAnsi="Times New Roman" w:eastAsia="宋体" w:cs="Times New Roman"/>
                      <w:b w:val="0"/>
                      <w:bCs w:val="0"/>
                      <w:color w:val="auto"/>
                      <w:kern w:val="0"/>
                      <w:sz w:val="21"/>
                      <w:szCs w:val="21"/>
                      <w:highlight w:val="none"/>
                      <w:vertAlign w:val="baseline"/>
                      <w:lang w:val="en-US" w:eastAsia="zh-CN"/>
                    </w:rPr>
                    <w:t>挥发性有机物（以非甲烷总烃计）</w:t>
                  </w:r>
                  <w:r>
                    <w:rPr>
                      <w:rFonts w:hint="eastAsia" w:cs="Times New Roman"/>
                      <w:b w:val="0"/>
                      <w:bCs w:val="0"/>
                      <w:color w:val="auto"/>
                      <w:kern w:val="0"/>
                      <w:sz w:val="21"/>
                      <w:szCs w:val="21"/>
                      <w:highlight w:val="none"/>
                      <w:vertAlign w:val="baseline"/>
                      <w:lang w:val="en-US" w:eastAsia="zh-CN"/>
                    </w:rPr>
                    <w:t>（DA001、DA002）</w:t>
                  </w:r>
                </w:p>
              </w:tc>
              <w:tc>
                <w:tcPr>
                  <w:tcW w:w="1688" w:type="pct"/>
                  <w:noWrap w:val="0"/>
                  <w:vAlign w:val="center"/>
                </w:tcPr>
                <w:p w14:paraId="0D9165F8">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b w:val="0"/>
                      <w:bCs w:val="0"/>
                      <w:color w:val="auto"/>
                      <w:kern w:val="0"/>
                      <w:sz w:val="21"/>
                      <w:szCs w:val="21"/>
                      <w:highlight w:val="none"/>
                      <w:vertAlign w:val="baseline"/>
                      <w:lang w:val="en-US" w:eastAsia="zh-CN"/>
                    </w:rPr>
                  </w:pPr>
                  <w:r>
                    <w:rPr>
                      <w:rFonts w:hint="default" w:ascii="Times New Roman" w:hAnsi="Times New Roman" w:eastAsia="宋体" w:cs="Times New Roman"/>
                      <w:b w:val="0"/>
                      <w:bCs w:val="0"/>
                      <w:color w:val="auto"/>
                      <w:kern w:val="0"/>
                      <w:sz w:val="21"/>
                      <w:szCs w:val="21"/>
                      <w:highlight w:val="none"/>
                      <w:vertAlign w:val="baseline"/>
                      <w:lang w:val="en-US" w:eastAsia="zh-CN"/>
                    </w:rPr>
                    <w:t>50</w:t>
                  </w:r>
                </w:p>
              </w:tc>
              <w:tc>
                <w:tcPr>
                  <w:tcW w:w="1987" w:type="pct"/>
                  <w:noWrap w:val="0"/>
                  <w:vAlign w:val="center"/>
                </w:tcPr>
                <w:p w14:paraId="764569C9">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b w:val="0"/>
                      <w:bCs w:val="0"/>
                      <w:color w:val="auto"/>
                      <w:kern w:val="0"/>
                      <w:sz w:val="21"/>
                      <w:szCs w:val="21"/>
                      <w:highlight w:val="none"/>
                      <w:vertAlign w:val="baseline"/>
                      <w:lang w:val="en-US" w:eastAsia="zh-CN"/>
                    </w:rPr>
                  </w:pPr>
                  <w:r>
                    <w:rPr>
                      <w:rFonts w:hint="default" w:ascii="Times New Roman" w:hAnsi="Times New Roman" w:eastAsia="宋体" w:cs="Times New Roman"/>
                      <w:b w:val="0"/>
                      <w:bCs w:val="0"/>
                      <w:color w:val="auto"/>
                      <w:kern w:val="0"/>
                      <w:sz w:val="21"/>
                      <w:szCs w:val="21"/>
                      <w:highlight w:val="none"/>
                      <w:vertAlign w:val="baseline"/>
                      <w:lang w:val="en-US" w:eastAsia="zh-CN"/>
                    </w:rPr>
                    <w:t>2.0</w:t>
                  </w:r>
                </w:p>
              </w:tc>
            </w:tr>
            <w:tr w14:paraId="22F4FBC9">
              <w:tblPrEx>
                <w:tblBorders>
                  <w:top w:val="single" w:color="auto" w:sz="12" w:space="0"/>
                  <w:left w:val="none" w:color="auto" w:sz="0" w:space="0"/>
                  <w:bottom w:val="single" w:color="auto" w:sz="12" w:space="0"/>
                  <w:right w:val="none" w:color="auto" w:sz="0" w:space="0"/>
                  <w:insideH w:val="single" w:color="auto" w:sz="4" w:space="0"/>
                  <w:insideV w:val="single" w:color="auto" w:sz="6" w:space="0"/>
                </w:tblBorders>
                <w:tblCellMar>
                  <w:top w:w="0" w:type="dxa"/>
                  <w:left w:w="23" w:type="dxa"/>
                  <w:bottom w:w="0" w:type="dxa"/>
                  <w:right w:w="23" w:type="dxa"/>
                </w:tblCellMar>
              </w:tblPrEx>
              <w:trPr>
                <w:trHeight w:val="340" w:hRule="atLeast"/>
                <w:jc w:val="center"/>
              </w:trPr>
              <w:tc>
                <w:tcPr>
                  <w:tcW w:w="1324" w:type="pct"/>
                  <w:noWrap w:val="0"/>
                  <w:vAlign w:val="center"/>
                </w:tcPr>
                <w:p w14:paraId="385BD951">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b w:val="0"/>
                      <w:bCs w:val="0"/>
                      <w:color w:val="auto"/>
                      <w:kern w:val="0"/>
                      <w:sz w:val="21"/>
                      <w:szCs w:val="21"/>
                      <w:highlight w:val="none"/>
                      <w:vertAlign w:val="baseline"/>
                      <w:lang w:val="en-US" w:eastAsia="zh-CN"/>
                    </w:rPr>
                  </w:pPr>
                  <w:r>
                    <w:rPr>
                      <w:rFonts w:hint="default" w:ascii="Times New Roman" w:hAnsi="Times New Roman" w:eastAsia="宋体" w:cs="Times New Roman"/>
                      <w:b w:val="0"/>
                      <w:bCs w:val="0"/>
                      <w:color w:val="auto"/>
                      <w:kern w:val="0"/>
                      <w:sz w:val="21"/>
                      <w:szCs w:val="21"/>
                      <w:highlight w:val="none"/>
                      <w:vertAlign w:val="baseline"/>
                      <w:lang w:val="en-US" w:eastAsia="zh-CN"/>
                    </w:rPr>
                    <w:t>颗粒物</w:t>
                  </w:r>
                </w:p>
              </w:tc>
              <w:tc>
                <w:tcPr>
                  <w:tcW w:w="1688" w:type="pct"/>
                  <w:noWrap w:val="0"/>
                  <w:vAlign w:val="center"/>
                </w:tcPr>
                <w:p w14:paraId="5FBEB4D6">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b w:val="0"/>
                      <w:bCs w:val="0"/>
                      <w:color w:val="auto"/>
                      <w:kern w:val="0"/>
                      <w:sz w:val="21"/>
                      <w:szCs w:val="21"/>
                      <w:highlight w:val="none"/>
                      <w:vertAlign w:val="baseline"/>
                      <w:lang w:val="en-US" w:eastAsia="zh-CN"/>
                    </w:rPr>
                  </w:pPr>
                  <w:r>
                    <w:rPr>
                      <w:rFonts w:hint="default" w:ascii="Times New Roman" w:hAnsi="Times New Roman" w:eastAsia="宋体" w:cs="Times New Roman"/>
                      <w:b w:val="0"/>
                      <w:bCs w:val="0"/>
                      <w:color w:val="auto"/>
                      <w:kern w:val="0"/>
                      <w:sz w:val="21"/>
                      <w:szCs w:val="21"/>
                      <w:highlight w:val="none"/>
                      <w:vertAlign w:val="baseline"/>
                      <w:lang w:val="en-US" w:eastAsia="zh-CN"/>
                    </w:rPr>
                    <w:t>30</w:t>
                  </w:r>
                </w:p>
              </w:tc>
              <w:tc>
                <w:tcPr>
                  <w:tcW w:w="1987" w:type="pct"/>
                  <w:noWrap w:val="0"/>
                  <w:vAlign w:val="center"/>
                </w:tcPr>
                <w:p w14:paraId="6C2EF874">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b w:val="0"/>
                      <w:bCs w:val="0"/>
                      <w:color w:val="auto"/>
                      <w:kern w:val="0"/>
                      <w:sz w:val="21"/>
                      <w:szCs w:val="21"/>
                      <w:highlight w:val="none"/>
                      <w:vertAlign w:val="baseline"/>
                      <w:lang w:val="en-US" w:eastAsia="zh-CN"/>
                    </w:rPr>
                  </w:pPr>
                  <w:r>
                    <w:rPr>
                      <w:rFonts w:hint="default" w:ascii="Times New Roman" w:hAnsi="Times New Roman" w:eastAsia="宋体" w:cs="Times New Roman"/>
                      <w:b w:val="0"/>
                      <w:bCs w:val="0"/>
                      <w:color w:val="auto"/>
                      <w:kern w:val="0"/>
                      <w:sz w:val="21"/>
                      <w:szCs w:val="21"/>
                      <w:highlight w:val="none"/>
                      <w:vertAlign w:val="baseline"/>
                      <w:lang w:val="en-US" w:eastAsia="zh-CN"/>
                    </w:rPr>
                    <w:t>0.3</w:t>
                  </w:r>
                </w:p>
              </w:tc>
            </w:tr>
          </w:tbl>
          <w:p w14:paraId="07860637">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b/>
                <w:bCs/>
                <w:color w:val="auto"/>
                <w:kern w:val="0"/>
                <w:sz w:val="24"/>
                <w:highlight w:val="none"/>
                <w:lang w:val="en-US" w:eastAsia="zh-CN"/>
              </w:rPr>
            </w:pPr>
            <w:r>
              <w:rPr>
                <w:rFonts w:ascii="Times New Roman" w:hAnsi="Times New Roman"/>
                <w:b/>
                <w:bCs/>
                <w:color w:val="auto"/>
                <w:kern w:val="0"/>
                <w:sz w:val="21"/>
                <w:szCs w:val="21"/>
                <w:highlight w:val="none"/>
              </w:rPr>
              <w:t>表3-</w:t>
            </w:r>
            <w:r>
              <w:rPr>
                <w:rFonts w:hint="eastAsia"/>
                <w:b/>
                <w:bCs/>
                <w:color w:val="auto"/>
                <w:kern w:val="0"/>
                <w:sz w:val="21"/>
                <w:szCs w:val="21"/>
                <w:highlight w:val="none"/>
                <w:lang w:val="en-US" w:eastAsia="zh-CN"/>
              </w:rPr>
              <w:t>8</w:t>
            </w:r>
            <w:r>
              <w:rPr>
                <w:rFonts w:ascii="Times New Roman" w:hAnsi="Times New Roman"/>
                <w:b/>
                <w:bCs/>
                <w:color w:val="auto"/>
                <w:kern w:val="0"/>
                <w:sz w:val="21"/>
                <w:szCs w:val="21"/>
                <w:highlight w:val="none"/>
              </w:rPr>
              <w:t xml:space="preserve"> </w:t>
            </w:r>
            <w:r>
              <w:rPr>
                <w:rFonts w:hint="eastAsia" w:ascii="Times New Roman" w:hAnsi="Times New Roman" w:eastAsia="宋体" w:cs="Times New Roman"/>
                <w:b/>
                <w:bCs/>
                <w:color w:val="auto"/>
                <w:kern w:val="0"/>
                <w:sz w:val="21"/>
                <w:szCs w:val="21"/>
                <w:highlight w:val="none"/>
              </w:rPr>
              <w:t>《四川省固定污染源大气挥发性有机物排放标准》（DB51/2377-2017）</w:t>
            </w:r>
          </w:p>
          <w:tbl>
            <w:tblPr>
              <w:tblStyle w:val="42"/>
              <w:tblW w:w="8397" w:type="dxa"/>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887"/>
              <w:gridCol w:w="1228"/>
              <w:gridCol w:w="1131"/>
              <w:gridCol w:w="1596"/>
              <w:gridCol w:w="1691"/>
              <w:gridCol w:w="1864"/>
            </w:tblGrid>
            <w:tr w14:paraId="4B31CCA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814" w:hRule="atLeast"/>
                <w:jc w:val="center"/>
              </w:trPr>
              <w:tc>
                <w:tcPr>
                  <w:tcW w:w="887" w:type="dxa"/>
                  <w:shd w:val="clear" w:color="auto" w:fill="auto"/>
                  <w:noWrap w:val="0"/>
                  <w:vAlign w:val="center"/>
                </w:tcPr>
                <w:p w14:paraId="5237DD24">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b/>
                      <w:bCs/>
                      <w:color w:val="auto"/>
                      <w:kern w:val="0"/>
                      <w:sz w:val="21"/>
                      <w:szCs w:val="21"/>
                      <w:highlight w:val="none"/>
                      <w:vertAlign w:val="baseline"/>
                      <w:lang w:val="en-US" w:eastAsia="zh-CN"/>
                    </w:rPr>
                  </w:pPr>
                  <w:r>
                    <w:rPr>
                      <w:rFonts w:hint="eastAsia" w:ascii="Times New Roman" w:hAnsi="Times New Roman" w:eastAsia="宋体"/>
                      <w:b/>
                      <w:bCs/>
                      <w:color w:val="auto"/>
                      <w:kern w:val="0"/>
                      <w:sz w:val="21"/>
                      <w:szCs w:val="21"/>
                      <w:highlight w:val="none"/>
                      <w:vertAlign w:val="baseline"/>
                      <w:lang w:val="en-US" w:eastAsia="zh-CN"/>
                    </w:rPr>
                    <w:t>污染物</w:t>
                  </w:r>
                </w:p>
              </w:tc>
              <w:tc>
                <w:tcPr>
                  <w:tcW w:w="1228" w:type="dxa"/>
                  <w:shd w:val="clear" w:color="auto" w:fill="auto"/>
                  <w:noWrap w:val="0"/>
                  <w:vAlign w:val="center"/>
                </w:tcPr>
                <w:p w14:paraId="2AA2E755">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b/>
                      <w:bCs/>
                      <w:color w:val="auto"/>
                      <w:kern w:val="0"/>
                      <w:sz w:val="21"/>
                      <w:szCs w:val="21"/>
                      <w:highlight w:val="none"/>
                      <w:vertAlign w:val="baseline"/>
                      <w:lang w:val="en-US" w:eastAsia="zh-CN"/>
                    </w:rPr>
                  </w:pPr>
                  <w:r>
                    <w:rPr>
                      <w:rFonts w:hint="eastAsia" w:ascii="Times New Roman" w:hAnsi="Times New Roman"/>
                      <w:b/>
                      <w:bCs/>
                      <w:color w:val="auto"/>
                      <w:kern w:val="0"/>
                      <w:sz w:val="21"/>
                      <w:szCs w:val="21"/>
                      <w:highlight w:val="none"/>
                      <w:vertAlign w:val="baseline"/>
                      <w:lang w:val="en-US" w:eastAsia="zh-CN"/>
                    </w:rPr>
                    <w:t>最高允许排放浓度（mg/m</w:t>
                  </w:r>
                  <w:r>
                    <w:rPr>
                      <w:rFonts w:hint="eastAsia" w:ascii="Times New Roman" w:hAnsi="Times New Roman"/>
                      <w:b/>
                      <w:bCs/>
                      <w:color w:val="auto"/>
                      <w:kern w:val="0"/>
                      <w:sz w:val="21"/>
                      <w:szCs w:val="21"/>
                      <w:highlight w:val="none"/>
                      <w:vertAlign w:val="superscript"/>
                      <w:lang w:val="en-US" w:eastAsia="zh-CN"/>
                    </w:rPr>
                    <w:t>3</w:t>
                  </w:r>
                  <w:r>
                    <w:rPr>
                      <w:rFonts w:hint="eastAsia" w:ascii="Times New Roman" w:hAnsi="Times New Roman"/>
                      <w:b/>
                      <w:bCs/>
                      <w:color w:val="auto"/>
                      <w:kern w:val="0"/>
                      <w:sz w:val="21"/>
                      <w:szCs w:val="21"/>
                      <w:highlight w:val="none"/>
                      <w:vertAlign w:val="baseline"/>
                      <w:lang w:val="en-US" w:eastAsia="zh-CN"/>
                    </w:rPr>
                    <w:t>）</w:t>
                  </w:r>
                </w:p>
              </w:tc>
              <w:tc>
                <w:tcPr>
                  <w:tcW w:w="1131" w:type="dxa"/>
                  <w:shd w:val="clear" w:color="auto" w:fill="auto"/>
                  <w:noWrap w:val="0"/>
                  <w:vAlign w:val="center"/>
                </w:tcPr>
                <w:p w14:paraId="20945310">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b/>
                      <w:bCs/>
                      <w:color w:val="auto"/>
                      <w:kern w:val="0"/>
                      <w:sz w:val="21"/>
                      <w:szCs w:val="21"/>
                      <w:highlight w:val="none"/>
                      <w:vertAlign w:val="baseline"/>
                      <w:lang w:val="en-US" w:eastAsia="zh-CN"/>
                    </w:rPr>
                  </w:pPr>
                  <w:r>
                    <w:rPr>
                      <w:rFonts w:hint="eastAsia" w:ascii="Times New Roman" w:hAnsi="Times New Roman" w:eastAsia="宋体"/>
                      <w:b/>
                      <w:bCs/>
                      <w:color w:val="auto"/>
                      <w:kern w:val="0"/>
                      <w:sz w:val="21"/>
                      <w:szCs w:val="21"/>
                      <w:highlight w:val="none"/>
                      <w:vertAlign w:val="baseline"/>
                      <w:lang w:val="en-US" w:eastAsia="zh-CN"/>
                    </w:rPr>
                    <w:t>排气筒高度（m）</w:t>
                  </w:r>
                </w:p>
              </w:tc>
              <w:tc>
                <w:tcPr>
                  <w:tcW w:w="1596" w:type="dxa"/>
                  <w:shd w:val="clear" w:color="auto" w:fill="auto"/>
                  <w:noWrap w:val="0"/>
                  <w:vAlign w:val="center"/>
                </w:tcPr>
                <w:p w14:paraId="63D6F62E">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b/>
                      <w:bCs/>
                      <w:color w:val="auto"/>
                      <w:kern w:val="0"/>
                      <w:sz w:val="21"/>
                      <w:szCs w:val="21"/>
                      <w:highlight w:val="none"/>
                      <w:vertAlign w:val="baseline"/>
                      <w:lang w:val="en-US" w:eastAsia="zh-CN"/>
                    </w:rPr>
                  </w:pPr>
                  <w:r>
                    <w:rPr>
                      <w:rFonts w:hint="eastAsia"/>
                      <w:b/>
                      <w:bCs/>
                      <w:color w:val="auto"/>
                      <w:kern w:val="0"/>
                      <w:sz w:val="21"/>
                      <w:szCs w:val="21"/>
                      <w:highlight w:val="none"/>
                      <w:vertAlign w:val="baseline"/>
                      <w:lang w:val="en-US" w:eastAsia="zh-CN"/>
                    </w:rPr>
                    <w:t>排放速率（kg/h）</w:t>
                  </w:r>
                </w:p>
              </w:tc>
              <w:tc>
                <w:tcPr>
                  <w:tcW w:w="1691" w:type="dxa"/>
                  <w:shd w:val="clear" w:color="auto" w:fill="auto"/>
                  <w:noWrap w:val="0"/>
                  <w:vAlign w:val="center"/>
                </w:tcPr>
                <w:p w14:paraId="43A0A11F">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eastAsia" w:ascii="Times New Roman" w:hAnsi="Times New Roman"/>
                      <w:b/>
                      <w:bCs/>
                      <w:color w:val="auto"/>
                      <w:kern w:val="0"/>
                      <w:sz w:val="21"/>
                      <w:szCs w:val="21"/>
                      <w:highlight w:val="none"/>
                      <w:vertAlign w:val="baseline"/>
                      <w:lang w:val="en-US" w:eastAsia="zh-CN"/>
                    </w:rPr>
                  </w:pPr>
                  <w:r>
                    <w:rPr>
                      <w:rFonts w:hint="eastAsia" w:ascii="Times New Roman" w:hAnsi="Times New Roman"/>
                      <w:b/>
                      <w:bCs/>
                      <w:color w:val="auto"/>
                      <w:kern w:val="0"/>
                      <w:sz w:val="21"/>
                      <w:szCs w:val="21"/>
                      <w:highlight w:val="none"/>
                      <w:vertAlign w:val="baseline"/>
                      <w:lang w:val="en-US" w:eastAsia="zh-CN"/>
                    </w:rPr>
                    <w:t>无组织排放监控浓度（mg/m</w:t>
                  </w:r>
                  <w:r>
                    <w:rPr>
                      <w:rFonts w:hint="eastAsia" w:ascii="Times New Roman" w:hAnsi="Times New Roman"/>
                      <w:b/>
                      <w:bCs/>
                      <w:color w:val="auto"/>
                      <w:kern w:val="0"/>
                      <w:sz w:val="21"/>
                      <w:szCs w:val="21"/>
                      <w:highlight w:val="none"/>
                      <w:vertAlign w:val="superscript"/>
                      <w:lang w:val="en-US" w:eastAsia="zh-CN"/>
                    </w:rPr>
                    <w:t>3</w:t>
                  </w:r>
                  <w:r>
                    <w:rPr>
                      <w:rFonts w:hint="eastAsia" w:ascii="Times New Roman" w:hAnsi="Times New Roman"/>
                      <w:b/>
                      <w:bCs/>
                      <w:color w:val="auto"/>
                      <w:kern w:val="0"/>
                      <w:sz w:val="21"/>
                      <w:szCs w:val="21"/>
                      <w:highlight w:val="none"/>
                      <w:vertAlign w:val="baseline"/>
                      <w:lang w:val="en-US" w:eastAsia="zh-CN"/>
                    </w:rPr>
                    <w:t>）</w:t>
                  </w:r>
                </w:p>
              </w:tc>
              <w:tc>
                <w:tcPr>
                  <w:tcW w:w="1864" w:type="dxa"/>
                  <w:shd w:val="clear" w:color="auto" w:fill="auto"/>
                  <w:noWrap w:val="0"/>
                  <w:vAlign w:val="center"/>
                </w:tcPr>
                <w:p w14:paraId="30B78D05">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b/>
                      <w:bCs/>
                      <w:color w:val="auto"/>
                      <w:kern w:val="0"/>
                      <w:sz w:val="21"/>
                      <w:szCs w:val="21"/>
                      <w:highlight w:val="none"/>
                      <w:vertAlign w:val="baseline"/>
                      <w:lang w:val="en-US" w:eastAsia="zh-CN"/>
                    </w:rPr>
                  </w:pPr>
                  <w:r>
                    <w:rPr>
                      <w:rFonts w:hint="eastAsia" w:ascii="Times New Roman" w:hAnsi="Times New Roman"/>
                      <w:b/>
                      <w:bCs/>
                      <w:color w:val="auto"/>
                      <w:kern w:val="0"/>
                      <w:sz w:val="21"/>
                      <w:szCs w:val="21"/>
                      <w:highlight w:val="none"/>
                      <w:vertAlign w:val="baseline"/>
                      <w:lang w:val="en-US" w:eastAsia="zh-CN"/>
                    </w:rPr>
                    <w:t>备注</w:t>
                  </w:r>
                </w:p>
              </w:tc>
            </w:tr>
            <w:tr w14:paraId="1B2F905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77" w:hRule="atLeast"/>
                <w:jc w:val="center"/>
              </w:trPr>
              <w:tc>
                <w:tcPr>
                  <w:tcW w:w="887" w:type="dxa"/>
                  <w:noWrap w:val="0"/>
                  <w:vAlign w:val="center"/>
                </w:tcPr>
                <w:p w14:paraId="301900FE">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eastAsia" w:ascii="Times New Roman" w:hAnsi="Times New Roman"/>
                      <w:b w:val="0"/>
                      <w:bCs w:val="0"/>
                      <w:color w:val="auto"/>
                      <w:kern w:val="0"/>
                      <w:sz w:val="21"/>
                      <w:szCs w:val="21"/>
                      <w:highlight w:val="none"/>
                      <w:vertAlign w:val="baseline"/>
                      <w:lang w:val="en-US" w:eastAsia="zh-CN"/>
                    </w:rPr>
                  </w:pPr>
                  <w:r>
                    <w:rPr>
                      <w:rFonts w:hint="eastAsia" w:ascii="Times New Roman" w:hAnsi="Times New Roman"/>
                      <w:b w:val="0"/>
                      <w:bCs w:val="0"/>
                      <w:color w:val="auto"/>
                      <w:kern w:val="0"/>
                      <w:sz w:val="21"/>
                      <w:szCs w:val="21"/>
                      <w:highlight w:val="none"/>
                      <w:vertAlign w:val="baseline"/>
                      <w:lang w:val="en-US" w:eastAsia="zh-CN"/>
                    </w:rPr>
                    <w:t>VOCs</w:t>
                  </w:r>
                  <w:r>
                    <w:rPr>
                      <w:rFonts w:hint="eastAsia"/>
                      <w:b w:val="0"/>
                      <w:bCs w:val="0"/>
                      <w:color w:val="auto"/>
                      <w:kern w:val="0"/>
                      <w:sz w:val="21"/>
                      <w:szCs w:val="21"/>
                      <w:highlight w:val="none"/>
                      <w:vertAlign w:val="baseline"/>
                      <w:lang w:val="en-US" w:eastAsia="zh-CN"/>
                    </w:rPr>
                    <w:t>（DA003）</w:t>
                  </w:r>
                </w:p>
              </w:tc>
              <w:tc>
                <w:tcPr>
                  <w:tcW w:w="1228" w:type="dxa"/>
                  <w:noWrap w:val="0"/>
                  <w:vAlign w:val="center"/>
                </w:tcPr>
                <w:p w14:paraId="0CBC475B">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b w:val="0"/>
                      <w:bCs w:val="0"/>
                      <w:color w:val="auto"/>
                      <w:kern w:val="0"/>
                      <w:sz w:val="21"/>
                      <w:szCs w:val="21"/>
                      <w:highlight w:val="none"/>
                      <w:vertAlign w:val="baseline"/>
                      <w:lang w:val="en-US" w:eastAsia="zh-CN"/>
                    </w:rPr>
                  </w:pPr>
                  <w:r>
                    <w:rPr>
                      <w:rFonts w:hint="eastAsia"/>
                      <w:b w:val="0"/>
                      <w:bCs w:val="0"/>
                      <w:color w:val="auto"/>
                      <w:kern w:val="0"/>
                      <w:sz w:val="21"/>
                      <w:szCs w:val="21"/>
                      <w:highlight w:val="none"/>
                      <w:vertAlign w:val="baseline"/>
                      <w:lang w:val="en-US" w:eastAsia="zh-CN"/>
                    </w:rPr>
                    <w:t>60</w:t>
                  </w:r>
                </w:p>
              </w:tc>
              <w:tc>
                <w:tcPr>
                  <w:tcW w:w="1131" w:type="dxa"/>
                  <w:noWrap w:val="0"/>
                  <w:vAlign w:val="center"/>
                </w:tcPr>
                <w:p w14:paraId="11B422F4">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b w:val="0"/>
                      <w:bCs w:val="0"/>
                      <w:color w:val="auto"/>
                      <w:kern w:val="0"/>
                      <w:sz w:val="21"/>
                      <w:szCs w:val="21"/>
                      <w:highlight w:val="none"/>
                      <w:vertAlign w:val="baseline"/>
                      <w:lang w:val="en-US" w:eastAsia="zh-CN"/>
                    </w:rPr>
                  </w:pPr>
                  <w:r>
                    <w:rPr>
                      <w:rFonts w:hint="eastAsia"/>
                      <w:b w:val="0"/>
                      <w:bCs w:val="0"/>
                      <w:color w:val="auto"/>
                      <w:kern w:val="0"/>
                      <w:sz w:val="21"/>
                      <w:szCs w:val="21"/>
                      <w:highlight w:val="none"/>
                      <w:vertAlign w:val="baseline"/>
                      <w:lang w:val="en-US" w:eastAsia="zh-CN"/>
                    </w:rPr>
                    <w:t>15</w:t>
                  </w:r>
                </w:p>
              </w:tc>
              <w:tc>
                <w:tcPr>
                  <w:tcW w:w="1596" w:type="dxa"/>
                  <w:noWrap w:val="0"/>
                  <w:vAlign w:val="center"/>
                </w:tcPr>
                <w:p w14:paraId="0A777865">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b w:val="0"/>
                      <w:bCs w:val="0"/>
                      <w:color w:val="auto"/>
                      <w:kern w:val="0"/>
                      <w:sz w:val="21"/>
                      <w:szCs w:val="21"/>
                      <w:highlight w:val="none"/>
                      <w:vertAlign w:val="baseline"/>
                      <w:lang w:val="en-US" w:eastAsia="zh-CN"/>
                    </w:rPr>
                  </w:pPr>
                  <w:r>
                    <w:rPr>
                      <w:rFonts w:hint="eastAsia"/>
                      <w:b w:val="0"/>
                      <w:bCs w:val="0"/>
                      <w:color w:val="auto"/>
                      <w:kern w:val="0"/>
                      <w:sz w:val="21"/>
                      <w:szCs w:val="21"/>
                      <w:highlight w:val="none"/>
                      <w:vertAlign w:val="baseline"/>
                      <w:lang w:val="en-US" w:eastAsia="zh-CN"/>
                    </w:rPr>
                    <w:t>1.7</w:t>
                  </w:r>
                </w:p>
              </w:tc>
              <w:tc>
                <w:tcPr>
                  <w:tcW w:w="1691" w:type="dxa"/>
                  <w:noWrap w:val="0"/>
                  <w:vAlign w:val="center"/>
                </w:tcPr>
                <w:p w14:paraId="699F8DB8">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b w:val="0"/>
                      <w:bCs w:val="0"/>
                      <w:color w:val="auto"/>
                      <w:kern w:val="0"/>
                      <w:sz w:val="21"/>
                      <w:szCs w:val="21"/>
                      <w:highlight w:val="none"/>
                      <w:lang w:val="en-US" w:eastAsia="zh-CN"/>
                    </w:rPr>
                  </w:pPr>
                  <w:r>
                    <w:rPr>
                      <w:rFonts w:hint="eastAsia" w:ascii="Times New Roman" w:hAnsi="Times New Roman" w:eastAsia="宋体"/>
                      <w:b w:val="0"/>
                      <w:bCs w:val="0"/>
                      <w:color w:val="auto"/>
                      <w:kern w:val="0"/>
                      <w:sz w:val="21"/>
                      <w:szCs w:val="21"/>
                      <w:highlight w:val="none"/>
                      <w:vertAlign w:val="baseline"/>
                      <w:lang w:val="en-US" w:eastAsia="zh-CN"/>
                    </w:rPr>
                    <w:t>2.0</w:t>
                  </w:r>
                </w:p>
              </w:tc>
              <w:tc>
                <w:tcPr>
                  <w:tcW w:w="1864" w:type="dxa"/>
                  <w:noWrap w:val="0"/>
                  <w:vAlign w:val="center"/>
                </w:tcPr>
                <w:p w14:paraId="6E282724">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b w:val="0"/>
                      <w:bCs w:val="0"/>
                      <w:color w:val="auto"/>
                      <w:kern w:val="0"/>
                      <w:sz w:val="21"/>
                      <w:szCs w:val="21"/>
                      <w:highlight w:val="none"/>
                      <w:lang w:val="en-US" w:eastAsia="zh-CN"/>
                    </w:rPr>
                  </w:pPr>
                  <w:r>
                    <w:rPr>
                      <w:rFonts w:hint="eastAsia"/>
                      <w:b w:val="0"/>
                      <w:bCs w:val="0"/>
                      <w:color w:val="auto"/>
                      <w:kern w:val="0"/>
                      <w:sz w:val="21"/>
                      <w:szCs w:val="21"/>
                      <w:highlight w:val="none"/>
                      <w:vertAlign w:val="baseline"/>
                      <w:lang w:val="en-US" w:eastAsia="zh-CN"/>
                    </w:rPr>
                    <w:t>未高出排气筒周围半径200m范围内建筑物3m以上，排放速率严格50%执行。</w:t>
                  </w:r>
                </w:p>
              </w:tc>
            </w:tr>
          </w:tbl>
          <w:p w14:paraId="72154290">
            <w:pPr>
              <w:pStyle w:val="66"/>
              <w:spacing w:line="360" w:lineRule="auto"/>
              <w:ind w:firstLine="482"/>
              <w:rPr>
                <w:rFonts w:hint="eastAsia" w:ascii="Times New Roman" w:hAnsi="Times New Roman" w:eastAsia="宋体" w:cs="Times New Roman"/>
                <w:b/>
                <w:bCs/>
                <w:color w:val="auto"/>
              </w:rPr>
            </w:pPr>
            <w:r>
              <w:rPr>
                <w:rFonts w:hint="eastAsia" w:ascii="Times New Roman" w:hAnsi="Times New Roman" w:eastAsia="宋体" w:cs="Times New Roman"/>
                <w:b/>
                <w:bCs/>
                <w:color w:val="auto"/>
              </w:rPr>
              <w:t>2、废水</w:t>
            </w:r>
          </w:p>
          <w:p w14:paraId="6B95692D">
            <w:pPr>
              <w:pStyle w:val="66"/>
              <w:spacing w:line="360" w:lineRule="auto"/>
              <w:rPr>
                <w:rFonts w:hint="default" w:ascii="Times New Roman" w:hAnsi="Times New Roman" w:cs="Times New Roman"/>
                <w:bCs/>
                <w:color w:val="auto"/>
                <w:sz w:val="24"/>
                <w:lang w:val="en-US" w:eastAsia="zh-CN"/>
              </w:rPr>
            </w:pPr>
            <w:r>
              <w:rPr>
                <w:rFonts w:hint="eastAsia" w:cs="Times New Roman"/>
                <w:color w:val="auto"/>
                <w:lang w:val="en-US" w:eastAsia="zh-CN"/>
              </w:rPr>
              <w:t>根据生态环境部《关于行业标准生活污水执行问题的回复》：橡胶制品工业污染物排放标准》（GB 27632-2011）和《电池工业污染物排放标准》（GB 30484-2013）均在“排水量”定义中明确外排废水包括厂区生活污水，主要考虑是防范与生产相关的厂区生活污水中混入行业特征污染物，以及生产废水经由生活污水排水管道排放等情况的发生。为此，相关企业的厂区生活污水原则上应当按行业排放标准进行管控。若生活与生产废水完全隔绝，且采取了有效措施防止二者混排等风险，这类生活污水可按一般生活污水管理。另外，</w:t>
            </w:r>
            <w:r>
              <w:rPr>
                <w:rFonts w:hint="default" w:ascii="Times New Roman" w:hAnsi="Times New Roman" w:cs="Times New Roman"/>
                <w:bCs/>
                <w:color w:val="auto"/>
                <w:sz w:val="24"/>
                <w:lang w:val="en-US" w:eastAsia="zh-CN"/>
              </w:rPr>
              <w:t>根据《关于执行电池工业污染物排放标准有关问题的复函》（环函</w:t>
            </w:r>
            <w:r>
              <w:rPr>
                <w:rFonts w:hint="default" w:ascii="Times New Roman" w:hAnsi="Times New Roman" w:eastAsia="宋体" w:cs="Times New Roman"/>
                <w:color w:val="auto"/>
                <w:lang w:eastAsia="zh-CN"/>
              </w:rPr>
              <w:t>﹝201</w:t>
            </w:r>
            <w:r>
              <w:rPr>
                <w:rFonts w:hint="default" w:ascii="Times New Roman" w:hAnsi="Times New Roman" w:eastAsia="宋体" w:cs="Times New Roman"/>
                <w:color w:val="auto"/>
                <w:lang w:val="en-US" w:eastAsia="zh-CN"/>
              </w:rPr>
              <w:t>4</w:t>
            </w:r>
            <w:r>
              <w:rPr>
                <w:rFonts w:hint="default" w:ascii="Times New Roman" w:hAnsi="Times New Roman" w:eastAsia="宋体" w:cs="Times New Roman"/>
                <w:color w:val="auto"/>
                <w:lang w:eastAsia="zh-CN"/>
              </w:rPr>
              <w:t>﹞</w:t>
            </w:r>
            <w:r>
              <w:rPr>
                <w:rFonts w:hint="default" w:ascii="Times New Roman" w:hAnsi="Times New Roman" w:cs="Times New Roman"/>
                <w:bCs/>
                <w:color w:val="auto"/>
                <w:sz w:val="24"/>
                <w:lang w:val="en-US" w:eastAsia="zh-CN"/>
              </w:rPr>
              <w:t>170号），锂离子电池基准排水量为0.8</w:t>
            </w:r>
            <w:r>
              <w:rPr>
                <w:rFonts w:hint="eastAsia" w:cs="Times New Roman"/>
                <w:bCs/>
                <w:color w:val="auto"/>
                <w:sz w:val="24"/>
                <w:lang w:val="en-US" w:eastAsia="zh-CN"/>
              </w:rPr>
              <w:t>m</w:t>
            </w:r>
            <w:r>
              <w:rPr>
                <w:rFonts w:hint="eastAsia" w:cs="Times New Roman"/>
                <w:bCs/>
                <w:color w:val="auto"/>
                <w:sz w:val="24"/>
                <w:vertAlign w:val="superscript"/>
                <w:lang w:val="en-US" w:eastAsia="zh-CN"/>
              </w:rPr>
              <w:t>3</w:t>
            </w:r>
            <w:r>
              <w:rPr>
                <w:rFonts w:hint="default" w:ascii="Times New Roman" w:hAnsi="Times New Roman" w:cs="Times New Roman"/>
                <w:bCs/>
                <w:color w:val="auto"/>
                <w:sz w:val="24"/>
                <w:lang w:val="en-US" w:eastAsia="zh-CN"/>
              </w:rPr>
              <w:t>/万Ah</w:t>
            </w:r>
            <w:r>
              <w:rPr>
                <w:rFonts w:hint="eastAsia" w:ascii="Times New Roman" w:hAnsi="Times New Roman" w:cs="Times New Roman"/>
                <w:bCs/>
                <w:color w:val="auto"/>
                <w:sz w:val="24"/>
                <w:lang w:val="en-US" w:eastAsia="zh-CN"/>
              </w:rPr>
              <w:t>。</w:t>
            </w:r>
          </w:p>
          <w:p w14:paraId="681DB47B">
            <w:pPr>
              <w:pStyle w:val="66"/>
              <w:spacing w:line="360" w:lineRule="auto"/>
              <w:rPr>
                <w:rFonts w:hint="default" w:ascii="Times New Roman" w:hAnsi="Times New Roman" w:cs="Times New Roman"/>
                <w:bCs/>
                <w:color w:val="auto"/>
                <w:sz w:val="24"/>
                <w:lang w:val="en-US" w:eastAsia="zh-CN"/>
              </w:rPr>
            </w:pPr>
            <w:r>
              <w:rPr>
                <w:rFonts w:ascii="宋体" w:hAnsi="宋体" w:eastAsia="宋体" w:cs="宋体"/>
                <w:color w:val="auto"/>
                <w:sz w:val="24"/>
                <w:szCs w:val="24"/>
              </w:rPr>
              <w:t>本项目电芯生产设施布置于独立洁净生产区域</w:t>
            </w:r>
            <w:r>
              <w:rPr>
                <w:rFonts w:hint="eastAsia" w:ascii="宋体" w:hAnsi="宋体" w:eastAsia="宋体" w:cs="宋体"/>
                <w:color w:val="auto"/>
                <w:sz w:val="24"/>
                <w:szCs w:val="24"/>
                <w:lang w:val="en-US" w:eastAsia="zh-CN"/>
              </w:rPr>
              <w:t>内</w:t>
            </w:r>
            <w:r>
              <w:rPr>
                <w:rFonts w:ascii="宋体" w:hAnsi="宋体" w:eastAsia="宋体" w:cs="宋体"/>
                <w:color w:val="auto"/>
                <w:sz w:val="24"/>
                <w:szCs w:val="24"/>
              </w:rPr>
              <w:t>，与办公区物理隔离</w:t>
            </w:r>
            <w:r>
              <w:rPr>
                <w:rFonts w:hint="eastAsia" w:cs="Times New Roman"/>
                <w:color w:val="auto"/>
                <w:lang w:val="en-US" w:eastAsia="zh-CN"/>
              </w:rPr>
              <w:t>，且</w:t>
            </w:r>
            <w:r>
              <w:rPr>
                <w:rFonts w:ascii="Segoe UI" w:hAnsi="Segoe UI" w:eastAsia="Segoe UI" w:cs="Segoe UI"/>
                <w:i w:val="0"/>
                <w:iCs w:val="0"/>
                <w:caps w:val="0"/>
                <w:color w:val="auto"/>
                <w:spacing w:val="0"/>
                <w:sz w:val="24"/>
                <w:szCs w:val="24"/>
                <w:shd w:val="clear" w:fill="FFFFFF"/>
              </w:rPr>
              <w:t>生产区排水管网与办公区排水管网独立敷设</w:t>
            </w:r>
            <w:r>
              <w:rPr>
                <w:rFonts w:hint="eastAsia" w:cs="Times New Roman"/>
                <w:color w:val="auto"/>
                <w:lang w:val="en-US" w:eastAsia="zh-CN"/>
              </w:rPr>
              <w:t>。因此，本项目DW002</w:t>
            </w:r>
            <w:r>
              <w:rPr>
                <w:rFonts w:hint="default" w:ascii="Times New Roman" w:hAnsi="Times New Roman" w:cs="Times New Roman"/>
                <w:color w:val="auto"/>
                <w:lang w:val="en-US" w:eastAsia="zh-CN"/>
              </w:rPr>
              <w:t>执行</w:t>
            </w:r>
            <w:r>
              <w:rPr>
                <w:rFonts w:hint="default" w:ascii="Times New Roman" w:hAnsi="Times New Roman" w:eastAsia="宋体" w:cs="Times New Roman"/>
                <w:bCs/>
                <w:color w:val="auto"/>
                <w:sz w:val="24"/>
                <w:lang w:val="en-US" w:eastAsia="zh-CN"/>
              </w:rPr>
              <w:t>《电池工业污染物排放标准》（GB 30484-2013）</w:t>
            </w:r>
            <w:r>
              <w:rPr>
                <w:rFonts w:hint="default" w:ascii="Times New Roman" w:hAnsi="Times New Roman" w:cs="Times New Roman"/>
                <w:color w:val="auto"/>
                <w:lang w:val="en-US" w:eastAsia="zh-CN"/>
              </w:rPr>
              <w:t>表2中</w:t>
            </w:r>
            <w:r>
              <w:rPr>
                <w:rFonts w:hint="eastAsia" w:cs="Times New Roman"/>
                <w:color w:val="auto"/>
                <w:lang w:val="en-US" w:eastAsia="zh-CN"/>
              </w:rPr>
              <w:t>“</w:t>
            </w:r>
            <w:r>
              <w:rPr>
                <w:rFonts w:hint="default" w:ascii="Times New Roman" w:hAnsi="Times New Roman" w:cs="Times New Roman"/>
                <w:color w:val="auto"/>
                <w:lang w:val="en-US" w:eastAsia="zh-CN"/>
              </w:rPr>
              <w:t>间接排放</w:t>
            </w:r>
            <w:r>
              <w:rPr>
                <w:rFonts w:hint="eastAsia" w:cs="Times New Roman"/>
                <w:color w:val="auto"/>
                <w:lang w:val="en-US" w:eastAsia="zh-CN"/>
              </w:rPr>
              <w:t>”</w:t>
            </w:r>
            <w:r>
              <w:rPr>
                <w:rFonts w:hint="default" w:ascii="Times New Roman" w:hAnsi="Times New Roman" w:cs="Times New Roman"/>
                <w:color w:val="auto"/>
                <w:lang w:val="en-US" w:eastAsia="zh-CN"/>
              </w:rPr>
              <w:t>限值</w:t>
            </w:r>
            <w:r>
              <w:rPr>
                <w:rFonts w:hint="eastAsia" w:cs="Times New Roman"/>
                <w:color w:val="auto"/>
                <w:lang w:val="en-US" w:eastAsia="zh-CN"/>
              </w:rPr>
              <w:t>，DW001执行</w:t>
            </w:r>
            <w:r>
              <w:rPr>
                <w:rFonts w:hint="default" w:ascii="Times New Roman" w:hAnsi="Times New Roman" w:cs="Times New Roman"/>
                <w:bCs/>
                <w:color w:val="auto"/>
                <w:sz w:val="24"/>
                <w:lang w:val="en-US" w:eastAsia="zh-CN"/>
              </w:rPr>
              <w:t>《污水综合排放标准》（GB8978-1996）三级标准</w:t>
            </w:r>
            <w:r>
              <w:rPr>
                <w:rFonts w:hint="default" w:ascii="Times New Roman" w:hAnsi="Times New Roman" w:eastAsia="宋体" w:cs="Times New Roman"/>
                <w:bCs/>
                <w:color w:val="auto"/>
                <w:sz w:val="24"/>
                <w:lang w:val="en-US" w:eastAsia="zh-CN"/>
              </w:rPr>
              <w:t>要求</w:t>
            </w:r>
            <w:r>
              <w:rPr>
                <w:rFonts w:hint="default" w:ascii="Times New Roman" w:hAnsi="Times New Roman" w:cs="Times New Roman"/>
                <w:bCs/>
                <w:color w:val="auto"/>
                <w:sz w:val="24"/>
                <w:lang w:val="en-US" w:eastAsia="zh-CN"/>
              </w:rPr>
              <w:t>。</w:t>
            </w:r>
          </w:p>
          <w:p w14:paraId="48F13ECD">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b/>
                <w:bCs/>
                <w:color w:val="auto"/>
                <w:kern w:val="0"/>
                <w:sz w:val="21"/>
                <w:szCs w:val="21"/>
                <w:highlight w:val="none"/>
              </w:rPr>
            </w:pPr>
            <w:r>
              <w:rPr>
                <w:rFonts w:hint="default" w:ascii="Times New Roman" w:hAnsi="Times New Roman" w:eastAsia="宋体" w:cs="Times New Roman"/>
                <w:b/>
                <w:bCs/>
                <w:color w:val="auto"/>
                <w:kern w:val="0"/>
                <w:sz w:val="21"/>
                <w:szCs w:val="21"/>
                <w:highlight w:val="none"/>
              </w:rPr>
              <w:t>表3-</w:t>
            </w:r>
            <w:r>
              <w:rPr>
                <w:rFonts w:hint="eastAsia" w:cs="Times New Roman"/>
                <w:b/>
                <w:bCs/>
                <w:color w:val="auto"/>
                <w:kern w:val="0"/>
                <w:sz w:val="21"/>
                <w:szCs w:val="21"/>
                <w:highlight w:val="none"/>
                <w:lang w:val="en-US" w:eastAsia="zh-CN"/>
              </w:rPr>
              <w:t>9</w:t>
            </w:r>
            <w:r>
              <w:rPr>
                <w:rFonts w:hint="default" w:ascii="Times New Roman" w:hAnsi="Times New Roman" w:eastAsia="宋体" w:cs="Times New Roman"/>
                <w:b/>
                <w:bCs/>
                <w:color w:val="auto"/>
                <w:kern w:val="0"/>
                <w:sz w:val="21"/>
                <w:szCs w:val="21"/>
                <w:highlight w:val="none"/>
              </w:rPr>
              <w:t xml:space="preserve"> </w:t>
            </w:r>
            <w:r>
              <w:rPr>
                <w:rFonts w:hint="default" w:ascii="Times New Roman" w:hAnsi="Times New Roman" w:eastAsia="宋体" w:cs="Times New Roman"/>
                <w:b/>
                <w:bCs/>
                <w:color w:val="auto"/>
                <w:kern w:val="0"/>
                <w:sz w:val="21"/>
                <w:szCs w:val="21"/>
                <w:highlight w:val="none"/>
                <w:lang w:val="en-US" w:eastAsia="zh-CN"/>
              </w:rPr>
              <w:t>《电池工业污染物排放标准》（GB 30484-2013）</w:t>
            </w:r>
            <w:r>
              <w:rPr>
                <w:rFonts w:hint="default" w:ascii="Times New Roman" w:hAnsi="Times New Roman" w:eastAsia="宋体" w:cs="Times New Roman"/>
                <w:b/>
                <w:bCs/>
                <w:color w:val="auto"/>
                <w:kern w:val="0"/>
                <w:sz w:val="21"/>
                <w:szCs w:val="21"/>
                <w:highlight w:val="none"/>
              </w:rPr>
              <w:t xml:space="preserve">    单位：mg/L</w:t>
            </w:r>
          </w:p>
          <w:tbl>
            <w:tblPr>
              <w:tblStyle w:val="41"/>
              <w:tblW w:w="8260"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23" w:type="dxa"/>
                <w:bottom w:w="0" w:type="dxa"/>
                <w:right w:w="23" w:type="dxa"/>
              </w:tblCellMar>
            </w:tblPr>
            <w:tblGrid>
              <w:gridCol w:w="952"/>
              <w:gridCol w:w="1118"/>
              <w:gridCol w:w="963"/>
              <w:gridCol w:w="685"/>
              <w:gridCol w:w="685"/>
              <w:gridCol w:w="685"/>
              <w:gridCol w:w="685"/>
              <w:gridCol w:w="687"/>
              <w:gridCol w:w="687"/>
              <w:gridCol w:w="1113"/>
            </w:tblGrid>
            <w:tr w14:paraId="49FB5A9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3" w:type="dxa"/>
                  <w:bottom w:w="0" w:type="dxa"/>
                  <w:right w:w="23" w:type="dxa"/>
                </w:tblCellMar>
              </w:tblPrEx>
              <w:trPr>
                <w:trHeight w:val="557" w:hRule="atLeast"/>
                <w:jc w:val="center"/>
              </w:trPr>
              <w:tc>
                <w:tcPr>
                  <w:tcW w:w="576" w:type="pct"/>
                  <w:noWrap w:val="0"/>
                  <w:vAlign w:val="center"/>
                </w:tcPr>
                <w:p w14:paraId="54F2B8CD">
                  <w:pPr>
                    <w:keepNext w:val="0"/>
                    <w:keepLines w:val="0"/>
                    <w:pageBreakBefore w:val="0"/>
                    <w:widowControl w:val="0"/>
                    <w:kinsoku/>
                    <w:wordWrap/>
                    <w:overflowPunct/>
                    <w:topLinePunct w:val="0"/>
                    <w:bidi w:val="0"/>
                    <w:adjustRightInd/>
                    <w:snapToGrid/>
                    <w:spacing w:line="240" w:lineRule="auto"/>
                    <w:ind w:firstLine="0" w:firstLineChars="0"/>
                    <w:jc w:val="center"/>
                    <w:textAlignment w:val="auto"/>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类别</w:t>
                  </w:r>
                </w:p>
              </w:tc>
              <w:tc>
                <w:tcPr>
                  <w:tcW w:w="676" w:type="pct"/>
                  <w:noWrap w:val="0"/>
                  <w:vAlign w:val="center"/>
                </w:tcPr>
                <w:p w14:paraId="7C525C9C">
                  <w:pPr>
                    <w:keepNext w:val="0"/>
                    <w:keepLines w:val="0"/>
                    <w:pageBreakBefore w:val="0"/>
                    <w:widowControl w:val="0"/>
                    <w:kinsoku/>
                    <w:wordWrap/>
                    <w:overflowPunct/>
                    <w:topLinePunct w:val="0"/>
                    <w:bidi w:val="0"/>
                    <w:adjustRightInd/>
                    <w:snapToGrid/>
                    <w:spacing w:line="240" w:lineRule="auto"/>
                    <w:ind w:firstLine="0" w:firstLineChars="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污染物</w:t>
                  </w:r>
                </w:p>
              </w:tc>
              <w:tc>
                <w:tcPr>
                  <w:tcW w:w="582" w:type="pct"/>
                  <w:noWrap w:val="0"/>
                  <w:vAlign w:val="center"/>
                </w:tcPr>
                <w:p w14:paraId="1D49DB94">
                  <w:pPr>
                    <w:keepNext w:val="0"/>
                    <w:keepLines w:val="0"/>
                    <w:pageBreakBefore w:val="0"/>
                    <w:widowControl w:val="0"/>
                    <w:kinsoku/>
                    <w:wordWrap/>
                    <w:overflowPunct/>
                    <w:topLinePunct w:val="0"/>
                    <w:bidi w:val="0"/>
                    <w:adjustRightInd/>
                    <w:snapToGrid/>
                    <w:spacing w:line="240" w:lineRule="auto"/>
                    <w:ind w:firstLine="0" w:firstLineChars="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pH（无量纲）</w:t>
                  </w:r>
                </w:p>
              </w:tc>
              <w:tc>
                <w:tcPr>
                  <w:tcW w:w="414" w:type="pct"/>
                  <w:noWrap w:val="0"/>
                  <w:vAlign w:val="center"/>
                </w:tcPr>
                <w:p w14:paraId="6E06E672">
                  <w:pPr>
                    <w:keepNext w:val="0"/>
                    <w:keepLines w:val="0"/>
                    <w:pageBreakBefore w:val="0"/>
                    <w:widowControl w:val="0"/>
                    <w:kinsoku/>
                    <w:wordWrap/>
                    <w:overflowPunct/>
                    <w:topLinePunct w:val="0"/>
                    <w:bidi w:val="0"/>
                    <w:adjustRightInd/>
                    <w:snapToGrid/>
                    <w:spacing w:line="240" w:lineRule="auto"/>
                    <w:ind w:firstLine="0" w:firstLineChars="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悬浮物</w:t>
                  </w:r>
                </w:p>
              </w:tc>
              <w:tc>
                <w:tcPr>
                  <w:tcW w:w="414" w:type="pct"/>
                  <w:noWrap w:val="0"/>
                  <w:vAlign w:val="center"/>
                </w:tcPr>
                <w:p w14:paraId="40ECED7D">
                  <w:pPr>
                    <w:keepNext w:val="0"/>
                    <w:keepLines w:val="0"/>
                    <w:pageBreakBefore w:val="0"/>
                    <w:widowControl w:val="0"/>
                    <w:kinsoku/>
                    <w:wordWrap/>
                    <w:overflowPunct/>
                    <w:topLinePunct w:val="0"/>
                    <w:bidi w:val="0"/>
                    <w:adjustRightInd/>
                    <w:snapToGrid/>
                    <w:spacing w:line="240" w:lineRule="auto"/>
                    <w:ind w:firstLine="0" w:firstLineChars="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BOD</w:t>
                  </w:r>
                  <w:r>
                    <w:rPr>
                      <w:rFonts w:hint="default" w:ascii="Times New Roman" w:hAnsi="Times New Roman" w:cs="Times New Roman"/>
                      <w:color w:val="auto"/>
                      <w:sz w:val="21"/>
                      <w:szCs w:val="21"/>
                      <w:vertAlign w:val="subscript"/>
                    </w:rPr>
                    <w:t>5</w:t>
                  </w:r>
                </w:p>
              </w:tc>
              <w:tc>
                <w:tcPr>
                  <w:tcW w:w="414" w:type="pct"/>
                  <w:noWrap w:val="0"/>
                  <w:vAlign w:val="center"/>
                </w:tcPr>
                <w:p w14:paraId="7A86487A">
                  <w:pPr>
                    <w:keepNext w:val="0"/>
                    <w:keepLines w:val="0"/>
                    <w:pageBreakBefore w:val="0"/>
                    <w:widowControl w:val="0"/>
                    <w:kinsoku/>
                    <w:wordWrap/>
                    <w:overflowPunct/>
                    <w:topLinePunct w:val="0"/>
                    <w:bidi w:val="0"/>
                    <w:adjustRightInd/>
                    <w:snapToGrid/>
                    <w:spacing w:line="240" w:lineRule="auto"/>
                    <w:ind w:firstLine="0" w:firstLineChars="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COD</w:t>
                  </w:r>
                  <w:r>
                    <w:rPr>
                      <w:rFonts w:hint="default" w:ascii="Times New Roman" w:hAnsi="Times New Roman" w:cs="Times New Roman"/>
                      <w:color w:val="auto"/>
                      <w:sz w:val="21"/>
                      <w:szCs w:val="21"/>
                      <w:vertAlign w:val="subscript"/>
                    </w:rPr>
                    <w:t>Cr</w:t>
                  </w:r>
                </w:p>
              </w:tc>
              <w:tc>
                <w:tcPr>
                  <w:tcW w:w="414" w:type="pct"/>
                  <w:noWrap w:val="0"/>
                  <w:vAlign w:val="center"/>
                </w:tcPr>
                <w:p w14:paraId="6AE25BC4">
                  <w:pPr>
                    <w:keepNext w:val="0"/>
                    <w:keepLines w:val="0"/>
                    <w:pageBreakBefore w:val="0"/>
                    <w:widowControl w:val="0"/>
                    <w:kinsoku/>
                    <w:wordWrap/>
                    <w:overflowPunct/>
                    <w:topLinePunct w:val="0"/>
                    <w:bidi w:val="0"/>
                    <w:adjustRightInd/>
                    <w:snapToGrid/>
                    <w:spacing w:line="240" w:lineRule="auto"/>
                    <w:ind w:firstLine="0" w:firstLineChars="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NH</w:t>
                  </w:r>
                  <w:r>
                    <w:rPr>
                      <w:rFonts w:hint="default" w:ascii="Times New Roman" w:hAnsi="Times New Roman" w:cs="Times New Roman"/>
                      <w:color w:val="auto"/>
                      <w:sz w:val="21"/>
                      <w:szCs w:val="21"/>
                      <w:vertAlign w:val="subscript"/>
                    </w:rPr>
                    <w:t>3</w:t>
                  </w:r>
                  <w:r>
                    <w:rPr>
                      <w:rFonts w:hint="default" w:ascii="Times New Roman" w:hAnsi="Times New Roman" w:cs="Times New Roman"/>
                      <w:color w:val="auto"/>
                      <w:sz w:val="21"/>
                      <w:szCs w:val="21"/>
                    </w:rPr>
                    <w:t>-N</w:t>
                  </w:r>
                </w:p>
              </w:tc>
              <w:tc>
                <w:tcPr>
                  <w:tcW w:w="415" w:type="pct"/>
                  <w:noWrap w:val="0"/>
                  <w:vAlign w:val="center"/>
                </w:tcPr>
                <w:p w14:paraId="6C3F39B0">
                  <w:pPr>
                    <w:keepNext w:val="0"/>
                    <w:keepLines w:val="0"/>
                    <w:pageBreakBefore w:val="0"/>
                    <w:widowControl w:val="0"/>
                    <w:kinsoku/>
                    <w:wordWrap/>
                    <w:overflowPunct/>
                    <w:topLinePunct w:val="0"/>
                    <w:bidi w:val="0"/>
                    <w:adjustRightInd/>
                    <w:snapToGrid/>
                    <w:spacing w:line="240" w:lineRule="auto"/>
                    <w:ind w:firstLine="0" w:firstLineChars="0"/>
                    <w:jc w:val="center"/>
                    <w:textAlignment w:val="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rPr>
                    <w:t>总磷</w:t>
                  </w:r>
                </w:p>
              </w:tc>
              <w:tc>
                <w:tcPr>
                  <w:tcW w:w="415" w:type="pct"/>
                  <w:noWrap w:val="0"/>
                  <w:vAlign w:val="center"/>
                </w:tcPr>
                <w:p w14:paraId="419E4D89">
                  <w:pPr>
                    <w:keepNext w:val="0"/>
                    <w:keepLines w:val="0"/>
                    <w:pageBreakBefore w:val="0"/>
                    <w:widowControl w:val="0"/>
                    <w:kinsoku/>
                    <w:wordWrap/>
                    <w:overflowPunct/>
                    <w:topLinePunct w:val="0"/>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lang w:val="en-US" w:eastAsia="zh-CN"/>
                    </w:rPr>
                    <w:t>TN</w:t>
                  </w:r>
                </w:p>
              </w:tc>
              <w:tc>
                <w:tcPr>
                  <w:tcW w:w="673" w:type="pct"/>
                  <w:noWrap w:val="0"/>
                  <w:vAlign w:val="center"/>
                </w:tcPr>
                <w:p w14:paraId="066559A9">
                  <w:pPr>
                    <w:keepNext w:val="0"/>
                    <w:keepLines w:val="0"/>
                    <w:pageBreakBefore w:val="0"/>
                    <w:widowControl w:val="0"/>
                    <w:kinsoku/>
                    <w:wordWrap/>
                    <w:overflowPunct/>
                    <w:topLinePunct w:val="0"/>
                    <w:bidi w:val="0"/>
                    <w:adjustRightInd/>
                    <w:snapToGrid/>
                    <w:spacing w:line="240" w:lineRule="auto"/>
                    <w:ind w:firstLine="0" w:firstLineChars="0"/>
                    <w:jc w:val="center"/>
                    <w:textAlignment w:val="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基准排水量</w:t>
                  </w:r>
                </w:p>
              </w:tc>
            </w:tr>
            <w:tr w14:paraId="402C2F9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3" w:type="dxa"/>
                  <w:bottom w:w="0" w:type="dxa"/>
                  <w:right w:w="23" w:type="dxa"/>
                </w:tblCellMar>
              </w:tblPrEx>
              <w:trPr>
                <w:trHeight w:val="386" w:hRule="atLeast"/>
                <w:jc w:val="center"/>
              </w:trPr>
              <w:tc>
                <w:tcPr>
                  <w:tcW w:w="576" w:type="pct"/>
                  <w:noWrap w:val="0"/>
                  <w:vAlign w:val="center"/>
                </w:tcPr>
                <w:p w14:paraId="7EB6B441">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lang w:val="en-US" w:eastAsia="zh-CN"/>
                    </w:rPr>
                  </w:pPr>
                  <w:r>
                    <w:rPr>
                      <w:rFonts w:hint="eastAsia" w:cs="Times New Roman"/>
                      <w:color w:val="auto"/>
                      <w:kern w:val="0"/>
                      <w:sz w:val="21"/>
                      <w:szCs w:val="21"/>
                      <w:lang w:val="en-US" w:eastAsia="zh-CN"/>
                    </w:rPr>
                    <w:t>DW002</w:t>
                  </w:r>
                </w:p>
              </w:tc>
              <w:tc>
                <w:tcPr>
                  <w:tcW w:w="676" w:type="pct"/>
                  <w:noWrap w:val="0"/>
                  <w:vAlign w:val="center"/>
                </w:tcPr>
                <w:p w14:paraId="2E28D164">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cs="Times New Roman"/>
                      <w:color w:val="auto"/>
                      <w:kern w:val="0"/>
                      <w:sz w:val="21"/>
                      <w:szCs w:val="21"/>
                    </w:rPr>
                  </w:pPr>
                  <w:r>
                    <w:rPr>
                      <w:rFonts w:hint="default" w:ascii="Times New Roman" w:hAnsi="Times New Roman" w:cs="Times New Roman"/>
                      <w:color w:val="auto"/>
                      <w:kern w:val="0"/>
                      <w:sz w:val="21"/>
                      <w:szCs w:val="21"/>
                    </w:rPr>
                    <w:t>标准</w:t>
                  </w:r>
                  <w:r>
                    <w:rPr>
                      <w:rFonts w:hint="default" w:ascii="Times New Roman" w:hAnsi="Times New Roman" w:cs="Times New Roman"/>
                      <w:color w:val="auto"/>
                      <w:kern w:val="0"/>
                      <w:sz w:val="21"/>
                      <w:szCs w:val="21"/>
                      <w:lang w:val="en-US" w:eastAsia="zh-CN"/>
                    </w:rPr>
                    <w:t>限值</w:t>
                  </w:r>
                </w:p>
              </w:tc>
              <w:tc>
                <w:tcPr>
                  <w:tcW w:w="582" w:type="pct"/>
                  <w:noWrap w:val="0"/>
                  <w:vAlign w:val="center"/>
                </w:tcPr>
                <w:p w14:paraId="5F9E8185">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lang w:val="en-US" w:eastAsia="zh-CN"/>
                    </w:rPr>
                  </w:pPr>
                  <w:r>
                    <w:rPr>
                      <w:rFonts w:hint="default" w:ascii="Times New Roman" w:hAnsi="Times New Roman" w:cs="Times New Roman"/>
                      <w:color w:val="auto"/>
                      <w:kern w:val="0"/>
                      <w:sz w:val="21"/>
                      <w:szCs w:val="21"/>
                    </w:rPr>
                    <w:t>6~9</w:t>
                  </w:r>
                </w:p>
              </w:tc>
              <w:tc>
                <w:tcPr>
                  <w:tcW w:w="414" w:type="pct"/>
                  <w:noWrap w:val="0"/>
                  <w:vAlign w:val="center"/>
                </w:tcPr>
                <w:p w14:paraId="375EECCC">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lang w:val="en-US" w:eastAsia="zh-CN"/>
                    </w:rPr>
                  </w:pPr>
                  <w:r>
                    <w:rPr>
                      <w:rFonts w:hint="default" w:ascii="Times New Roman" w:hAnsi="Times New Roman" w:cs="Times New Roman"/>
                      <w:color w:val="auto"/>
                      <w:kern w:val="0"/>
                      <w:sz w:val="21"/>
                      <w:szCs w:val="21"/>
                      <w:lang w:val="en-US" w:eastAsia="zh-CN"/>
                    </w:rPr>
                    <w:t>140</w:t>
                  </w:r>
                </w:p>
              </w:tc>
              <w:tc>
                <w:tcPr>
                  <w:tcW w:w="414" w:type="pct"/>
                  <w:noWrap w:val="0"/>
                  <w:vAlign w:val="center"/>
                </w:tcPr>
                <w:p w14:paraId="5626289C">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lang w:val="en-US" w:eastAsia="zh-CN"/>
                    </w:rPr>
                  </w:pPr>
                  <w:r>
                    <w:rPr>
                      <w:rFonts w:hint="default" w:ascii="Times New Roman" w:hAnsi="Times New Roman" w:cs="Times New Roman"/>
                      <w:color w:val="auto"/>
                      <w:kern w:val="0"/>
                      <w:sz w:val="21"/>
                      <w:szCs w:val="21"/>
                      <w:lang w:val="en-US" w:eastAsia="zh-CN"/>
                    </w:rPr>
                    <w:t>300</w:t>
                  </w:r>
                </w:p>
              </w:tc>
              <w:tc>
                <w:tcPr>
                  <w:tcW w:w="414" w:type="pct"/>
                  <w:noWrap w:val="0"/>
                  <w:vAlign w:val="center"/>
                </w:tcPr>
                <w:p w14:paraId="734CBB87">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lang w:val="en-US" w:eastAsia="zh-CN"/>
                    </w:rPr>
                  </w:pPr>
                  <w:r>
                    <w:rPr>
                      <w:rFonts w:hint="default" w:ascii="Times New Roman" w:hAnsi="Times New Roman" w:cs="Times New Roman"/>
                      <w:color w:val="auto"/>
                      <w:kern w:val="0"/>
                      <w:sz w:val="21"/>
                      <w:szCs w:val="21"/>
                      <w:lang w:val="en-US" w:eastAsia="zh-CN"/>
                    </w:rPr>
                    <w:t>150</w:t>
                  </w:r>
                </w:p>
              </w:tc>
              <w:tc>
                <w:tcPr>
                  <w:tcW w:w="414" w:type="pct"/>
                  <w:noWrap w:val="0"/>
                  <w:vAlign w:val="center"/>
                </w:tcPr>
                <w:p w14:paraId="110A8F97">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kern w:val="0"/>
                      <w:sz w:val="21"/>
                      <w:szCs w:val="21"/>
                      <w:lang w:val="en-US" w:eastAsia="zh-CN"/>
                    </w:rPr>
                    <w:t>30</w:t>
                  </w:r>
                </w:p>
              </w:tc>
              <w:tc>
                <w:tcPr>
                  <w:tcW w:w="415" w:type="pct"/>
                  <w:noWrap w:val="0"/>
                  <w:vAlign w:val="center"/>
                </w:tcPr>
                <w:p w14:paraId="270F7A94">
                  <w:pPr>
                    <w:keepNext w:val="0"/>
                    <w:keepLines w:val="0"/>
                    <w:pageBreakBefore w:val="0"/>
                    <w:widowControl w:val="0"/>
                    <w:kinsoku/>
                    <w:wordWrap/>
                    <w:overflowPunct/>
                    <w:topLinePunct w:val="0"/>
                    <w:bidi w:val="0"/>
                    <w:adjustRightInd/>
                    <w:snapToGrid/>
                    <w:spacing w:line="240" w:lineRule="auto"/>
                    <w:ind w:firstLine="0" w:firstLineChars="0"/>
                    <w:jc w:val="center"/>
                    <w:textAlignment w:val="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2.0</w:t>
                  </w:r>
                </w:p>
              </w:tc>
              <w:tc>
                <w:tcPr>
                  <w:tcW w:w="415" w:type="pct"/>
                  <w:noWrap w:val="0"/>
                  <w:vAlign w:val="center"/>
                </w:tcPr>
                <w:p w14:paraId="688EF5B5">
                  <w:pPr>
                    <w:keepNext w:val="0"/>
                    <w:keepLines w:val="0"/>
                    <w:pageBreakBefore w:val="0"/>
                    <w:widowControl w:val="0"/>
                    <w:kinsoku/>
                    <w:wordWrap/>
                    <w:overflowPunct/>
                    <w:topLinePunct w:val="0"/>
                    <w:bidi w:val="0"/>
                    <w:adjustRightInd/>
                    <w:snapToGrid/>
                    <w:spacing w:line="240" w:lineRule="auto"/>
                    <w:ind w:firstLine="0" w:firstLineChars="0"/>
                    <w:jc w:val="center"/>
                    <w:textAlignment w:val="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40</w:t>
                  </w:r>
                </w:p>
              </w:tc>
              <w:tc>
                <w:tcPr>
                  <w:tcW w:w="673" w:type="pct"/>
                  <w:noWrap w:val="0"/>
                  <w:vAlign w:val="center"/>
                </w:tcPr>
                <w:p w14:paraId="6698EF5F">
                  <w:pPr>
                    <w:keepNext w:val="0"/>
                    <w:keepLines w:val="0"/>
                    <w:pageBreakBefore w:val="0"/>
                    <w:widowControl w:val="0"/>
                    <w:kinsoku/>
                    <w:wordWrap/>
                    <w:overflowPunct/>
                    <w:topLinePunct w:val="0"/>
                    <w:bidi w:val="0"/>
                    <w:adjustRightInd/>
                    <w:snapToGrid/>
                    <w:spacing w:line="240" w:lineRule="auto"/>
                    <w:ind w:firstLine="0" w:firstLineChars="0"/>
                    <w:jc w:val="center"/>
                    <w:textAlignment w:val="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0.8</w:t>
                  </w:r>
                  <w:r>
                    <w:rPr>
                      <w:rFonts w:hint="eastAsia" w:cs="Times New Roman"/>
                      <w:color w:val="auto"/>
                      <w:sz w:val="21"/>
                      <w:szCs w:val="21"/>
                      <w:lang w:val="en-US" w:eastAsia="zh-CN"/>
                    </w:rPr>
                    <w:t>m</w:t>
                  </w:r>
                  <w:r>
                    <w:rPr>
                      <w:rFonts w:hint="eastAsia" w:cs="Times New Roman"/>
                      <w:color w:val="auto"/>
                      <w:sz w:val="21"/>
                      <w:szCs w:val="21"/>
                      <w:vertAlign w:val="superscript"/>
                      <w:lang w:val="en-US" w:eastAsia="zh-CN"/>
                    </w:rPr>
                    <w:t>3</w:t>
                  </w:r>
                  <w:r>
                    <w:rPr>
                      <w:rFonts w:hint="default" w:ascii="Times New Roman" w:hAnsi="Times New Roman" w:cs="Times New Roman"/>
                      <w:color w:val="auto"/>
                      <w:sz w:val="21"/>
                      <w:szCs w:val="21"/>
                      <w:lang w:val="en-US" w:eastAsia="zh-CN"/>
                    </w:rPr>
                    <w:t>/万</w:t>
                  </w:r>
                  <w:r>
                    <w:rPr>
                      <w:rFonts w:hint="eastAsia" w:cs="Times New Roman"/>
                      <w:color w:val="auto"/>
                      <w:sz w:val="21"/>
                      <w:szCs w:val="21"/>
                      <w:lang w:val="en-US" w:eastAsia="zh-CN"/>
                    </w:rPr>
                    <w:t>Ah</w:t>
                  </w:r>
                </w:p>
              </w:tc>
            </w:tr>
            <w:tr w14:paraId="379F012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3" w:type="dxa"/>
                  <w:bottom w:w="0" w:type="dxa"/>
                  <w:right w:w="23" w:type="dxa"/>
                </w:tblCellMar>
              </w:tblPrEx>
              <w:trPr>
                <w:trHeight w:val="386" w:hRule="atLeast"/>
                <w:jc w:val="center"/>
              </w:trPr>
              <w:tc>
                <w:tcPr>
                  <w:tcW w:w="576" w:type="pct"/>
                  <w:noWrap w:val="0"/>
                  <w:vAlign w:val="center"/>
                </w:tcPr>
                <w:p w14:paraId="6A00D5F1">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cs="Times New Roman"/>
                      <w:color w:val="auto"/>
                      <w:kern w:val="0"/>
                      <w:sz w:val="21"/>
                      <w:szCs w:val="21"/>
                      <w:lang w:val="en-US" w:eastAsia="zh-CN"/>
                    </w:rPr>
                  </w:pPr>
                  <w:r>
                    <w:rPr>
                      <w:rFonts w:hint="eastAsia" w:cs="Times New Roman"/>
                      <w:color w:val="auto"/>
                      <w:kern w:val="0"/>
                      <w:sz w:val="21"/>
                      <w:szCs w:val="21"/>
                      <w:lang w:val="en-US" w:eastAsia="zh-CN"/>
                    </w:rPr>
                    <w:t>DW001</w:t>
                  </w:r>
                </w:p>
              </w:tc>
              <w:tc>
                <w:tcPr>
                  <w:tcW w:w="676" w:type="pct"/>
                  <w:noWrap w:val="0"/>
                  <w:vAlign w:val="center"/>
                </w:tcPr>
                <w:p w14:paraId="5EE3C4E8">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cs="Times New Roman"/>
                      <w:color w:val="auto"/>
                      <w:kern w:val="0"/>
                      <w:sz w:val="21"/>
                      <w:szCs w:val="21"/>
                    </w:rPr>
                  </w:pPr>
                  <w:r>
                    <w:rPr>
                      <w:rFonts w:hint="default" w:ascii="Times New Roman" w:hAnsi="Times New Roman" w:cs="Times New Roman"/>
                      <w:color w:val="auto"/>
                      <w:kern w:val="0"/>
                      <w:sz w:val="21"/>
                      <w:szCs w:val="21"/>
                    </w:rPr>
                    <w:t>标准</w:t>
                  </w:r>
                  <w:r>
                    <w:rPr>
                      <w:rFonts w:hint="default" w:ascii="Times New Roman" w:hAnsi="Times New Roman" w:cs="Times New Roman"/>
                      <w:color w:val="auto"/>
                      <w:kern w:val="0"/>
                      <w:sz w:val="21"/>
                      <w:szCs w:val="21"/>
                      <w:lang w:val="en-US" w:eastAsia="zh-CN"/>
                    </w:rPr>
                    <w:t>限值</w:t>
                  </w:r>
                </w:p>
              </w:tc>
              <w:tc>
                <w:tcPr>
                  <w:tcW w:w="582" w:type="pct"/>
                  <w:noWrap w:val="0"/>
                  <w:vAlign w:val="center"/>
                </w:tcPr>
                <w:p w14:paraId="498CBFAD">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cs="Times New Roman"/>
                      <w:color w:val="auto"/>
                      <w:kern w:val="0"/>
                      <w:sz w:val="21"/>
                      <w:szCs w:val="21"/>
                    </w:rPr>
                  </w:pPr>
                  <w:r>
                    <w:rPr>
                      <w:rFonts w:hint="default" w:ascii="Times New Roman" w:hAnsi="Times New Roman" w:cs="Times New Roman"/>
                      <w:color w:val="auto"/>
                      <w:kern w:val="0"/>
                      <w:sz w:val="21"/>
                      <w:szCs w:val="21"/>
                    </w:rPr>
                    <w:t>6~9</w:t>
                  </w:r>
                </w:p>
              </w:tc>
              <w:tc>
                <w:tcPr>
                  <w:tcW w:w="414" w:type="pct"/>
                  <w:noWrap w:val="0"/>
                  <w:vAlign w:val="center"/>
                </w:tcPr>
                <w:p w14:paraId="7CEEE3C5">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cs="Times New Roman"/>
                      <w:color w:val="auto"/>
                      <w:kern w:val="0"/>
                      <w:sz w:val="21"/>
                      <w:szCs w:val="21"/>
                      <w:lang w:val="en-US" w:eastAsia="zh-CN"/>
                    </w:rPr>
                  </w:pPr>
                  <w:r>
                    <w:rPr>
                      <w:rFonts w:hint="eastAsia" w:ascii="Times New Roman" w:hAnsi="Times New Roman" w:cs="Times New Roman"/>
                      <w:color w:val="auto"/>
                      <w:kern w:val="0"/>
                      <w:sz w:val="21"/>
                      <w:szCs w:val="21"/>
                      <w:lang w:val="en-US" w:eastAsia="zh-CN"/>
                    </w:rPr>
                    <w:t>400</w:t>
                  </w:r>
                </w:p>
              </w:tc>
              <w:tc>
                <w:tcPr>
                  <w:tcW w:w="414" w:type="pct"/>
                  <w:noWrap w:val="0"/>
                  <w:vAlign w:val="center"/>
                </w:tcPr>
                <w:p w14:paraId="054ADAF5">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cs="Times New Roman"/>
                      <w:color w:val="auto"/>
                      <w:kern w:val="0"/>
                      <w:sz w:val="21"/>
                      <w:szCs w:val="21"/>
                      <w:lang w:val="en-US" w:eastAsia="zh-CN"/>
                    </w:rPr>
                  </w:pPr>
                  <w:r>
                    <w:rPr>
                      <w:rFonts w:hint="eastAsia" w:ascii="Times New Roman" w:hAnsi="Times New Roman" w:cs="Times New Roman"/>
                      <w:color w:val="auto"/>
                      <w:kern w:val="0"/>
                      <w:sz w:val="21"/>
                      <w:szCs w:val="21"/>
                      <w:lang w:val="en-US" w:eastAsia="zh-CN"/>
                    </w:rPr>
                    <w:t>300</w:t>
                  </w:r>
                </w:p>
              </w:tc>
              <w:tc>
                <w:tcPr>
                  <w:tcW w:w="414" w:type="pct"/>
                  <w:noWrap w:val="0"/>
                  <w:vAlign w:val="center"/>
                </w:tcPr>
                <w:p w14:paraId="298646F0">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cs="Times New Roman"/>
                      <w:color w:val="auto"/>
                      <w:kern w:val="0"/>
                      <w:sz w:val="21"/>
                      <w:szCs w:val="21"/>
                      <w:lang w:val="en-US" w:eastAsia="zh-CN"/>
                    </w:rPr>
                  </w:pPr>
                  <w:r>
                    <w:rPr>
                      <w:rFonts w:hint="eastAsia" w:ascii="Times New Roman" w:hAnsi="Times New Roman" w:cs="Times New Roman"/>
                      <w:color w:val="auto"/>
                      <w:kern w:val="0"/>
                      <w:sz w:val="21"/>
                      <w:szCs w:val="21"/>
                      <w:lang w:val="en-US" w:eastAsia="zh-CN"/>
                    </w:rPr>
                    <w:t>500</w:t>
                  </w:r>
                </w:p>
              </w:tc>
              <w:tc>
                <w:tcPr>
                  <w:tcW w:w="414" w:type="pct"/>
                  <w:noWrap w:val="0"/>
                  <w:vAlign w:val="center"/>
                </w:tcPr>
                <w:p w14:paraId="1902EB19">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cs="Times New Roman"/>
                      <w:color w:val="auto"/>
                      <w:kern w:val="0"/>
                      <w:sz w:val="21"/>
                      <w:szCs w:val="21"/>
                      <w:lang w:val="en-US" w:eastAsia="zh-CN"/>
                    </w:rPr>
                  </w:pPr>
                  <w:r>
                    <w:rPr>
                      <w:rFonts w:hint="eastAsia" w:ascii="Times New Roman" w:hAnsi="Times New Roman" w:cs="Times New Roman"/>
                      <w:color w:val="auto"/>
                      <w:kern w:val="0"/>
                      <w:sz w:val="21"/>
                      <w:szCs w:val="21"/>
                      <w:lang w:val="en-US" w:eastAsia="zh-CN"/>
                    </w:rPr>
                    <w:t>45</w:t>
                  </w:r>
                </w:p>
              </w:tc>
              <w:tc>
                <w:tcPr>
                  <w:tcW w:w="415" w:type="pct"/>
                  <w:noWrap w:val="0"/>
                  <w:vAlign w:val="center"/>
                </w:tcPr>
                <w:p w14:paraId="4FC927E2">
                  <w:pPr>
                    <w:keepNext w:val="0"/>
                    <w:keepLines w:val="0"/>
                    <w:pageBreakBefore w:val="0"/>
                    <w:widowControl w:val="0"/>
                    <w:kinsoku/>
                    <w:wordWrap/>
                    <w:overflowPunct/>
                    <w:topLinePunct w:val="0"/>
                    <w:bidi w:val="0"/>
                    <w:adjustRightInd/>
                    <w:snapToGrid/>
                    <w:spacing w:line="240" w:lineRule="auto"/>
                    <w:ind w:firstLine="0" w:firstLineChars="0"/>
                    <w:jc w:val="center"/>
                    <w:textAlignment w:val="auto"/>
                    <w:rPr>
                      <w:rFonts w:hint="default"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8</w:t>
                  </w:r>
                </w:p>
              </w:tc>
              <w:tc>
                <w:tcPr>
                  <w:tcW w:w="415" w:type="pct"/>
                  <w:noWrap w:val="0"/>
                  <w:vAlign w:val="center"/>
                </w:tcPr>
                <w:p w14:paraId="5709CDB9">
                  <w:pPr>
                    <w:keepNext w:val="0"/>
                    <w:keepLines w:val="0"/>
                    <w:pageBreakBefore w:val="0"/>
                    <w:widowControl w:val="0"/>
                    <w:kinsoku/>
                    <w:wordWrap/>
                    <w:overflowPunct/>
                    <w:topLinePunct w:val="0"/>
                    <w:bidi w:val="0"/>
                    <w:adjustRightInd/>
                    <w:snapToGrid/>
                    <w:spacing w:line="240" w:lineRule="auto"/>
                    <w:ind w:firstLine="0" w:firstLineChars="0"/>
                    <w:jc w:val="center"/>
                    <w:textAlignment w:val="auto"/>
                    <w:rPr>
                      <w:rFonts w:hint="default" w:ascii="Times New Roman" w:hAnsi="Times New Roman" w:cs="Times New Roman"/>
                      <w:color w:val="auto"/>
                      <w:sz w:val="21"/>
                      <w:szCs w:val="21"/>
                      <w:lang w:val="en-US" w:eastAsia="zh-CN"/>
                    </w:rPr>
                  </w:pPr>
                  <w:r>
                    <w:rPr>
                      <w:rFonts w:hint="eastAsia" w:cs="Times New Roman"/>
                      <w:color w:val="auto"/>
                      <w:sz w:val="21"/>
                      <w:szCs w:val="21"/>
                      <w:lang w:val="en-US" w:eastAsia="zh-CN"/>
                    </w:rPr>
                    <w:t>70</w:t>
                  </w:r>
                </w:p>
              </w:tc>
              <w:tc>
                <w:tcPr>
                  <w:tcW w:w="673" w:type="pct"/>
                  <w:noWrap w:val="0"/>
                  <w:vAlign w:val="center"/>
                </w:tcPr>
                <w:p w14:paraId="556B372F">
                  <w:pPr>
                    <w:keepNext w:val="0"/>
                    <w:keepLines w:val="0"/>
                    <w:pageBreakBefore w:val="0"/>
                    <w:widowControl w:val="0"/>
                    <w:kinsoku/>
                    <w:wordWrap/>
                    <w:overflowPunct/>
                    <w:topLinePunct w:val="0"/>
                    <w:bidi w:val="0"/>
                    <w:adjustRightInd/>
                    <w:snapToGrid/>
                    <w:spacing w:line="240" w:lineRule="auto"/>
                    <w:ind w:firstLine="0" w:firstLineChars="0"/>
                    <w:jc w:val="center"/>
                    <w:textAlignment w:val="auto"/>
                    <w:rPr>
                      <w:rFonts w:hint="default" w:ascii="Times New Roman" w:hAnsi="Times New Roman" w:cs="Times New Roman"/>
                      <w:color w:val="auto"/>
                      <w:sz w:val="21"/>
                      <w:szCs w:val="21"/>
                      <w:lang w:val="en-US" w:eastAsia="zh-CN"/>
                    </w:rPr>
                  </w:pPr>
                  <w:r>
                    <w:rPr>
                      <w:rFonts w:hint="eastAsia" w:cs="Times New Roman"/>
                      <w:color w:val="auto"/>
                      <w:sz w:val="21"/>
                      <w:szCs w:val="21"/>
                      <w:lang w:val="en-US" w:eastAsia="zh-CN"/>
                    </w:rPr>
                    <w:t>/</w:t>
                  </w:r>
                </w:p>
              </w:tc>
            </w:tr>
            <w:tr w14:paraId="58C6C83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3" w:type="dxa"/>
                  <w:bottom w:w="0" w:type="dxa"/>
                  <w:right w:w="23" w:type="dxa"/>
                </w:tblCellMar>
              </w:tblPrEx>
              <w:trPr>
                <w:trHeight w:val="386" w:hRule="atLeast"/>
                <w:jc w:val="center"/>
              </w:trPr>
              <w:tc>
                <w:tcPr>
                  <w:tcW w:w="5000" w:type="pct"/>
                  <w:gridSpan w:val="10"/>
                  <w:noWrap w:val="0"/>
                  <w:vAlign w:val="center"/>
                </w:tcPr>
                <w:p w14:paraId="0D005D10">
                  <w:pPr>
                    <w:keepNext w:val="0"/>
                    <w:keepLines w:val="0"/>
                    <w:pageBreakBefore w:val="0"/>
                    <w:widowControl w:val="0"/>
                    <w:kinsoku/>
                    <w:wordWrap/>
                    <w:overflowPunct/>
                    <w:topLinePunct w:val="0"/>
                    <w:bidi w:val="0"/>
                    <w:adjustRightInd/>
                    <w:snapToGrid/>
                    <w:spacing w:line="240" w:lineRule="auto"/>
                    <w:ind w:firstLine="0" w:firstLineChars="0"/>
                    <w:jc w:val="both"/>
                    <w:textAlignment w:val="auto"/>
                    <w:rPr>
                      <w:rFonts w:hint="default" w:ascii="Times New Roman" w:hAnsi="Times New Roman" w:cs="Times New Roman"/>
                      <w:color w:val="auto"/>
                      <w:sz w:val="21"/>
                      <w:szCs w:val="21"/>
                      <w:lang w:val="en-US" w:eastAsia="zh-CN"/>
                    </w:rPr>
                  </w:pPr>
                  <w:r>
                    <w:rPr>
                      <w:rFonts w:hint="eastAsia" w:cs="Times New Roman"/>
                      <w:color w:val="auto"/>
                      <w:sz w:val="21"/>
                      <w:szCs w:val="21"/>
                      <w:lang w:val="en-US" w:eastAsia="zh-CN"/>
                    </w:rPr>
                    <w:t>注：</w:t>
                  </w:r>
                  <w:r>
                    <w:rPr>
                      <w:rFonts w:hint="default" w:ascii="Times New Roman" w:hAnsi="Times New Roman" w:cs="Times New Roman"/>
                      <w:color w:val="auto"/>
                      <w:sz w:val="21"/>
                      <w:szCs w:val="21"/>
                      <w:lang w:val="en-US" w:eastAsia="zh-CN"/>
                    </w:rPr>
                    <w:t>由于</w:t>
                  </w:r>
                  <w:r>
                    <w:rPr>
                      <w:rFonts w:hint="default" w:ascii="Times New Roman" w:hAnsi="Times New Roman" w:eastAsia="宋体" w:cs="Times New Roman"/>
                      <w:color w:val="auto"/>
                      <w:sz w:val="21"/>
                      <w:szCs w:val="21"/>
                      <w:lang w:val="en-US" w:eastAsia="zh-CN"/>
                    </w:rPr>
                    <w:t>《电池工业污染物排放标准》（GB 30484-2013）标</w:t>
                  </w:r>
                  <w:r>
                    <w:rPr>
                      <w:rFonts w:hint="default" w:ascii="Times New Roman" w:hAnsi="Times New Roman" w:cs="Times New Roman"/>
                      <w:color w:val="auto"/>
                      <w:sz w:val="21"/>
                      <w:szCs w:val="21"/>
                      <w:lang w:val="en-US" w:eastAsia="zh-CN"/>
                    </w:rPr>
                    <w:t>准中未对BOD</w:t>
                  </w:r>
                  <w:r>
                    <w:rPr>
                      <w:rFonts w:hint="default" w:ascii="Times New Roman" w:hAnsi="Times New Roman" w:cs="Times New Roman"/>
                      <w:color w:val="auto"/>
                      <w:sz w:val="21"/>
                      <w:szCs w:val="21"/>
                      <w:vertAlign w:val="subscript"/>
                      <w:lang w:val="en-US" w:eastAsia="zh-CN"/>
                    </w:rPr>
                    <w:t>5</w:t>
                  </w:r>
                  <w:r>
                    <w:rPr>
                      <w:rFonts w:hint="default" w:ascii="Times New Roman" w:hAnsi="Times New Roman" w:cs="Times New Roman"/>
                      <w:color w:val="auto"/>
                      <w:sz w:val="21"/>
                      <w:szCs w:val="21"/>
                      <w:lang w:val="en-US" w:eastAsia="zh-CN"/>
                    </w:rPr>
                    <w:t>作出规定，因此BOD</w:t>
                  </w:r>
                  <w:r>
                    <w:rPr>
                      <w:rFonts w:hint="default" w:ascii="Times New Roman" w:hAnsi="Times New Roman" w:cs="Times New Roman"/>
                      <w:color w:val="auto"/>
                      <w:sz w:val="21"/>
                      <w:szCs w:val="21"/>
                      <w:vertAlign w:val="subscript"/>
                      <w:lang w:val="en-US" w:eastAsia="zh-CN"/>
                    </w:rPr>
                    <w:t>5</w:t>
                  </w:r>
                  <w:r>
                    <w:rPr>
                      <w:rFonts w:hint="default" w:ascii="Times New Roman" w:hAnsi="Times New Roman" w:cs="Times New Roman"/>
                      <w:color w:val="auto"/>
                      <w:sz w:val="21"/>
                      <w:szCs w:val="21"/>
                      <w:lang w:val="en-US" w:eastAsia="zh-CN"/>
                    </w:rPr>
                    <w:t>执行</w:t>
                  </w:r>
                  <w:r>
                    <w:rPr>
                      <w:rFonts w:hint="default" w:ascii="Times New Roman" w:hAnsi="Times New Roman" w:eastAsia="宋体" w:cs="Times New Roman"/>
                      <w:bCs/>
                      <w:color w:val="auto"/>
                      <w:sz w:val="21"/>
                      <w:szCs w:val="21"/>
                      <w:lang w:val="en-US" w:eastAsia="zh-CN"/>
                    </w:rPr>
                    <w:t>巴中经开区污水处理厂进水水质标准</w:t>
                  </w:r>
                  <w:r>
                    <w:rPr>
                      <w:rFonts w:hint="default" w:ascii="Times New Roman" w:hAnsi="Times New Roman" w:cs="Times New Roman"/>
                      <w:bCs/>
                      <w:color w:val="auto"/>
                      <w:sz w:val="21"/>
                      <w:szCs w:val="21"/>
                      <w:lang w:val="en-US" w:eastAsia="zh-CN"/>
                    </w:rPr>
                    <w:t>（即《污水综合排放标准》（GB8978-1996）三级标准）</w:t>
                  </w:r>
                  <w:r>
                    <w:rPr>
                      <w:rFonts w:hint="default" w:ascii="Times New Roman" w:hAnsi="Times New Roman" w:eastAsia="宋体" w:cs="Times New Roman"/>
                      <w:bCs/>
                      <w:color w:val="auto"/>
                      <w:sz w:val="21"/>
                      <w:szCs w:val="21"/>
                      <w:lang w:val="en-US" w:eastAsia="zh-CN"/>
                    </w:rPr>
                    <w:t>要求</w:t>
                  </w:r>
                  <w:r>
                    <w:rPr>
                      <w:rFonts w:hint="eastAsia" w:cs="Times New Roman"/>
                      <w:bCs/>
                      <w:color w:val="auto"/>
                      <w:sz w:val="21"/>
                      <w:szCs w:val="21"/>
                      <w:lang w:val="en-US" w:eastAsia="zh-CN"/>
                    </w:rPr>
                    <w:t>。</w:t>
                  </w:r>
                </w:p>
              </w:tc>
            </w:tr>
          </w:tbl>
          <w:p w14:paraId="043EA90D">
            <w:pPr>
              <w:pStyle w:val="66"/>
              <w:spacing w:line="360" w:lineRule="auto"/>
              <w:ind w:firstLine="482"/>
              <w:rPr>
                <w:rFonts w:hint="eastAsia" w:ascii="Times New Roman" w:hAnsi="Times New Roman" w:eastAsia="宋体" w:cs="Times New Roman"/>
                <w:b/>
                <w:bCs/>
                <w:color w:val="auto"/>
              </w:rPr>
            </w:pPr>
            <w:r>
              <w:rPr>
                <w:rFonts w:hint="eastAsia" w:ascii="Times New Roman" w:hAnsi="Times New Roman" w:eastAsia="宋体" w:cs="Times New Roman"/>
                <w:b/>
                <w:bCs/>
                <w:color w:val="auto"/>
              </w:rPr>
              <w:t>3、噪声</w:t>
            </w:r>
          </w:p>
          <w:p w14:paraId="23615B7E">
            <w:pPr>
              <w:keepLines w:val="0"/>
              <w:pageBreakBefore w:val="0"/>
              <w:kinsoku/>
              <w:wordWrap/>
              <w:overflowPunct/>
              <w:topLinePunct w:val="0"/>
              <w:bidi w:val="0"/>
              <w:spacing w:line="360" w:lineRule="auto"/>
              <w:ind w:firstLine="480" w:firstLineChars="200"/>
              <w:textAlignment w:val="auto"/>
              <w:rPr>
                <w:rFonts w:hint="default" w:ascii="Times New Roman" w:hAnsi="Times New Roman" w:eastAsia="宋体" w:cs="Times New Roman"/>
                <w:color w:val="auto"/>
                <w:kern w:val="0"/>
                <w:sz w:val="24"/>
                <w:szCs w:val="24"/>
                <w:lang w:val="en-US" w:eastAsia="zh-CN" w:bidi="ar-SA"/>
              </w:rPr>
            </w:pPr>
            <w:r>
              <w:rPr>
                <w:rFonts w:hint="default" w:ascii="Times New Roman" w:hAnsi="Times New Roman" w:eastAsia="宋体" w:cs="Times New Roman"/>
                <w:color w:val="auto"/>
                <w:kern w:val="0"/>
                <w:sz w:val="24"/>
                <w:szCs w:val="24"/>
                <w:lang w:val="en-US" w:eastAsia="zh-CN" w:bidi="ar-SA"/>
              </w:rPr>
              <w:t>施工期噪声执行《建筑施工噪声排放标准》（GB12523-2025）标准。营运期厂界噪声执行《工业企业厂界环境噪声排放标准》（GB12348-2008）3类标准。</w:t>
            </w:r>
          </w:p>
          <w:p w14:paraId="2F44B761">
            <w:pPr>
              <w:keepLines w:val="0"/>
              <w:pageBreakBefore w:val="0"/>
              <w:kinsoku/>
              <w:wordWrap/>
              <w:overflowPunct/>
              <w:topLinePunct w:val="0"/>
              <w:bidi w:val="0"/>
              <w:spacing w:line="360" w:lineRule="auto"/>
              <w:ind w:firstLine="480" w:firstLineChars="200"/>
              <w:textAlignment w:val="auto"/>
              <w:rPr>
                <w:rFonts w:hint="default" w:ascii="Times New Roman" w:hAnsi="Times New Roman" w:eastAsia="宋体" w:cs="Times New Roman"/>
                <w:color w:val="auto"/>
                <w:kern w:val="0"/>
                <w:sz w:val="24"/>
                <w:szCs w:val="24"/>
                <w:lang w:val="en-US" w:eastAsia="zh-CN" w:bidi="ar-SA"/>
              </w:rPr>
            </w:pPr>
            <w:r>
              <w:rPr>
                <w:rFonts w:hint="default" w:ascii="Times New Roman" w:hAnsi="Times New Roman" w:eastAsia="宋体" w:cs="Times New Roman"/>
                <w:color w:val="auto"/>
                <w:kern w:val="0"/>
                <w:sz w:val="24"/>
                <w:szCs w:val="24"/>
                <w:lang w:val="en-US" w:eastAsia="zh-CN" w:bidi="ar-SA"/>
              </w:rPr>
              <w:t>项目噪声执行标准具体见下表所示。</w:t>
            </w:r>
          </w:p>
          <w:p w14:paraId="01EFE07E">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b/>
                <w:bCs/>
                <w:color w:val="auto"/>
                <w:kern w:val="0"/>
                <w:sz w:val="21"/>
                <w:szCs w:val="21"/>
                <w:highlight w:val="none"/>
              </w:rPr>
            </w:pPr>
            <w:r>
              <w:rPr>
                <w:rFonts w:hint="default" w:ascii="Times New Roman" w:hAnsi="Times New Roman" w:eastAsia="宋体" w:cs="Times New Roman"/>
                <w:b/>
                <w:bCs/>
                <w:color w:val="auto"/>
                <w:kern w:val="0"/>
                <w:sz w:val="21"/>
                <w:szCs w:val="21"/>
                <w:highlight w:val="none"/>
              </w:rPr>
              <w:t>表</w:t>
            </w:r>
            <w:r>
              <w:rPr>
                <w:rFonts w:hint="default" w:ascii="Times New Roman" w:hAnsi="Times New Roman" w:eastAsia="宋体" w:cs="Times New Roman"/>
                <w:b/>
                <w:bCs/>
                <w:color w:val="auto"/>
                <w:kern w:val="0"/>
                <w:sz w:val="21"/>
                <w:szCs w:val="21"/>
                <w:highlight w:val="none"/>
                <w:lang w:val="en-US" w:eastAsia="zh-CN"/>
              </w:rPr>
              <w:t>3-</w:t>
            </w:r>
            <w:r>
              <w:rPr>
                <w:rFonts w:hint="eastAsia" w:cs="Times New Roman"/>
                <w:b/>
                <w:bCs/>
                <w:color w:val="auto"/>
                <w:kern w:val="0"/>
                <w:sz w:val="21"/>
                <w:szCs w:val="21"/>
                <w:highlight w:val="none"/>
                <w:lang w:val="en-US" w:eastAsia="zh-CN"/>
              </w:rPr>
              <w:t>10</w:t>
            </w:r>
            <w:r>
              <w:rPr>
                <w:rFonts w:hint="eastAsia" w:ascii="Times New Roman" w:hAnsi="Times New Roman" w:cs="Times New Roman"/>
                <w:b/>
                <w:bCs/>
                <w:color w:val="auto"/>
                <w:kern w:val="0"/>
                <w:sz w:val="21"/>
                <w:szCs w:val="21"/>
                <w:highlight w:val="none"/>
                <w:lang w:val="en-US" w:eastAsia="zh-CN"/>
              </w:rPr>
              <w:t xml:space="preserve"> </w:t>
            </w:r>
            <w:r>
              <w:rPr>
                <w:rFonts w:hint="default" w:ascii="Times New Roman" w:hAnsi="Times New Roman" w:eastAsia="宋体" w:cs="Times New Roman"/>
                <w:b/>
                <w:bCs/>
                <w:color w:val="auto"/>
                <w:kern w:val="0"/>
                <w:sz w:val="21"/>
                <w:szCs w:val="21"/>
                <w:highlight w:val="none"/>
                <w:lang w:eastAsia="zh-CN"/>
              </w:rPr>
              <w:t>噪声排放标准</w:t>
            </w:r>
            <w:r>
              <w:rPr>
                <w:rFonts w:hint="eastAsia" w:cs="Times New Roman"/>
                <w:b/>
                <w:bCs/>
                <w:color w:val="auto"/>
                <w:kern w:val="0"/>
                <w:sz w:val="21"/>
                <w:szCs w:val="21"/>
                <w:highlight w:val="none"/>
                <w:lang w:val="en-US" w:eastAsia="zh-CN"/>
              </w:rPr>
              <w:t xml:space="preserve"> </w:t>
            </w:r>
            <w:r>
              <w:rPr>
                <w:rFonts w:hint="default" w:ascii="Times New Roman" w:hAnsi="Times New Roman" w:eastAsia="宋体" w:cs="Times New Roman"/>
                <w:b/>
                <w:bCs/>
                <w:color w:val="auto"/>
                <w:kern w:val="0"/>
                <w:sz w:val="21"/>
                <w:szCs w:val="21"/>
                <w:highlight w:val="none"/>
              </w:rPr>
              <w:t>单位：dB（A）</w:t>
            </w:r>
          </w:p>
          <w:tbl>
            <w:tblPr>
              <w:tblStyle w:val="41"/>
              <w:tblW w:w="499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363"/>
              <w:gridCol w:w="2400"/>
              <w:gridCol w:w="1167"/>
              <w:gridCol w:w="1117"/>
              <w:gridCol w:w="1116"/>
              <w:gridCol w:w="1110"/>
            </w:tblGrid>
            <w:tr w14:paraId="2C71B3B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274" w:type="pct"/>
                  <w:gridSpan w:val="2"/>
                  <w:vAlign w:val="center"/>
                </w:tcPr>
                <w:p w14:paraId="3CBD831A">
                  <w:pPr>
                    <w:keepLines w:val="0"/>
                    <w:pageBreakBefore w:val="0"/>
                    <w:kinsoku/>
                    <w:wordWrap/>
                    <w:overflowPunct/>
                    <w:topLinePunct w:val="0"/>
                    <w:bidi w:val="0"/>
                    <w:spacing w:line="240" w:lineRule="auto"/>
                    <w:ind w:firstLine="0" w:firstLineChars="0"/>
                    <w:jc w:val="center"/>
                    <w:textAlignment w:val="auto"/>
                    <w:rPr>
                      <w:rFonts w:hint="default" w:ascii="Times New Roman" w:hAnsi="Times New Roman" w:eastAsia="宋体" w:cs="Times New Roman"/>
                      <w:b/>
                      <w:color w:val="auto"/>
                      <w:sz w:val="21"/>
                      <w:szCs w:val="21"/>
                    </w:rPr>
                  </w:pPr>
                  <w:r>
                    <w:rPr>
                      <w:rFonts w:hint="default" w:ascii="Times New Roman" w:hAnsi="Times New Roman" w:eastAsia="宋体" w:cs="Times New Roman"/>
                      <w:b/>
                      <w:color w:val="auto"/>
                      <w:sz w:val="21"/>
                      <w:szCs w:val="21"/>
                    </w:rPr>
                    <w:t>执行标准</w:t>
                  </w:r>
                </w:p>
              </w:tc>
              <w:tc>
                <w:tcPr>
                  <w:tcW w:w="2725" w:type="pct"/>
                  <w:gridSpan w:val="4"/>
                  <w:vAlign w:val="center"/>
                </w:tcPr>
                <w:p w14:paraId="2D7FD9C5">
                  <w:pPr>
                    <w:keepLines w:val="0"/>
                    <w:pageBreakBefore w:val="0"/>
                    <w:kinsoku/>
                    <w:wordWrap/>
                    <w:overflowPunct/>
                    <w:topLinePunct w:val="0"/>
                    <w:bidi w:val="0"/>
                    <w:spacing w:line="240" w:lineRule="auto"/>
                    <w:ind w:firstLine="0" w:firstLineChars="0"/>
                    <w:jc w:val="center"/>
                    <w:textAlignment w:val="auto"/>
                    <w:rPr>
                      <w:rFonts w:hint="default" w:ascii="Times New Roman" w:hAnsi="Times New Roman" w:eastAsia="宋体" w:cs="Times New Roman"/>
                      <w:b/>
                      <w:color w:val="auto"/>
                      <w:sz w:val="21"/>
                      <w:szCs w:val="21"/>
                    </w:rPr>
                  </w:pPr>
                  <w:r>
                    <w:rPr>
                      <w:rFonts w:hint="default" w:ascii="Times New Roman" w:hAnsi="Times New Roman" w:eastAsia="宋体" w:cs="Times New Roman"/>
                      <w:b/>
                      <w:color w:val="auto"/>
                      <w:sz w:val="21"/>
                      <w:szCs w:val="21"/>
                    </w:rPr>
                    <w:t>标准限值dB（A）</w:t>
                  </w:r>
                </w:p>
              </w:tc>
            </w:tr>
            <w:tr w14:paraId="1F47FFB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23" w:type="pct"/>
                  <w:vAlign w:val="center"/>
                </w:tcPr>
                <w:p w14:paraId="5675CDF3">
                  <w:pPr>
                    <w:keepLines w:val="0"/>
                    <w:pageBreakBefore w:val="0"/>
                    <w:kinsoku/>
                    <w:wordWrap/>
                    <w:overflowPunct/>
                    <w:topLinePunct w:val="0"/>
                    <w:bidi w:val="0"/>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施工期</w:t>
                  </w:r>
                </w:p>
              </w:tc>
              <w:tc>
                <w:tcPr>
                  <w:tcW w:w="1450" w:type="pct"/>
                  <w:vAlign w:val="center"/>
                </w:tcPr>
                <w:p w14:paraId="34BF47F0">
                  <w:pPr>
                    <w:keepLines w:val="0"/>
                    <w:pageBreakBefore w:val="0"/>
                    <w:kinsoku/>
                    <w:wordWrap/>
                    <w:overflowPunct/>
                    <w:topLinePunct w:val="0"/>
                    <w:bidi w:val="0"/>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GB12523-2011</w:t>
                  </w:r>
                </w:p>
              </w:tc>
              <w:tc>
                <w:tcPr>
                  <w:tcW w:w="705" w:type="pct"/>
                  <w:vAlign w:val="center"/>
                </w:tcPr>
                <w:p w14:paraId="08BC7B95">
                  <w:pPr>
                    <w:keepLines w:val="0"/>
                    <w:pageBreakBefore w:val="0"/>
                    <w:kinsoku/>
                    <w:wordWrap/>
                    <w:overflowPunct/>
                    <w:topLinePunct w:val="0"/>
                    <w:bidi w:val="0"/>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昼间</w:t>
                  </w:r>
                </w:p>
              </w:tc>
              <w:tc>
                <w:tcPr>
                  <w:tcW w:w="675" w:type="pct"/>
                  <w:vAlign w:val="center"/>
                </w:tcPr>
                <w:p w14:paraId="4AEB7747">
                  <w:pPr>
                    <w:keepLines w:val="0"/>
                    <w:pageBreakBefore w:val="0"/>
                    <w:kinsoku/>
                    <w:wordWrap/>
                    <w:overflowPunct/>
                    <w:topLinePunct w:val="0"/>
                    <w:bidi w:val="0"/>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70</w:t>
                  </w:r>
                </w:p>
              </w:tc>
              <w:tc>
                <w:tcPr>
                  <w:tcW w:w="674" w:type="pct"/>
                  <w:vAlign w:val="center"/>
                </w:tcPr>
                <w:p w14:paraId="04ECB5C5">
                  <w:pPr>
                    <w:keepLines w:val="0"/>
                    <w:pageBreakBefore w:val="0"/>
                    <w:kinsoku/>
                    <w:wordWrap/>
                    <w:overflowPunct/>
                    <w:topLinePunct w:val="0"/>
                    <w:bidi w:val="0"/>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夜间</w:t>
                  </w:r>
                </w:p>
              </w:tc>
              <w:tc>
                <w:tcPr>
                  <w:tcW w:w="670" w:type="pct"/>
                  <w:vAlign w:val="center"/>
                </w:tcPr>
                <w:p w14:paraId="3891E18B">
                  <w:pPr>
                    <w:keepLines w:val="0"/>
                    <w:pageBreakBefore w:val="0"/>
                    <w:kinsoku/>
                    <w:wordWrap/>
                    <w:overflowPunct/>
                    <w:topLinePunct w:val="0"/>
                    <w:bidi w:val="0"/>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55</w:t>
                  </w:r>
                </w:p>
              </w:tc>
            </w:tr>
            <w:tr w14:paraId="1F368C5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23" w:type="pct"/>
                  <w:vAlign w:val="center"/>
                </w:tcPr>
                <w:p w14:paraId="057529D3">
                  <w:pPr>
                    <w:keepLines w:val="0"/>
                    <w:pageBreakBefore w:val="0"/>
                    <w:kinsoku/>
                    <w:wordWrap/>
                    <w:overflowPunct/>
                    <w:topLinePunct w:val="0"/>
                    <w:bidi w:val="0"/>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营运期</w:t>
                  </w:r>
                </w:p>
              </w:tc>
              <w:tc>
                <w:tcPr>
                  <w:tcW w:w="1450" w:type="pct"/>
                  <w:vAlign w:val="center"/>
                </w:tcPr>
                <w:p w14:paraId="69676660">
                  <w:pPr>
                    <w:keepLines w:val="0"/>
                    <w:pageBreakBefore w:val="0"/>
                    <w:kinsoku/>
                    <w:wordWrap/>
                    <w:overflowPunct/>
                    <w:topLinePunct w:val="0"/>
                    <w:bidi w:val="0"/>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GB12348-2008 3类</w:t>
                  </w:r>
                </w:p>
              </w:tc>
              <w:tc>
                <w:tcPr>
                  <w:tcW w:w="705" w:type="pct"/>
                  <w:vAlign w:val="center"/>
                </w:tcPr>
                <w:p w14:paraId="01782045">
                  <w:pPr>
                    <w:keepLines w:val="0"/>
                    <w:pageBreakBefore w:val="0"/>
                    <w:kinsoku/>
                    <w:wordWrap/>
                    <w:overflowPunct/>
                    <w:topLinePunct w:val="0"/>
                    <w:bidi w:val="0"/>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昼间</w:t>
                  </w:r>
                </w:p>
              </w:tc>
              <w:tc>
                <w:tcPr>
                  <w:tcW w:w="675" w:type="pct"/>
                  <w:vAlign w:val="center"/>
                </w:tcPr>
                <w:p w14:paraId="56E30633">
                  <w:pPr>
                    <w:keepLines w:val="0"/>
                    <w:pageBreakBefore w:val="0"/>
                    <w:kinsoku/>
                    <w:wordWrap/>
                    <w:overflowPunct/>
                    <w:topLinePunct w:val="0"/>
                    <w:bidi w:val="0"/>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65</w:t>
                  </w:r>
                </w:p>
              </w:tc>
              <w:tc>
                <w:tcPr>
                  <w:tcW w:w="674" w:type="pct"/>
                  <w:vAlign w:val="center"/>
                </w:tcPr>
                <w:p w14:paraId="609A8BB2">
                  <w:pPr>
                    <w:keepLines w:val="0"/>
                    <w:pageBreakBefore w:val="0"/>
                    <w:kinsoku/>
                    <w:wordWrap/>
                    <w:overflowPunct/>
                    <w:topLinePunct w:val="0"/>
                    <w:bidi w:val="0"/>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夜间</w:t>
                  </w:r>
                </w:p>
              </w:tc>
              <w:tc>
                <w:tcPr>
                  <w:tcW w:w="670" w:type="pct"/>
                  <w:vAlign w:val="center"/>
                </w:tcPr>
                <w:p w14:paraId="049B08B6">
                  <w:pPr>
                    <w:keepLines w:val="0"/>
                    <w:pageBreakBefore w:val="0"/>
                    <w:kinsoku/>
                    <w:wordWrap/>
                    <w:overflowPunct/>
                    <w:topLinePunct w:val="0"/>
                    <w:bidi w:val="0"/>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55</w:t>
                  </w:r>
                </w:p>
              </w:tc>
            </w:tr>
          </w:tbl>
          <w:p w14:paraId="31BFCA6C">
            <w:pPr>
              <w:pStyle w:val="66"/>
              <w:spacing w:line="360" w:lineRule="auto"/>
              <w:ind w:firstLine="482"/>
              <w:rPr>
                <w:rFonts w:hint="eastAsia" w:ascii="Times New Roman" w:hAnsi="Times New Roman" w:eastAsia="宋体" w:cs="Times New Roman"/>
                <w:b/>
                <w:bCs/>
                <w:color w:val="auto"/>
              </w:rPr>
            </w:pPr>
            <w:r>
              <w:rPr>
                <w:rFonts w:hint="eastAsia" w:ascii="Times New Roman" w:hAnsi="Times New Roman" w:eastAsia="宋体" w:cs="Times New Roman"/>
                <w:b/>
                <w:bCs/>
                <w:color w:val="auto"/>
              </w:rPr>
              <w:t>4、固废</w:t>
            </w:r>
          </w:p>
          <w:p w14:paraId="25C5654E">
            <w:pPr>
              <w:pStyle w:val="66"/>
              <w:spacing w:line="360" w:lineRule="auto"/>
              <w:rPr>
                <w:color w:val="auto"/>
              </w:rPr>
            </w:pPr>
            <w:r>
              <w:rPr>
                <w:rFonts w:hint="eastAsia" w:ascii="Times New Roman" w:hAnsi="Times New Roman" w:eastAsia="宋体" w:cs="Times New Roman"/>
                <w:color w:val="auto"/>
                <w:sz w:val="24"/>
                <w:highlight w:val="none"/>
              </w:rPr>
              <w:t>一般工业固体废物按照《中华人民共和国固体废物污染环境防治法》中的相关规定综合利用和处置，一般固体废物的贮存过程应满足防渗漏、防雨淋、防扬尘等环境保护要求</w:t>
            </w:r>
            <w:r>
              <w:rPr>
                <w:rFonts w:ascii="Times New Roman" w:hAnsi="Times New Roman" w:eastAsia="宋体" w:cs="Times New Roman"/>
                <w:color w:val="auto"/>
                <w:sz w:val="24"/>
                <w:highlight w:val="none"/>
              </w:rPr>
              <w:t>；危险废物执行</w:t>
            </w:r>
            <w:r>
              <w:rPr>
                <w:rFonts w:hint="eastAsia" w:ascii="Times New Roman" w:hAnsi="Times New Roman" w:eastAsia="宋体" w:cs="Times New Roman"/>
                <w:color w:val="auto"/>
                <w:sz w:val="24"/>
                <w:highlight w:val="none"/>
              </w:rPr>
              <w:t>《</w:t>
            </w:r>
            <w:r>
              <w:rPr>
                <w:rFonts w:hint="eastAsia" w:ascii="Times New Roman" w:hAnsi="Times New Roman" w:eastAsia="宋体" w:cs="Times New Roman"/>
                <w:color w:val="auto"/>
                <w:sz w:val="24"/>
                <w:highlight w:val="none"/>
                <w:lang w:eastAsia="zh-CN"/>
              </w:rPr>
              <w:t>危险废物贮存污染控制标准</w:t>
            </w:r>
            <w:r>
              <w:rPr>
                <w:rFonts w:hint="eastAsia" w:ascii="Times New Roman" w:hAnsi="Times New Roman" w:eastAsia="宋体" w:cs="Times New Roman"/>
                <w:color w:val="auto"/>
                <w:sz w:val="24"/>
                <w:highlight w:val="none"/>
              </w:rPr>
              <w:t>》（GB18597-2023）的相关要求</w:t>
            </w:r>
            <w:r>
              <w:rPr>
                <w:rFonts w:hint="eastAsia"/>
                <w:color w:val="auto"/>
              </w:rPr>
              <w:t>。</w:t>
            </w:r>
          </w:p>
        </w:tc>
      </w:tr>
      <w:tr w14:paraId="5B6E719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05" w:hRule="atLeast"/>
          <w:jc w:val="center"/>
        </w:trPr>
        <w:tc>
          <w:tcPr>
            <w:tcW w:w="499" w:type="dxa"/>
            <w:vAlign w:val="center"/>
          </w:tcPr>
          <w:p w14:paraId="1A1496CD">
            <w:pPr>
              <w:adjustRightInd w:val="0"/>
              <w:snapToGrid w:val="0"/>
              <w:jc w:val="center"/>
              <w:rPr>
                <w:rFonts w:cs="宋体"/>
                <w:color w:val="auto"/>
                <w:kern w:val="0"/>
                <w:szCs w:val="21"/>
              </w:rPr>
            </w:pPr>
            <w:r>
              <w:rPr>
                <w:rFonts w:hint="eastAsia" w:cs="宋体"/>
                <w:color w:val="auto"/>
                <w:kern w:val="0"/>
                <w:sz w:val="24"/>
                <w:szCs w:val="24"/>
              </w:rPr>
              <w:t>总量控制指标</w:t>
            </w:r>
          </w:p>
        </w:tc>
        <w:tc>
          <w:tcPr>
            <w:tcW w:w="8491" w:type="dxa"/>
          </w:tcPr>
          <w:p w14:paraId="5B0DAF27">
            <w:pPr>
              <w:pStyle w:val="208"/>
              <w:ind w:firstLine="480"/>
              <w:rPr>
                <w:rFonts w:hint="eastAsia" w:ascii="Times New Roman" w:hAnsi="Times New Roman" w:eastAsia="宋体" w:cs="Times New Roman"/>
                <w:color w:val="auto"/>
              </w:rPr>
            </w:pPr>
            <w:r>
              <w:rPr>
                <w:rFonts w:hint="eastAsia" w:ascii="Times New Roman" w:hAnsi="Times New Roman" w:eastAsia="宋体" w:cs="Times New Roman"/>
                <w:color w:val="auto"/>
              </w:rPr>
              <w:t>本次评价将给出废气污染物（VOCs）、废水污染物（COD、NH</w:t>
            </w:r>
            <w:r>
              <w:rPr>
                <w:rFonts w:hint="eastAsia" w:ascii="Times New Roman" w:hAnsi="Times New Roman" w:eastAsia="宋体" w:cs="Times New Roman"/>
                <w:color w:val="auto"/>
                <w:vertAlign w:val="subscript"/>
              </w:rPr>
              <w:t>3</w:t>
            </w:r>
            <w:r>
              <w:rPr>
                <w:rFonts w:hint="eastAsia" w:ascii="Times New Roman" w:hAnsi="Times New Roman" w:eastAsia="宋体" w:cs="Times New Roman"/>
                <w:color w:val="auto"/>
              </w:rPr>
              <w:t>-N、TP）计算值，供生态环境主管部门参考。</w:t>
            </w:r>
          </w:p>
          <w:p w14:paraId="7EA26D20">
            <w:pPr>
              <w:pStyle w:val="208"/>
              <w:ind w:firstLine="480"/>
              <w:rPr>
                <w:rFonts w:hint="eastAsia" w:ascii="Times New Roman" w:hAnsi="Times New Roman" w:eastAsia="宋体" w:cs="Times New Roman"/>
                <w:color w:val="auto"/>
              </w:rPr>
            </w:pPr>
            <w:r>
              <w:rPr>
                <w:rFonts w:hint="eastAsia" w:ascii="Times New Roman" w:hAnsi="Times New Roman" w:eastAsia="宋体" w:cs="Times New Roman"/>
                <w:color w:val="auto"/>
                <w:lang w:val="en-US" w:eastAsia="zh-CN"/>
              </w:rPr>
              <w:t>一、废水</w:t>
            </w:r>
          </w:p>
          <w:p w14:paraId="3BF3DB4E">
            <w:pPr>
              <w:pStyle w:val="208"/>
              <w:ind w:firstLine="480"/>
              <w:rPr>
                <w:rFonts w:hint="eastAsia" w:ascii="Times New Roman" w:hAnsi="Times New Roman" w:eastAsia="宋体" w:cs="Times New Roman"/>
                <w:color w:val="auto"/>
              </w:rPr>
            </w:pPr>
            <w:r>
              <w:rPr>
                <w:rFonts w:hint="eastAsia" w:ascii="Times New Roman" w:hAnsi="Times New Roman" w:eastAsia="宋体" w:cs="Times New Roman"/>
                <w:color w:val="auto"/>
              </w:rPr>
              <w:t>污水处理厂处理前（</w:t>
            </w:r>
            <w:r>
              <w:rPr>
                <w:rFonts w:hint="eastAsia" w:ascii="Times New Roman" w:cs="Times New Roman"/>
                <w:color w:val="auto"/>
                <w:lang w:val="en-US" w:eastAsia="zh-CN"/>
              </w:rPr>
              <w:t>生产废水排放口+生活污水排放口</w:t>
            </w:r>
            <w:r>
              <w:rPr>
                <w:rFonts w:hint="eastAsia" w:ascii="Times New Roman" w:hAnsi="Times New Roman" w:eastAsia="宋体" w:cs="Times New Roman"/>
                <w:color w:val="auto"/>
              </w:rPr>
              <w:t>）：</w:t>
            </w:r>
          </w:p>
          <w:p w14:paraId="20665D5F">
            <w:pPr>
              <w:pStyle w:val="208"/>
              <w:ind w:firstLine="480"/>
              <w:rPr>
                <w:rFonts w:hint="eastAsia" w:ascii="Times New Roman" w:hAnsi="Times New Roman" w:eastAsia="宋体" w:cs="Times New Roman"/>
                <w:color w:val="auto"/>
              </w:rPr>
            </w:pPr>
            <w:r>
              <w:rPr>
                <w:rFonts w:hint="eastAsia" w:ascii="Times New Roman" w:hAnsi="Times New Roman" w:eastAsia="宋体" w:cs="Times New Roman"/>
                <w:color w:val="auto"/>
              </w:rPr>
              <w:t>COD=</w:t>
            </w:r>
            <w:r>
              <w:rPr>
                <w:rFonts w:hint="eastAsia" w:ascii="Times New Roman" w:cs="Times New Roman"/>
                <w:color w:val="auto"/>
                <w:lang w:val="en-US" w:eastAsia="zh-CN"/>
              </w:rPr>
              <w:t>76.8</w:t>
            </w:r>
            <w:r>
              <w:rPr>
                <w:rFonts w:hint="eastAsia" w:ascii="Times New Roman" w:hAnsi="Times New Roman" w:eastAsia="宋体" w:cs="Times New Roman"/>
                <w:color w:val="auto"/>
              </w:rPr>
              <w:t>m</w:t>
            </w:r>
            <w:r>
              <w:rPr>
                <w:rFonts w:hint="eastAsia" w:ascii="Times New Roman" w:hAnsi="Times New Roman" w:eastAsia="宋体" w:cs="Times New Roman"/>
                <w:color w:val="auto"/>
                <w:vertAlign w:val="superscript"/>
              </w:rPr>
              <w:t>3</w:t>
            </w:r>
            <w:r>
              <w:rPr>
                <w:rFonts w:hint="eastAsia" w:ascii="Times New Roman" w:hAnsi="Times New Roman" w:eastAsia="宋体" w:cs="Times New Roman"/>
                <w:color w:val="auto"/>
              </w:rPr>
              <w:t>/a</w:t>
            </w:r>
            <w:r>
              <w:rPr>
                <w:rFonts w:hint="eastAsia" w:ascii="Times New Roman" w:cs="Times New Roman"/>
                <w:color w:val="auto"/>
                <w:lang w:eastAsia="zh-CN"/>
              </w:rPr>
              <w:t>（</w:t>
            </w:r>
            <w:r>
              <w:rPr>
                <w:rFonts w:hint="eastAsia" w:ascii="Times New Roman" w:cs="Times New Roman"/>
                <w:color w:val="auto"/>
                <w:lang w:val="en-US" w:eastAsia="zh-CN"/>
              </w:rPr>
              <w:t>生产废水</w:t>
            </w:r>
            <w:r>
              <w:rPr>
                <w:rFonts w:hint="eastAsia" w:ascii="Times New Roman" w:cs="Times New Roman"/>
                <w:color w:val="auto"/>
                <w:lang w:eastAsia="zh-CN"/>
              </w:rPr>
              <w:t>）</w:t>
            </w:r>
            <w:r>
              <w:rPr>
                <w:rFonts w:hint="eastAsia" w:ascii="Times New Roman" w:hAnsi="Times New Roman" w:eastAsia="宋体" w:cs="Times New Roman"/>
                <w:color w:val="auto"/>
              </w:rPr>
              <w:t>×</w:t>
            </w:r>
            <w:r>
              <w:rPr>
                <w:rFonts w:hint="eastAsia" w:ascii="Times New Roman" w:cs="Times New Roman"/>
                <w:color w:val="auto"/>
                <w:lang w:val="en-US" w:eastAsia="zh-CN"/>
              </w:rPr>
              <w:t>150</w:t>
            </w:r>
            <w:r>
              <w:rPr>
                <w:rFonts w:hint="eastAsia" w:ascii="Times New Roman" w:hAnsi="Times New Roman" w:eastAsia="宋体" w:cs="Times New Roman"/>
                <w:color w:val="auto"/>
              </w:rPr>
              <w:t>mg/L×10</w:t>
            </w:r>
            <w:r>
              <w:rPr>
                <w:rFonts w:hint="eastAsia" w:ascii="Times New Roman" w:hAnsi="Times New Roman" w:eastAsia="宋体" w:cs="Times New Roman"/>
                <w:color w:val="auto"/>
                <w:vertAlign w:val="superscript"/>
              </w:rPr>
              <w:t>-6</w:t>
            </w:r>
            <w:r>
              <w:rPr>
                <w:rFonts w:hint="eastAsia" w:ascii="Times New Roman" w:cs="Times New Roman"/>
                <w:color w:val="auto"/>
                <w:vertAlign w:val="baseline"/>
                <w:lang w:val="en-US" w:eastAsia="zh-CN"/>
              </w:rPr>
              <w:t>+</w:t>
            </w:r>
            <w:r>
              <w:rPr>
                <w:rFonts w:hint="eastAsia" w:ascii="Times New Roman" w:cs="Times New Roman"/>
                <w:color w:val="auto"/>
                <w:lang w:val="en-US" w:eastAsia="zh-CN"/>
              </w:rPr>
              <w:t>3774</w:t>
            </w:r>
            <w:r>
              <w:rPr>
                <w:rFonts w:hint="eastAsia" w:ascii="Times New Roman" w:hAnsi="Times New Roman" w:eastAsia="宋体" w:cs="Times New Roman"/>
                <w:color w:val="auto"/>
              </w:rPr>
              <w:t>m</w:t>
            </w:r>
            <w:r>
              <w:rPr>
                <w:rFonts w:hint="eastAsia" w:ascii="Times New Roman" w:hAnsi="Times New Roman" w:eastAsia="宋体" w:cs="Times New Roman"/>
                <w:color w:val="auto"/>
                <w:vertAlign w:val="superscript"/>
              </w:rPr>
              <w:t>3</w:t>
            </w:r>
            <w:r>
              <w:rPr>
                <w:rFonts w:hint="eastAsia" w:ascii="Times New Roman" w:hAnsi="Times New Roman" w:eastAsia="宋体" w:cs="Times New Roman"/>
                <w:color w:val="auto"/>
              </w:rPr>
              <w:t>/a</w:t>
            </w:r>
            <w:r>
              <w:rPr>
                <w:rFonts w:hint="eastAsia" w:ascii="Times New Roman" w:cs="Times New Roman"/>
                <w:color w:val="auto"/>
                <w:lang w:eastAsia="zh-CN"/>
              </w:rPr>
              <w:t>（</w:t>
            </w:r>
            <w:r>
              <w:rPr>
                <w:rFonts w:hint="eastAsia" w:ascii="Times New Roman" w:cs="Times New Roman"/>
                <w:color w:val="auto"/>
                <w:lang w:val="en-US" w:eastAsia="zh-CN"/>
              </w:rPr>
              <w:t>生活污水、纯水制备浓水</w:t>
            </w:r>
            <w:r>
              <w:rPr>
                <w:rFonts w:hint="eastAsia" w:ascii="Times New Roman" w:cs="Times New Roman"/>
                <w:color w:val="auto"/>
                <w:lang w:eastAsia="zh-CN"/>
              </w:rPr>
              <w:t>）</w:t>
            </w:r>
            <w:r>
              <w:rPr>
                <w:rFonts w:hint="eastAsia" w:ascii="Times New Roman" w:hAnsi="Times New Roman" w:eastAsia="宋体" w:cs="Times New Roman"/>
                <w:color w:val="auto"/>
              </w:rPr>
              <w:t>×</w:t>
            </w:r>
            <w:r>
              <w:rPr>
                <w:rFonts w:hint="eastAsia" w:ascii="Times New Roman" w:cs="Times New Roman"/>
                <w:color w:val="auto"/>
                <w:lang w:val="en-US" w:eastAsia="zh-CN"/>
              </w:rPr>
              <w:t>500</w:t>
            </w:r>
            <w:r>
              <w:rPr>
                <w:rFonts w:hint="eastAsia" w:ascii="Times New Roman" w:hAnsi="Times New Roman" w:eastAsia="宋体" w:cs="Times New Roman"/>
                <w:color w:val="auto"/>
              </w:rPr>
              <w:t>mg/L×10</w:t>
            </w:r>
            <w:r>
              <w:rPr>
                <w:rFonts w:hint="eastAsia" w:ascii="Times New Roman" w:hAnsi="Times New Roman" w:eastAsia="宋体" w:cs="Times New Roman"/>
                <w:color w:val="auto"/>
                <w:vertAlign w:val="superscript"/>
              </w:rPr>
              <w:t>-6</w:t>
            </w:r>
            <w:r>
              <w:rPr>
                <w:rFonts w:hint="eastAsia" w:ascii="Times New Roman" w:hAnsi="Times New Roman" w:eastAsia="宋体" w:cs="Times New Roman"/>
                <w:color w:val="auto"/>
                <w:lang w:val="en-US" w:eastAsia="zh-CN"/>
              </w:rPr>
              <w:t>≈</w:t>
            </w:r>
            <w:r>
              <w:rPr>
                <w:rFonts w:hint="eastAsia" w:ascii="Times New Roman" w:cs="Times New Roman"/>
                <w:color w:val="auto"/>
                <w:lang w:val="en-US" w:eastAsia="zh-CN"/>
              </w:rPr>
              <w:t>1.9</w:t>
            </w:r>
            <w:r>
              <w:rPr>
                <w:rFonts w:hint="eastAsia" w:ascii="Times New Roman" w:hAnsi="Times New Roman" w:eastAsia="宋体" w:cs="Times New Roman"/>
                <w:color w:val="auto"/>
              </w:rPr>
              <w:t>t/a；</w:t>
            </w:r>
          </w:p>
          <w:p w14:paraId="7BA7182B">
            <w:pPr>
              <w:pStyle w:val="208"/>
              <w:ind w:firstLine="480"/>
              <w:rPr>
                <w:rFonts w:hint="eastAsia" w:ascii="Times New Roman" w:hAnsi="Times New Roman" w:eastAsia="宋体" w:cs="Times New Roman"/>
                <w:color w:val="auto"/>
              </w:rPr>
            </w:pPr>
            <w:r>
              <w:rPr>
                <w:rFonts w:hint="eastAsia" w:ascii="Times New Roman" w:hAnsi="Times New Roman" w:eastAsia="宋体" w:cs="Times New Roman"/>
                <w:color w:val="auto"/>
              </w:rPr>
              <w:t>NH</w:t>
            </w:r>
            <w:r>
              <w:rPr>
                <w:rFonts w:hint="eastAsia" w:ascii="Times New Roman" w:hAnsi="Times New Roman" w:eastAsia="宋体" w:cs="Times New Roman"/>
                <w:color w:val="auto"/>
                <w:vertAlign w:val="subscript"/>
              </w:rPr>
              <w:t>3</w:t>
            </w:r>
            <w:r>
              <w:rPr>
                <w:rFonts w:hint="eastAsia" w:ascii="Times New Roman" w:hAnsi="Times New Roman" w:eastAsia="宋体" w:cs="Times New Roman"/>
                <w:color w:val="auto"/>
              </w:rPr>
              <w:t>-N=</w:t>
            </w:r>
            <w:r>
              <w:rPr>
                <w:rFonts w:hint="eastAsia" w:ascii="Times New Roman" w:cs="Times New Roman"/>
                <w:color w:val="auto"/>
                <w:lang w:val="en-US" w:eastAsia="zh-CN"/>
              </w:rPr>
              <w:t>76.8</w:t>
            </w:r>
            <w:r>
              <w:rPr>
                <w:rFonts w:hint="eastAsia" w:ascii="Times New Roman" w:hAnsi="Times New Roman" w:eastAsia="宋体" w:cs="Times New Roman"/>
                <w:color w:val="auto"/>
              </w:rPr>
              <w:t>m</w:t>
            </w:r>
            <w:r>
              <w:rPr>
                <w:rFonts w:hint="eastAsia" w:ascii="Times New Roman" w:hAnsi="Times New Roman" w:eastAsia="宋体" w:cs="Times New Roman"/>
                <w:color w:val="auto"/>
                <w:vertAlign w:val="superscript"/>
              </w:rPr>
              <w:t>3</w:t>
            </w:r>
            <w:r>
              <w:rPr>
                <w:rFonts w:hint="eastAsia" w:ascii="Times New Roman" w:hAnsi="Times New Roman" w:eastAsia="宋体" w:cs="Times New Roman"/>
                <w:color w:val="auto"/>
              </w:rPr>
              <w:t>/a</w:t>
            </w:r>
            <w:r>
              <w:rPr>
                <w:rFonts w:hint="eastAsia" w:ascii="Times New Roman" w:cs="Times New Roman"/>
                <w:color w:val="auto"/>
                <w:lang w:eastAsia="zh-CN"/>
              </w:rPr>
              <w:t>（</w:t>
            </w:r>
            <w:r>
              <w:rPr>
                <w:rFonts w:hint="eastAsia" w:ascii="Times New Roman" w:cs="Times New Roman"/>
                <w:color w:val="auto"/>
                <w:lang w:val="en-US" w:eastAsia="zh-CN"/>
              </w:rPr>
              <w:t>生产废水</w:t>
            </w:r>
            <w:r>
              <w:rPr>
                <w:rFonts w:hint="eastAsia" w:ascii="Times New Roman" w:cs="Times New Roman"/>
                <w:color w:val="auto"/>
                <w:lang w:eastAsia="zh-CN"/>
              </w:rPr>
              <w:t>）</w:t>
            </w:r>
            <w:r>
              <w:rPr>
                <w:rFonts w:hint="eastAsia" w:ascii="Times New Roman" w:hAnsi="Times New Roman" w:eastAsia="宋体" w:cs="Times New Roman"/>
                <w:color w:val="auto"/>
              </w:rPr>
              <w:t>×</w:t>
            </w:r>
            <w:r>
              <w:rPr>
                <w:rFonts w:hint="eastAsia" w:ascii="Times New Roman" w:cs="Times New Roman"/>
                <w:color w:val="auto"/>
                <w:lang w:val="en-US" w:eastAsia="zh-CN"/>
              </w:rPr>
              <w:t>30</w:t>
            </w:r>
            <w:r>
              <w:rPr>
                <w:rFonts w:hint="eastAsia" w:ascii="Times New Roman" w:hAnsi="Times New Roman" w:eastAsia="宋体" w:cs="Times New Roman"/>
                <w:color w:val="auto"/>
              </w:rPr>
              <w:t>mg/L×10</w:t>
            </w:r>
            <w:r>
              <w:rPr>
                <w:rFonts w:hint="eastAsia" w:ascii="Times New Roman" w:hAnsi="Times New Roman" w:eastAsia="宋体" w:cs="Times New Roman"/>
                <w:color w:val="auto"/>
                <w:vertAlign w:val="superscript"/>
              </w:rPr>
              <w:t>-6</w:t>
            </w:r>
            <w:r>
              <w:rPr>
                <w:rFonts w:hint="eastAsia" w:ascii="Times New Roman" w:cs="Times New Roman"/>
                <w:color w:val="auto"/>
                <w:vertAlign w:val="baseline"/>
                <w:lang w:val="en-US" w:eastAsia="zh-CN"/>
              </w:rPr>
              <w:t>+</w:t>
            </w:r>
            <w:r>
              <w:rPr>
                <w:rFonts w:hint="eastAsia" w:ascii="Times New Roman" w:cs="Times New Roman"/>
                <w:color w:val="auto"/>
                <w:lang w:val="en-US" w:eastAsia="zh-CN"/>
              </w:rPr>
              <w:t>3774</w:t>
            </w:r>
            <w:r>
              <w:rPr>
                <w:rFonts w:hint="eastAsia" w:ascii="Times New Roman" w:hAnsi="Times New Roman" w:eastAsia="宋体" w:cs="Times New Roman"/>
                <w:color w:val="auto"/>
              </w:rPr>
              <w:t>m</w:t>
            </w:r>
            <w:r>
              <w:rPr>
                <w:rFonts w:hint="eastAsia" w:ascii="Times New Roman" w:hAnsi="Times New Roman" w:eastAsia="宋体" w:cs="Times New Roman"/>
                <w:color w:val="auto"/>
                <w:vertAlign w:val="superscript"/>
              </w:rPr>
              <w:t>3</w:t>
            </w:r>
            <w:r>
              <w:rPr>
                <w:rFonts w:hint="eastAsia" w:ascii="Times New Roman" w:hAnsi="Times New Roman" w:eastAsia="宋体" w:cs="Times New Roman"/>
                <w:color w:val="auto"/>
              </w:rPr>
              <w:t>/a</w:t>
            </w:r>
            <w:r>
              <w:rPr>
                <w:rFonts w:hint="eastAsia" w:ascii="Times New Roman" w:cs="Times New Roman"/>
                <w:color w:val="auto"/>
                <w:lang w:eastAsia="zh-CN"/>
              </w:rPr>
              <w:t>（</w:t>
            </w:r>
            <w:r>
              <w:rPr>
                <w:rFonts w:hint="eastAsia" w:ascii="Times New Roman" w:cs="Times New Roman"/>
                <w:color w:val="auto"/>
                <w:lang w:val="en-US" w:eastAsia="zh-CN"/>
              </w:rPr>
              <w:t>生活污水、纯水制备浓水</w:t>
            </w:r>
            <w:r>
              <w:rPr>
                <w:rFonts w:hint="eastAsia" w:ascii="Times New Roman" w:cs="Times New Roman"/>
                <w:color w:val="auto"/>
                <w:lang w:eastAsia="zh-CN"/>
              </w:rPr>
              <w:t>）</w:t>
            </w:r>
            <w:r>
              <w:rPr>
                <w:rFonts w:hint="eastAsia" w:ascii="Times New Roman" w:hAnsi="Times New Roman" w:eastAsia="宋体" w:cs="Times New Roman"/>
                <w:color w:val="auto"/>
              </w:rPr>
              <w:t>×</w:t>
            </w:r>
            <w:r>
              <w:rPr>
                <w:rFonts w:hint="eastAsia" w:ascii="Times New Roman" w:cs="Times New Roman"/>
                <w:color w:val="auto"/>
                <w:lang w:val="en-US" w:eastAsia="zh-CN"/>
              </w:rPr>
              <w:t>45</w:t>
            </w:r>
            <w:r>
              <w:rPr>
                <w:rFonts w:hint="eastAsia" w:ascii="Times New Roman" w:hAnsi="Times New Roman" w:eastAsia="宋体" w:cs="Times New Roman"/>
                <w:color w:val="auto"/>
              </w:rPr>
              <w:t>mg/L×10</w:t>
            </w:r>
            <w:r>
              <w:rPr>
                <w:rFonts w:hint="eastAsia" w:ascii="Times New Roman" w:hAnsi="Times New Roman" w:eastAsia="宋体" w:cs="Times New Roman"/>
                <w:color w:val="auto"/>
                <w:vertAlign w:val="superscript"/>
              </w:rPr>
              <w:t>-6</w:t>
            </w:r>
            <w:r>
              <w:rPr>
                <w:rFonts w:hint="eastAsia" w:ascii="Times New Roman" w:hAnsi="Times New Roman" w:eastAsia="宋体" w:cs="Times New Roman"/>
                <w:color w:val="auto"/>
                <w:lang w:val="en-US" w:eastAsia="zh-CN"/>
              </w:rPr>
              <w:t>≈</w:t>
            </w:r>
            <w:r>
              <w:rPr>
                <w:rFonts w:hint="eastAsia" w:ascii="Times New Roman" w:cs="Times New Roman"/>
                <w:color w:val="auto"/>
                <w:lang w:val="en-US" w:eastAsia="zh-CN"/>
              </w:rPr>
              <w:t>0.172</w:t>
            </w:r>
            <w:r>
              <w:rPr>
                <w:rFonts w:hint="eastAsia" w:ascii="Times New Roman" w:hAnsi="Times New Roman" w:eastAsia="宋体" w:cs="Times New Roman"/>
                <w:color w:val="auto"/>
              </w:rPr>
              <w:t>t/a；</w:t>
            </w:r>
          </w:p>
          <w:p w14:paraId="64BF3E29">
            <w:pPr>
              <w:pStyle w:val="208"/>
              <w:ind w:firstLine="480"/>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TP=</w:t>
            </w:r>
            <w:r>
              <w:rPr>
                <w:rFonts w:hint="eastAsia" w:ascii="Times New Roman" w:cs="Times New Roman"/>
                <w:color w:val="auto"/>
                <w:lang w:val="en-US" w:eastAsia="zh-CN"/>
              </w:rPr>
              <w:t>76.8</w:t>
            </w:r>
            <w:r>
              <w:rPr>
                <w:rFonts w:hint="eastAsia" w:ascii="Times New Roman" w:hAnsi="Times New Roman" w:eastAsia="宋体" w:cs="Times New Roman"/>
                <w:color w:val="auto"/>
              </w:rPr>
              <w:t>m</w:t>
            </w:r>
            <w:r>
              <w:rPr>
                <w:rFonts w:hint="eastAsia" w:ascii="Times New Roman" w:hAnsi="Times New Roman" w:eastAsia="宋体" w:cs="Times New Roman"/>
                <w:color w:val="auto"/>
                <w:vertAlign w:val="superscript"/>
              </w:rPr>
              <w:t>3</w:t>
            </w:r>
            <w:r>
              <w:rPr>
                <w:rFonts w:hint="eastAsia" w:ascii="Times New Roman" w:hAnsi="Times New Roman" w:eastAsia="宋体" w:cs="Times New Roman"/>
                <w:color w:val="auto"/>
              </w:rPr>
              <w:t>/a</w:t>
            </w:r>
            <w:r>
              <w:rPr>
                <w:rFonts w:hint="eastAsia" w:ascii="Times New Roman" w:cs="Times New Roman"/>
                <w:color w:val="auto"/>
                <w:lang w:eastAsia="zh-CN"/>
              </w:rPr>
              <w:t>（</w:t>
            </w:r>
            <w:r>
              <w:rPr>
                <w:rFonts w:hint="eastAsia" w:ascii="Times New Roman" w:cs="Times New Roman"/>
                <w:color w:val="auto"/>
                <w:lang w:val="en-US" w:eastAsia="zh-CN"/>
              </w:rPr>
              <w:t>生产废水</w:t>
            </w:r>
            <w:r>
              <w:rPr>
                <w:rFonts w:hint="eastAsia" w:ascii="Times New Roman" w:cs="Times New Roman"/>
                <w:color w:val="auto"/>
                <w:lang w:eastAsia="zh-CN"/>
              </w:rPr>
              <w:t>）</w:t>
            </w:r>
            <w:r>
              <w:rPr>
                <w:rFonts w:hint="eastAsia" w:ascii="Times New Roman" w:hAnsi="Times New Roman" w:eastAsia="宋体" w:cs="Times New Roman"/>
                <w:color w:val="auto"/>
              </w:rPr>
              <w:t>×</w:t>
            </w:r>
            <w:r>
              <w:rPr>
                <w:rFonts w:hint="eastAsia" w:ascii="Times New Roman" w:cs="Times New Roman"/>
                <w:color w:val="auto"/>
                <w:lang w:val="en-US" w:eastAsia="zh-CN"/>
              </w:rPr>
              <w:t>2</w:t>
            </w:r>
            <w:r>
              <w:rPr>
                <w:rFonts w:hint="eastAsia" w:ascii="Times New Roman" w:hAnsi="Times New Roman" w:eastAsia="宋体" w:cs="Times New Roman"/>
                <w:color w:val="auto"/>
              </w:rPr>
              <w:t>mg/L×10</w:t>
            </w:r>
            <w:r>
              <w:rPr>
                <w:rFonts w:hint="eastAsia" w:ascii="Times New Roman" w:hAnsi="Times New Roman" w:eastAsia="宋体" w:cs="Times New Roman"/>
                <w:color w:val="auto"/>
                <w:vertAlign w:val="superscript"/>
              </w:rPr>
              <w:t>-6</w:t>
            </w:r>
            <w:r>
              <w:rPr>
                <w:rFonts w:hint="eastAsia" w:ascii="Times New Roman" w:cs="Times New Roman"/>
                <w:color w:val="auto"/>
                <w:vertAlign w:val="baseline"/>
                <w:lang w:val="en-US" w:eastAsia="zh-CN"/>
              </w:rPr>
              <w:t>+</w:t>
            </w:r>
            <w:r>
              <w:rPr>
                <w:rFonts w:hint="eastAsia" w:ascii="Times New Roman" w:cs="Times New Roman"/>
                <w:color w:val="auto"/>
                <w:lang w:val="en-US" w:eastAsia="zh-CN"/>
              </w:rPr>
              <w:t>3774</w:t>
            </w:r>
            <w:r>
              <w:rPr>
                <w:rFonts w:hint="eastAsia" w:ascii="Times New Roman" w:hAnsi="Times New Roman" w:eastAsia="宋体" w:cs="Times New Roman"/>
                <w:color w:val="auto"/>
              </w:rPr>
              <w:t>m</w:t>
            </w:r>
            <w:r>
              <w:rPr>
                <w:rFonts w:hint="eastAsia" w:ascii="Times New Roman" w:hAnsi="Times New Roman" w:eastAsia="宋体" w:cs="Times New Roman"/>
                <w:color w:val="auto"/>
                <w:vertAlign w:val="superscript"/>
              </w:rPr>
              <w:t>3</w:t>
            </w:r>
            <w:r>
              <w:rPr>
                <w:rFonts w:hint="eastAsia" w:ascii="Times New Roman" w:hAnsi="Times New Roman" w:eastAsia="宋体" w:cs="Times New Roman"/>
                <w:color w:val="auto"/>
              </w:rPr>
              <w:t>/a</w:t>
            </w:r>
            <w:r>
              <w:rPr>
                <w:rFonts w:hint="eastAsia" w:ascii="Times New Roman" w:cs="Times New Roman"/>
                <w:color w:val="auto"/>
                <w:lang w:eastAsia="zh-CN"/>
              </w:rPr>
              <w:t>（</w:t>
            </w:r>
            <w:r>
              <w:rPr>
                <w:rFonts w:hint="eastAsia" w:ascii="Times New Roman" w:cs="Times New Roman"/>
                <w:color w:val="auto"/>
                <w:lang w:val="en-US" w:eastAsia="zh-CN"/>
              </w:rPr>
              <w:t>生活污水、纯水制备浓水</w:t>
            </w:r>
            <w:r>
              <w:rPr>
                <w:rFonts w:hint="eastAsia" w:ascii="Times New Roman" w:cs="Times New Roman"/>
                <w:color w:val="auto"/>
                <w:lang w:eastAsia="zh-CN"/>
              </w:rPr>
              <w:t>）</w:t>
            </w:r>
            <w:r>
              <w:rPr>
                <w:rFonts w:hint="eastAsia" w:ascii="Times New Roman" w:hAnsi="Times New Roman" w:eastAsia="宋体" w:cs="Times New Roman"/>
                <w:color w:val="auto"/>
              </w:rPr>
              <w:t>×</w:t>
            </w:r>
            <w:r>
              <w:rPr>
                <w:rFonts w:hint="eastAsia" w:ascii="Times New Roman" w:cs="Times New Roman"/>
                <w:color w:val="auto"/>
                <w:lang w:val="en-US" w:eastAsia="zh-CN"/>
              </w:rPr>
              <w:t>8</w:t>
            </w:r>
            <w:r>
              <w:rPr>
                <w:rFonts w:hint="eastAsia" w:ascii="Times New Roman" w:hAnsi="Times New Roman" w:eastAsia="宋体" w:cs="Times New Roman"/>
                <w:color w:val="auto"/>
              </w:rPr>
              <w:t>mg/L×10</w:t>
            </w:r>
            <w:r>
              <w:rPr>
                <w:rFonts w:hint="eastAsia" w:ascii="Times New Roman" w:hAnsi="Times New Roman" w:eastAsia="宋体" w:cs="Times New Roman"/>
                <w:color w:val="auto"/>
                <w:vertAlign w:val="superscript"/>
              </w:rPr>
              <w:t>-6</w:t>
            </w:r>
            <w:r>
              <w:rPr>
                <w:rFonts w:hint="eastAsia" w:ascii="Times New Roman" w:hAnsi="Times New Roman" w:eastAsia="宋体" w:cs="Times New Roman"/>
                <w:color w:val="auto"/>
                <w:lang w:val="en-US" w:eastAsia="zh-CN"/>
              </w:rPr>
              <w:t>≈</w:t>
            </w:r>
            <w:r>
              <w:rPr>
                <w:rFonts w:hint="eastAsia" w:ascii="Times New Roman" w:cs="Times New Roman"/>
                <w:color w:val="auto"/>
                <w:lang w:val="en-US" w:eastAsia="zh-CN"/>
              </w:rPr>
              <w:t>0.03</w:t>
            </w:r>
            <w:r>
              <w:rPr>
                <w:rFonts w:hint="eastAsia" w:ascii="Times New Roman" w:hAnsi="Times New Roman" w:eastAsia="宋体" w:cs="Times New Roman"/>
                <w:color w:val="auto"/>
              </w:rPr>
              <w:t>t/a；</w:t>
            </w:r>
          </w:p>
          <w:p w14:paraId="267AC028">
            <w:pPr>
              <w:pStyle w:val="208"/>
              <w:ind w:firstLine="480"/>
              <w:rPr>
                <w:rFonts w:hint="eastAsia" w:ascii="Times New Roman" w:hAnsi="Times New Roman" w:eastAsia="宋体" w:cs="Times New Roman"/>
                <w:color w:val="auto"/>
              </w:rPr>
            </w:pPr>
            <w:r>
              <w:rPr>
                <w:rFonts w:hint="eastAsia" w:ascii="Times New Roman" w:hAnsi="Times New Roman" w:eastAsia="宋体" w:cs="Times New Roman"/>
                <w:color w:val="auto"/>
              </w:rPr>
              <w:t>污水处理厂处理后（</w:t>
            </w:r>
            <w:r>
              <w:rPr>
                <w:rFonts w:hint="eastAsia" w:cs="Times New Roman"/>
                <w:bCs/>
                <w:color w:val="auto"/>
                <w:sz w:val="24"/>
                <w:szCs w:val="24"/>
                <w:highlight w:val="none"/>
                <w:lang w:val="en-US" w:eastAsia="zh-CN"/>
              </w:rPr>
              <w:t>巴中经开区污水处理厂</w:t>
            </w:r>
            <w:r>
              <w:rPr>
                <w:rFonts w:hint="eastAsia" w:ascii="Times New Roman" w:hAnsi="Times New Roman" w:eastAsia="宋体" w:cs="Times New Roman"/>
                <w:color w:val="auto"/>
              </w:rPr>
              <w:t>排口）：</w:t>
            </w:r>
          </w:p>
          <w:p w14:paraId="380B8869">
            <w:pPr>
              <w:pStyle w:val="208"/>
              <w:ind w:firstLine="480"/>
              <w:rPr>
                <w:rFonts w:hint="eastAsia" w:ascii="Times New Roman" w:hAnsi="Times New Roman" w:eastAsia="宋体" w:cs="Times New Roman"/>
                <w:color w:val="auto"/>
              </w:rPr>
            </w:pPr>
            <w:r>
              <w:rPr>
                <w:rFonts w:hint="eastAsia" w:ascii="Times New Roman" w:hAnsi="Times New Roman" w:eastAsia="宋体" w:cs="Times New Roman"/>
                <w:color w:val="auto"/>
              </w:rPr>
              <w:t>COD=</w:t>
            </w:r>
            <w:r>
              <w:rPr>
                <w:rFonts w:hint="eastAsia" w:ascii="Times New Roman" w:cs="Times New Roman"/>
                <w:color w:val="auto"/>
                <w:lang w:val="en-US" w:eastAsia="zh-CN"/>
              </w:rPr>
              <w:t>3850.8</w:t>
            </w:r>
            <w:r>
              <w:rPr>
                <w:rFonts w:hint="eastAsia" w:ascii="Times New Roman" w:hAnsi="Times New Roman" w:eastAsia="宋体" w:cs="Times New Roman"/>
                <w:color w:val="auto"/>
              </w:rPr>
              <w:t>m</w:t>
            </w:r>
            <w:r>
              <w:rPr>
                <w:rFonts w:hint="eastAsia" w:ascii="Times New Roman" w:hAnsi="Times New Roman" w:eastAsia="宋体" w:cs="Times New Roman"/>
                <w:color w:val="auto"/>
                <w:vertAlign w:val="superscript"/>
              </w:rPr>
              <w:t>3</w:t>
            </w:r>
            <w:r>
              <w:rPr>
                <w:rFonts w:hint="eastAsia" w:ascii="Times New Roman" w:hAnsi="Times New Roman" w:eastAsia="宋体" w:cs="Times New Roman"/>
                <w:color w:val="auto"/>
              </w:rPr>
              <w:t>/a×</w:t>
            </w:r>
            <w:r>
              <w:rPr>
                <w:rFonts w:hint="eastAsia" w:ascii="Times New Roman" w:cs="Times New Roman"/>
                <w:color w:val="auto"/>
                <w:lang w:val="en-US" w:eastAsia="zh-CN"/>
              </w:rPr>
              <w:t>50</w:t>
            </w:r>
            <w:r>
              <w:rPr>
                <w:rFonts w:hint="eastAsia" w:ascii="Times New Roman" w:hAnsi="Times New Roman" w:eastAsia="宋体" w:cs="Times New Roman"/>
                <w:color w:val="auto"/>
              </w:rPr>
              <w:t>mg/L×10</w:t>
            </w:r>
            <w:r>
              <w:rPr>
                <w:rFonts w:hint="eastAsia" w:ascii="Times New Roman" w:hAnsi="Times New Roman" w:eastAsia="宋体" w:cs="Times New Roman"/>
                <w:color w:val="auto"/>
                <w:vertAlign w:val="superscript"/>
              </w:rPr>
              <w:t>-6</w:t>
            </w:r>
            <w:r>
              <w:rPr>
                <w:rFonts w:hint="eastAsia" w:ascii="Times New Roman" w:hAnsi="Times New Roman" w:eastAsia="宋体" w:cs="Times New Roman"/>
                <w:color w:val="auto"/>
                <w:lang w:val="en-US" w:eastAsia="zh-CN"/>
              </w:rPr>
              <w:t>≈</w:t>
            </w:r>
            <w:r>
              <w:rPr>
                <w:rFonts w:hint="eastAsia" w:ascii="Times New Roman" w:cs="Times New Roman"/>
                <w:color w:val="auto"/>
                <w:lang w:val="en-US" w:eastAsia="zh-CN"/>
              </w:rPr>
              <w:t>0.193</w:t>
            </w:r>
            <w:r>
              <w:rPr>
                <w:rFonts w:hint="eastAsia" w:ascii="Times New Roman" w:hAnsi="Times New Roman" w:eastAsia="宋体" w:cs="Times New Roman"/>
                <w:color w:val="auto"/>
              </w:rPr>
              <w:t>t/a；</w:t>
            </w:r>
          </w:p>
          <w:p w14:paraId="532B63E6">
            <w:pPr>
              <w:pStyle w:val="208"/>
              <w:ind w:firstLine="480"/>
              <w:rPr>
                <w:rFonts w:hint="eastAsia" w:ascii="Times New Roman" w:hAnsi="Times New Roman" w:eastAsia="宋体" w:cs="Times New Roman"/>
                <w:color w:val="auto"/>
              </w:rPr>
            </w:pPr>
            <w:r>
              <w:rPr>
                <w:rFonts w:hint="eastAsia" w:ascii="Times New Roman" w:hAnsi="Times New Roman" w:eastAsia="宋体" w:cs="Times New Roman"/>
                <w:color w:val="auto"/>
              </w:rPr>
              <w:t>NH</w:t>
            </w:r>
            <w:r>
              <w:rPr>
                <w:rFonts w:hint="eastAsia" w:ascii="Times New Roman" w:hAnsi="Times New Roman" w:eastAsia="宋体" w:cs="Times New Roman"/>
                <w:color w:val="auto"/>
                <w:vertAlign w:val="subscript"/>
              </w:rPr>
              <w:t>3</w:t>
            </w:r>
            <w:r>
              <w:rPr>
                <w:rFonts w:hint="eastAsia" w:ascii="Times New Roman" w:hAnsi="Times New Roman" w:eastAsia="宋体" w:cs="Times New Roman"/>
                <w:color w:val="auto"/>
              </w:rPr>
              <w:t>-N=</w:t>
            </w:r>
            <w:r>
              <w:rPr>
                <w:rFonts w:hint="eastAsia" w:ascii="Times New Roman" w:cs="Times New Roman"/>
                <w:color w:val="auto"/>
                <w:lang w:val="en-US" w:eastAsia="zh-CN"/>
              </w:rPr>
              <w:t>3850.8</w:t>
            </w:r>
            <w:r>
              <w:rPr>
                <w:rFonts w:hint="eastAsia" w:ascii="Times New Roman" w:hAnsi="Times New Roman" w:eastAsia="宋体" w:cs="Times New Roman"/>
                <w:color w:val="auto"/>
              </w:rPr>
              <w:t>m</w:t>
            </w:r>
            <w:r>
              <w:rPr>
                <w:rFonts w:hint="eastAsia" w:ascii="Times New Roman" w:hAnsi="Times New Roman" w:eastAsia="宋体" w:cs="Times New Roman"/>
                <w:color w:val="auto"/>
                <w:vertAlign w:val="superscript"/>
              </w:rPr>
              <w:t>3</w:t>
            </w:r>
            <w:r>
              <w:rPr>
                <w:rFonts w:hint="eastAsia" w:ascii="Times New Roman" w:hAnsi="Times New Roman" w:eastAsia="宋体" w:cs="Times New Roman"/>
                <w:color w:val="auto"/>
              </w:rPr>
              <w:t>/a×</w:t>
            </w:r>
            <w:r>
              <w:rPr>
                <w:rFonts w:hint="eastAsia" w:ascii="Times New Roman" w:cs="Times New Roman"/>
                <w:color w:val="auto"/>
                <w:lang w:val="en-US" w:eastAsia="zh-CN"/>
              </w:rPr>
              <w:t>5</w:t>
            </w:r>
            <w:r>
              <w:rPr>
                <w:rFonts w:hint="eastAsia" w:ascii="Times New Roman" w:hAnsi="Times New Roman" w:eastAsia="宋体" w:cs="Times New Roman"/>
                <w:color w:val="auto"/>
              </w:rPr>
              <w:t>mg/L×10</w:t>
            </w:r>
            <w:r>
              <w:rPr>
                <w:rFonts w:hint="eastAsia" w:ascii="Times New Roman" w:hAnsi="Times New Roman" w:eastAsia="宋体" w:cs="Times New Roman"/>
                <w:color w:val="auto"/>
                <w:vertAlign w:val="superscript"/>
              </w:rPr>
              <w:t>-6</w:t>
            </w:r>
            <w:r>
              <w:rPr>
                <w:rFonts w:hint="eastAsia" w:ascii="Times New Roman" w:hAnsi="Times New Roman" w:eastAsia="宋体" w:cs="Times New Roman"/>
                <w:color w:val="auto"/>
                <w:lang w:val="en-US" w:eastAsia="zh-CN"/>
              </w:rPr>
              <w:t>≈</w:t>
            </w:r>
            <w:r>
              <w:rPr>
                <w:rFonts w:hint="eastAsia" w:ascii="Times New Roman" w:cs="Times New Roman"/>
                <w:color w:val="auto"/>
                <w:lang w:val="en-US" w:eastAsia="zh-CN"/>
              </w:rPr>
              <w:t>0.0193</w:t>
            </w:r>
            <w:r>
              <w:rPr>
                <w:rFonts w:hint="eastAsia" w:ascii="Times New Roman" w:hAnsi="Times New Roman" w:eastAsia="宋体" w:cs="Times New Roman"/>
                <w:color w:val="auto"/>
              </w:rPr>
              <w:t>t/a；</w:t>
            </w:r>
          </w:p>
          <w:p w14:paraId="4A06057C">
            <w:pPr>
              <w:pStyle w:val="208"/>
              <w:ind w:firstLine="480"/>
              <w:rPr>
                <w:rFonts w:hint="eastAsia" w:ascii="Times New Roman" w:hAnsi="Times New Roman" w:eastAsia="宋体" w:cs="Times New Roman"/>
                <w:color w:val="auto"/>
              </w:rPr>
            </w:pPr>
            <w:r>
              <w:rPr>
                <w:rFonts w:hint="eastAsia" w:ascii="Times New Roman" w:hAnsi="Times New Roman" w:eastAsia="宋体" w:cs="Times New Roman"/>
                <w:color w:val="auto"/>
                <w:lang w:val="en-US" w:eastAsia="zh-CN"/>
              </w:rPr>
              <w:t>TP=</w:t>
            </w:r>
            <w:r>
              <w:rPr>
                <w:rFonts w:hint="eastAsia" w:ascii="Times New Roman" w:cs="Times New Roman"/>
                <w:color w:val="auto"/>
                <w:lang w:val="en-US" w:eastAsia="zh-CN"/>
              </w:rPr>
              <w:t>3850.8</w:t>
            </w:r>
            <w:r>
              <w:rPr>
                <w:rFonts w:hint="eastAsia" w:ascii="Times New Roman" w:hAnsi="Times New Roman" w:eastAsia="宋体" w:cs="Times New Roman"/>
                <w:color w:val="auto"/>
              </w:rPr>
              <w:t>m</w:t>
            </w:r>
            <w:r>
              <w:rPr>
                <w:rFonts w:hint="eastAsia" w:ascii="Times New Roman" w:hAnsi="Times New Roman" w:eastAsia="宋体" w:cs="Times New Roman"/>
                <w:color w:val="auto"/>
                <w:vertAlign w:val="superscript"/>
              </w:rPr>
              <w:t>3</w:t>
            </w:r>
            <w:r>
              <w:rPr>
                <w:rFonts w:hint="eastAsia" w:ascii="Times New Roman" w:hAnsi="Times New Roman" w:eastAsia="宋体" w:cs="Times New Roman"/>
                <w:color w:val="auto"/>
              </w:rPr>
              <w:t>/a×</w:t>
            </w:r>
            <w:r>
              <w:rPr>
                <w:rFonts w:hint="eastAsia" w:ascii="Times New Roman" w:cs="Times New Roman"/>
                <w:color w:val="auto"/>
                <w:lang w:val="en-US" w:eastAsia="zh-CN"/>
              </w:rPr>
              <w:t>0.5</w:t>
            </w:r>
            <w:r>
              <w:rPr>
                <w:rFonts w:hint="eastAsia" w:ascii="Times New Roman" w:hAnsi="Times New Roman" w:eastAsia="宋体" w:cs="Times New Roman"/>
                <w:color w:val="auto"/>
              </w:rPr>
              <w:t>mg/L×10</w:t>
            </w:r>
            <w:r>
              <w:rPr>
                <w:rFonts w:hint="eastAsia" w:ascii="Times New Roman" w:hAnsi="Times New Roman" w:eastAsia="宋体" w:cs="Times New Roman"/>
                <w:color w:val="auto"/>
                <w:vertAlign w:val="superscript"/>
              </w:rPr>
              <w:t>-6</w:t>
            </w:r>
            <w:r>
              <w:rPr>
                <w:rFonts w:hint="eastAsia" w:ascii="Times New Roman" w:hAnsi="Times New Roman" w:eastAsia="宋体" w:cs="Times New Roman"/>
                <w:color w:val="auto"/>
                <w:lang w:val="en-US" w:eastAsia="zh-CN"/>
              </w:rPr>
              <w:t>≈0.00</w:t>
            </w:r>
            <w:r>
              <w:rPr>
                <w:rFonts w:hint="eastAsia" w:ascii="Times New Roman" w:cs="Times New Roman"/>
                <w:color w:val="auto"/>
                <w:lang w:val="en-US" w:eastAsia="zh-CN"/>
              </w:rPr>
              <w:t>2</w:t>
            </w:r>
            <w:r>
              <w:rPr>
                <w:rFonts w:hint="eastAsia" w:ascii="Times New Roman" w:hAnsi="Times New Roman" w:eastAsia="宋体" w:cs="Times New Roman"/>
                <w:color w:val="auto"/>
              </w:rPr>
              <w:t>t/a；</w:t>
            </w:r>
          </w:p>
          <w:p w14:paraId="3D1CCE52">
            <w:pPr>
              <w:pStyle w:val="208"/>
              <w:ind w:firstLine="480"/>
              <w:rPr>
                <w:rFonts w:hint="eastAsia" w:ascii="Times New Roman" w:hAnsi="Times New Roman" w:eastAsia="宋体" w:cs="Times New Roman"/>
                <w:color w:val="auto"/>
              </w:rPr>
            </w:pPr>
            <w:r>
              <w:rPr>
                <w:rFonts w:hint="eastAsia" w:ascii="Times New Roman" w:hAnsi="Times New Roman" w:eastAsia="宋体" w:cs="Times New Roman"/>
                <w:color w:val="auto"/>
              </w:rPr>
              <w:t>二、废气</w:t>
            </w:r>
          </w:p>
          <w:p w14:paraId="24992CE7">
            <w:pPr>
              <w:pStyle w:val="208"/>
              <w:ind w:firstLine="480"/>
              <w:rPr>
                <w:rFonts w:hint="eastAsia" w:ascii="Times New Roman" w:hAnsi="Times New Roman" w:eastAsia="宋体" w:cs="Times New Roman"/>
                <w:color w:val="auto"/>
              </w:rPr>
            </w:pPr>
            <w:r>
              <w:rPr>
                <w:rFonts w:hint="eastAsia" w:ascii="Times New Roman" w:hAnsi="Times New Roman" w:eastAsia="宋体" w:cs="Times New Roman"/>
                <w:color w:val="auto"/>
              </w:rPr>
              <w:t>建议本项目总量控制指标为VOCs，以实际排放量核定，根据工程分析，建议</w:t>
            </w:r>
            <w:r>
              <w:rPr>
                <w:rFonts w:hint="eastAsia" w:ascii="Times New Roman" w:cs="Times New Roman"/>
                <w:color w:val="auto"/>
                <w:lang w:val="en-US" w:eastAsia="zh-CN"/>
              </w:rPr>
              <w:t>VOCs</w:t>
            </w:r>
            <w:r>
              <w:rPr>
                <w:rFonts w:hint="eastAsia" w:ascii="Times New Roman" w:hAnsi="Times New Roman" w:eastAsia="宋体" w:cs="Times New Roman"/>
                <w:color w:val="auto"/>
              </w:rPr>
              <w:t>总量控制指标</w:t>
            </w:r>
            <w:r>
              <w:rPr>
                <w:rFonts w:hint="eastAsia" w:ascii="Times New Roman" w:cs="Times New Roman"/>
                <w:color w:val="auto"/>
                <w:lang w:val="en-US" w:eastAsia="zh-CN"/>
              </w:rPr>
              <w:t>为1.6908t/a。</w:t>
            </w:r>
          </w:p>
          <w:p w14:paraId="6020C7B0">
            <w:pPr>
              <w:pStyle w:val="208"/>
              <w:ind w:firstLine="480"/>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项目总量控制指标最终由生态环境主管部门核对后调控并下达。</w:t>
            </w:r>
          </w:p>
          <w:p w14:paraId="34C2862E">
            <w:pPr>
              <w:pStyle w:val="118"/>
              <w:rPr>
                <w:rFonts w:hint="eastAsia" w:ascii="Times New Roman" w:hAnsi="Times New Roman" w:eastAsia="宋体" w:cs="Times New Roman"/>
                <w:color w:val="auto"/>
                <w:lang w:val="en-US" w:eastAsia="zh-CN"/>
              </w:rPr>
            </w:pPr>
          </w:p>
          <w:p w14:paraId="50E1A8F1">
            <w:pPr>
              <w:pStyle w:val="16"/>
              <w:rPr>
                <w:rFonts w:hint="eastAsia" w:ascii="Times New Roman" w:hAnsi="Times New Roman" w:eastAsia="宋体" w:cs="Times New Roman"/>
                <w:color w:val="auto"/>
                <w:lang w:val="en-US" w:eastAsia="zh-CN"/>
              </w:rPr>
            </w:pPr>
          </w:p>
          <w:p w14:paraId="27D286FA">
            <w:pPr>
              <w:pStyle w:val="17"/>
              <w:rPr>
                <w:rFonts w:hint="eastAsia" w:ascii="Times New Roman" w:hAnsi="Times New Roman" w:eastAsia="宋体" w:cs="Times New Roman"/>
                <w:color w:val="auto"/>
                <w:lang w:val="en-US" w:eastAsia="zh-CN"/>
              </w:rPr>
            </w:pPr>
          </w:p>
          <w:p w14:paraId="106EBA5A">
            <w:pPr>
              <w:rPr>
                <w:rFonts w:hint="eastAsia" w:ascii="Times New Roman" w:hAnsi="Times New Roman" w:eastAsia="宋体" w:cs="Times New Roman"/>
                <w:color w:val="auto"/>
                <w:lang w:val="en-US" w:eastAsia="zh-CN"/>
              </w:rPr>
            </w:pPr>
          </w:p>
          <w:p w14:paraId="7D2E8BDC">
            <w:pPr>
              <w:rPr>
                <w:rFonts w:hint="eastAsia" w:ascii="Times New Roman" w:hAnsi="Times New Roman" w:eastAsia="宋体" w:cs="Times New Roman"/>
                <w:color w:val="auto"/>
                <w:lang w:val="en-US" w:eastAsia="zh-CN"/>
              </w:rPr>
            </w:pPr>
          </w:p>
          <w:p w14:paraId="3F6D77D4">
            <w:pPr>
              <w:rPr>
                <w:rFonts w:hint="eastAsia" w:ascii="Times New Roman" w:hAnsi="Times New Roman" w:eastAsia="宋体" w:cs="Times New Roman"/>
                <w:color w:val="auto"/>
                <w:lang w:val="en-US" w:eastAsia="zh-CN"/>
              </w:rPr>
            </w:pPr>
          </w:p>
          <w:p w14:paraId="50465BFC">
            <w:pPr>
              <w:rPr>
                <w:rFonts w:hint="eastAsia" w:ascii="Times New Roman" w:hAnsi="Times New Roman" w:eastAsia="宋体" w:cs="Times New Roman"/>
                <w:color w:val="auto"/>
                <w:lang w:val="en-US" w:eastAsia="zh-CN"/>
              </w:rPr>
            </w:pPr>
          </w:p>
          <w:p w14:paraId="5EE67607">
            <w:pPr>
              <w:rPr>
                <w:rFonts w:hint="eastAsia" w:ascii="Times New Roman" w:hAnsi="Times New Roman" w:eastAsia="宋体" w:cs="Times New Roman"/>
                <w:color w:val="auto"/>
                <w:lang w:val="en-US" w:eastAsia="zh-CN"/>
              </w:rPr>
            </w:pPr>
          </w:p>
          <w:p w14:paraId="545F3886">
            <w:pPr>
              <w:rPr>
                <w:rFonts w:hint="eastAsia" w:ascii="Times New Roman" w:hAnsi="Times New Roman" w:eastAsia="宋体" w:cs="Times New Roman"/>
                <w:color w:val="auto"/>
                <w:lang w:val="en-US" w:eastAsia="zh-CN"/>
              </w:rPr>
            </w:pPr>
          </w:p>
          <w:p w14:paraId="516AB2C0">
            <w:pPr>
              <w:rPr>
                <w:rFonts w:hint="eastAsia" w:ascii="Times New Roman" w:hAnsi="Times New Roman" w:eastAsia="宋体" w:cs="Times New Roman"/>
                <w:color w:val="auto"/>
                <w:lang w:val="en-US" w:eastAsia="zh-CN"/>
              </w:rPr>
            </w:pPr>
          </w:p>
          <w:p w14:paraId="390F2338">
            <w:pPr>
              <w:rPr>
                <w:rFonts w:hint="eastAsia" w:ascii="Times New Roman" w:hAnsi="Times New Roman" w:eastAsia="宋体" w:cs="Times New Roman"/>
                <w:color w:val="auto"/>
                <w:lang w:val="en-US" w:eastAsia="zh-CN"/>
              </w:rPr>
            </w:pPr>
          </w:p>
          <w:p w14:paraId="41B1779E">
            <w:pPr>
              <w:rPr>
                <w:rFonts w:hint="eastAsia" w:ascii="Times New Roman" w:hAnsi="Times New Roman" w:eastAsia="宋体" w:cs="Times New Roman"/>
                <w:color w:val="auto"/>
                <w:lang w:val="en-US" w:eastAsia="zh-CN"/>
              </w:rPr>
            </w:pPr>
          </w:p>
          <w:p w14:paraId="35B581DE">
            <w:pPr>
              <w:rPr>
                <w:rFonts w:hint="eastAsia" w:ascii="Times New Roman" w:hAnsi="Times New Roman" w:eastAsia="宋体" w:cs="Times New Roman"/>
                <w:color w:val="auto"/>
                <w:lang w:val="en-US" w:eastAsia="zh-CN"/>
              </w:rPr>
            </w:pPr>
          </w:p>
          <w:p w14:paraId="4D7B436C">
            <w:pPr>
              <w:rPr>
                <w:rFonts w:hint="eastAsia" w:ascii="Times New Roman" w:hAnsi="Times New Roman" w:eastAsia="宋体" w:cs="Times New Roman"/>
                <w:color w:val="auto"/>
                <w:lang w:val="en-US" w:eastAsia="zh-CN"/>
              </w:rPr>
            </w:pPr>
          </w:p>
          <w:p w14:paraId="4938B182">
            <w:pPr>
              <w:rPr>
                <w:rFonts w:hint="eastAsia" w:ascii="Times New Roman" w:hAnsi="Times New Roman" w:eastAsia="宋体" w:cs="Times New Roman"/>
                <w:color w:val="auto"/>
                <w:lang w:val="en-US" w:eastAsia="zh-CN"/>
              </w:rPr>
            </w:pPr>
          </w:p>
          <w:p w14:paraId="5B314F1F">
            <w:pPr>
              <w:rPr>
                <w:rFonts w:hint="eastAsia" w:ascii="Times New Roman" w:hAnsi="Times New Roman" w:eastAsia="宋体" w:cs="Times New Roman"/>
                <w:color w:val="auto"/>
                <w:lang w:val="en-US" w:eastAsia="zh-CN"/>
              </w:rPr>
            </w:pPr>
          </w:p>
          <w:p w14:paraId="2B3B393E">
            <w:pPr>
              <w:rPr>
                <w:rFonts w:hint="eastAsia" w:ascii="Times New Roman" w:hAnsi="Times New Roman" w:eastAsia="宋体" w:cs="Times New Roman"/>
                <w:color w:val="auto"/>
                <w:lang w:val="en-US" w:eastAsia="zh-CN"/>
              </w:rPr>
            </w:pPr>
          </w:p>
          <w:p w14:paraId="2D6D76B6">
            <w:pPr>
              <w:rPr>
                <w:rFonts w:hint="eastAsia" w:ascii="Times New Roman" w:hAnsi="Times New Roman" w:eastAsia="宋体" w:cs="Times New Roman"/>
                <w:color w:val="auto"/>
                <w:lang w:val="en-US" w:eastAsia="zh-CN"/>
              </w:rPr>
            </w:pPr>
          </w:p>
          <w:p w14:paraId="5DD3DF9A">
            <w:pPr>
              <w:rPr>
                <w:rFonts w:hint="eastAsia" w:ascii="Times New Roman" w:hAnsi="Times New Roman" w:eastAsia="宋体" w:cs="Times New Roman"/>
                <w:color w:val="auto"/>
                <w:lang w:val="en-US" w:eastAsia="zh-CN"/>
              </w:rPr>
            </w:pPr>
          </w:p>
          <w:p w14:paraId="30A15D60">
            <w:pPr>
              <w:rPr>
                <w:rFonts w:hint="eastAsia" w:ascii="Times New Roman" w:hAnsi="Times New Roman" w:eastAsia="宋体" w:cs="Times New Roman"/>
                <w:color w:val="auto"/>
                <w:lang w:val="en-US" w:eastAsia="zh-CN"/>
              </w:rPr>
            </w:pPr>
          </w:p>
          <w:p w14:paraId="6406E762">
            <w:pPr>
              <w:rPr>
                <w:rFonts w:hint="eastAsia" w:ascii="Times New Roman" w:hAnsi="Times New Roman" w:eastAsia="宋体" w:cs="Times New Roman"/>
                <w:color w:val="auto"/>
                <w:lang w:val="en-US" w:eastAsia="zh-CN"/>
              </w:rPr>
            </w:pPr>
          </w:p>
          <w:p w14:paraId="376C79A2">
            <w:pPr>
              <w:rPr>
                <w:rFonts w:hint="eastAsia" w:ascii="Times New Roman" w:hAnsi="Times New Roman" w:eastAsia="宋体" w:cs="Times New Roman"/>
                <w:color w:val="auto"/>
                <w:lang w:val="en-US" w:eastAsia="zh-CN"/>
              </w:rPr>
            </w:pPr>
          </w:p>
          <w:p w14:paraId="04D3EA1A">
            <w:pPr>
              <w:rPr>
                <w:rFonts w:hint="eastAsia" w:ascii="Times New Roman" w:hAnsi="Times New Roman" w:eastAsia="宋体" w:cs="Times New Roman"/>
                <w:color w:val="auto"/>
                <w:lang w:val="en-US" w:eastAsia="zh-CN"/>
              </w:rPr>
            </w:pPr>
          </w:p>
          <w:p w14:paraId="724F4B25">
            <w:pPr>
              <w:rPr>
                <w:rFonts w:hint="eastAsia" w:ascii="Times New Roman" w:hAnsi="Times New Roman" w:eastAsia="宋体" w:cs="Times New Roman"/>
                <w:color w:val="auto"/>
                <w:lang w:val="en-US" w:eastAsia="zh-CN"/>
              </w:rPr>
            </w:pPr>
          </w:p>
          <w:p w14:paraId="6CECF0A1">
            <w:pPr>
              <w:rPr>
                <w:rFonts w:hint="eastAsia" w:ascii="Times New Roman" w:hAnsi="Times New Roman" w:eastAsia="宋体" w:cs="Times New Roman"/>
                <w:color w:val="auto"/>
                <w:lang w:val="en-US" w:eastAsia="zh-CN"/>
              </w:rPr>
            </w:pPr>
          </w:p>
          <w:p w14:paraId="1AABE612">
            <w:pPr>
              <w:rPr>
                <w:rFonts w:hint="eastAsia" w:ascii="Times New Roman" w:hAnsi="Times New Roman" w:eastAsia="宋体" w:cs="Times New Roman"/>
                <w:color w:val="auto"/>
                <w:lang w:val="en-US" w:eastAsia="zh-CN"/>
              </w:rPr>
            </w:pPr>
          </w:p>
          <w:p w14:paraId="70A02171">
            <w:pPr>
              <w:rPr>
                <w:rFonts w:hint="eastAsia" w:ascii="Times New Roman" w:hAnsi="Times New Roman" w:eastAsia="宋体" w:cs="Times New Roman"/>
                <w:color w:val="auto"/>
                <w:lang w:val="en-US" w:eastAsia="zh-CN"/>
              </w:rPr>
            </w:pPr>
          </w:p>
          <w:p w14:paraId="221FA875">
            <w:pPr>
              <w:rPr>
                <w:rFonts w:hint="eastAsia" w:ascii="Times New Roman" w:hAnsi="Times New Roman" w:eastAsia="宋体" w:cs="Times New Roman"/>
                <w:color w:val="auto"/>
                <w:lang w:val="en-US" w:eastAsia="zh-CN"/>
              </w:rPr>
            </w:pPr>
          </w:p>
          <w:p w14:paraId="7F404DA1">
            <w:pPr>
              <w:rPr>
                <w:rFonts w:hint="eastAsia" w:ascii="Times New Roman" w:hAnsi="Times New Roman" w:eastAsia="宋体" w:cs="Times New Roman"/>
                <w:color w:val="auto"/>
                <w:lang w:val="en-US" w:eastAsia="zh-CN"/>
              </w:rPr>
            </w:pPr>
          </w:p>
          <w:p w14:paraId="48A91E2A">
            <w:pPr>
              <w:rPr>
                <w:rFonts w:hint="eastAsia" w:ascii="Times New Roman" w:hAnsi="Times New Roman" w:eastAsia="宋体" w:cs="Times New Roman"/>
                <w:color w:val="auto"/>
                <w:lang w:val="en-US" w:eastAsia="zh-CN"/>
              </w:rPr>
            </w:pPr>
          </w:p>
          <w:p w14:paraId="327C2EFC">
            <w:pPr>
              <w:rPr>
                <w:rFonts w:hint="eastAsia" w:ascii="Times New Roman" w:hAnsi="Times New Roman" w:eastAsia="宋体" w:cs="Times New Roman"/>
                <w:color w:val="auto"/>
                <w:lang w:val="en-US" w:eastAsia="zh-CN"/>
              </w:rPr>
            </w:pPr>
          </w:p>
          <w:p w14:paraId="76040615">
            <w:pPr>
              <w:rPr>
                <w:rFonts w:hint="eastAsia" w:ascii="Times New Roman" w:hAnsi="Times New Roman" w:eastAsia="宋体" w:cs="Times New Roman"/>
                <w:color w:val="auto"/>
                <w:lang w:val="en-US" w:eastAsia="zh-CN"/>
              </w:rPr>
            </w:pPr>
          </w:p>
          <w:p w14:paraId="77DDFE52">
            <w:pPr>
              <w:rPr>
                <w:rFonts w:hint="eastAsia" w:ascii="Times New Roman" w:hAnsi="Times New Roman" w:eastAsia="宋体" w:cs="Times New Roman"/>
                <w:color w:val="auto"/>
                <w:lang w:val="en-US" w:eastAsia="zh-CN"/>
              </w:rPr>
            </w:pPr>
          </w:p>
          <w:p w14:paraId="408C8493">
            <w:pPr>
              <w:rPr>
                <w:rFonts w:hint="eastAsia" w:ascii="Times New Roman" w:hAnsi="Times New Roman" w:eastAsia="宋体" w:cs="Times New Roman"/>
                <w:color w:val="auto"/>
                <w:lang w:val="en-US" w:eastAsia="zh-CN"/>
              </w:rPr>
            </w:pPr>
          </w:p>
          <w:p w14:paraId="50089ABB">
            <w:pPr>
              <w:rPr>
                <w:rFonts w:hint="eastAsia" w:ascii="Times New Roman" w:hAnsi="Times New Roman" w:eastAsia="宋体" w:cs="Times New Roman"/>
                <w:color w:val="auto"/>
                <w:lang w:val="en-US" w:eastAsia="zh-CN"/>
              </w:rPr>
            </w:pPr>
          </w:p>
          <w:p w14:paraId="4A73FB68">
            <w:pPr>
              <w:rPr>
                <w:rFonts w:hint="eastAsia" w:ascii="Times New Roman" w:hAnsi="Times New Roman" w:eastAsia="宋体" w:cs="Times New Roman"/>
                <w:color w:val="auto"/>
                <w:lang w:val="en-US" w:eastAsia="zh-CN"/>
              </w:rPr>
            </w:pPr>
          </w:p>
          <w:p w14:paraId="6787D569">
            <w:pPr>
              <w:rPr>
                <w:rFonts w:hint="eastAsia" w:ascii="Times New Roman" w:hAnsi="Times New Roman" w:eastAsia="宋体" w:cs="Times New Roman"/>
                <w:color w:val="auto"/>
                <w:lang w:val="en-US" w:eastAsia="zh-CN"/>
              </w:rPr>
            </w:pPr>
          </w:p>
          <w:p w14:paraId="18E2A853">
            <w:pPr>
              <w:rPr>
                <w:rFonts w:hint="eastAsia" w:ascii="Times New Roman" w:hAnsi="Times New Roman" w:eastAsia="宋体" w:cs="Times New Roman"/>
                <w:color w:val="auto"/>
                <w:lang w:val="en-US" w:eastAsia="zh-CN"/>
              </w:rPr>
            </w:pPr>
          </w:p>
          <w:p w14:paraId="0FE068D8">
            <w:pPr>
              <w:rPr>
                <w:rFonts w:hint="eastAsia" w:ascii="Times New Roman" w:hAnsi="Times New Roman" w:eastAsia="宋体" w:cs="Times New Roman"/>
                <w:color w:val="auto"/>
                <w:lang w:val="en-US" w:eastAsia="zh-CN"/>
              </w:rPr>
            </w:pPr>
          </w:p>
          <w:p w14:paraId="27B2F7BE">
            <w:pPr>
              <w:rPr>
                <w:rFonts w:hint="eastAsia" w:ascii="Times New Roman" w:hAnsi="Times New Roman" w:eastAsia="宋体" w:cs="Times New Roman"/>
                <w:color w:val="auto"/>
                <w:lang w:val="en-US" w:eastAsia="zh-CN"/>
              </w:rPr>
            </w:pPr>
          </w:p>
          <w:p w14:paraId="71A4279F">
            <w:pPr>
              <w:rPr>
                <w:rFonts w:hint="eastAsia" w:ascii="Times New Roman" w:hAnsi="Times New Roman" w:eastAsia="宋体" w:cs="Times New Roman"/>
                <w:color w:val="auto"/>
                <w:lang w:val="en-US" w:eastAsia="zh-CN"/>
              </w:rPr>
            </w:pPr>
          </w:p>
          <w:p w14:paraId="29A073C8">
            <w:pPr>
              <w:rPr>
                <w:rFonts w:hint="eastAsia" w:ascii="Times New Roman" w:hAnsi="Times New Roman" w:eastAsia="宋体" w:cs="Times New Roman"/>
                <w:color w:val="auto"/>
                <w:lang w:val="en-US" w:eastAsia="zh-CN"/>
              </w:rPr>
            </w:pPr>
          </w:p>
        </w:tc>
      </w:tr>
    </w:tbl>
    <w:p w14:paraId="3709A852">
      <w:pPr>
        <w:pStyle w:val="37"/>
        <w:jc w:val="center"/>
        <w:outlineLvl w:val="0"/>
        <w:rPr>
          <w:rFonts w:hint="eastAsia" w:ascii="黑体" w:hAnsi="黑体" w:eastAsia="黑体"/>
          <w:snapToGrid w:val="0"/>
          <w:color w:val="auto"/>
          <w:sz w:val="30"/>
          <w:szCs w:val="30"/>
        </w:rPr>
      </w:pPr>
      <w:r>
        <w:rPr>
          <w:rFonts w:ascii="黑体" w:hAnsi="黑体" w:eastAsia="黑体"/>
          <w:snapToGrid w:val="0"/>
          <w:color w:val="auto"/>
          <w:sz w:val="36"/>
          <w:szCs w:val="36"/>
        </w:rPr>
        <w:br w:type="page"/>
      </w:r>
      <w:bookmarkStart w:id="14" w:name="_Toc186098080"/>
      <w:bookmarkStart w:id="15" w:name="_Toc13313"/>
      <w:r>
        <w:rPr>
          <w:rFonts w:hint="eastAsia" w:ascii="黑体" w:hAnsi="黑体" w:eastAsia="黑体"/>
          <w:snapToGrid w:val="0"/>
          <w:color w:val="auto"/>
          <w:sz w:val="30"/>
          <w:szCs w:val="30"/>
        </w:rPr>
        <w:t>四、主要环境影响和保护措施</w:t>
      </w:r>
      <w:bookmarkEnd w:id="14"/>
      <w:bookmarkEnd w:id="15"/>
    </w:p>
    <w:tbl>
      <w:tblPr>
        <w:tblStyle w:val="41"/>
        <w:tblW w:w="8908"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746"/>
        <w:gridCol w:w="8162"/>
      </w:tblGrid>
      <w:tr w14:paraId="7F3971E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749" w:hRule="atLeast"/>
          <w:jc w:val="center"/>
        </w:trPr>
        <w:tc>
          <w:tcPr>
            <w:tcW w:w="746" w:type="dxa"/>
            <w:tcMar>
              <w:left w:w="28" w:type="dxa"/>
              <w:right w:w="28" w:type="dxa"/>
            </w:tcMar>
            <w:vAlign w:val="center"/>
          </w:tcPr>
          <w:p w14:paraId="639B0867">
            <w:pPr>
              <w:pStyle w:val="37"/>
              <w:adjustRightInd w:val="0"/>
              <w:snapToGrid w:val="0"/>
              <w:spacing w:before="0" w:beforeAutospacing="0" w:after="0" w:afterAutospacing="0"/>
              <w:jc w:val="center"/>
              <w:rPr>
                <w:rFonts w:ascii="Times New Roman" w:hAnsi="Times New Roman" w:cs="宋体"/>
                <w:bCs/>
                <w:color w:val="auto"/>
                <w:kern w:val="2"/>
                <w:sz w:val="21"/>
                <w:szCs w:val="21"/>
              </w:rPr>
            </w:pPr>
            <w:r>
              <w:rPr>
                <w:rFonts w:hint="eastAsia" w:ascii="Times New Roman" w:hAnsi="Times New Roman" w:cs="宋体"/>
                <w:b/>
                <w:bCs/>
                <w:color w:val="auto"/>
                <w:kern w:val="2"/>
                <w:sz w:val="24"/>
                <w:szCs w:val="24"/>
              </w:rPr>
              <w:t>施工期环境保护措施</w:t>
            </w:r>
          </w:p>
        </w:tc>
        <w:tc>
          <w:tcPr>
            <w:tcW w:w="8162" w:type="dxa"/>
          </w:tcPr>
          <w:p w14:paraId="4D9E3B99">
            <w:pPr>
              <w:pStyle w:val="66"/>
              <w:spacing w:line="360" w:lineRule="auto"/>
              <w:rPr>
                <w:color w:val="auto"/>
              </w:rPr>
            </w:pPr>
            <w:r>
              <w:rPr>
                <w:rFonts w:hint="eastAsia" w:ascii="Times New Roman" w:hAnsi="Times New Roman" w:eastAsia="宋体" w:cs="Times New Roman"/>
                <w:color w:val="auto"/>
                <w:sz w:val="24"/>
                <w:highlight w:val="none"/>
              </w:rPr>
              <w:t>本项目租</w:t>
            </w:r>
            <w:r>
              <w:rPr>
                <w:rFonts w:hint="eastAsia" w:ascii="Times New Roman" w:hAnsi="Times New Roman" w:eastAsia="宋体" w:cs="Times New Roman"/>
                <w:color w:val="auto"/>
              </w:rPr>
              <w:t>低空</w:t>
            </w:r>
            <w:r>
              <w:rPr>
                <w:rFonts w:hint="eastAsia" w:cs="Times New Roman"/>
                <w:color w:val="auto"/>
                <w:lang w:val="en-US" w:eastAsia="zh-CN"/>
              </w:rPr>
              <w:t>数字</w:t>
            </w:r>
            <w:r>
              <w:rPr>
                <w:rFonts w:hint="eastAsia" w:ascii="Times New Roman" w:hAnsi="Times New Roman" w:eastAsia="宋体" w:cs="Times New Roman"/>
                <w:color w:val="auto"/>
              </w:rPr>
              <w:t>经济产业园标准化厂房</w:t>
            </w:r>
            <w:r>
              <w:rPr>
                <w:rFonts w:hint="eastAsia" w:ascii="Times New Roman" w:hAnsi="Times New Roman" w:eastAsia="宋体" w:cs="Times New Roman"/>
                <w:color w:val="auto"/>
                <w:sz w:val="24"/>
                <w:highlight w:val="none"/>
                <w:lang w:val="en-US" w:eastAsia="zh-CN"/>
              </w:rPr>
              <w:t>进行建设，</w:t>
            </w:r>
            <w:r>
              <w:rPr>
                <w:rFonts w:hint="eastAsia" w:ascii="Times New Roman" w:hAnsi="Times New Roman" w:eastAsia="宋体" w:cs="Times New Roman"/>
                <w:color w:val="auto"/>
                <w:sz w:val="24"/>
                <w:highlight w:val="none"/>
              </w:rPr>
              <w:t>因此，项目施工期不涉及表土剥离、建筑基础开挖</w:t>
            </w:r>
            <w:r>
              <w:rPr>
                <w:rFonts w:hint="eastAsia" w:ascii="Times New Roman" w:hAnsi="Times New Roman" w:eastAsia="宋体" w:cs="Times New Roman"/>
                <w:color w:val="auto"/>
                <w:sz w:val="24"/>
                <w:highlight w:val="none"/>
                <w:lang w:eastAsia="zh-CN"/>
              </w:rPr>
              <w:t>，</w:t>
            </w:r>
            <w:r>
              <w:rPr>
                <w:rFonts w:hint="eastAsia" w:ascii="Times New Roman" w:hAnsi="Times New Roman" w:eastAsia="宋体" w:cs="Times New Roman"/>
                <w:color w:val="auto"/>
                <w:sz w:val="24"/>
                <w:highlight w:val="none"/>
              </w:rPr>
              <w:t>主要建设内容包括建筑适应性改造、装饰、设备安装与调试等。施工期将产生扬尘、建筑垃圾、装修废气、噪声、设备安装产生的包装废弃物、施工人员的生活污水、生活垃圾等，其排放量随施工期和施工强度不同而有所变化。但这些污染是暂时性的，会随着施工结束而消失</w:t>
            </w:r>
            <w:r>
              <w:rPr>
                <w:rFonts w:hint="eastAsia"/>
                <w:color w:val="auto"/>
              </w:rPr>
              <w:t>。</w:t>
            </w:r>
          </w:p>
          <w:p w14:paraId="46D2E3E0">
            <w:pPr>
              <w:autoSpaceDE w:val="0"/>
              <w:autoSpaceDN w:val="0"/>
              <w:spacing w:line="360" w:lineRule="auto"/>
              <w:ind w:firstLine="482" w:firstLineChars="200"/>
              <w:rPr>
                <w:rFonts w:ascii="Times New Roman" w:hAnsi="Times New Roman"/>
                <w:b/>
                <w:bCs/>
                <w:color w:val="auto"/>
                <w:sz w:val="24"/>
                <w:highlight w:val="none"/>
              </w:rPr>
            </w:pPr>
            <w:r>
              <w:rPr>
                <w:rFonts w:hint="eastAsia" w:ascii="Times New Roman" w:hAnsi="Times New Roman"/>
                <w:b/>
                <w:bCs/>
                <w:color w:val="auto"/>
                <w:sz w:val="24"/>
                <w:highlight w:val="none"/>
              </w:rPr>
              <w:t>1、废气治理措施</w:t>
            </w:r>
          </w:p>
          <w:p w14:paraId="37446F6B">
            <w:pPr>
              <w:adjustRightInd w:val="0"/>
              <w:snapToGrid w:val="0"/>
              <w:spacing w:line="360" w:lineRule="auto"/>
              <w:ind w:firstLine="480" w:firstLineChars="200"/>
              <w:rPr>
                <w:rFonts w:hint="eastAsia" w:ascii="Times New Roman" w:hAnsi="Times New Roman"/>
                <w:color w:val="auto"/>
                <w:sz w:val="24"/>
                <w:highlight w:val="none"/>
              </w:rPr>
            </w:pPr>
            <w:r>
              <w:rPr>
                <w:rFonts w:hint="eastAsia" w:ascii="Times New Roman" w:hAnsi="Times New Roman" w:eastAsia="宋体" w:cs="Times New Roman"/>
                <w:color w:val="auto"/>
                <w:sz w:val="24"/>
              </w:rPr>
              <w:t>本项目施工作业废气主要为建筑适应性改造和车辆运输产生的少量扬尘以及室内简单装饰产生的装修废气。本项目湿法作业、洒水降尘等措施可使扬尘得到有效控制，扬尘排放可满足《四川省施工场地扬尘排放标准》（DB51/2682-2020）相应阶段排放限值要求，不会对周边环境造成不利影响。装修废气通过采用环保装饰材料、加强通风换气等措施，降低有害装修气体的排放。总体而言，本项目施工期对环境空气影响较小，且影响是暂时性的，随着工程施工期结束而消失</w:t>
            </w:r>
            <w:r>
              <w:rPr>
                <w:rFonts w:hint="eastAsia" w:ascii="Times New Roman" w:hAnsi="Times New Roman"/>
                <w:color w:val="auto"/>
                <w:sz w:val="24"/>
                <w:highlight w:val="none"/>
              </w:rPr>
              <w:t>。</w:t>
            </w:r>
          </w:p>
          <w:p w14:paraId="473BF5BC">
            <w:pPr>
              <w:autoSpaceDE w:val="0"/>
              <w:autoSpaceDN w:val="0"/>
              <w:spacing w:line="360" w:lineRule="auto"/>
              <w:ind w:firstLine="482" w:firstLineChars="200"/>
              <w:rPr>
                <w:rFonts w:ascii="Times New Roman" w:hAnsi="Times New Roman"/>
                <w:b/>
                <w:bCs/>
                <w:color w:val="auto"/>
                <w:sz w:val="24"/>
                <w:highlight w:val="none"/>
              </w:rPr>
            </w:pPr>
            <w:r>
              <w:rPr>
                <w:rFonts w:hint="eastAsia" w:ascii="Times New Roman" w:hAnsi="Times New Roman"/>
                <w:b/>
                <w:bCs/>
                <w:color w:val="auto"/>
                <w:sz w:val="24"/>
                <w:highlight w:val="none"/>
              </w:rPr>
              <w:t>2、废水治理措施</w:t>
            </w:r>
          </w:p>
          <w:p w14:paraId="51AD1377">
            <w:pPr>
              <w:adjustRightInd w:val="0"/>
              <w:snapToGrid w:val="0"/>
              <w:spacing w:line="360" w:lineRule="auto"/>
              <w:ind w:firstLine="480" w:firstLineChars="200"/>
              <w:rPr>
                <w:rFonts w:ascii="Times New Roman" w:hAnsi="Times New Roman"/>
                <w:color w:val="auto"/>
                <w:sz w:val="24"/>
                <w:highlight w:val="none"/>
              </w:rPr>
            </w:pPr>
            <w:r>
              <w:rPr>
                <w:rFonts w:hint="eastAsia" w:ascii="Times New Roman" w:hAnsi="Times New Roman" w:eastAsia="宋体" w:cs="Times New Roman"/>
                <w:color w:val="auto"/>
                <w:sz w:val="24"/>
              </w:rPr>
              <w:t>本项目施工期不产生施工废水、主要废水来源于施工人员生活污水，主要污染物为SS、CODcr、氨氮等。本项目高峰期施工人员按每天</w:t>
            </w:r>
            <w:r>
              <w:rPr>
                <w:rFonts w:hint="eastAsia" w:ascii="Times New Roman" w:hAnsi="Times New Roman" w:eastAsia="宋体" w:cs="Times New Roman"/>
                <w:color w:val="auto"/>
                <w:sz w:val="24"/>
                <w:lang w:val="en-US" w:eastAsia="zh-CN"/>
              </w:rPr>
              <w:t>1</w:t>
            </w:r>
            <w:r>
              <w:rPr>
                <w:rFonts w:hint="eastAsia" w:ascii="Times New Roman" w:hAnsi="Times New Roman" w:eastAsia="宋体" w:cs="Times New Roman"/>
                <w:color w:val="auto"/>
                <w:sz w:val="24"/>
              </w:rPr>
              <w:t>0人次计，生活用水按30L/人次·d计，则施工期生活用水量为0.</w:t>
            </w:r>
            <w:r>
              <w:rPr>
                <w:rFonts w:hint="eastAsia" w:ascii="Times New Roman" w:hAnsi="Times New Roman" w:eastAsia="宋体" w:cs="Times New Roman"/>
                <w:color w:val="auto"/>
                <w:sz w:val="24"/>
                <w:lang w:val="en-US" w:eastAsia="zh-CN"/>
              </w:rPr>
              <w:t>3</w:t>
            </w:r>
            <w:r>
              <w:rPr>
                <w:rFonts w:hint="eastAsia" w:ascii="Times New Roman" w:hAnsi="Times New Roman" w:eastAsia="宋体" w:cs="Times New Roman"/>
                <w:color w:val="auto"/>
                <w:sz w:val="24"/>
              </w:rPr>
              <w:t>m</w:t>
            </w:r>
            <w:r>
              <w:rPr>
                <w:rFonts w:hint="eastAsia" w:ascii="Times New Roman" w:hAnsi="Times New Roman" w:eastAsia="宋体" w:cs="Times New Roman"/>
                <w:color w:val="auto"/>
                <w:sz w:val="24"/>
                <w:vertAlign w:val="superscript"/>
              </w:rPr>
              <w:t>3</w:t>
            </w:r>
            <w:r>
              <w:rPr>
                <w:rFonts w:hint="eastAsia" w:ascii="Times New Roman" w:hAnsi="Times New Roman" w:eastAsia="宋体" w:cs="Times New Roman"/>
                <w:color w:val="auto"/>
                <w:sz w:val="24"/>
              </w:rPr>
              <w:t>/d，排污系数按0.85计，生活污水产生量为0.</w:t>
            </w:r>
            <w:r>
              <w:rPr>
                <w:rFonts w:hint="eastAsia" w:ascii="Times New Roman" w:hAnsi="Times New Roman" w:eastAsia="宋体" w:cs="Times New Roman"/>
                <w:color w:val="auto"/>
                <w:sz w:val="24"/>
                <w:lang w:val="en-US" w:eastAsia="zh-CN"/>
              </w:rPr>
              <w:t>26</w:t>
            </w:r>
            <w:r>
              <w:rPr>
                <w:rFonts w:hint="eastAsia" w:ascii="Times New Roman" w:hAnsi="Times New Roman" w:eastAsia="宋体" w:cs="Times New Roman"/>
                <w:color w:val="auto"/>
                <w:sz w:val="24"/>
              </w:rPr>
              <w:t>m</w:t>
            </w:r>
            <w:r>
              <w:rPr>
                <w:rFonts w:hint="eastAsia" w:ascii="Times New Roman" w:hAnsi="Times New Roman" w:eastAsia="宋体" w:cs="Times New Roman"/>
                <w:color w:val="auto"/>
                <w:sz w:val="24"/>
                <w:vertAlign w:val="superscript"/>
              </w:rPr>
              <w:t>3</w:t>
            </w:r>
            <w:r>
              <w:rPr>
                <w:rFonts w:hint="eastAsia" w:ascii="Times New Roman" w:hAnsi="Times New Roman" w:eastAsia="宋体" w:cs="Times New Roman"/>
                <w:color w:val="auto"/>
                <w:sz w:val="24"/>
              </w:rPr>
              <w:t>/d。生活污水依托</w:t>
            </w:r>
            <w:r>
              <w:rPr>
                <w:rFonts w:hint="eastAsia" w:cs="Times New Roman"/>
                <w:color w:val="auto"/>
                <w:sz w:val="24"/>
                <w:lang w:val="en-US" w:eastAsia="zh-CN"/>
              </w:rPr>
              <w:t>园区</w:t>
            </w:r>
            <w:r>
              <w:rPr>
                <w:rFonts w:hint="eastAsia" w:ascii="Times New Roman" w:hAnsi="Times New Roman" w:eastAsia="宋体" w:cs="Times New Roman"/>
                <w:color w:val="auto"/>
                <w:sz w:val="24"/>
              </w:rPr>
              <w:t>预处理池处理后排入市政污水管网，最终进入</w:t>
            </w:r>
            <w:r>
              <w:rPr>
                <w:rFonts w:hint="eastAsia" w:cs="Times New Roman"/>
                <w:color w:val="auto"/>
                <w:sz w:val="24"/>
                <w:lang w:val="en-US" w:eastAsia="zh-CN"/>
              </w:rPr>
              <w:t>巴中经开区污水处理厂</w:t>
            </w:r>
            <w:r>
              <w:rPr>
                <w:rFonts w:hint="eastAsia" w:ascii="Times New Roman" w:hAnsi="Times New Roman" w:eastAsia="宋体" w:cs="Times New Roman"/>
                <w:color w:val="auto"/>
                <w:sz w:val="24"/>
              </w:rPr>
              <w:t>处理达到《四川省岷江、沱江流域水污染物排放标准》（DB51/2311-2016）“城镇污水处理厂”排放标准后排入</w:t>
            </w:r>
            <w:r>
              <w:rPr>
                <w:rFonts w:hint="eastAsia" w:cs="Times New Roman"/>
                <w:color w:val="auto"/>
                <w:sz w:val="24"/>
                <w:lang w:val="en-US" w:eastAsia="zh-CN"/>
              </w:rPr>
              <w:t>巴河</w:t>
            </w:r>
            <w:r>
              <w:rPr>
                <w:rFonts w:hint="eastAsia" w:ascii="Times New Roman" w:hAnsi="Times New Roman"/>
                <w:color w:val="auto"/>
                <w:sz w:val="24"/>
                <w:highlight w:val="none"/>
              </w:rPr>
              <w:t>。</w:t>
            </w:r>
          </w:p>
          <w:p w14:paraId="4AE1F6D6">
            <w:pPr>
              <w:autoSpaceDE w:val="0"/>
              <w:autoSpaceDN w:val="0"/>
              <w:spacing w:line="360" w:lineRule="auto"/>
              <w:ind w:firstLine="482" w:firstLineChars="200"/>
              <w:rPr>
                <w:rFonts w:ascii="Times New Roman" w:hAnsi="Times New Roman"/>
                <w:b/>
                <w:bCs/>
                <w:color w:val="auto"/>
                <w:sz w:val="24"/>
                <w:highlight w:val="none"/>
              </w:rPr>
            </w:pPr>
            <w:r>
              <w:rPr>
                <w:rFonts w:hint="eastAsia" w:ascii="Times New Roman" w:hAnsi="Times New Roman"/>
                <w:b/>
                <w:bCs/>
                <w:color w:val="auto"/>
                <w:sz w:val="24"/>
                <w:highlight w:val="none"/>
              </w:rPr>
              <w:t>3、噪声治理措施</w:t>
            </w:r>
          </w:p>
          <w:p w14:paraId="0DC2EA43">
            <w:pPr>
              <w:adjustRightInd w:val="0"/>
              <w:snapToGrid w:val="0"/>
              <w:spacing w:line="360" w:lineRule="auto"/>
              <w:ind w:firstLine="480" w:firstLineChars="200"/>
              <w:rPr>
                <w:rFonts w:hint="eastAsia" w:ascii="Times New Roman" w:hAnsi="Times New Roman"/>
                <w:color w:val="auto"/>
                <w:sz w:val="24"/>
                <w:highlight w:val="none"/>
              </w:rPr>
            </w:pPr>
            <w:r>
              <w:rPr>
                <w:rFonts w:hint="eastAsia" w:ascii="Times New Roman" w:hAnsi="Times New Roman"/>
                <w:color w:val="auto"/>
                <w:sz w:val="24"/>
                <w:highlight w:val="none"/>
              </w:rPr>
              <w:t>①减少人为噪音，建设单位严格执行《</w:t>
            </w:r>
            <w:r>
              <w:rPr>
                <w:rFonts w:hint="eastAsia" w:ascii="Times New Roman" w:hAnsi="Times New Roman"/>
                <w:color w:val="auto"/>
                <w:sz w:val="24"/>
                <w:highlight w:val="none"/>
                <w:lang w:val="en-US" w:eastAsia="zh-CN"/>
              </w:rPr>
              <w:t>建设</w:t>
            </w:r>
            <w:r>
              <w:rPr>
                <w:rFonts w:hint="eastAsia" w:ascii="Times New Roman" w:hAnsi="Times New Roman"/>
                <w:color w:val="auto"/>
                <w:sz w:val="24"/>
                <w:highlight w:val="none"/>
              </w:rPr>
              <w:t>工程施工现场管理规定》进行文明施工，建立健全现场噪声管理责任制，加强对施工人员的素质培养，尽量减少人为的大声喧哗，增强全体施工人员防噪声扰民的意识。</w:t>
            </w:r>
          </w:p>
          <w:p w14:paraId="3F943D62">
            <w:pPr>
              <w:adjustRightInd w:val="0"/>
              <w:snapToGrid w:val="0"/>
              <w:spacing w:line="360" w:lineRule="auto"/>
              <w:ind w:firstLine="480" w:firstLineChars="200"/>
              <w:rPr>
                <w:rFonts w:hint="eastAsia" w:ascii="Times New Roman" w:hAnsi="Times New Roman"/>
                <w:color w:val="auto"/>
                <w:sz w:val="24"/>
                <w:highlight w:val="none"/>
              </w:rPr>
            </w:pPr>
            <w:r>
              <w:rPr>
                <w:rFonts w:hint="eastAsia" w:ascii="Times New Roman" w:hAnsi="Times New Roman"/>
                <w:color w:val="auto"/>
                <w:sz w:val="24"/>
                <w:highlight w:val="none"/>
              </w:rPr>
              <w:t>②合理安排各类施工机械施工工作时间。将强噪声作业尽量安排在白天进行，杜绝在夜间施工。如有其他特殊需要，确需在夜间进行超过噪声标准施工的，施工前建设单位向有关部门申请，经批准后方可进行夜间施工。</w:t>
            </w:r>
          </w:p>
          <w:p w14:paraId="1AA54B8A">
            <w:pPr>
              <w:adjustRightInd w:val="0"/>
              <w:snapToGrid w:val="0"/>
              <w:spacing w:line="360" w:lineRule="auto"/>
              <w:ind w:firstLine="480" w:firstLineChars="200"/>
              <w:rPr>
                <w:rFonts w:hint="eastAsia" w:ascii="Times New Roman" w:hAnsi="Times New Roman"/>
                <w:color w:val="auto"/>
                <w:sz w:val="24"/>
                <w:highlight w:val="none"/>
              </w:rPr>
            </w:pPr>
            <w:r>
              <w:rPr>
                <w:rFonts w:hint="eastAsia" w:ascii="Times New Roman" w:hAnsi="Times New Roman"/>
                <w:color w:val="auto"/>
                <w:sz w:val="24"/>
                <w:highlight w:val="none"/>
              </w:rPr>
              <w:t>③优化运输车辆进出施工场地路径，尽量避免在敏感目标附近停留，</w:t>
            </w:r>
            <w:r>
              <w:rPr>
                <w:rFonts w:hint="eastAsia"/>
                <w:color w:val="auto"/>
                <w:sz w:val="24"/>
                <w:highlight w:val="none"/>
                <w:lang w:eastAsia="zh-CN"/>
              </w:rPr>
              <w:t>途经</w:t>
            </w:r>
            <w:r>
              <w:rPr>
                <w:rFonts w:hint="eastAsia" w:ascii="Times New Roman" w:hAnsi="Times New Roman"/>
                <w:color w:val="auto"/>
                <w:sz w:val="24"/>
                <w:highlight w:val="none"/>
              </w:rPr>
              <w:t>敏感目标附近时禁止鸣笛。</w:t>
            </w:r>
          </w:p>
          <w:p w14:paraId="23455539">
            <w:pPr>
              <w:autoSpaceDE w:val="0"/>
              <w:autoSpaceDN w:val="0"/>
              <w:spacing w:line="360" w:lineRule="auto"/>
              <w:ind w:firstLine="482" w:firstLineChars="200"/>
              <w:rPr>
                <w:rFonts w:ascii="Times New Roman" w:hAnsi="Times New Roman"/>
                <w:b/>
                <w:bCs/>
                <w:color w:val="auto"/>
                <w:sz w:val="24"/>
                <w:highlight w:val="none"/>
              </w:rPr>
            </w:pPr>
            <w:r>
              <w:rPr>
                <w:rFonts w:hint="eastAsia" w:ascii="Times New Roman" w:hAnsi="Times New Roman"/>
                <w:b/>
                <w:bCs/>
                <w:color w:val="auto"/>
                <w:sz w:val="24"/>
                <w:highlight w:val="none"/>
              </w:rPr>
              <w:t>4、固废治理措施</w:t>
            </w:r>
          </w:p>
          <w:p w14:paraId="193A6573">
            <w:pPr>
              <w:adjustRightInd w:val="0"/>
              <w:snapToGrid w:val="0"/>
              <w:spacing w:line="360" w:lineRule="auto"/>
              <w:ind w:firstLine="480" w:firstLineChars="200"/>
              <w:rPr>
                <w:rFonts w:hint="eastAsia" w:ascii="Times New Roman" w:hAnsi="Times New Roman" w:eastAsia="宋体" w:cs="Times New Roman"/>
                <w:color w:val="auto"/>
                <w:sz w:val="24"/>
              </w:rPr>
            </w:pPr>
            <w:r>
              <w:rPr>
                <w:rFonts w:hint="eastAsia" w:ascii="Times New Roman" w:hAnsi="Times New Roman" w:eastAsia="宋体" w:cs="Times New Roman"/>
                <w:color w:val="auto"/>
                <w:sz w:val="24"/>
              </w:rPr>
              <w:t>施工期固体废物设备废包装材料（如纸板、泡沫及木条等）、建筑垃圾和施工人员产生的生活垃圾。</w:t>
            </w:r>
          </w:p>
          <w:p w14:paraId="4DCC963E">
            <w:pPr>
              <w:adjustRightInd w:val="0"/>
              <w:snapToGrid w:val="0"/>
              <w:spacing w:line="360" w:lineRule="auto"/>
              <w:ind w:firstLine="480" w:firstLineChars="200"/>
              <w:rPr>
                <w:rFonts w:hint="eastAsia" w:ascii="Times New Roman" w:hAnsi="Times New Roman" w:eastAsia="宋体" w:cs="Times New Roman"/>
                <w:color w:val="auto"/>
                <w:sz w:val="24"/>
              </w:rPr>
            </w:pPr>
            <w:r>
              <w:rPr>
                <w:rFonts w:hint="eastAsia" w:ascii="Times New Roman" w:hAnsi="Times New Roman" w:eastAsia="宋体" w:cs="Times New Roman"/>
                <w:color w:val="auto"/>
                <w:sz w:val="24"/>
              </w:rPr>
              <w:t>建筑垃圾及时清运至建设部门指定的地点堆放，可回收处理的废弃建筑材料和废包装材料由废品回收公司回收处置；施工期施工人员生活垃圾产生量按0.5kg/人·d计算，施工高峰期施工人员约</w:t>
            </w:r>
            <w:r>
              <w:rPr>
                <w:rFonts w:hint="eastAsia" w:ascii="Times New Roman" w:hAnsi="Times New Roman" w:eastAsia="宋体" w:cs="Times New Roman"/>
                <w:color w:val="auto"/>
                <w:sz w:val="24"/>
                <w:lang w:val="en-US" w:eastAsia="zh-CN"/>
              </w:rPr>
              <w:t>1</w:t>
            </w:r>
            <w:r>
              <w:rPr>
                <w:rFonts w:hint="eastAsia" w:ascii="Times New Roman" w:hAnsi="Times New Roman" w:eastAsia="宋体" w:cs="Times New Roman"/>
                <w:color w:val="auto"/>
                <w:sz w:val="24"/>
              </w:rPr>
              <w:t>0人，施工生活垃圾产生量为</w:t>
            </w:r>
            <w:r>
              <w:rPr>
                <w:rFonts w:hint="eastAsia" w:ascii="Times New Roman" w:hAnsi="Times New Roman" w:eastAsia="宋体" w:cs="Times New Roman"/>
                <w:color w:val="auto"/>
                <w:sz w:val="24"/>
                <w:lang w:val="en-US" w:eastAsia="zh-CN"/>
              </w:rPr>
              <w:t>5</w:t>
            </w:r>
            <w:r>
              <w:rPr>
                <w:rFonts w:hint="eastAsia" w:ascii="Times New Roman" w:hAnsi="Times New Roman" w:eastAsia="宋体" w:cs="Times New Roman"/>
                <w:color w:val="auto"/>
                <w:sz w:val="24"/>
              </w:rPr>
              <w:t>kg/d，通过园区已设置垃圾桶收集后交由环卫部门清运处置。项目施工期固废均能得到合理处置，不会对环境造成二次污染。</w:t>
            </w:r>
          </w:p>
          <w:p w14:paraId="2339E601">
            <w:pPr>
              <w:pStyle w:val="66"/>
              <w:spacing w:line="360" w:lineRule="auto"/>
              <w:rPr>
                <w:color w:val="auto"/>
              </w:rPr>
            </w:pPr>
            <w:r>
              <w:rPr>
                <w:rFonts w:hint="eastAsia" w:ascii="Times New Roman" w:hAnsi="Times New Roman" w:eastAsia="宋体" w:cs="Times New Roman"/>
                <w:color w:val="auto"/>
                <w:sz w:val="24"/>
              </w:rPr>
              <w:t>综上所述，项目施工期间在采取相应的预防、治理措施后，施工期对环境影响很小，且施工期较短，施工结束后，施工期的影响也随之消失</w:t>
            </w:r>
            <w:r>
              <w:rPr>
                <w:rFonts w:hint="eastAsia"/>
                <w:color w:val="auto"/>
              </w:rPr>
              <w:t>。</w:t>
            </w:r>
          </w:p>
        </w:tc>
      </w:tr>
      <w:tr w14:paraId="7CEC86C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749" w:hRule="atLeast"/>
          <w:jc w:val="center"/>
        </w:trPr>
        <w:tc>
          <w:tcPr>
            <w:tcW w:w="746" w:type="dxa"/>
            <w:tcMar>
              <w:left w:w="28" w:type="dxa"/>
              <w:right w:w="28" w:type="dxa"/>
            </w:tcMar>
            <w:vAlign w:val="center"/>
          </w:tcPr>
          <w:p w14:paraId="584FF6F4">
            <w:pPr>
              <w:pStyle w:val="66"/>
              <w:spacing w:line="240" w:lineRule="auto"/>
              <w:ind w:firstLine="0" w:firstLineChars="0"/>
              <w:rPr>
                <w:rFonts w:hint="eastAsia" w:ascii="Times New Roman" w:hAnsi="Times New Roman" w:cs="宋体"/>
                <w:color w:val="auto"/>
                <w:kern w:val="2"/>
                <w:sz w:val="24"/>
                <w:szCs w:val="24"/>
              </w:rPr>
            </w:pPr>
            <w:r>
              <w:rPr>
                <w:rFonts w:hint="eastAsia"/>
                <w:b/>
                <w:bCs/>
                <w:color w:val="auto"/>
                <w:sz w:val="24"/>
                <w:szCs w:val="24"/>
              </w:rPr>
              <w:t>运营期环境影响和保护措施</w:t>
            </w:r>
          </w:p>
        </w:tc>
        <w:tc>
          <w:tcPr>
            <w:tcW w:w="8162" w:type="dxa"/>
            <w:vAlign w:val="top"/>
          </w:tcPr>
          <w:p w14:paraId="458CAE5A">
            <w:pPr>
              <w:bidi w:val="0"/>
              <w:spacing w:line="360" w:lineRule="auto"/>
              <w:ind w:firstLine="482" w:firstLineChars="200"/>
              <w:rPr>
                <w:rFonts w:hint="default" w:ascii="Times New Roman" w:hAnsi="Times New Roman" w:cs="Times New Roman"/>
                <w:b/>
                <w:bCs/>
                <w:color w:val="auto"/>
                <w:sz w:val="24"/>
                <w:lang w:val="en-US" w:eastAsia="zh-CN"/>
              </w:rPr>
            </w:pPr>
            <w:r>
              <w:rPr>
                <w:rFonts w:hint="eastAsia" w:ascii="Times New Roman" w:hAnsi="Times New Roman" w:cs="Times New Roman"/>
                <w:b/>
                <w:bCs/>
                <w:color w:val="auto"/>
                <w:sz w:val="24"/>
                <w:lang w:val="en-US" w:eastAsia="zh-CN"/>
              </w:rPr>
              <w:t>1、废气</w:t>
            </w:r>
          </w:p>
          <w:p w14:paraId="1DB12D68">
            <w:pPr>
              <w:keepNext w:val="0"/>
              <w:keepLines w:val="0"/>
              <w:pageBreakBefore w:val="0"/>
              <w:widowControl w:val="0"/>
              <w:kinsoku/>
              <w:wordWrap/>
              <w:overflowPunct/>
              <w:topLinePunct w:val="0"/>
              <w:bidi w:val="0"/>
              <w:spacing w:line="360" w:lineRule="auto"/>
              <w:ind w:firstLine="482" w:firstLineChars="200"/>
              <w:textAlignment w:val="auto"/>
              <w:rPr>
                <w:rFonts w:hint="default" w:ascii="Times New Roman" w:hAnsi="Times New Roman" w:cs="Times New Roman"/>
                <w:b/>
                <w:bCs/>
                <w:color w:val="auto"/>
                <w:sz w:val="24"/>
                <w:lang w:val="en-US" w:eastAsia="zh-CN"/>
              </w:rPr>
            </w:pPr>
            <w:r>
              <w:rPr>
                <w:rFonts w:hint="eastAsia" w:ascii="Times New Roman" w:hAnsi="Times New Roman" w:cs="Times New Roman"/>
                <w:b/>
                <w:bCs/>
                <w:color w:val="auto"/>
                <w:sz w:val="24"/>
                <w:lang w:val="en-US" w:eastAsia="zh-CN"/>
              </w:rPr>
              <w:t>（1）废气源强分析</w:t>
            </w:r>
          </w:p>
          <w:p w14:paraId="519BFB10">
            <w:pPr>
              <w:keepNext w:val="0"/>
              <w:keepLines w:val="0"/>
              <w:pageBreakBefore w:val="0"/>
              <w:widowControl w:val="0"/>
              <w:kinsoku/>
              <w:wordWrap/>
              <w:overflowPunct/>
              <w:topLinePunct w:val="0"/>
              <w:bidi w:val="0"/>
              <w:spacing w:line="360" w:lineRule="auto"/>
              <w:ind w:firstLine="482" w:firstLineChars="200"/>
              <w:textAlignment w:val="auto"/>
              <w:rPr>
                <w:rFonts w:hint="eastAsia" w:ascii="宋体" w:hAnsi="宋体" w:eastAsia="宋体" w:cs="宋体"/>
                <w:b/>
                <w:bCs/>
                <w:color w:val="auto"/>
                <w:sz w:val="24"/>
                <w:szCs w:val="24"/>
                <w:lang w:val="en-US" w:eastAsia="zh-CN"/>
              </w:rPr>
            </w:pPr>
            <w:r>
              <w:rPr>
                <w:rFonts w:hint="default" w:ascii="Times New Roman" w:hAnsi="Times New Roman" w:cs="Times New Roman"/>
                <w:b/>
                <w:bCs/>
                <w:color w:val="auto"/>
                <w:sz w:val="24"/>
                <w:szCs w:val="24"/>
                <w:lang w:val="en-US" w:eastAsia="zh-CN"/>
              </w:rPr>
              <w:t>1</w:t>
            </w:r>
            <w:r>
              <w:rPr>
                <w:rFonts w:hint="eastAsia" w:ascii="宋体" w:hAnsi="宋体" w:cs="宋体"/>
                <w:b/>
                <w:bCs/>
                <w:color w:val="auto"/>
                <w:sz w:val="24"/>
                <w:szCs w:val="24"/>
                <w:lang w:val="en-US" w:eastAsia="zh-CN"/>
              </w:rPr>
              <w:t>）</w:t>
            </w:r>
            <w:r>
              <w:rPr>
                <w:rFonts w:hint="eastAsia" w:ascii="宋体" w:hAnsi="宋体" w:eastAsia="宋体" w:cs="宋体"/>
                <w:b/>
                <w:bCs/>
                <w:color w:val="auto"/>
                <w:kern w:val="18"/>
                <w:sz w:val="24"/>
                <w:szCs w:val="24"/>
                <w:lang w:val="en-US" w:eastAsia="zh-CN" w:bidi="ar-SA"/>
              </w:rPr>
              <w:t>投料粉尘</w:t>
            </w:r>
          </w:p>
          <w:p w14:paraId="295BACE7">
            <w:pPr>
              <w:widowControl/>
              <w:spacing w:line="360" w:lineRule="auto"/>
              <w:ind w:firstLine="528"/>
              <w:jc w:val="both"/>
              <w:rPr>
                <w:rFonts w:hint="eastAsia" w:ascii="宋体" w:hAnsi="宋体"/>
                <w:color w:val="auto"/>
                <w:spacing w:val="2"/>
                <w:sz w:val="24"/>
                <w:szCs w:val="24"/>
              </w:rPr>
            </w:pPr>
            <w:r>
              <w:rPr>
                <w:rFonts w:hint="eastAsia" w:ascii="宋体" w:hAnsi="宋体"/>
                <w:color w:val="auto"/>
                <w:spacing w:val="2"/>
                <w:sz w:val="24"/>
                <w:szCs w:val="24"/>
              </w:rPr>
              <w:t>正极、负极制浆分散搅拌过程均为物料机械混合过程，不改变原有物料化学物质结构，不发生化学反应。</w:t>
            </w:r>
          </w:p>
          <w:p w14:paraId="5D690811">
            <w:pPr>
              <w:keepNext w:val="0"/>
              <w:keepLines w:val="0"/>
              <w:pageBreakBefore w:val="0"/>
              <w:widowControl w:val="0"/>
              <w:kinsoku/>
              <w:wordWrap/>
              <w:overflowPunct/>
              <w:topLinePunct w:val="0"/>
              <w:bidi w:val="0"/>
              <w:spacing w:line="360" w:lineRule="auto"/>
              <w:ind w:firstLine="488" w:firstLineChars="200"/>
              <w:textAlignment w:val="auto"/>
              <w:rPr>
                <w:rFonts w:hint="default" w:ascii="Times New Roman" w:hAnsi="Times New Roman" w:cs="Times New Roman"/>
                <w:color w:val="auto"/>
                <w:sz w:val="24"/>
                <w:szCs w:val="24"/>
                <w:lang w:val="en-US" w:eastAsia="zh-CN"/>
              </w:rPr>
            </w:pPr>
            <w:r>
              <w:rPr>
                <w:rFonts w:hint="eastAsia" w:ascii="宋体" w:hAnsi="宋体"/>
                <w:color w:val="auto"/>
                <w:spacing w:val="2"/>
                <w:sz w:val="24"/>
                <w:szCs w:val="24"/>
              </w:rPr>
              <w:t>各种粉料为袋装，使用时，放置在粉料加料口上，由人工将袋底部打开，通过进料口将粉料负压吸入制浆系统各加料罐，加料过程中料仓为微负压状态，少量粉尘作为无组织散失。加料罐中粉料通过管道由真空泵密闭输送加料，输送过程均为自动化</w:t>
            </w:r>
            <w:r>
              <w:rPr>
                <w:rFonts w:hint="default" w:ascii="Times New Roman" w:hAnsi="Times New Roman" w:cs="Times New Roman"/>
                <w:color w:val="auto"/>
                <w:sz w:val="24"/>
                <w:szCs w:val="24"/>
                <w:lang w:val="en-US" w:eastAsia="zh-CN"/>
              </w:rPr>
              <w:t>。</w:t>
            </w:r>
          </w:p>
          <w:p w14:paraId="41F50CDC">
            <w:pPr>
              <w:keepNext w:val="0"/>
              <w:keepLines w:val="0"/>
              <w:pageBreakBefore w:val="0"/>
              <w:widowControl w:val="0"/>
              <w:kinsoku/>
              <w:wordWrap/>
              <w:overflowPunct/>
              <w:topLinePunct w:val="0"/>
              <w:bidi w:val="0"/>
              <w:spacing w:line="360" w:lineRule="auto"/>
              <w:ind w:firstLine="488" w:firstLineChars="200"/>
              <w:textAlignment w:val="auto"/>
              <w:rPr>
                <w:rFonts w:hint="default" w:ascii="Times New Roman" w:hAnsi="Times New Roman" w:eastAsia="宋体" w:cs="Times New Roman"/>
                <w:color w:val="auto"/>
                <w:spacing w:val="2"/>
                <w:sz w:val="24"/>
                <w:szCs w:val="24"/>
                <w:lang w:val="en-US" w:eastAsia="zh-CN"/>
              </w:rPr>
            </w:pPr>
            <w:r>
              <w:rPr>
                <w:rFonts w:hint="default" w:ascii="Times New Roman" w:hAnsi="Times New Roman" w:eastAsia="宋体" w:cs="Times New Roman"/>
                <w:color w:val="auto"/>
                <w:spacing w:val="2"/>
                <w:sz w:val="24"/>
                <w:szCs w:val="24"/>
                <w:lang w:val="en-US" w:eastAsia="zh-CN"/>
              </w:rPr>
              <w:t>参照《排放源统计调查产排污核算方法和系数手册</w:t>
            </w:r>
            <w:r>
              <w:rPr>
                <w:rFonts w:hint="eastAsia" w:ascii="Times New Roman" w:hAnsi="Times New Roman" w:eastAsia="宋体" w:cs="Times New Roman"/>
                <w:color w:val="auto"/>
                <w:spacing w:val="2"/>
                <w:sz w:val="24"/>
                <w:szCs w:val="24"/>
                <w:lang w:val="en-US" w:eastAsia="zh-CN"/>
              </w:rPr>
              <w:t xml:space="preserve"> 电池制造行业系数手册</w:t>
            </w:r>
            <w:r>
              <w:rPr>
                <w:rFonts w:hint="default" w:ascii="Times New Roman" w:hAnsi="Times New Roman" w:eastAsia="宋体" w:cs="Times New Roman"/>
                <w:color w:val="auto"/>
                <w:spacing w:val="2"/>
                <w:sz w:val="24"/>
                <w:szCs w:val="24"/>
                <w:lang w:val="en-US" w:eastAsia="zh-CN"/>
              </w:rPr>
              <w:t>》中C384其他电池制造业系数手册中的产污系数，颗粒物产生系数为110g/万只。本项目产品约为</w:t>
            </w:r>
            <w:r>
              <w:rPr>
                <w:rFonts w:hint="eastAsia" w:cs="Times New Roman"/>
                <w:color w:val="auto"/>
                <w:spacing w:val="2"/>
                <w:sz w:val="24"/>
                <w:szCs w:val="24"/>
                <w:lang w:val="en-US" w:eastAsia="zh-CN"/>
              </w:rPr>
              <w:t>1350</w:t>
            </w:r>
            <w:r>
              <w:rPr>
                <w:rFonts w:hint="default" w:ascii="Times New Roman" w:hAnsi="Times New Roman" w:eastAsia="宋体" w:cs="Times New Roman"/>
                <w:color w:val="auto"/>
                <w:spacing w:val="2"/>
                <w:sz w:val="24"/>
                <w:szCs w:val="24"/>
                <w:lang w:val="en-US" w:eastAsia="zh-CN"/>
              </w:rPr>
              <w:t>万只，则颗粒物产生量约0.</w:t>
            </w:r>
            <w:r>
              <w:rPr>
                <w:rFonts w:hint="eastAsia" w:ascii="Times New Roman" w:hAnsi="Times New Roman" w:eastAsia="宋体" w:cs="Times New Roman"/>
                <w:color w:val="auto"/>
                <w:spacing w:val="2"/>
                <w:sz w:val="24"/>
                <w:szCs w:val="24"/>
                <w:lang w:val="en-US" w:eastAsia="zh-CN"/>
              </w:rPr>
              <w:t>1</w:t>
            </w:r>
            <w:r>
              <w:rPr>
                <w:rFonts w:hint="eastAsia" w:cs="Times New Roman"/>
                <w:color w:val="auto"/>
                <w:spacing w:val="2"/>
                <w:sz w:val="24"/>
                <w:szCs w:val="24"/>
                <w:lang w:val="en-US" w:eastAsia="zh-CN"/>
              </w:rPr>
              <w:t>49</w:t>
            </w:r>
            <w:r>
              <w:rPr>
                <w:rFonts w:hint="default" w:ascii="Times New Roman" w:hAnsi="Times New Roman" w:eastAsia="宋体" w:cs="Times New Roman"/>
                <w:color w:val="auto"/>
                <w:spacing w:val="2"/>
                <w:sz w:val="24"/>
                <w:szCs w:val="24"/>
                <w:lang w:val="en-US" w:eastAsia="zh-CN"/>
              </w:rPr>
              <w:t>t/a（</w:t>
            </w:r>
            <w:r>
              <w:rPr>
                <w:rFonts w:hint="eastAsia" w:cs="Times New Roman"/>
                <w:color w:val="auto"/>
                <w:spacing w:val="2"/>
                <w:sz w:val="24"/>
                <w:szCs w:val="24"/>
                <w:lang w:val="en-US" w:eastAsia="zh-CN"/>
              </w:rPr>
              <w:t>约为</w:t>
            </w:r>
            <w:r>
              <w:rPr>
                <w:rFonts w:hint="default" w:ascii="Times New Roman" w:hAnsi="Times New Roman" w:eastAsia="宋体" w:cs="Times New Roman"/>
                <w:color w:val="auto"/>
                <w:spacing w:val="2"/>
                <w:sz w:val="24"/>
                <w:szCs w:val="24"/>
                <w:lang w:val="en-US" w:eastAsia="zh-CN"/>
              </w:rPr>
              <w:t>0.0</w:t>
            </w:r>
            <w:r>
              <w:rPr>
                <w:rFonts w:hint="eastAsia" w:cs="Times New Roman"/>
                <w:color w:val="auto"/>
                <w:spacing w:val="2"/>
                <w:sz w:val="24"/>
                <w:szCs w:val="24"/>
                <w:lang w:val="en-US" w:eastAsia="zh-CN"/>
              </w:rPr>
              <w:t>25</w:t>
            </w:r>
            <w:r>
              <w:rPr>
                <w:rFonts w:hint="default" w:ascii="Times New Roman" w:hAnsi="Times New Roman" w:eastAsia="宋体" w:cs="Times New Roman"/>
                <w:color w:val="auto"/>
                <w:spacing w:val="2"/>
                <w:sz w:val="24"/>
                <w:szCs w:val="24"/>
                <w:lang w:val="en-US" w:eastAsia="zh-CN"/>
              </w:rPr>
              <w:t>kg/h）。</w:t>
            </w:r>
          </w:p>
          <w:p w14:paraId="1DDE5550">
            <w:pPr>
              <w:keepNext w:val="0"/>
              <w:keepLines w:val="0"/>
              <w:pageBreakBefore w:val="0"/>
              <w:widowControl w:val="0"/>
              <w:shd w:val="clear"/>
              <w:kinsoku/>
              <w:wordWrap/>
              <w:overflowPunct/>
              <w:topLinePunct w:val="0"/>
              <w:bidi w:val="0"/>
              <w:spacing w:line="360" w:lineRule="auto"/>
              <w:ind w:firstLine="482" w:firstLineChars="200"/>
              <w:textAlignment w:val="auto"/>
              <w:rPr>
                <w:rFonts w:hint="eastAsia" w:cs="Times New Roman"/>
                <w:color w:val="auto"/>
                <w:sz w:val="24"/>
                <w:szCs w:val="24"/>
                <w:lang w:val="en-US" w:eastAsia="zh-CN"/>
              </w:rPr>
            </w:pPr>
            <w:r>
              <w:rPr>
                <w:rFonts w:hint="default" w:ascii="Times New Roman" w:hAnsi="Times New Roman" w:eastAsia="宋体" w:cs="Times New Roman"/>
                <w:b/>
                <w:bCs/>
                <w:color w:val="auto"/>
                <w:sz w:val="24"/>
                <w:szCs w:val="24"/>
                <w:lang w:val="en-US" w:eastAsia="zh-CN"/>
              </w:rPr>
              <w:t>拟采取治理措施：</w:t>
            </w:r>
            <w:r>
              <w:rPr>
                <w:rFonts w:hint="eastAsia" w:cs="Times New Roman"/>
                <w:b w:val="0"/>
                <w:bCs w:val="0"/>
                <w:color w:val="auto"/>
                <w:sz w:val="24"/>
                <w:szCs w:val="24"/>
                <w:lang w:val="en-US" w:eastAsia="zh-CN"/>
              </w:rPr>
              <w:t>本项目投料在密闭投料间进行，</w:t>
            </w:r>
            <w:r>
              <w:rPr>
                <w:rFonts w:hint="default" w:ascii="Times New Roman" w:hAnsi="Times New Roman" w:eastAsia="宋体" w:cs="Times New Roman"/>
                <w:color w:val="auto"/>
                <w:sz w:val="24"/>
                <w:szCs w:val="24"/>
                <w:lang w:val="en-US" w:eastAsia="zh-CN"/>
              </w:rPr>
              <w:t>投料产生的颗粒物</w:t>
            </w:r>
            <w:r>
              <w:rPr>
                <w:rFonts w:hint="eastAsia" w:cs="Times New Roman"/>
                <w:color w:val="auto"/>
                <w:sz w:val="24"/>
                <w:szCs w:val="24"/>
                <w:lang w:val="en-US" w:eastAsia="zh-CN"/>
              </w:rPr>
              <w:t>经设备自带</w:t>
            </w:r>
            <w:r>
              <w:rPr>
                <w:rFonts w:hint="default" w:ascii="Times New Roman" w:hAnsi="Times New Roman" w:eastAsia="宋体" w:cs="Times New Roman"/>
                <w:color w:val="auto"/>
                <w:sz w:val="24"/>
                <w:szCs w:val="24"/>
                <w:lang w:val="en-US" w:eastAsia="zh-CN"/>
              </w:rPr>
              <w:t>滤芯除尘器</w:t>
            </w:r>
            <w:r>
              <w:rPr>
                <w:rFonts w:hint="eastAsia" w:cs="Times New Roman"/>
                <w:color w:val="auto"/>
                <w:sz w:val="24"/>
                <w:szCs w:val="24"/>
                <w:lang w:val="en-US" w:eastAsia="zh-CN"/>
              </w:rPr>
              <w:t>（TA001）</w:t>
            </w:r>
            <w:r>
              <w:rPr>
                <w:rFonts w:hint="default" w:ascii="Times New Roman" w:hAnsi="Times New Roman" w:eastAsia="宋体" w:cs="Times New Roman"/>
                <w:color w:val="auto"/>
                <w:sz w:val="24"/>
                <w:szCs w:val="24"/>
                <w:lang w:val="en-US" w:eastAsia="zh-CN"/>
              </w:rPr>
              <w:t>收集</w:t>
            </w:r>
            <w:r>
              <w:rPr>
                <w:rFonts w:hint="eastAsia" w:cs="Times New Roman"/>
                <w:color w:val="auto"/>
                <w:sz w:val="24"/>
                <w:szCs w:val="24"/>
                <w:lang w:val="en-US" w:eastAsia="zh-CN"/>
              </w:rPr>
              <w:t>（收集效率为90%，处理效率为99%）处理后无组织</w:t>
            </w:r>
            <w:r>
              <w:rPr>
                <w:rFonts w:hint="default" w:ascii="Times New Roman" w:hAnsi="Times New Roman" w:cs="Times New Roman"/>
                <w:color w:val="auto"/>
                <w:sz w:val="24"/>
                <w:szCs w:val="24"/>
                <w:lang w:val="en-US" w:eastAsia="zh-CN"/>
              </w:rPr>
              <w:t>排放</w:t>
            </w:r>
            <w:r>
              <w:rPr>
                <w:rFonts w:hint="eastAsia" w:cs="Times New Roman"/>
                <w:color w:val="auto"/>
                <w:sz w:val="24"/>
                <w:szCs w:val="24"/>
                <w:lang w:val="en-US" w:eastAsia="zh-CN"/>
              </w:rPr>
              <w:t>，则粉尘收集量约为0.133t/a，无组织排放量约为0.016t/a，排放速率约为0.0027kg/h。</w:t>
            </w:r>
          </w:p>
          <w:p w14:paraId="6AB98BFE">
            <w:pPr>
              <w:keepNext w:val="0"/>
              <w:keepLines w:val="0"/>
              <w:pageBreakBefore w:val="0"/>
              <w:widowControl w:val="0"/>
              <w:numPr>
                <w:ilvl w:val="0"/>
                <w:numId w:val="4"/>
              </w:numPr>
              <w:kinsoku/>
              <w:wordWrap/>
              <w:overflowPunct/>
              <w:topLinePunct w:val="0"/>
              <w:bidi w:val="0"/>
              <w:spacing w:line="360" w:lineRule="auto"/>
              <w:ind w:firstLine="482" w:firstLineChars="200"/>
              <w:textAlignment w:val="auto"/>
              <w:rPr>
                <w:rFonts w:hint="eastAsia" w:ascii="Times New Roman" w:hAnsi="Times New Roman" w:eastAsia="宋体" w:cs="Times New Roman"/>
                <w:b/>
                <w:bCs/>
                <w:color w:val="auto"/>
                <w:sz w:val="24"/>
                <w:szCs w:val="24"/>
                <w:lang w:val="en-US" w:eastAsia="zh-CN"/>
              </w:rPr>
            </w:pPr>
            <w:r>
              <w:rPr>
                <w:rFonts w:hint="eastAsia" w:ascii="Times New Roman" w:hAnsi="Times New Roman" w:eastAsia="宋体" w:cs="Times New Roman"/>
                <w:b/>
                <w:bCs/>
                <w:color w:val="auto"/>
                <w:sz w:val="24"/>
                <w:szCs w:val="24"/>
                <w:lang w:val="en-US" w:eastAsia="zh-CN"/>
              </w:rPr>
              <w:t>涂布烘干废气</w:t>
            </w:r>
          </w:p>
          <w:p w14:paraId="48677B2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正</w:t>
            </w:r>
            <w:r>
              <w:rPr>
                <w:rFonts w:hint="eastAsia" w:cs="Times New Roman"/>
                <w:color w:val="auto"/>
                <w:sz w:val="24"/>
                <w:szCs w:val="24"/>
                <w:highlight w:val="none"/>
                <w:lang w:val="en-US" w:eastAsia="zh-CN"/>
              </w:rPr>
              <w:t>、负</w:t>
            </w:r>
            <w:r>
              <w:rPr>
                <w:rFonts w:hint="default" w:ascii="Times New Roman" w:hAnsi="Times New Roman" w:cs="Times New Roman"/>
                <w:color w:val="auto"/>
                <w:sz w:val="24"/>
                <w:szCs w:val="24"/>
                <w:highlight w:val="none"/>
                <w:lang w:val="en-US" w:eastAsia="zh-CN"/>
              </w:rPr>
              <w:t>极</w:t>
            </w:r>
            <w:r>
              <w:rPr>
                <w:rFonts w:hint="eastAsia" w:cs="Times New Roman"/>
                <w:color w:val="auto"/>
                <w:sz w:val="24"/>
                <w:szCs w:val="24"/>
                <w:highlight w:val="none"/>
                <w:lang w:val="en-US" w:eastAsia="zh-CN"/>
              </w:rPr>
              <w:t>匀浆均</w:t>
            </w:r>
            <w:r>
              <w:rPr>
                <w:rFonts w:hint="default" w:ascii="Times New Roman" w:hAnsi="Times New Roman" w:cs="Times New Roman"/>
                <w:color w:val="auto"/>
                <w:sz w:val="24"/>
                <w:szCs w:val="24"/>
                <w:highlight w:val="none"/>
                <w:lang w:val="en-US" w:eastAsia="zh-CN"/>
              </w:rPr>
              <w:t>在30℃密闭搅拌工况下，NMP饱和蒸气压低、挥发量极小，搅拌过程基本无废气逸散，有机废气主要来源于涂布烘干工序。</w:t>
            </w:r>
          </w:p>
          <w:p w14:paraId="6F0F08F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ascii="宋体" w:hAnsi="宋体" w:eastAsia="宋体" w:cs="宋体"/>
                <w:color w:val="auto"/>
                <w:sz w:val="24"/>
                <w:szCs w:val="24"/>
                <w:highlight w:val="none"/>
              </w:rPr>
            </w:pPr>
            <w:r>
              <w:rPr>
                <w:rFonts w:hint="default" w:ascii="Times New Roman" w:hAnsi="Times New Roman" w:cs="Times New Roman"/>
                <w:color w:val="auto"/>
                <w:sz w:val="24"/>
                <w:szCs w:val="24"/>
                <w:highlight w:val="none"/>
                <w:lang w:val="en-US" w:eastAsia="zh-CN"/>
              </w:rPr>
              <w:t>本项目涂布烘干温度远低于PVDF热分解温度（270℃），PVDF不发生分解，无氟化物污染物</w:t>
            </w:r>
            <w:r>
              <w:rPr>
                <w:rFonts w:hint="default" w:cs="Times New Roman"/>
                <w:color w:val="auto"/>
                <w:sz w:val="24"/>
                <w:szCs w:val="24"/>
                <w:highlight w:val="none"/>
                <w:lang w:val="en-US" w:eastAsia="zh-CN"/>
              </w:rPr>
              <w:t>产生</w:t>
            </w:r>
            <w:r>
              <w:rPr>
                <w:rFonts w:hint="eastAsia" w:cs="Times New Roman"/>
                <w:color w:val="auto"/>
                <w:sz w:val="24"/>
                <w:szCs w:val="24"/>
                <w:highlight w:val="none"/>
                <w:lang w:val="en-US" w:eastAsia="zh-CN"/>
              </w:rPr>
              <w:t>，</w:t>
            </w:r>
            <w:r>
              <w:rPr>
                <w:rFonts w:hint="eastAsia" w:cs="Times New Roman"/>
                <w:color w:val="auto"/>
                <w:sz w:val="24"/>
                <w:szCs w:val="24"/>
                <w:lang w:val="en-US" w:eastAsia="zh-CN"/>
              </w:rPr>
              <w:t>本项目NMP总年消耗量为1328.84t/a，其中：聚酰亚胺浆料年用量14.9t（含NMP占比92%，折合NMP13.71t/a），碳纳米管导电浆料年用量257.5t（含NMP占比95%，折合NMP244.63t/a），其余为外购纯NMP原料，项目</w:t>
            </w:r>
            <w:r>
              <w:rPr>
                <w:rFonts w:hint="default" w:ascii="Times New Roman" w:hAnsi="Times New Roman" w:cs="Times New Roman"/>
                <w:color w:val="auto"/>
                <w:sz w:val="24"/>
                <w:szCs w:val="24"/>
                <w:lang w:val="en-US" w:eastAsia="zh-CN"/>
              </w:rPr>
              <w:t>年运行</w:t>
            </w:r>
            <w:r>
              <w:rPr>
                <w:rFonts w:hint="eastAsia" w:cs="Times New Roman"/>
                <w:color w:val="auto"/>
                <w:sz w:val="24"/>
                <w:szCs w:val="24"/>
                <w:lang w:val="en-US" w:eastAsia="zh-CN"/>
              </w:rPr>
              <w:t>60</w:t>
            </w:r>
            <w:r>
              <w:rPr>
                <w:rFonts w:hint="default" w:ascii="Times New Roman" w:hAnsi="Times New Roman" w:cs="Times New Roman"/>
                <w:color w:val="auto"/>
                <w:sz w:val="24"/>
                <w:szCs w:val="24"/>
                <w:lang w:val="en-US" w:eastAsia="zh-CN"/>
              </w:rPr>
              <w:t>00h，</w:t>
            </w:r>
            <w:r>
              <w:rPr>
                <w:rFonts w:hint="eastAsia" w:ascii="Times New Roman" w:hAnsi="Times New Roman" w:cs="Times New Roman"/>
                <w:color w:val="auto"/>
                <w:sz w:val="24"/>
                <w:szCs w:val="24"/>
                <w:lang w:val="en-US" w:eastAsia="zh-CN"/>
              </w:rPr>
              <w:t>本次评价按NMP全挥发</w:t>
            </w:r>
            <w:r>
              <w:rPr>
                <w:rFonts w:hint="default" w:ascii="Times New Roman" w:hAnsi="Times New Roman" w:cs="Times New Roman"/>
                <w:color w:val="auto"/>
                <w:sz w:val="24"/>
                <w:szCs w:val="24"/>
                <w:lang w:val="en-US" w:eastAsia="zh-CN"/>
              </w:rPr>
              <w:t>核算</w:t>
            </w:r>
            <w:r>
              <w:rPr>
                <w:rFonts w:hint="eastAsia" w:ascii="Times New Roman" w:hAnsi="Times New Roman" w:cs="Times New Roman"/>
                <w:color w:val="auto"/>
                <w:sz w:val="24"/>
                <w:szCs w:val="24"/>
                <w:lang w:val="en-US" w:eastAsia="zh-CN"/>
              </w:rPr>
              <w:t>，则NMP废气</w:t>
            </w:r>
            <w:r>
              <w:rPr>
                <w:rFonts w:hint="default" w:ascii="Times New Roman" w:hAnsi="Times New Roman" w:cs="Times New Roman"/>
                <w:color w:val="auto"/>
                <w:sz w:val="24"/>
                <w:szCs w:val="24"/>
                <w:lang w:val="en-US" w:eastAsia="zh-CN"/>
              </w:rPr>
              <w:t>产生量</w:t>
            </w:r>
            <w:r>
              <w:rPr>
                <w:rFonts w:hint="eastAsia" w:cs="Times New Roman"/>
                <w:color w:val="auto"/>
                <w:sz w:val="24"/>
                <w:szCs w:val="24"/>
                <w:lang w:val="en-US" w:eastAsia="zh-CN"/>
              </w:rPr>
              <w:t>1328.84t</w:t>
            </w:r>
            <w:r>
              <w:rPr>
                <w:rFonts w:hint="default" w:ascii="Times New Roman" w:hAnsi="Times New Roman" w:cs="Times New Roman"/>
                <w:color w:val="auto"/>
                <w:sz w:val="24"/>
                <w:szCs w:val="24"/>
                <w:lang w:val="en-US" w:eastAsia="zh-CN"/>
              </w:rPr>
              <w:t>/a，产生速率</w:t>
            </w:r>
            <w:r>
              <w:rPr>
                <w:rFonts w:hint="eastAsia" w:cs="Times New Roman"/>
                <w:color w:val="auto"/>
                <w:sz w:val="24"/>
                <w:szCs w:val="24"/>
                <w:lang w:val="en-US" w:eastAsia="zh-CN"/>
              </w:rPr>
              <w:t>约为221.5</w:t>
            </w:r>
            <w:r>
              <w:rPr>
                <w:rFonts w:hint="default" w:ascii="Times New Roman" w:hAnsi="Times New Roman" w:cs="Times New Roman"/>
                <w:color w:val="auto"/>
                <w:sz w:val="24"/>
                <w:szCs w:val="24"/>
                <w:lang w:val="en-US" w:eastAsia="zh-CN"/>
              </w:rPr>
              <w:t>kg/h</w:t>
            </w:r>
            <w:r>
              <w:rPr>
                <w:rFonts w:hint="default" w:ascii="Times New Roman" w:hAnsi="Times New Roman" w:cs="Times New Roman"/>
                <w:color w:val="auto"/>
                <w:sz w:val="24"/>
                <w:szCs w:val="24"/>
                <w:highlight w:val="none"/>
                <w:lang w:val="en-US" w:eastAsia="zh-CN"/>
              </w:rPr>
              <w:t>。</w:t>
            </w:r>
          </w:p>
          <w:p w14:paraId="4A784681">
            <w:pPr>
              <w:keepNext w:val="0"/>
              <w:keepLines w:val="0"/>
              <w:pageBreakBefore w:val="0"/>
              <w:widowControl w:val="0"/>
              <w:kinsoku/>
              <w:wordWrap/>
              <w:overflowPunct/>
              <w:topLinePunct w:val="0"/>
              <w:bidi w:val="0"/>
              <w:spacing w:line="360" w:lineRule="auto"/>
              <w:ind w:firstLine="482" w:firstLineChars="200"/>
              <w:textAlignment w:val="auto"/>
              <w:rPr>
                <w:rFonts w:hint="default" w:ascii="Times New Roman" w:hAnsi="Times New Roman" w:eastAsia="宋体" w:cs="Times New Roman"/>
                <w:color w:val="auto"/>
                <w:kern w:val="0"/>
                <w:sz w:val="24"/>
                <w:szCs w:val="24"/>
                <w:highlight w:val="none"/>
                <w:shd w:val="clear"/>
                <w:lang w:val="en-US" w:eastAsia="zh-CN" w:bidi="ar"/>
              </w:rPr>
            </w:pPr>
            <w:r>
              <w:rPr>
                <w:rFonts w:hint="eastAsia" w:ascii="宋体" w:hAnsi="宋体" w:eastAsia="宋体" w:cs="宋体"/>
                <w:b/>
                <w:bCs/>
                <w:color w:val="auto"/>
                <w:sz w:val="24"/>
                <w:szCs w:val="24"/>
                <w:highlight w:val="none"/>
                <w:lang w:val="en-US" w:eastAsia="zh-CN"/>
              </w:rPr>
              <w:t>拟采取治理措施：</w:t>
            </w:r>
            <w:r>
              <w:rPr>
                <w:rFonts w:hint="eastAsia" w:cs="Times New Roman"/>
                <w:color w:val="auto"/>
                <w:sz w:val="24"/>
                <w:szCs w:val="24"/>
                <w:highlight w:val="none"/>
                <w:lang w:val="en-US" w:eastAsia="zh-CN"/>
              </w:rPr>
              <w:t>本项目涂布机为密闭结构，</w:t>
            </w:r>
            <w:r>
              <w:rPr>
                <w:rFonts w:hint="eastAsia" w:cs="Times New Roman"/>
                <w:color w:val="auto"/>
                <w:kern w:val="0"/>
                <w:sz w:val="24"/>
                <w:szCs w:val="24"/>
                <w:highlight w:val="none"/>
                <w:lang w:val="en-US" w:eastAsia="zh-CN" w:bidi="ar"/>
              </w:rPr>
              <w:t>自带电</w:t>
            </w:r>
            <w:r>
              <w:rPr>
                <w:rFonts w:hint="eastAsia" w:ascii="Times New Roman" w:hAnsi="Times New Roman" w:eastAsia="宋体" w:cs="Times New Roman"/>
                <w:color w:val="auto"/>
                <w:kern w:val="0"/>
                <w:sz w:val="24"/>
                <w:szCs w:val="24"/>
                <w:highlight w:val="none"/>
                <w:lang w:val="en-US" w:eastAsia="zh-CN" w:bidi="ar"/>
              </w:rPr>
              <w:t>烘箱，</w:t>
            </w:r>
            <w:r>
              <w:rPr>
                <w:rFonts w:hint="eastAsia" w:cs="Times New Roman"/>
                <w:color w:val="auto"/>
                <w:kern w:val="0"/>
                <w:sz w:val="24"/>
                <w:szCs w:val="24"/>
                <w:highlight w:val="none"/>
                <w:lang w:val="en-US" w:eastAsia="zh-CN" w:bidi="ar"/>
              </w:rPr>
              <w:t>当物料进入烘箱后，将前后仓门关闭，并进行烘烤，由于烘箱在烘烤阶段为真空全密闭烘烤，烘箱顶部设有出气口（烘烤期间为关闭状态），烘烤完毕后，对箱内废气进行真空抽至烘箱顶部排放，并通过管道将烘箱内的NMP有机废气引至NMP回收系统</w:t>
            </w:r>
            <w:r>
              <w:rPr>
                <w:rFonts w:hint="default" w:ascii="Times New Roman" w:hAnsi="Times New Roman" w:eastAsia="宋体" w:cs="Times New Roman"/>
                <w:color w:val="auto"/>
                <w:kern w:val="0"/>
                <w:sz w:val="24"/>
                <w:szCs w:val="24"/>
                <w:highlight w:val="none"/>
                <w:shd w:val="clear"/>
                <w:lang w:val="en-US" w:eastAsia="zh-CN" w:bidi="ar"/>
              </w:rPr>
              <w:t>（TA00</w:t>
            </w:r>
            <w:r>
              <w:rPr>
                <w:rFonts w:hint="eastAsia" w:cs="Times New Roman"/>
                <w:color w:val="auto"/>
                <w:kern w:val="0"/>
                <w:sz w:val="24"/>
                <w:szCs w:val="24"/>
                <w:highlight w:val="none"/>
                <w:shd w:val="clear"/>
                <w:lang w:val="en-US" w:eastAsia="zh-CN" w:bidi="ar"/>
              </w:rPr>
              <w:t>2</w:t>
            </w:r>
            <w:r>
              <w:rPr>
                <w:rFonts w:hint="default" w:ascii="Times New Roman" w:hAnsi="Times New Roman" w:eastAsia="宋体" w:cs="Times New Roman"/>
                <w:color w:val="auto"/>
                <w:kern w:val="0"/>
                <w:sz w:val="24"/>
                <w:szCs w:val="24"/>
                <w:highlight w:val="none"/>
                <w:shd w:val="clear"/>
                <w:lang w:val="en-US" w:eastAsia="zh-CN" w:bidi="ar"/>
              </w:rPr>
              <w:t>，采用</w:t>
            </w:r>
            <w:r>
              <w:rPr>
                <w:rFonts w:hint="eastAsia" w:ascii="Times New Roman" w:hAnsi="Times New Roman" w:eastAsia="宋体" w:cs="Times New Roman"/>
                <w:color w:val="auto"/>
                <w:kern w:val="0"/>
                <w:sz w:val="24"/>
                <w:szCs w:val="24"/>
                <w:highlight w:val="none"/>
                <w:shd w:val="clear"/>
                <w:lang w:val="en-US" w:eastAsia="zh-CN" w:bidi="ar"/>
              </w:rPr>
              <w:t>“</w:t>
            </w:r>
            <w:r>
              <w:rPr>
                <w:rFonts w:hint="default" w:ascii="Times New Roman" w:hAnsi="Times New Roman" w:eastAsia="宋体" w:cs="Times New Roman"/>
                <w:color w:val="auto"/>
                <w:kern w:val="0"/>
                <w:sz w:val="24"/>
                <w:szCs w:val="24"/>
                <w:highlight w:val="none"/>
                <w:shd w:val="clear"/>
                <w:lang w:val="en-US" w:eastAsia="zh-CN" w:bidi="ar"/>
              </w:rPr>
              <w:t>二级冷凝回收+转轮深度吸附</w:t>
            </w:r>
            <w:r>
              <w:rPr>
                <w:rFonts w:hint="eastAsia" w:ascii="Times New Roman" w:hAnsi="Times New Roman" w:eastAsia="宋体" w:cs="Times New Roman"/>
                <w:color w:val="auto"/>
                <w:kern w:val="0"/>
                <w:sz w:val="24"/>
                <w:szCs w:val="24"/>
                <w:highlight w:val="none"/>
                <w:shd w:val="clear"/>
                <w:lang w:val="en-US" w:eastAsia="zh-CN" w:bidi="ar"/>
              </w:rPr>
              <w:t>”</w:t>
            </w:r>
            <w:r>
              <w:rPr>
                <w:rFonts w:hint="default" w:ascii="Times New Roman" w:hAnsi="Times New Roman" w:eastAsia="宋体" w:cs="Times New Roman"/>
                <w:color w:val="auto"/>
                <w:kern w:val="0"/>
                <w:sz w:val="24"/>
                <w:szCs w:val="24"/>
                <w:highlight w:val="none"/>
                <w:shd w:val="clear"/>
                <w:lang w:val="en-US" w:eastAsia="zh-CN" w:bidi="ar"/>
              </w:rPr>
              <w:t>回收工艺</w:t>
            </w:r>
            <w:r>
              <w:rPr>
                <w:rFonts w:hint="eastAsia" w:ascii="Times New Roman" w:hAnsi="Times New Roman" w:eastAsia="宋体" w:cs="Times New Roman"/>
                <w:color w:val="auto"/>
                <w:kern w:val="0"/>
                <w:sz w:val="24"/>
                <w:szCs w:val="24"/>
                <w:highlight w:val="none"/>
                <w:shd w:val="clear"/>
                <w:lang w:val="en-US" w:eastAsia="zh-CN" w:bidi="ar"/>
              </w:rPr>
              <w:t>（收集效率为100%，</w:t>
            </w:r>
            <w:r>
              <w:rPr>
                <w:rFonts w:hint="default" w:ascii="Times New Roman" w:hAnsi="Times New Roman" w:cs="Times New Roman"/>
                <w:color w:val="auto"/>
                <w:sz w:val="24"/>
                <w:szCs w:val="24"/>
                <w:highlight w:val="none"/>
                <w:shd w:val="clear"/>
                <w:lang w:val="en-US" w:eastAsia="zh-CN"/>
              </w:rPr>
              <w:t>单级冷凝效率为90%、转轮吸附处理效率为90%，则该工艺总体处理效率为99.9%</w:t>
            </w:r>
            <w:r>
              <w:rPr>
                <w:rFonts w:hint="eastAsia" w:ascii="Times New Roman" w:hAnsi="Times New Roman" w:cs="Times New Roman"/>
                <w:color w:val="auto"/>
                <w:sz w:val="24"/>
                <w:szCs w:val="24"/>
                <w:highlight w:val="none"/>
                <w:shd w:val="clear"/>
                <w:lang w:val="en-US" w:eastAsia="zh-CN"/>
              </w:rPr>
              <w:t>，</w:t>
            </w:r>
            <w:r>
              <w:rPr>
                <w:rFonts w:hint="eastAsia" w:cs="Times New Roman"/>
                <w:color w:val="auto"/>
                <w:sz w:val="24"/>
                <w:szCs w:val="24"/>
                <w:highlight w:val="none"/>
                <w:shd w:val="clear"/>
                <w:lang w:val="en-US" w:eastAsia="zh-CN"/>
              </w:rPr>
              <w:t>根据建设提供资料，设备配套</w:t>
            </w:r>
            <w:r>
              <w:rPr>
                <w:rFonts w:hint="eastAsia" w:ascii="Times New Roman" w:hAnsi="Times New Roman" w:cs="Times New Roman"/>
                <w:color w:val="auto"/>
                <w:sz w:val="24"/>
                <w:szCs w:val="24"/>
                <w:highlight w:val="none"/>
                <w:shd w:val="clear"/>
                <w:lang w:val="en-US" w:eastAsia="zh-CN"/>
              </w:rPr>
              <w:t>风机风量为</w:t>
            </w:r>
            <w:r>
              <w:rPr>
                <w:rFonts w:hint="eastAsia" w:cs="Times New Roman"/>
                <w:color w:val="auto"/>
                <w:kern w:val="0"/>
                <w:sz w:val="24"/>
                <w:szCs w:val="24"/>
                <w:highlight w:val="none"/>
                <w:shd w:val="clear"/>
                <w:lang w:val="en-US" w:eastAsia="zh-CN" w:bidi="ar"/>
              </w:rPr>
              <w:t>35000</w:t>
            </w:r>
            <w:r>
              <w:rPr>
                <w:rFonts w:hint="eastAsia" w:ascii="Times New Roman" w:hAnsi="Times New Roman" w:eastAsia="宋体" w:cs="Times New Roman"/>
                <w:color w:val="auto"/>
                <w:kern w:val="0"/>
                <w:sz w:val="24"/>
                <w:szCs w:val="24"/>
                <w:highlight w:val="none"/>
                <w:shd w:val="clear"/>
                <w:lang w:val="en-US" w:eastAsia="zh-CN" w:bidi="ar"/>
              </w:rPr>
              <w:t>m</w:t>
            </w:r>
            <w:r>
              <w:rPr>
                <w:rFonts w:hint="eastAsia" w:ascii="Times New Roman" w:hAnsi="Times New Roman" w:eastAsia="宋体" w:cs="Times New Roman"/>
                <w:color w:val="auto"/>
                <w:kern w:val="0"/>
                <w:sz w:val="24"/>
                <w:szCs w:val="24"/>
                <w:highlight w:val="none"/>
                <w:shd w:val="clear"/>
                <w:vertAlign w:val="superscript"/>
                <w:lang w:val="en-US" w:eastAsia="zh-CN" w:bidi="ar"/>
              </w:rPr>
              <w:t>3</w:t>
            </w:r>
            <w:r>
              <w:rPr>
                <w:rFonts w:hint="default" w:ascii="Times New Roman" w:hAnsi="Times New Roman" w:eastAsia="宋体" w:cs="Times New Roman"/>
                <w:color w:val="auto"/>
                <w:kern w:val="0"/>
                <w:sz w:val="24"/>
                <w:szCs w:val="24"/>
                <w:highlight w:val="none"/>
                <w:shd w:val="clear"/>
                <w:lang w:val="en-US" w:eastAsia="zh-CN" w:bidi="ar"/>
              </w:rPr>
              <w:t>/h</w:t>
            </w:r>
            <w:r>
              <w:rPr>
                <w:rFonts w:hint="eastAsia" w:ascii="Times New Roman" w:hAnsi="Times New Roman" w:eastAsia="宋体" w:cs="Times New Roman"/>
                <w:color w:val="auto"/>
                <w:kern w:val="0"/>
                <w:sz w:val="24"/>
                <w:szCs w:val="24"/>
                <w:highlight w:val="none"/>
                <w:shd w:val="clear"/>
                <w:lang w:val="en-US" w:eastAsia="zh-CN" w:bidi="ar"/>
              </w:rPr>
              <w:t>）</w:t>
            </w:r>
            <w:r>
              <w:rPr>
                <w:rFonts w:hint="eastAsia" w:cs="Times New Roman"/>
                <w:color w:val="auto"/>
                <w:kern w:val="0"/>
                <w:sz w:val="24"/>
                <w:szCs w:val="24"/>
                <w:highlight w:val="none"/>
                <w:shd w:val="clear"/>
                <w:lang w:val="en-US" w:eastAsia="zh-CN" w:bidi="ar"/>
              </w:rPr>
              <w:t>，</w:t>
            </w:r>
            <w:r>
              <w:rPr>
                <w:rFonts w:hint="eastAsia" w:cs="Times New Roman"/>
                <w:color w:val="auto"/>
                <w:kern w:val="0"/>
                <w:sz w:val="24"/>
                <w:szCs w:val="24"/>
                <w:highlight w:val="none"/>
                <w:lang w:val="en-US" w:eastAsia="zh-CN" w:bidi="ar"/>
              </w:rPr>
              <w:t>由于烘箱是密闭状态，且排气口直接采用管道接入，因此废气收集率按照100%计算，</w:t>
            </w:r>
            <w:r>
              <w:rPr>
                <w:rFonts w:hint="default" w:ascii="Times New Roman" w:hAnsi="Times New Roman" w:eastAsia="宋体" w:cs="Times New Roman"/>
                <w:color w:val="auto"/>
                <w:kern w:val="0"/>
                <w:sz w:val="24"/>
                <w:szCs w:val="24"/>
                <w:highlight w:val="none"/>
                <w:shd w:val="clear"/>
                <w:lang w:val="en-US" w:eastAsia="zh-CN" w:bidi="ar"/>
              </w:rPr>
              <w:t>未回收的废气经1根</w:t>
            </w:r>
            <w:r>
              <w:rPr>
                <w:rFonts w:hint="eastAsia" w:cs="Times New Roman"/>
                <w:color w:val="auto"/>
                <w:kern w:val="0"/>
                <w:sz w:val="24"/>
                <w:szCs w:val="24"/>
                <w:highlight w:val="none"/>
                <w:shd w:val="clear"/>
                <w:lang w:val="en-US" w:eastAsia="zh-CN" w:bidi="ar"/>
              </w:rPr>
              <w:t>30</w:t>
            </w:r>
            <w:r>
              <w:rPr>
                <w:rFonts w:hint="default" w:ascii="Times New Roman" w:hAnsi="Times New Roman" w:eastAsia="宋体" w:cs="Times New Roman"/>
                <w:color w:val="auto"/>
                <w:kern w:val="0"/>
                <w:sz w:val="24"/>
                <w:szCs w:val="24"/>
                <w:highlight w:val="none"/>
                <w:shd w:val="clear"/>
                <w:lang w:val="en-US" w:eastAsia="zh-CN" w:bidi="ar"/>
              </w:rPr>
              <w:t>m高排气筒（DA001）排放</w:t>
            </w:r>
            <w:r>
              <w:rPr>
                <w:rFonts w:hint="eastAsia" w:ascii="Times New Roman" w:hAnsi="Times New Roman" w:eastAsia="宋体" w:cs="Times New Roman"/>
                <w:color w:val="auto"/>
                <w:kern w:val="0"/>
                <w:sz w:val="24"/>
                <w:szCs w:val="24"/>
                <w:highlight w:val="none"/>
                <w:shd w:val="clear"/>
                <w:lang w:val="en-US" w:eastAsia="zh-CN" w:bidi="ar"/>
              </w:rPr>
              <w:t>，</w:t>
            </w:r>
            <w:r>
              <w:rPr>
                <w:rFonts w:hint="default" w:ascii="Times New Roman" w:hAnsi="Times New Roman" w:cs="Times New Roman"/>
                <w:color w:val="auto"/>
                <w:sz w:val="24"/>
                <w:szCs w:val="24"/>
                <w:highlight w:val="none"/>
                <w:shd w:val="clear"/>
                <w:lang w:val="en-US" w:eastAsia="zh-CN"/>
              </w:rPr>
              <w:t>有组织挥发性有机物（以非甲烷总烃计）排放量</w:t>
            </w:r>
            <w:r>
              <w:rPr>
                <w:rFonts w:hint="eastAsia" w:cs="Times New Roman"/>
                <w:color w:val="auto"/>
                <w:sz w:val="24"/>
                <w:szCs w:val="24"/>
                <w:highlight w:val="none"/>
                <w:shd w:val="clear"/>
                <w:lang w:val="en-US" w:eastAsia="zh-CN"/>
              </w:rPr>
              <w:t>约</w:t>
            </w:r>
            <w:r>
              <w:rPr>
                <w:rFonts w:hint="default" w:ascii="Times New Roman" w:hAnsi="Times New Roman" w:cs="Times New Roman"/>
                <w:color w:val="auto"/>
                <w:sz w:val="24"/>
                <w:szCs w:val="24"/>
                <w:highlight w:val="none"/>
                <w:shd w:val="clear"/>
                <w:lang w:val="en-US" w:eastAsia="zh-CN"/>
              </w:rPr>
              <w:t>为</w:t>
            </w:r>
            <w:r>
              <w:rPr>
                <w:rFonts w:hint="eastAsia" w:cs="Times New Roman"/>
                <w:color w:val="auto"/>
                <w:sz w:val="24"/>
                <w:szCs w:val="24"/>
                <w:shd w:val="clear"/>
                <w:lang w:val="en-US" w:eastAsia="zh-CN"/>
              </w:rPr>
              <w:t>1.33</w:t>
            </w:r>
            <w:r>
              <w:rPr>
                <w:rFonts w:hint="default" w:ascii="Times New Roman" w:hAnsi="Times New Roman" w:cs="Times New Roman"/>
                <w:color w:val="auto"/>
                <w:sz w:val="24"/>
                <w:szCs w:val="24"/>
                <w:shd w:val="clear"/>
                <w:lang w:val="en-US" w:eastAsia="zh-CN"/>
              </w:rPr>
              <w:t>t/a</w:t>
            </w:r>
            <w:r>
              <w:rPr>
                <w:rFonts w:hint="eastAsia" w:cs="Times New Roman"/>
                <w:color w:val="auto"/>
                <w:sz w:val="24"/>
                <w:szCs w:val="24"/>
                <w:shd w:val="clear"/>
                <w:lang w:val="en-US" w:eastAsia="zh-CN"/>
              </w:rPr>
              <w:t>，</w:t>
            </w:r>
            <w:r>
              <w:rPr>
                <w:rFonts w:hint="default" w:ascii="Times New Roman" w:hAnsi="Times New Roman" w:cs="Times New Roman"/>
                <w:color w:val="auto"/>
                <w:sz w:val="24"/>
                <w:szCs w:val="24"/>
                <w:shd w:val="clear"/>
                <w:lang w:val="en-US" w:eastAsia="zh-CN"/>
              </w:rPr>
              <w:t>排放速率</w:t>
            </w:r>
            <w:r>
              <w:rPr>
                <w:rFonts w:hint="eastAsia" w:cs="Times New Roman"/>
                <w:color w:val="auto"/>
                <w:sz w:val="24"/>
                <w:szCs w:val="24"/>
                <w:shd w:val="clear"/>
                <w:lang w:val="en-US" w:eastAsia="zh-CN"/>
              </w:rPr>
              <w:t>约</w:t>
            </w:r>
            <w:r>
              <w:rPr>
                <w:rFonts w:hint="default" w:ascii="Times New Roman" w:hAnsi="Times New Roman" w:cs="Times New Roman"/>
                <w:color w:val="auto"/>
                <w:sz w:val="24"/>
                <w:szCs w:val="24"/>
                <w:shd w:val="clear"/>
                <w:lang w:val="en-US" w:eastAsia="zh-CN"/>
              </w:rPr>
              <w:t>为</w:t>
            </w:r>
            <w:r>
              <w:rPr>
                <w:rFonts w:hint="eastAsia" w:cs="Times New Roman"/>
                <w:color w:val="auto"/>
                <w:sz w:val="24"/>
                <w:szCs w:val="24"/>
                <w:shd w:val="clear"/>
                <w:lang w:val="en-US" w:eastAsia="zh-CN"/>
              </w:rPr>
              <w:t>0.222</w:t>
            </w:r>
            <w:r>
              <w:rPr>
                <w:rFonts w:hint="default" w:ascii="Times New Roman" w:hAnsi="Times New Roman" w:cs="Times New Roman"/>
                <w:color w:val="auto"/>
                <w:sz w:val="24"/>
                <w:szCs w:val="24"/>
                <w:shd w:val="clear"/>
                <w:lang w:val="en-US" w:eastAsia="zh-CN"/>
              </w:rPr>
              <w:t>kg/h</w:t>
            </w:r>
            <w:r>
              <w:rPr>
                <w:rFonts w:hint="eastAsia" w:cs="Times New Roman"/>
                <w:color w:val="auto"/>
                <w:sz w:val="24"/>
                <w:szCs w:val="24"/>
                <w:shd w:val="clear"/>
                <w:lang w:val="en-US" w:eastAsia="zh-CN"/>
              </w:rPr>
              <w:t>，</w:t>
            </w:r>
            <w:r>
              <w:rPr>
                <w:rFonts w:hint="default" w:ascii="Times New Roman" w:hAnsi="Times New Roman" w:cs="Times New Roman"/>
                <w:color w:val="auto"/>
                <w:sz w:val="24"/>
                <w:szCs w:val="24"/>
                <w:shd w:val="clear"/>
                <w:lang w:val="en-US" w:eastAsia="zh-CN"/>
              </w:rPr>
              <w:t>排放浓度</w:t>
            </w:r>
            <w:r>
              <w:rPr>
                <w:rFonts w:hint="eastAsia" w:cs="Times New Roman"/>
                <w:color w:val="auto"/>
                <w:sz w:val="24"/>
                <w:szCs w:val="24"/>
                <w:shd w:val="clear"/>
                <w:lang w:val="en-US" w:eastAsia="zh-CN"/>
              </w:rPr>
              <w:t>约</w:t>
            </w:r>
            <w:r>
              <w:rPr>
                <w:rFonts w:hint="default" w:ascii="Times New Roman" w:hAnsi="Times New Roman" w:cs="Times New Roman"/>
                <w:color w:val="auto"/>
                <w:sz w:val="24"/>
                <w:szCs w:val="24"/>
                <w:shd w:val="clear"/>
                <w:lang w:val="en-US" w:eastAsia="zh-CN"/>
              </w:rPr>
              <w:t>为</w:t>
            </w:r>
            <w:r>
              <w:rPr>
                <w:rFonts w:hint="eastAsia" w:cs="Times New Roman"/>
                <w:color w:val="auto"/>
                <w:sz w:val="24"/>
                <w:szCs w:val="24"/>
                <w:shd w:val="clear"/>
                <w:lang w:val="en-US" w:eastAsia="zh-CN"/>
              </w:rPr>
              <w:t>6.34</w:t>
            </w:r>
            <w:r>
              <w:rPr>
                <w:rFonts w:hint="default" w:ascii="Times New Roman" w:hAnsi="Times New Roman" w:cs="Times New Roman"/>
                <w:color w:val="auto"/>
                <w:sz w:val="24"/>
                <w:szCs w:val="24"/>
                <w:shd w:val="clear"/>
                <w:lang w:val="en-US" w:eastAsia="zh-CN"/>
              </w:rPr>
              <w:t>mg/</w:t>
            </w:r>
            <w:r>
              <w:rPr>
                <w:rFonts w:hint="eastAsia" w:cs="Times New Roman"/>
                <w:color w:val="auto"/>
                <w:sz w:val="24"/>
                <w:szCs w:val="24"/>
                <w:shd w:val="clear"/>
                <w:lang w:val="en-US" w:eastAsia="zh-CN"/>
              </w:rPr>
              <w:t>m</w:t>
            </w:r>
            <w:r>
              <w:rPr>
                <w:rFonts w:hint="eastAsia" w:cs="Times New Roman"/>
                <w:color w:val="auto"/>
                <w:sz w:val="24"/>
                <w:szCs w:val="24"/>
                <w:shd w:val="clear"/>
                <w:vertAlign w:val="superscript"/>
                <w:lang w:val="en-US" w:eastAsia="zh-CN"/>
              </w:rPr>
              <w:t>3</w:t>
            </w:r>
            <w:r>
              <w:rPr>
                <w:rFonts w:hint="default" w:ascii="Times New Roman" w:hAnsi="Times New Roman" w:eastAsia="宋体" w:cs="Times New Roman"/>
                <w:color w:val="auto"/>
                <w:kern w:val="0"/>
                <w:sz w:val="24"/>
                <w:szCs w:val="24"/>
                <w:highlight w:val="none"/>
                <w:shd w:val="clear"/>
                <w:lang w:val="en-US" w:eastAsia="zh-CN" w:bidi="ar"/>
              </w:rPr>
              <w:t>。</w:t>
            </w:r>
          </w:p>
          <w:p w14:paraId="0EA55C5F">
            <w:pPr>
              <w:keepNext w:val="0"/>
              <w:keepLines w:val="0"/>
              <w:pageBreakBefore w:val="0"/>
              <w:widowControl w:val="0"/>
              <w:kinsoku/>
              <w:wordWrap/>
              <w:overflowPunct/>
              <w:topLinePunct w:val="0"/>
              <w:bidi w:val="0"/>
              <w:spacing w:line="360" w:lineRule="auto"/>
              <w:ind w:firstLine="482" w:firstLineChars="200"/>
              <w:textAlignment w:val="auto"/>
              <w:rPr>
                <w:rFonts w:hint="eastAsia" w:ascii="Times New Roman" w:hAnsi="Times New Roman" w:eastAsia="宋体" w:cs="Times New Roman"/>
                <w:b/>
                <w:bCs/>
                <w:color w:val="auto"/>
                <w:sz w:val="24"/>
                <w:szCs w:val="24"/>
                <w:shd w:val="clear" w:fill="FFFF00"/>
                <w:lang w:val="en-US" w:eastAsia="zh-CN"/>
              </w:rPr>
            </w:pPr>
            <w:r>
              <w:rPr>
                <w:rFonts w:hint="eastAsia" w:ascii="Times New Roman" w:hAnsi="Times New Roman" w:eastAsia="宋体" w:cs="Times New Roman"/>
                <w:b/>
                <w:bCs/>
                <w:color w:val="auto"/>
                <w:sz w:val="24"/>
                <w:szCs w:val="24"/>
                <w:shd w:val="clear"/>
                <w:lang w:val="en-US" w:eastAsia="zh-CN"/>
              </w:rPr>
              <w:t>3）分切粉尘</w:t>
            </w:r>
          </w:p>
          <w:p w14:paraId="07EA0978">
            <w:pPr>
              <w:keepNext w:val="0"/>
              <w:keepLines w:val="0"/>
              <w:pageBreakBefore w:val="0"/>
              <w:widowControl w:val="0"/>
              <w:numPr>
                <w:ilvl w:val="0"/>
                <w:numId w:val="0"/>
              </w:numPr>
              <w:shd w:val="clear"/>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b w:val="0"/>
                <w:bCs w:val="0"/>
                <w:color w:val="auto"/>
                <w:sz w:val="24"/>
                <w:szCs w:val="24"/>
                <w:shd w:val="clear" w:fill="FFFF00"/>
                <w:lang w:val="en-US" w:eastAsia="zh-CN"/>
              </w:rPr>
            </w:pPr>
            <w:r>
              <w:rPr>
                <w:rFonts w:hint="default" w:ascii="Times New Roman" w:hAnsi="Times New Roman" w:eastAsia="宋体" w:cs="Times New Roman"/>
                <w:b w:val="0"/>
                <w:bCs w:val="0"/>
                <w:color w:val="auto"/>
                <w:sz w:val="24"/>
                <w:szCs w:val="24"/>
                <w:shd w:val="clear"/>
                <w:lang w:val="en-US" w:eastAsia="zh-CN"/>
              </w:rPr>
              <w:t>本项目极片采用</w:t>
            </w:r>
            <w:r>
              <w:rPr>
                <w:rFonts w:hint="eastAsia" w:cs="Times New Roman"/>
                <w:b w:val="0"/>
                <w:bCs w:val="0"/>
                <w:color w:val="auto"/>
                <w:sz w:val="24"/>
                <w:szCs w:val="24"/>
                <w:shd w:val="clear"/>
                <w:lang w:val="en-US" w:eastAsia="zh-CN"/>
              </w:rPr>
              <w:t>激光模分一体机、锟分一体机</w:t>
            </w:r>
            <w:r>
              <w:rPr>
                <w:rFonts w:hint="default" w:ascii="Times New Roman" w:hAnsi="Times New Roman" w:eastAsia="宋体" w:cs="Times New Roman"/>
                <w:b w:val="0"/>
                <w:bCs w:val="0"/>
                <w:color w:val="auto"/>
                <w:sz w:val="24"/>
                <w:szCs w:val="24"/>
                <w:shd w:val="clear"/>
                <w:lang w:val="en-US" w:eastAsia="zh-CN"/>
              </w:rPr>
              <w:t>进行模切</w:t>
            </w:r>
            <w:r>
              <w:rPr>
                <w:rFonts w:hint="eastAsia" w:cs="Times New Roman"/>
                <w:b w:val="0"/>
                <w:bCs w:val="0"/>
                <w:color w:val="auto"/>
                <w:sz w:val="24"/>
                <w:szCs w:val="24"/>
                <w:shd w:val="clear"/>
                <w:lang w:val="en-US" w:eastAsia="zh-CN"/>
              </w:rPr>
              <w:t>、</w:t>
            </w:r>
            <w:r>
              <w:rPr>
                <w:rFonts w:hint="default" w:ascii="Times New Roman" w:hAnsi="Times New Roman" w:eastAsia="宋体" w:cs="Times New Roman"/>
                <w:b w:val="0"/>
                <w:bCs w:val="0"/>
                <w:color w:val="auto"/>
                <w:sz w:val="24"/>
                <w:szCs w:val="24"/>
                <w:shd w:val="clear"/>
                <w:lang w:val="en-US" w:eastAsia="zh-CN"/>
              </w:rPr>
              <w:t>分条，设备裁切精度高、刀口规整，生产过程以产生极片细微毛</w:t>
            </w:r>
            <w:r>
              <w:rPr>
                <w:rFonts w:hint="eastAsia" w:ascii="Times New Roman" w:hAnsi="Times New Roman" w:eastAsia="宋体" w:cs="Times New Roman"/>
                <w:b w:val="0"/>
                <w:bCs w:val="0"/>
                <w:color w:val="auto"/>
                <w:sz w:val="24"/>
                <w:szCs w:val="24"/>
                <w:shd w:val="clear"/>
                <w:lang w:val="en-US" w:eastAsia="zh-CN"/>
              </w:rPr>
              <w:t>，</w:t>
            </w:r>
            <w:r>
              <w:rPr>
                <w:rFonts w:hint="default" w:ascii="Times New Roman" w:hAnsi="Times New Roman" w:eastAsia="宋体" w:cs="Times New Roman"/>
                <w:b w:val="0"/>
                <w:bCs w:val="0"/>
                <w:color w:val="auto"/>
                <w:sz w:val="24"/>
                <w:szCs w:val="24"/>
                <w:shd w:val="clear"/>
                <w:lang w:val="en-US" w:eastAsia="zh-CN"/>
              </w:rPr>
              <w:t>刺、边角微屑为主，无大面积涂层脱落及大颗粒粉尘散发</w:t>
            </w:r>
            <w:r>
              <w:rPr>
                <w:rFonts w:hint="eastAsia" w:ascii="Times New Roman" w:hAnsi="Times New Roman" w:eastAsia="宋体" w:cs="Times New Roman"/>
                <w:b w:val="0"/>
                <w:bCs w:val="0"/>
                <w:color w:val="auto"/>
                <w:sz w:val="24"/>
                <w:szCs w:val="24"/>
                <w:shd w:val="clear"/>
                <w:lang w:val="en-US" w:eastAsia="zh-CN"/>
              </w:rPr>
              <w:t>，</w:t>
            </w:r>
            <w:r>
              <w:rPr>
                <w:rFonts w:hint="default" w:ascii="Times New Roman" w:hAnsi="Times New Roman" w:eastAsia="宋体" w:cs="Times New Roman"/>
                <w:b w:val="0"/>
                <w:bCs w:val="0"/>
                <w:color w:val="auto"/>
                <w:sz w:val="24"/>
                <w:szCs w:val="24"/>
                <w:shd w:val="clear"/>
                <w:lang w:val="en-US" w:eastAsia="zh-CN"/>
              </w:rPr>
              <w:t>模切</w:t>
            </w:r>
            <w:r>
              <w:rPr>
                <w:rFonts w:hint="eastAsia" w:cs="Times New Roman"/>
                <w:b w:val="0"/>
                <w:bCs w:val="0"/>
                <w:color w:val="auto"/>
                <w:sz w:val="24"/>
                <w:szCs w:val="24"/>
                <w:shd w:val="clear"/>
                <w:lang w:val="en-US" w:eastAsia="zh-CN"/>
              </w:rPr>
              <w:t>、</w:t>
            </w:r>
            <w:r>
              <w:rPr>
                <w:rFonts w:hint="default" w:ascii="Times New Roman" w:hAnsi="Times New Roman" w:eastAsia="宋体" w:cs="Times New Roman"/>
                <w:b w:val="0"/>
                <w:bCs w:val="0"/>
                <w:color w:val="auto"/>
                <w:sz w:val="24"/>
                <w:szCs w:val="24"/>
                <w:shd w:val="clear"/>
                <w:lang w:val="en-US" w:eastAsia="zh-CN"/>
              </w:rPr>
              <w:t>分条过程</w:t>
            </w:r>
            <w:r>
              <w:rPr>
                <w:rFonts w:hint="eastAsia" w:ascii="Times New Roman" w:hAnsi="Times New Roman" w:eastAsia="宋体" w:cs="Times New Roman"/>
                <w:b w:val="0"/>
                <w:bCs w:val="0"/>
                <w:color w:val="auto"/>
                <w:sz w:val="24"/>
                <w:szCs w:val="24"/>
                <w:shd w:val="clear"/>
                <w:lang w:val="en-US" w:eastAsia="zh-CN"/>
              </w:rPr>
              <w:t>中</w:t>
            </w:r>
            <w:r>
              <w:rPr>
                <w:rFonts w:hint="default" w:ascii="Times New Roman" w:hAnsi="Times New Roman" w:eastAsia="宋体" w:cs="Times New Roman"/>
                <w:b w:val="0"/>
                <w:bCs w:val="0"/>
                <w:color w:val="auto"/>
                <w:sz w:val="24"/>
                <w:szCs w:val="24"/>
                <w:shd w:val="clear"/>
                <w:lang w:val="en-US" w:eastAsia="zh-CN"/>
              </w:rPr>
              <w:t>粉尘产生量极少，</w:t>
            </w:r>
            <w:r>
              <w:rPr>
                <w:rFonts w:hint="default" w:ascii="Times New Roman" w:hAnsi="Times New Roman" w:eastAsia="宋体" w:cs="Times New Roman"/>
                <w:b w:val="0"/>
                <w:bCs w:val="0"/>
                <w:color w:val="auto"/>
                <w:sz w:val="24"/>
                <w:szCs w:val="24"/>
                <w:lang w:val="en-US" w:eastAsia="zh-CN"/>
              </w:rPr>
              <w:t>本次环评不进行定量计算，仅进行定性分析</w:t>
            </w:r>
            <w:r>
              <w:rPr>
                <w:rFonts w:hint="eastAsia" w:cs="Times New Roman"/>
                <w:b w:val="0"/>
                <w:bCs w:val="0"/>
                <w:color w:val="auto"/>
                <w:sz w:val="24"/>
                <w:szCs w:val="24"/>
                <w:shd w:val="clear"/>
                <w:lang w:val="en-US" w:eastAsia="zh-CN"/>
              </w:rPr>
              <w:t>，粉尘以无组织形式在车间内自然沉降。</w:t>
            </w:r>
          </w:p>
          <w:p w14:paraId="63FDE37D">
            <w:pPr>
              <w:keepNext w:val="0"/>
              <w:keepLines w:val="0"/>
              <w:pageBreakBefore w:val="0"/>
              <w:widowControl w:val="0"/>
              <w:shd w:val="clear"/>
              <w:kinsoku/>
              <w:wordWrap/>
              <w:overflowPunct/>
              <w:topLinePunct w:val="0"/>
              <w:autoSpaceDE/>
              <w:autoSpaceDN/>
              <w:bidi w:val="0"/>
              <w:adjustRightInd/>
              <w:snapToGrid/>
              <w:spacing w:line="360" w:lineRule="auto"/>
              <w:ind w:firstLine="482" w:firstLineChars="200"/>
              <w:textAlignment w:val="auto"/>
              <w:rPr>
                <w:rFonts w:hint="default" w:ascii="Times New Roman" w:hAnsi="Times New Roman" w:cs="Times New Roman"/>
                <w:b/>
                <w:bCs/>
                <w:color w:val="auto"/>
                <w:sz w:val="24"/>
                <w:szCs w:val="24"/>
                <w:lang w:val="en-US" w:eastAsia="zh-CN"/>
              </w:rPr>
            </w:pPr>
            <w:r>
              <w:rPr>
                <w:rFonts w:hint="eastAsia" w:cs="Times New Roman"/>
                <w:b/>
                <w:bCs/>
                <w:color w:val="auto"/>
                <w:sz w:val="24"/>
                <w:szCs w:val="24"/>
                <w:lang w:val="en-US" w:eastAsia="zh-CN"/>
              </w:rPr>
              <w:t>4）</w:t>
            </w:r>
            <w:r>
              <w:rPr>
                <w:rFonts w:hint="default" w:ascii="Times New Roman" w:hAnsi="Times New Roman" w:cs="Times New Roman"/>
                <w:b/>
                <w:bCs/>
                <w:color w:val="auto"/>
                <w:sz w:val="24"/>
                <w:szCs w:val="24"/>
                <w:lang w:val="en-US" w:eastAsia="zh-CN"/>
              </w:rPr>
              <w:t>注液废气</w:t>
            </w:r>
          </w:p>
          <w:p w14:paraId="4F65F304">
            <w:pPr>
              <w:keepNext w:val="0"/>
              <w:keepLines w:val="0"/>
              <w:pageBreakBefore w:val="0"/>
              <w:widowControl w:val="0"/>
              <w:kinsoku/>
              <w:wordWrap/>
              <w:overflowPunct/>
              <w:topLinePunct w:val="0"/>
              <w:bidi w:val="0"/>
              <w:spacing w:line="360" w:lineRule="auto"/>
              <w:ind w:firstLine="480" w:firstLineChars="200"/>
              <w:textAlignment w:val="auto"/>
              <w:rPr>
                <w:rFonts w:hint="eastAsia" w:cs="Times New Roman"/>
                <w:color w:val="auto"/>
                <w:kern w:val="0"/>
                <w:sz w:val="24"/>
                <w:szCs w:val="24"/>
                <w:highlight w:val="none"/>
                <w:lang w:val="en-US" w:eastAsia="zh-CN" w:bidi="ar"/>
              </w:rPr>
            </w:pPr>
            <w:r>
              <w:rPr>
                <w:rFonts w:hint="eastAsia" w:cs="Times New Roman"/>
                <w:color w:val="auto"/>
                <w:kern w:val="0"/>
                <w:sz w:val="24"/>
                <w:szCs w:val="24"/>
                <w:highlight w:val="none"/>
                <w:lang w:val="en-US" w:eastAsia="zh-CN" w:bidi="ar"/>
              </w:rPr>
              <w:t>项目注液工序设置在全自动密闭注液机内完成，电解液采用密闭管道自动输送，电芯抽真</w:t>
            </w:r>
            <w:r>
              <w:rPr>
                <w:rFonts w:hint="default" w:cs="Times New Roman"/>
                <w:color w:val="auto"/>
                <w:kern w:val="0"/>
                <w:sz w:val="24"/>
                <w:szCs w:val="24"/>
                <w:highlight w:val="none"/>
                <w:lang w:val="en-US" w:eastAsia="zh-CN" w:bidi="ar"/>
              </w:rPr>
              <w:t>空后定量注液并</w:t>
            </w:r>
            <w:r>
              <w:rPr>
                <w:rFonts w:hint="eastAsia" w:cs="Times New Roman"/>
                <w:color w:val="auto"/>
                <w:kern w:val="0"/>
                <w:sz w:val="24"/>
                <w:szCs w:val="24"/>
                <w:highlight w:val="none"/>
                <w:lang w:val="en-US" w:eastAsia="zh-CN" w:bidi="ar"/>
              </w:rPr>
              <w:t>及时</w:t>
            </w:r>
            <w:r>
              <w:rPr>
                <w:rFonts w:hint="default" w:cs="Times New Roman"/>
                <w:color w:val="auto"/>
                <w:kern w:val="0"/>
                <w:sz w:val="24"/>
                <w:szCs w:val="24"/>
                <w:highlight w:val="none"/>
                <w:lang w:val="en-US" w:eastAsia="zh-CN" w:bidi="ar"/>
              </w:rPr>
              <w:t>封口，全程密闭操作，无敞口挥发环节。本项目注液系统配套真空抽气及氮气干燥保护装置</w:t>
            </w:r>
            <w:r>
              <w:rPr>
                <w:rFonts w:hint="eastAsia" w:cs="Times New Roman"/>
                <w:color w:val="auto"/>
                <w:kern w:val="0"/>
                <w:sz w:val="24"/>
                <w:szCs w:val="24"/>
                <w:highlight w:val="none"/>
                <w:lang w:val="en-US" w:eastAsia="zh-CN" w:bidi="ar"/>
              </w:rPr>
              <w:t>。</w:t>
            </w:r>
            <w:r>
              <w:rPr>
                <w:rFonts w:hint="default" w:cs="Times New Roman"/>
                <w:color w:val="auto"/>
                <w:kern w:val="0"/>
                <w:sz w:val="24"/>
                <w:szCs w:val="24"/>
                <w:highlight w:val="none"/>
                <w:lang w:val="en-US" w:eastAsia="zh-CN" w:bidi="ar"/>
              </w:rPr>
              <w:t>电解液中含六氟磷酸锂，遇空气及水汽易水解产生PF</w:t>
            </w:r>
            <w:r>
              <w:rPr>
                <w:rFonts w:hint="eastAsia" w:cs="Times New Roman"/>
                <w:color w:val="auto"/>
                <w:kern w:val="0"/>
                <w:sz w:val="24"/>
                <w:szCs w:val="24"/>
                <w:highlight w:val="none"/>
                <w:vertAlign w:val="subscript"/>
                <w:lang w:val="en-US" w:eastAsia="zh-CN" w:bidi="ar"/>
              </w:rPr>
              <w:t>5</w:t>
            </w:r>
            <w:r>
              <w:rPr>
                <w:rFonts w:hint="default" w:cs="Times New Roman"/>
                <w:color w:val="auto"/>
                <w:kern w:val="0"/>
                <w:sz w:val="24"/>
                <w:szCs w:val="24"/>
                <w:highlight w:val="none"/>
                <w:lang w:val="en-US" w:eastAsia="zh-CN" w:bidi="ar"/>
              </w:rPr>
              <w:t>、氟化氢等腐蚀性污染物</w:t>
            </w:r>
            <w:r>
              <w:rPr>
                <w:rFonts w:hint="eastAsia" w:cs="Times New Roman"/>
                <w:color w:val="auto"/>
                <w:kern w:val="0"/>
                <w:sz w:val="24"/>
                <w:szCs w:val="24"/>
                <w:highlight w:val="none"/>
                <w:lang w:val="en-US" w:eastAsia="zh-CN" w:bidi="ar"/>
              </w:rPr>
              <w:t>，但由于本项目注入电解液前已保持真空环境，无空气和水汽，在注液过程中</w:t>
            </w:r>
            <w:r>
              <w:rPr>
                <w:rFonts w:hint="default" w:cs="Times New Roman"/>
                <w:color w:val="auto"/>
                <w:kern w:val="0"/>
                <w:sz w:val="24"/>
                <w:szCs w:val="24"/>
                <w:highlight w:val="none"/>
                <w:lang w:val="en-US" w:eastAsia="zh-CN" w:bidi="ar"/>
              </w:rPr>
              <w:t>六氟磷酸锂</w:t>
            </w:r>
            <w:r>
              <w:rPr>
                <w:rFonts w:hint="eastAsia" w:cs="Times New Roman"/>
                <w:color w:val="auto"/>
                <w:kern w:val="0"/>
                <w:sz w:val="24"/>
                <w:szCs w:val="24"/>
                <w:highlight w:val="none"/>
                <w:lang w:val="en-US" w:eastAsia="zh-CN" w:bidi="ar"/>
              </w:rPr>
              <w:t>不会发生水解和氧化反应，不会产生</w:t>
            </w:r>
            <w:r>
              <w:rPr>
                <w:rFonts w:hint="default" w:cs="Times New Roman"/>
                <w:color w:val="auto"/>
                <w:kern w:val="0"/>
                <w:sz w:val="24"/>
                <w:szCs w:val="24"/>
                <w:highlight w:val="none"/>
                <w:lang w:val="en-US" w:eastAsia="zh-CN" w:bidi="ar"/>
              </w:rPr>
              <w:t>PF</w:t>
            </w:r>
            <w:r>
              <w:rPr>
                <w:rFonts w:hint="eastAsia" w:cs="Times New Roman"/>
                <w:color w:val="auto"/>
                <w:kern w:val="0"/>
                <w:sz w:val="24"/>
                <w:szCs w:val="24"/>
                <w:highlight w:val="none"/>
                <w:vertAlign w:val="subscript"/>
                <w:lang w:val="en-US" w:eastAsia="zh-CN" w:bidi="ar"/>
              </w:rPr>
              <w:t>5</w:t>
            </w:r>
            <w:r>
              <w:rPr>
                <w:rFonts w:hint="default" w:cs="Times New Roman"/>
                <w:color w:val="auto"/>
                <w:kern w:val="0"/>
                <w:sz w:val="24"/>
                <w:szCs w:val="24"/>
                <w:highlight w:val="none"/>
                <w:lang w:val="en-US" w:eastAsia="zh-CN" w:bidi="ar"/>
              </w:rPr>
              <w:t>、氟化氢等腐蚀性污染物；</w:t>
            </w:r>
          </w:p>
          <w:p w14:paraId="63FB4FB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color w:val="auto"/>
                <w:sz w:val="24"/>
                <w:szCs w:val="24"/>
                <w:lang w:val="en-US" w:eastAsia="zh-CN"/>
              </w:rPr>
            </w:pPr>
            <w:r>
              <w:rPr>
                <w:rFonts w:hint="eastAsia" w:ascii="宋体" w:hAnsi="宋体" w:cs="宋体"/>
                <w:color w:val="auto"/>
                <w:sz w:val="24"/>
                <w:szCs w:val="24"/>
                <w:lang w:val="en-US" w:eastAsia="zh-CN"/>
              </w:rPr>
              <w:t>根据百度百科六氟磷酸锂的理化性质，六氟磷酸锂是一种无机化合物，化学式为</w:t>
            </w:r>
            <w:r>
              <w:rPr>
                <w:rFonts w:hint="default" w:ascii="Times New Roman" w:hAnsi="Times New Roman" w:cs="Times New Roman"/>
                <w:color w:val="auto"/>
                <w:sz w:val="24"/>
                <w:szCs w:val="24"/>
                <w:lang w:val="en-US" w:eastAsia="zh-CN"/>
              </w:rPr>
              <w:t>LiPF</w:t>
            </w:r>
            <w:r>
              <w:rPr>
                <w:rFonts w:hint="default" w:ascii="Times New Roman" w:hAnsi="Times New Roman" w:cs="Times New Roman"/>
                <w:color w:val="auto"/>
                <w:sz w:val="24"/>
                <w:szCs w:val="24"/>
                <w:vertAlign w:val="subscript"/>
                <w:lang w:val="en-US" w:eastAsia="zh-CN"/>
              </w:rPr>
              <w:t>6</w:t>
            </w:r>
            <w:r>
              <w:rPr>
                <w:rFonts w:hint="eastAsia" w:ascii="宋体" w:hAnsi="宋体" w:cs="宋体"/>
                <w:color w:val="auto"/>
                <w:sz w:val="24"/>
                <w:szCs w:val="24"/>
                <w:lang w:val="en-US" w:eastAsia="zh-CN"/>
              </w:rPr>
              <w:t>，为白色结晶性粉末，易溶于水、溶于低浓度甲醇、乙醇、丙醇、碳酸酯类等有机溶剂；熔点为</w:t>
            </w:r>
            <w:r>
              <w:rPr>
                <w:rFonts w:hint="default" w:ascii="Times New Roman" w:hAnsi="Times New Roman" w:cs="Times New Roman"/>
                <w:color w:val="auto"/>
                <w:sz w:val="24"/>
                <w:szCs w:val="24"/>
                <w:lang w:val="en-US" w:eastAsia="zh-CN"/>
              </w:rPr>
              <w:t>200℃</w:t>
            </w:r>
            <w:r>
              <w:rPr>
                <w:rFonts w:hint="eastAsia" w:ascii="宋体" w:hAnsi="宋体" w:cs="宋体"/>
                <w:color w:val="auto"/>
                <w:sz w:val="24"/>
                <w:szCs w:val="24"/>
                <w:lang w:val="en-US" w:eastAsia="zh-CN"/>
              </w:rPr>
              <w:t>，</w:t>
            </w:r>
            <w:r>
              <w:rPr>
                <w:rFonts w:hint="default" w:ascii="Times New Roman" w:hAnsi="Times New Roman" w:cs="Times New Roman"/>
                <w:color w:val="auto"/>
                <w:sz w:val="24"/>
                <w:szCs w:val="24"/>
                <w:lang w:val="en-US" w:eastAsia="zh-CN"/>
              </w:rPr>
              <w:t>分解温度为125℃，</w:t>
            </w:r>
            <w:r>
              <w:rPr>
                <w:rFonts w:hint="eastAsia" w:ascii="宋体" w:hAnsi="宋体" w:cs="宋体"/>
                <w:color w:val="auto"/>
                <w:sz w:val="24"/>
                <w:szCs w:val="24"/>
                <w:lang w:val="en-US" w:eastAsia="zh-CN"/>
              </w:rPr>
              <w:t>密度为</w:t>
            </w:r>
            <w:r>
              <w:rPr>
                <w:rFonts w:hint="default" w:ascii="Times New Roman" w:hAnsi="Times New Roman" w:cs="Times New Roman"/>
                <w:color w:val="auto"/>
                <w:sz w:val="24"/>
                <w:szCs w:val="24"/>
                <w:lang w:val="en-US" w:eastAsia="zh-CN"/>
              </w:rPr>
              <w:t>1.50g/cm</w:t>
            </w:r>
            <w:r>
              <w:rPr>
                <w:rFonts w:hint="default" w:ascii="Times New Roman" w:hAnsi="Times New Roman" w:cs="Times New Roman"/>
                <w:color w:val="auto"/>
                <w:sz w:val="24"/>
                <w:szCs w:val="24"/>
                <w:vertAlign w:val="superscript"/>
                <w:lang w:val="en-US" w:eastAsia="zh-CN"/>
              </w:rPr>
              <w:t>3</w:t>
            </w:r>
            <w:r>
              <w:rPr>
                <w:rFonts w:hint="eastAsia" w:ascii="宋体" w:hAnsi="宋体" w:cs="宋体"/>
                <w:color w:val="auto"/>
                <w:sz w:val="24"/>
                <w:szCs w:val="24"/>
                <w:lang w:val="en-US" w:eastAsia="zh-CN"/>
              </w:rPr>
              <w:t>。电解液注液过程中在真空负压条件下，不会接触空气和水汽，仅接入干燥且注液温度为常温（</w:t>
            </w:r>
            <w:r>
              <w:rPr>
                <w:rFonts w:hint="default" w:ascii="Times New Roman" w:hAnsi="Times New Roman" w:cs="Times New Roman"/>
                <w:color w:val="auto"/>
                <w:sz w:val="24"/>
                <w:szCs w:val="24"/>
                <w:lang w:val="en-US" w:eastAsia="zh-CN"/>
              </w:rPr>
              <w:t>25℃</w:t>
            </w:r>
            <w:r>
              <w:rPr>
                <w:rFonts w:hint="eastAsia" w:ascii="宋体" w:hAnsi="宋体" w:cs="宋体"/>
                <w:color w:val="auto"/>
                <w:sz w:val="24"/>
                <w:szCs w:val="24"/>
                <w:lang w:val="en-US" w:eastAsia="zh-CN"/>
              </w:rPr>
              <w:t>），因此，六氟磷酸锂不会分解，电解液中的</w:t>
            </w:r>
            <w:r>
              <w:rPr>
                <w:rFonts w:hint="default" w:ascii="Times New Roman" w:hAnsi="Times New Roman" w:cs="Times New Roman"/>
                <w:color w:val="auto"/>
                <w:sz w:val="24"/>
                <w:szCs w:val="24"/>
                <w:lang w:val="en-US" w:eastAsia="zh-CN"/>
              </w:rPr>
              <w:t>LiPF</w:t>
            </w:r>
            <w:r>
              <w:rPr>
                <w:rFonts w:hint="default" w:ascii="Times New Roman" w:hAnsi="Times New Roman" w:cs="Times New Roman"/>
                <w:color w:val="auto"/>
                <w:sz w:val="24"/>
                <w:szCs w:val="24"/>
                <w:vertAlign w:val="subscript"/>
                <w:lang w:val="en-US" w:eastAsia="zh-CN"/>
              </w:rPr>
              <w:t>6</w:t>
            </w:r>
            <w:r>
              <w:rPr>
                <w:rFonts w:hint="eastAsia" w:ascii="Times New Roman" w:hAnsi="Times New Roman" w:cs="Times New Roman"/>
                <w:color w:val="auto"/>
                <w:sz w:val="24"/>
                <w:szCs w:val="24"/>
                <w:lang w:val="en-US" w:eastAsia="zh-CN"/>
              </w:rPr>
              <w:t>不会挥发出来</w:t>
            </w:r>
            <w:r>
              <w:rPr>
                <w:rFonts w:hint="eastAsia" w:cs="Times New Roman"/>
                <w:color w:val="auto"/>
                <w:sz w:val="24"/>
                <w:szCs w:val="24"/>
                <w:lang w:val="en-US" w:eastAsia="zh-CN"/>
              </w:rPr>
              <w:t>，不会产生氟化物。同时，电解液为浆料，不会有含有</w:t>
            </w:r>
            <w:r>
              <w:rPr>
                <w:rFonts w:hint="default" w:ascii="Times New Roman" w:hAnsi="Times New Roman" w:cs="Times New Roman"/>
                <w:color w:val="auto"/>
                <w:sz w:val="24"/>
                <w:szCs w:val="24"/>
                <w:lang w:val="en-US" w:eastAsia="zh-CN"/>
              </w:rPr>
              <w:t>LiPF</w:t>
            </w:r>
            <w:r>
              <w:rPr>
                <w:rFonts w:hint="default" w:ascii="Times New Roman" w:hAnsi="Times New Roman" w:cs="Times New Roman"/>
                <w:color w:val="auto"/>
                <w:sz w:val="24"/>
                <w:szCs w:val="24"/>
                <w:vertAlign w:val="subscript"/>
                <w:lang w:val="en-US" w:eastAsia="zh-CN"/>
              </w:rPr>
              <w:t>6</w:t>
            </w:r>
            <w:r>
              <w:rPr>
                <w:rFonts w:hint="eastAsia" w:cs="Times New Roman"/>
                <w:color w:val="auto"/>
                <w:sz w:val="24"/>
                <w:szCs w:val="24"/>
                <w:lang w:val="en-US" w:eastAsia="zh-CN"/>
              </w:rPr>
              <w:t>的粉尘进入废气</w:t>
            </w:r>
            <w:r>
              <w:rPr>
                <w:rFonts w:hint="eastAsia" w:ascii="Times New Roman" w:hAnsi="Times New Roman" w:cs="Times New Roman"/>
                <w:color w:val="auto"/>
                <w:sz w:val="24"/>
                <w:szCs w:val="24"/>
                <w:lang w:val="en-US" w:eastAsia="zh-CN"/>
              </w:rPr>
              <w:t>。</w:t>
            </w:r>
            <w:r>
              <w:rPr>
                <w:rFonts w:hint="eastAsia" w:cs="Times New Roman"/>
                <w:color w:val="auto"/>
                <w:sz w:val="24"/>
                <w:szCs w:val="24"/>
                <w:lang w:val="en-US" w:eastAsia="zh-CN"/>
              </w:rPr>
              <w:t>因此，在注液过程中仅考虑电解液中有机溶剂挥发的有机废气。</w:t>
            </w:r>
          </w:p>
          <w:p w14:paraId="6A4D9EC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color w:val="auto"/>
                <w:sz w:val="24"/>
                <w:szCs w:val="24"/>
                <w:lang w:val="en-US" w:eastAsia="zh-CN"/>
              </w:rPr>
            </w:pPr>
            <w:r>
              <w:rPr>
                <w:rFonts w:hint="eastAsia" w:cs="Times New Roman"/>
                <w:b w:val="0"/>
                <w:bCs w:val="0"/>
                <w:color w:val="auto"/>
                <w:sz w:val="24"/>
                <w:szCs w:val="24"/>
                <w:lang w:val="en-US" w:eastAsia="zh-CN"/>
              </w:rPr>
              <w:t>本次注液过程中产生的有机物挥发量参考2025年12月12日，河南德之誉检测技术有限公司对洛阳储变电系统有限公司出具的《废气、废水、噪声检测》检测报告，其活性炭吸附装置进口速率为0.017-0.019kg/h，以最不利影响分析，本项目取最大进口速率0.019kg/h，根据《洛阳储变电系统有限公司年产20万KWh新能源储变电系统项目环境影响报告表》可知，该项目年产5万kWh锂离子单体电池，并对15万kWh外购单体电池进行模组集成，年产20万kWh储能变电系统，项目年工作时长3300h，年用电解液66.98t（电解液主要成分为六氟磷酸锂、碳酸甲乙酯、丙酸乙酯等），注液工序密闭，密闭管道收集，经二级活性炭吸附装置处理后排放，收集效率按95%计，则废气产生量约为0.066t/a，约为电解液的0.1%。</w:t>
            </w:r>
            <w:r>
              <w:rPr>
                <w:rFonts w:hint="default" w:ascii="Times New Roman" w:hAnsi="Times New Roman" w:eastAsia="宋体" w:cs="Times New Roman"/>
                <w:b w:val="0"/>
                <w:bCs w:val="0"/>
                <w:color w:val="auto"/>
                <w:sz w:val="24"/>
                <w:szCs w:val="24"/>
                <w:lang w:val="en-US" w:eastAsia="zh-CN"/>
              </w:rPr>
              <w:t>本项目电解液使用量为</w:t>
            </w:r>
            <w:r>
              <w:rPr>
                <w:rFonts w:hint="eastAsia" w:ascii="Times New Roman" w:hAnsi="Times New Roman" w:eastAsia="宋体" w:cs="Times New Roman"/>
                <w:b w:val="0"/>
                <w:bCs w:val="0"/>
                <w:color w:val="auto"/>
                <w:sz w:val="24"/>
                <w:szCs w:val="24"/>
                <w:lang w:val="en-US" w:eastAsia="zh-CN"/>
              </w:rPr>
              <w:t>1122.4t/a</w:t>
            </w:r>
            <w:r>
              <w:rPr>
                <w:rFonts w:hint="eastAsia" w:cs="Times New Roman"/>
                <w:color w:val="auto"/>
                <w:sz w:val="24"/>
                <w:szCs w:val="24"/>
                <w:lang w:val="en-US" w:eastAsia="zh-CN"/>
              </w:rPr>
              <w:t>，</w:t>
            </w:r>
            <w:r>
              <w:rPr>
                <w:rFonts w:hint="default" w:ascii="Times New Roman" w:hAnsi="Times New Roman" w:cs="Times New Roman"/>
                <w:color w:val="auto"/>
                <w:sz w:val="24"/>
                <w:szCs w:val="24"/>
                <w:lang w:val="en-US" w:eastAsia="zh-CN"/>
              </w:rPr>
              <w:t>则电解液注液生产过程中挥发性有机物（以非甲烷总烃计）产生量为</w:t>
            </w:r>
            <w:r>
              <w:rPr>
                <w:rFonts w:hint="eastAsia" w:cs="Times New Roman"/>
                <w:color w:val="auto"/>
                <w:sz w:val="24"/>
                <w:szCs w:val="24"/>
                <w:lang w:val="en-US" w:eastAsia="zh-CN"/>
              </w:rPr>
              <w:t>1.1224</w:t>
            </w:r>
            <w:r>
              <w:rPr>
                <w:rFonts w:hint="default" w:ascii="Times New Roman" w:hAnsi="Times New Roman" w:cs="Times New Roman"/>
                <w:color w:val="auto"/>
                <w:sz w:val="24"/>
                <w:szCs w:val="24"/>
                <w:lang w:val="en-US" w:eastAsia="zh-CN"/>
              </w:rPr>
              <w:t>t/a。</w:t>
            </w:r>
          </w:p>
          <w:p w14:paraId="230F7FB7">
            <w:pPr>
              <w:pStyle w:val="66"/>
              <w:keepNext w:val="0"/>
              <w:keepLines w:val="0"/>
              <w:pageBreakBefore w:val="0"/>
              <w:widowControl w:val="0"/>
              <w:kinsoku/>
              <w:wordWrap/>
              <w:overflowPunct/>
              <w:topLinePunct w:val="0"/>
              <w:bidi w:val="0"/>
              <w:spacing w:line="360" w:lineRule="auto"/>
              <w:ind w:firstLine="482" w:firstLineChars="200"/>
              <w:textAlignment w:val="auto"/>
              <w:rPr>
                <w:rFonts w:hint="default" w:ascii="Times New Roman" w:hAnsi="Times New Roman" w:eastAsia="宋体" w:cs="Times New Roman"/>
                <w:color w:val="auto"/>
                <w:sz w:val="24"/>
                <w:szCs w:val="24"/>
                <w:shd w:val="clear"/>
                <w:lang w:val="en-US" w:eastAsia="zh-CN"/>
              </w:rPr>
            </w:pPr>
            <w:r>
              <w:rPr>
                <w:rFonts w:hint="eastAsia" w:ascii="宋体" w:hAnsi="宋体" w:eastAsia="宋体" w:cs="宋体"/>
                <w:b/>
                <w:bCs/>
                <w:color w:val="auto"/>
                <w:sz w:val="24"/>
                <w:szCs w:val="24"/>
                <w:lang w:val="en-US" w:eastAsia="zh-CN"/>
              </w:rPr>
              <w:t>拟采取治理措施</w:t>
            </w:r>
            <w:r>
              <w:rPr>
                <w:rFonts w:hint="default" w:ascii="宋体" w:hAnsi="宋体" w:eastAsia="宋体" w:cs="宋体"/>
                <w:b/>
                <w:bCs/>
                <w:color w:val="auto"/>
                <w:sz w:val="24"/>
                <w:szCs w:val="24"/>
                <w:lang w:val="en-US" w:eastAsia="zh-CN"/>
              </w:rPr>
              <w:t>：</w:t>
            </w:r>
            <w:r>
              <w:rPr>
                <w:rFonts w:hint="default" w:ascii="宋体" w:hAnsi="宋体" w:eastAsia="宋体" w:cs="宋体"/>
                <w:b w:val="0"/>
                <w:bCs w:val="0"/>
                <w:color w:val="auto"/>
                <w:sz w:val="24"/>
                <w:szCs w:val="24"/>
                <w:lang w:val="en-US" w:eastAsia="zh-CN"/>
              </w:rPr>
              <w:t>本</w:t>
            </w:r>
            <w:r>
              <w:rPr>
                <w:rFonts w:hint="default" w:ascii="Times New Roman" w:hAnsi="Times New Roman" w:cs="Times New Roman"/>
                <w:color w:val="auto"/>
                <w:sz w:val="24"/>
                <w:szCs w:val="24"/>
              </w:rPr>
              <w:t>项目</w:t>
            </w:r>
            <w:r>
              <w:rPr>
                <w:rFonts w:hint="default" w:ascii="Times New Roman" w:hAnsi="Times New Roman" w:eastAsia="宋体" w:cs="Times New Roman"/>
                <w:color w:val="auto"/>
                <w:kern w:val="0"/>
                <w:sz w:val="24"/>
                <w:szCs w:val="24"/>
                <w:lang w:val="en-US" w:eastAsia="zh-CN" w:bidi="ar"/>
              </w:rPr>
              <w:t>注液</w:t>
            </w:r>
            <w:r>
              <w:rPr>
                <w:rFonts w:hint="eastAsia" w:cs="Times New Roman"/>
                <w:color w:val="auto"/>
                <w:kern w:val="0"/>
                <w:sz w:val="24"/>
                <w:szCs w:val="24"/>
                <w:lang w:val="en-US" w:eastAsia="zh-CN" w:bidi="ar"/>
              </w:rPr>
              <w:t>在密闭注液系统内操作，其中产生的有机废气经密闭管道收集（收集率为95%）</w:t>
            </w:r>
            <w:r>
              <w:rPr>
                <w:rFonts w:hint="eastAsia" w:cs="Times New Roman"/>
                <w:color w:val="auto"/>
                <w:sz w:val="24"/>
                <w:szCs w:val="24"/>
                <w:lang w:eastAsia="zh-CN"/>
              </w:rPr>
              <w:t>，</w:t>
            </w:r>
            <w:r>
              <w:rPr>
                <w:rFonts w:hint="eastAsia" w:cs="Times New Roman"/>
                <w:color w:val="auto"/>
                <w:sz w:val="24"/>
                <w:szCs w:val="24"/>
                <w:lang w:val="en-US" w:eastAsia="zh-CN"/>
              </w:rPr>
              <w:t>经二级活性炭处理（处理效率为75%，</w:t>
            </w:r>
            <w:r>
              <w:rPr>
                <w:rFonts w:hint="eastAsia" w:cs="Times New Roman"/>
                <w:color w:val="auto"/>
                <w:sz w:val="24"/>
                <w:szCs w:val="24"/>
                <w:shd w:val="clear"/>
                <w:lang w:val="en-US" w:eastAsia="zh-CN"/>
              </w:rPr>
              <w:t>风机风量为6000m</w:t>
            </w:r>
            <w:r>
              <w:rPr>
                <w:rFonts w:hint="eastAsia" w:cs="Times New Roman"/>
                <w:color w:val="auto"/>
                <w:sz w:val="24"/>
                <w:szCs w:val="24"/>
                <w:shd w:val="clear"/>
                <w:vertAlign w:val="superscript"/>
                <w:lang w:val="en-US" w:eastAsia="zh-CN"/>
              </w:rPr>
              <w:t>3</w:t>
            </w:r>
            <w:r>
              <w:rPr>
                <w:rFonts w:hint="eastAsia" w:cs="Times New Roman"/>
                <w:color w:val="auto"/>
                <w:sz w:val="24"/>
                <w:szCs w:val="24"/>
                <w:shd w:val="clear"/>
                <w:lang w:val="en-US" w:eastAsia="zh-CN"/>
              </w:rPr>
              <w:t>/h）后通过30m高排气筒（DA002）排放，</w:t>
            </w:r>
            <w:r>
              <w:rPr>
                <w:rFonts w:hint="default" w:ascii="Times New Roman" w:hAnsi="Times New Roman" w:cs="Times New Roman"/>
                <w:color w:val="auto"/>
                <w:sz w:val="24"/>
                <w:szCs w:val="24"/>
                <w:shd w:val="clear"/>
                <w:lang w:val="en-US" w:eastAsia="zh-CN"/>
              </w:rPr>
              <w:t>年工作时间为</w:t>
            </w:r>
            <w:r>
              <w:rPr>
                <w:rFonts w:hint="eastAsia" w:cs="Times New Roman"/>
                <w:color w:val="auto"/>
                <w:sz w:val="24"/>
                <w:szCs w:val="24"/>
                <w:shd w:val="clear"/>
                <w:lang w:val="en-US" w:eastAsia="zh-CN"/>
              </w:rPr>
              <w:t>6000</w:t>
            </w:r>
            <w:r>
              <w:rPr>
                <w:rFonts w:hint="default" w:ascii="Times New Roman" w:hAnsi="Times New Roman" w:cs="Times New Roman"/>
                <w:color w:val="auto"/>
                <w:sz w:val="24"/>
                <w:szCs w:val="24"/>
                <w:shd w:val="clear"/>
                <w:lang w:val="en-US" w:eastAsia="zh-CN"/>
              </w:rPr>
              <w:t>h，则挥发性有机物（以非甲烷总烃计）有组织排放量</w:t>
            </w:r>
            <w:r>
              <w:rPr>
                <w:rFonts w:hint="eastAsia" w:cs="Times New Roman"/>
                <w:color w:val="auto"/>
                <w:sz w:val="24"/>
                <w:szCs w:val="24"/>
                <w:shd w:val="clear"/>
                <w:lang w:val="en-US" w:eastAsia="zh-CN"/>
              </w:rPr>
              <w:t>约为0.3</w:t>
            </w:r>
            <w:r>
              <w:rPr>
                <w:rFonts w:hint="default" w:ascii="Times New Roman" w:hAnsi="Times New Roman" w:cs="Times New Roman"/>
                <w:color w:val="auto"/>
                <w:sz w:val="24"/>
                <w:szCs w:val="24"/>
                <w:shd w:val="clear"/>
                <w:lang w:val="en-US" w:eastAsia="zh-CN"/>
              </w:rPr>
              <w:t>t/a</w:t>
            </w:r>
            <w:r>
              <w:rPr>
                <w:rFonts w:hint="eastAsia" w:cs="Times New Roman"/>
                <w:color w:val="auto"/>
                <w:sz w:val="24"/>
                <w:szCs w:val="24"/>
                <w:shd w:val="clear"/>
                <w:lang w:val="en-US" w:eastAsia="zh-CN"/>
              </w:rPr>
              <w:t>，</w:t>
            </w:r>
            <w:r>
              <w:rPr>
                <w:rFonts w:hint="default" w:ascii="Times New Roman" w:hAnsi="Times New Roman" w:cs="Times New Roman"/>
                <w:color w:val="auto"/>
                <w:sz w:val="24"/>
                <w:szCs w:val="24"/>
                <w:shd w:val="clear"/>
                <w:lang w:val="en-US" w:eastAsia="zh-CN"/>
              </w:rPr>
              <w:t>排放速率</w:t>
            </w:r>
            <w:r>
              <w:rPr>
                <w:rFonts w:hint="eastAsia" w:cs="Times New Roman"/>
                <w:color w:val="auto"/>
                <w:sz w:val="24"/>
                <w:szCs w:val="24"/>
                <w:shd w:val="clear"/>
                <w:lang w:val="en-US" w:eastAsia="zh-CN"/>
              </w:rPr>
              <w:t>约</w:t>
            </w:r>
            <w:r>
              <w:rPr>
                <w:rFonts w:hint="default" w:ascii="Times New Roman" w:hAnsi="Times New Roman" w:cs="Times New Roman"/>
                <w:color w:val="auto"/>
                <w:sz w:val="24"/>
                <w:szCs w:val="24"/>
                <w:shd w:val="clear"/>
                <w:lang w:val="en-US" w:eastAsia="zh-CN"/>
              </w:rPr>
              <w:t>为</w:t>
            </w:r>
            <w:r>
              <w:rPr>
                <w:rFonts w:hint="eastAsia" w:cs="Times New Roman"/>
                <w:color w:val="auto"/>
                <w:sz w:val="24"/>
                <w:szCs w:val="24"/>
                <w:shd w:val="clear"/>
                <w:lang w:val="en-US" w:eastAsia="zh-CN"/>
              </w:rPr>
              <w:t>0.05</w:t>
            </w:r>
            <w:r>
              <w:rPr>
                <w:rFonts w:hint="default" w:ascii="Times New Roman" w:hAnsi="Times New Roman" w:cs="Times New Roman"/>
                <w:color w:val="auto"/>
                <w:sz w:val="24"/>
                <w:szCs w:val="24"/>
                <w:shd w:val="clear"/>
                <w:lang w:val="en-US" w:eastAsia="zh-CN"/>
              </w:rPr>
              <w:t>kg/h</w:t>
            </w:r>
            <w:r>
              <w:rPr>
                <w:rFonts w:hint="eastAsia" w:cs="Times New Roman"/>
                <w:color w:val="auto"/>
                <w:sz w:val="24"/>
                <w:szCs w:val="24"/>
                <w:shd w:val="clear"/>
                <w:lang w:val="en-US" w:eastAsia="zh-CN"/>
              </w:rPr>
              <w:t>，</w:t>
            </w:r>
            <w:r>
              <w:rPr>
                <w:rFonts w:hint="default" w:ascii="Times New Roman" w:hAnsi="Times New Roman" w:cs="Times New Roman"/>
                <w:color w:val="auto"/>
                <w:sz w:val="24"/>
                <w:szCs w:val="24"/>
                <w:shd w:val="clear"/>
                <w:lang w:val="en-US" w:eastAsia="zh-CN"/>
              </w:rPr>
              <w:t>排放浓度</w:t>
            </w:r>
            <w:r>
              <w:rPr>
                <w:rFonts w:hint="eastAsia" w:cs="Times New Roman"/>
                <w:color w:val="auto"/>
                <w:sz w:val="24"/>
                <w:szCs w:val="24"/>
                <w:shd w:val="clear"/>
                <w:lang w:val="en-US" w:eastAsia="zh-CN"/>
              </w:rPr>
              <w:t>约</w:t>
            </w:r>
            <w:r>
              <w:rPr>
                <w:rFonts w:hint="default" w:ascii="Times New Roman" w:hAnsi="Times New Roman" w:cs="Times New Roman"/>
                <w:color w:val="auto"/>
                <w:sz w:val="24"/>
                <w:szCs w:val="24"/>
                <w:shd w:val="clear"/>
                <w:lang w:val="en-US" w:eastAsia="zh-CN"/>
              </w:rPr>
              <w:t>为</w:t>
            </w:r>
            <w:r>
              <w:rPr>
                <w:rFonts w:hint="eastAsia" w:cs="Times New Roman"/>
                <w:color w:val="auto"/>
                <w:sz w:val="24"/>
                <w:szCs w:val="24"/>
                <w:shd w:val="clear"/>
                <w:lang w:val="en-US" w:eastAsia="zh-CN"/>
              </w:rPr>
              <w:t>8.3</w:t>
            </w:r>
            <w:r>
              <w:rPr>
                <w:rFonts w:hint="default" w:ascii="Times New Roman" w:hAnsi="Times New Roman" w:cs="Times New Roman"/>
                <w:color w:val="auto"/>
                <w:sz w:val="24"/>
                <w:szCs w:val="24"/>
                <w:shd w:val="clear"/>
                <w:lang w:val="en-US" w:eastAsia="zh-CN"/>
              </w:rPr>
              <w:t>mg/</w:t>
            </w:r>
            <w:r>
              <w:rPr>
                <w:rFonts w:hint="eastAsia" w:cs="Times New Roman"/>
                <w:color w:val="auto"/>
                <w:sz w:val="24"/>
                <w:szCs w:val="24"/>
                <w:shd w:val="clear"/>
                <w:lang w:val="en-US" w:eastAsia="zh-CN"/>
              </w:rPr>
              <w:t>m</w:t>
            </w:r>
            <w:r>
              <w:rPr>
                <w:rFonts w:hint="eastAsia" w:cs="Times New Roman"/>
                <w:color w:val="auto"/>
                <w:sz w:val="24"/>
                <w:szCs w:val="24"/>
                <w:shd w:val="clear"/>
                <w:vertAlign w:val="superscript"/>
                <w:lang w:val="en-US" w:eastAsia="zh-CN"/>
              </w:rPr>
              <w:t>3</w:t>
            </w:r>
            <w:r>
              <w:rPr>
                <w:rFonts w:hint="eastAsia" w:cs="Times New Roman"/>
                <w:color w:val="auto"/>
                <w:sz w:val="24"/>
                <w:szCs w:val="24"/>
                <w:shd w:val="clear"/>
                <w:lang w:val="en-US" w:eastAsia="zh-CN"/>
              </w:rPr>
              <w:t>；无组织排放量为0.06t/a，</w:t>
            </w:r>
            <w:r>
              <w:rPr>
                <w:rFonts w:hint="default" w:ascii="Times New Roman" w:hAnsi="Times New Roman" w:cs="Times New Roman"/>
                <w:color w:val="auto"/>
                <w:sz w:val="24"/>
                <w:szCs w:val="24"/>
                <w:shd w:val="clear"/>
                <w:lang w:val="en-US" w:eastAsia="zh-CN"/>
              </w:rPr>
              <w:t>排放速率</w:t>
            </w:r>
            <w:r>
              <w:rPr>
                <w:rFonts w:hint="eastAsia" w:cs="Times New Roman"/>
                <w:color w:val="auto"/>
                <w:sz w:val="24"/>
                <w:szCs w:val="24"/>
                <w:shd w:val="clear"/>
                <w:lang w:val="en-US" w:eastAsia="zh-CN"/>
              </w:rPr>
              <w:t>约</w:t>
            </w:r>
            <w:r>
              <w:rPr>
                <w:rFonts w:hint="default" w:ascii="Times New Roman" w:hAnsi="Times New Roman" w:cs="Times New Roman"/>
                <w:color w:val="auto"/>
                <w:sz w:val="24"/>
                <w:szCs w:val="24"/>
                <w:shd w:val="clear"/>
                <w:lang w:val="en-US" w:eastAsia="zh-CN"/>
              </w:rPr>
              <w:t>为</w:t>
            </w:r>
            <w:r>
              <w:rPr>
                <w:rFonts w:hint="eastAsia" w:cs="Times New Roman"/>
                <w:color w:val="auto"/>
                <w:sz w:val="24"/>
                <w:szCs w:val="24"/>
                <w:shd w:val="clear"/>
                <w:lang w:val="en-US" w:eastAsia="zh-CN"/>
              </w:rPr>
              <w:t>0.01</w:t>
            </w:r>
            <w:r>
              <w:rPr>
                <w:rFonts w:hint="default" w:ascii="Times New Roman" w:hAnsi="Times New Roman" w:cs="Times New Roman"/>
                <w:color w:val="auto"/>
                <w:sz w:val="24"/>
                <w:szCs w:val="24"/>
                <w:shd w:val="clear"/>
                <w:lang w:val="en-US" w:eastAsia="zh-CN"/>
              </w:rPr>
              <w:t>kg/h</w:t>
            </w:r>
            <w:r>
              <w:rPr>
                <w:rFonts w:hint="eastAsia" w:cs="Times New Roman"/>
                <w:color w:val="auto"/>
                <w:sz w:val="24"/>
                <w:szCs w:val="24"/>
                <w:shd w:val="clear"/>
                <w:lang w:val="en-US" w:eastAsia="zh-CN"/>
              </w:rPr>
              <w:t>。</w:t>
            </w:r>
          </w:p>
          <w:p w14:paraId="07B52B42">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Times New Roman" w:hAnsi="Times New Roman" w:eastAsia="宋体" w:cs="Times New Roman"/>
                <w:b/>
                <w:bCs/>
                <w:color w:val="auto"/>
                <w:sz w:val="24"/>
                <w:szCs w:val="24"/>
                <w:lang w:val="en-US" w:eastAsia="zh-CN"/>
              </w:rPr>
            </w:pPr>
            <w:r>
              <w:rPr>
                <w:rFonts w:hint="eastAsia" w:cs="Times New Roman"/>
                <w:b/>
                <w:bCs/>
                <w:color w:val="auto"/>
                <w:sz w:val="24"/>
                <w:szCs w:val="24"/>
                <w:lang w:val="en-US" w:eastAsia="zh-CN"/>
              </w:rPr>
              <w:t>5</w:t>
            </w:r>
            <w:r>
              <w:rPr>
                <w:rFonts w:hint="eastAsia" w:ascii="Times New Roman" w:hAnsi="Times New Roman" w:eastAsia="宋体" w:cs="Times New Roman"/>
                <w:b/>
                <w:bCs/>
                <w:color w:val="auto"/>
                <w:sz w:val="24"/>
                <w:szCs w:val="24"/>
                <w:lang w:val="en-US" w:eastAsia="zh-CN"/>
              </w:rPr>
              <w:t>）二封废气</w:t>
            </w:r>
          </w:p>
          <w:p w14:paraId="60220BF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由于静置前电池已完成封装，静置、化成过程中会有少量气体聚集于预留</w:t>
            </w:r>
            <w:r>
              <w:rPr>
                <w:rFonts w:ascii="宋体" w:hAnsi="宋体" w:eastAsia="宋体" w:cs="宋体"/>
                <w:color w:val="auto"/>
                <w:sz w:val="24"/>
                <w:szCs w:val="24"/>
              </w:rPr>
              <w:t>气袋内</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化成后进行二次封装，在真空环境下刺破气袋、抽出内部气体，</w:t>
            </w:r>
            <w:r>
              <w:rPr>
                <w:rFonts w:ascii="宋体" w:hAnsi="宋体" w:eastAsia="宋体" w:cs="宋体"/>
                <w:color w:val="auto"/>
                <w:sz w:val="24"/>
                <w:szCs w:val="24"/>
              </w:rPr>
              <w:t>随即热封实现永久密封，并剪除气袋</w:t>
            </w:r>
            <w:r>
              <w:rPr>
                <w:rFonts w:hint="default" w:ascii="Times New Roman" w:hAnsi="Times New Roman" w:eastAsia="宋体" w:cs="Times New Roman"/>
                <w:color w:val="auto"/>
                <w:sz w:val="24"/>
                <w:szCs w:val="24"/>
                <w:lang w:val="en-US" w:eastAsia="zh-CN"/>
              </w:rPr>
              <w:t>，</w:t>
            </w:r>
            <w:r>
              <w:rPr>
                <w:rFonts w:hint="eastAsia" w:ascii="Times New Roman" w:hAnsi="Times New Roman" w:eastAsia="宋体" w:cs="Times New Roman"/>
                <w:color w:val="auto"/>
                <w:sz w:val="24"/>
                <w:szCs w:val="24"/>
                <w:lang w:val="en-US" w:eastAsia="zh-CN"/>
              </w:rPr>
              <w:t>该工序有机废气产生量较少，</w:t>
            </w:r>
            <w:r>
              <w:rPr>
                <w:rFonts w:hint="default" w:ascii="Times New Roman" w:hAnsi="Times New Roman" w:eastAsia="宋体" w:cs="Times New Roman"/>
                <w:color w:val="auto"/>
                <w:sz w:val="24"/>
                <w:szCs w:val="24"/>
                <w:lang w:val="en-US" w:eastAsia="zh-CN"/>
              </w:rPr>
              <w:t>本次环评不进行定量计算，仅进行定性分析</w:t>
            </w:r>
            <w:r>
              <w:rPr>
                <w:rFonts w:hint="eastAsia" w:ascii="Times New Roman" w:hAnsi="Times New Roman" w:eastAsia="宋体" w:cs="Times New Roman"/>
                <w:color w:val="auto"/>
                <w:sz w:val="24"/>
                <w:szCs w:val="24"/>
                <w:lang w:val="en-US" w:eastAsia="zh-CN"/>
              </w:rPr>
              <w:t>。</w:t>
            </w:r>
          </w:p>
          <w:p w14:paraId="58225901">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Times New Roman" w:hAnsi="Times New Roman" w:eastAsia="宋体" w:cs="Times New Roman"/>
                <w:color w:val="auto"/>
                <w:sz w:val="24"/>
                <w:szCs w:val="24"/>
                <w:lang w:val="en-US" w:eastAsia="zh-CN"/>
              </w:rPr>
            </w:pPr>
            <w:r>
              <w:rPr>
                <w:rFonts w:hint="eastAsia" w:ascii="Times New Roman" w:hAnsi="Times New Roman" w:eastAsia="宋体" w:cs="Times New Roman"/>
                <w:b/>
                <w:bCs/>
                <w:color w:val="auto"/>
                <w:sz w:val="24"/>
                <w:szCs w:val="24"/>
                <w:lang w:val="en-US" w:eastAsia="zh-CN"/>
              </w:rPr>
              <w:t>拟采取治理措施：</w:t>
            </w:r>
            <w:r>
              <w:rPr>
                <w:rFonts w:hint="eastAsia" w:ascii="Times New Roman" w:hAnsi="Times New Roman" w:eastAsia="宋体" w:cs="Times New Roman"/>
                <w:color w:val="auto"/>
                <w:sz w:val="24"/>
                <w:szCs w:val="24"/>
                <w:lang w:val="en-US" w:eastAsia="zh-CN"/>
              </w:rPr>
              <w:t>封装工序密闭，通过密闭管道收集后经二级活性炭（</w:t>
            </w:r>
            <w:r>
              <w:rPr>
                <w:rFonts w:hint="eastAsia" w:cs="Times New Roman"/>
                <w:color w:val="auto"/>
                <w:sz w:val="24"/>
                <w:szCs w:val="24"/>
                <w:lang w:val="en-US" w:eastAsia="zh-CN"/>
              </w:rPr>
              <w:t>T</w:t>
            </w:r>
            <w:r>
              <w:rPr>
                <w:rFonts w:hint="eastAsia" w:ascii="Times New Roman" w:hAnsi="Times New Roman" w:eastAsia="宋体" w:cs="Times New Roman"/>
                <w:color w:val="auto"/>
                <w:sz w:val="24"/>
                <w:szCs w:val="24"/>
                <w:lang w:val="en-US" w:eastAsia="zh-CN"/>
              </w:rPr>
              <w:t>A00</w:t>
            </w:r>
            <w:r>
              <w:rPr>
                <w:rFonts w:hint="eastAsia" w:cs="Times New Roman"/>
                <w:color w:val="auto"/>
                <w:sz w:val="24"/>
                <w:szCs w:val="24"/>
                <w:lang w:val="en-US" w:eastAsia="zh-CN"/>
              </w:rPr>
              <w:t>3</w:t>
            </w:r>
            <w:r>
              <w:rPr>
                <w:rFonts w:hint="eastAsia" w:ascii="Times New Roman" w:hAnsi="Times New Roman" w:eastAsia="宋体" w:cs="Times New Roman"/>
                <w:color w:val="auto"/>
                <w:sz w:val="24"/>
                <w:szCs w:val="24"/>
                <w:lang w:val="en-US" w:eastAsia="zh-CN"/>
              </w:rPr>
              <w:t>）处理，并通过30m高排气筒（DA002）排放。</w:t>
            </w:r>
          </w:p>
          <w:p w14:paraId="335DF075">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default" w:ascii="Times New Roman" w:hAnsi="Times New Roman" w:eastAsia="宋体" w:cs="Times New Roman"/>
                <w:b/>
                <w:bCs/>
                <w:color w:val="auto"/>
                <w:sz w:val="24"/>
                <w:szCs w:val="24"/>
                <w:lang w:val="en-US" w:eastAsia="zh-CN"/>
              </w:rPr>
            </w:pPr>
            <w:r>
              <w:rPr>
                <w:rFonts w:hint="eastAsia" w:cs="Times New Roman"/>
                <w:b/>
                <w:bCs/>
                <w:color w:val="auto"/>
                <w:sz w:val="24"/>
                <w:szCs w:val="24"/>
                <w:lang w:val="en-US" w:eastAsia="zh-CN"/>
              </w:rPr>
              <w:t>6</w:t>
            </w:r>
            <w:r>
              <w:rPr>
                <w:rFonts w:hint="eastAsia" w:ascii="Times New Roman" w:hAnsi="Times New Roman" w:eastAsia="宋体" w:cs="Times New Roman"/>
                <w:b/>
                <w:bCs/>
                <w:color w:val="auto"/>
                <w:sz w:val="24"/>
                <w:szCs w:val="24"/>
                <w:lang w:val="en-US" w:eastAsia="zh-CN"/>
              </w:rPr>
              <w:t>）拆解废气</w:t>
            </w:r>
          </w:p>
          <w:p w14:paraId="30BD422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lang w:val="en-US" w:eastAsia="zh-CN"/>
              </w:rPr>
            </w:pPr>
            <w:r>
              <w:rPr>
                <w:rFonts w:hint="eastAsia" w:ascii="宋体" w:hAnsi="宋体" w:eastAsia="宋体" w:cs="宋体"/>
                <w:color w:val="auto"/>
                <w:sz w:val="24"/>
                <w:szCs w:val="24"/>
                <w:lang w:val="en-US" w:eastAsia="zh-CN"/>
              </w:rPr>
              <w:t>根据建设单位提供资料，为</w:t>
            </w:r>
            <w:r>
              <w:rPr>
                <w:rFonts w:ascii="宋体" w:hAnsi="宋体" w:eastAsia="宋体" w:cs="宋体"/>
                <w:color w:val="auto"/>
                <w:sz w:val="24"/>
                <w:szCs w:val="24"/>
              </w:rPr>
              <w:t>提前识别工艺缺陷，规避批量不良品产生</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会在</w:t>
            </w:r>
            <w:r>
              <w:rPr>
                <w:rFonts w:hint="default" w:ascii="Times New Roman" w:hAnsi="Times New Roman" w:eastAsia="宋体" w:cs="Times New Roman"/>
                <w:color w:val="auto"/>
                <w:sz w:val="24"/>
                <w:szCs w:val="24"/>
                <w:lang w:val="en-US" w:eastAsia="zh-CN"/>
              </w:rPr>
              <w:t>封口、注液、化成、定容</w:t>
            </w:r>
            <w:r>
              <w:rPr>
                <w:rFonts w:hint="eastAsia" w:ascii="Times New Roman" w:hAnsi="Times New Roman" w:eastAsia="宋体" w:cs="Times New Roman"/>
                <w:color w:val="auto"/>
                <w:sz w:val="24"/>
                <w:szCs w:val="24"/>
                <w:lang w:val="en-US" w:eastAsia="zh-CN"/>
              </w:rPr>
              <w:t>等工序</w:t>
            </w:r>
            <w:r>
              <w:rPr>
                <w:rFonts w:hint="eastAsia" w:cs="Times New Roman"/>
                <w:color w:val="auto"/>
                <w:sz w:val="24"/>
                <w:szCs w:val="24"/>
                <w:lang w:val="en-US" w:eastAsia="zh-CN"/>
              </w:rPr>
              <w:t>进行随机抽样检验</w:t>
            </w:r>
            <w:r>
              <w:rPr>
                <w:rFonts w:hint="eastAsia" w:ascii="Times New Roman" w:hAnsi="Times New Roman" w:eastAsia="宋体" w:cs="Times New Roman"/>
                <w:color w:val="auto"/>
                <w:sz w:val="24"/>
                <w:szCs w:val="24"/>
                <w:lang w:val="en-US" w:eastAsia="zh-CN"/>
              </w:rPr>
              <w:t>，</w:t>
            </w:r>
            <w:r>
              <w:rPr>
                <w:rFonts w:hint="eastAsia" w:cs="Times New Roman"/>
                <w:color w:val="auto"/>
                <w:sz w:val="24"/>
                <w:szCs w:val="24"/>
                <w:lang w:val="en-US" w:eastAsia="zh-CN"/>
              </w:rPr>
              <w:t>电池拆解过程中会产生少量有机废气，同时该工序不涉及化学试剂的使用，故</w:t>
            </w:r>
            <w:r>
              <w:rPr>
                <w:rFonts w:hint="default" w:ascii="Times New Roman" w:hAnsi="Times New Roman" w:eastAsia="宋体" w:cs="Times New Roman"/>
                <w:color w:val="auto"/>
                <w:sz w:val="24"/>
                <w:szCs w:val="24"/>
                <w:lang w:val="en-US" w:eastAsia="zh-CN"/>
              </w:rPr>
              <w:t>本次环评不进行定量计算，仅进行定性分析。</w:t>
            </w:r>
          </w:p>
          <w:p w14:paraId="22874D88">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default" w:ascii="Times New Roman" w:hAnsi="Times New Roman" w:eastAsia="宋体" w:cs="Times New Roman"/>
                <w:color w:val="auto"/>
                <w:sz w:val="24"/>
                <w:szCs w:val="24"/>
                <w:lang w:val="en-US" w:eastAsia="zh-CN"/>
              </w:rPr>
            </w:pPr>
            <w:r>
              <w:rPr>
                <w:rFonts w:hint="eastAsia" w:ascii="Times New Roman" w:hAnsi="Times New Roman" w:eastAsia="宋体" w:cs="Times New Roman"/>
                <w:b/>
                <w:bCs/>
                <w:color w:val="auto"/>
                <w:sz w:val="24"/>
                <w:szCs w:val="24"/>
                <w:lang w:val="en-US" w:eastAsia="zh-CN"/>
              </w:rPr>
              <w:t>拟采取治理措施：</w:t>
            </w:r>
            <w:r>
              <w:rPr>
                <w:rFonts w:hint="eastAsia" w:ascii="Times New Roman" w:hAnsi="Times New Roman" w:eastAsia="宋体" w:cs="Times New Roman"/>
                <w:color w:val="auto"/>
                <w:sz w:val="24"/>
                <w:szCs w:val="24"/>
                <w:lang w:val="en-US" w:eastAsia="zh-CN"/>
              </w:rPr>
              <w:t>电池拆解间密闭，通过密闭抽风收集后经二级活性炭（DA003）处理，并通过30m高排气筒（DA002）排放。</w:t>
            </w:r>
          </w:p>
          <w:p w14:paraId="0C702CF5">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default" w:ascii="Times New Roman" w:hAnsi="Times New Roman" w:eastAsia="宋体" w:cs="Times New Roman"/>
                <w:b/>
                <w:bCs/>
                <w:color w:val="auto"/>
                <w:sz w:val="24"/>
                <w:szCs w:val="24"/>
                <w:lang w:val="en-US" w:eastAsia="zh-CN"/>
              </w:rPr>
            </w:pPr>
            <w:r>
              <w:rPr>
                <w:rFonts w:hint="eastAsia" w:cs="Times New Roman"/>
                <w:b/>
                <w:bCs/>
                <w:color w:val="auto"/>
                <w:sz w:val="24"/>
                <w:szCs w:val="24"/>
                <w:lang w:val="en-US" w:eastAsia="zh-CN"/>
              </w:rPr>
              <w:t>7</w:t>
            </w:r>
            <w:r>
              <w:rPr>
                <w:rFonts w:hint="eastAsia" w:ascii="Times New Roman" w:hAnsi="Times New Roman" w:eastAsia="宋体" w:cs="Times New Roman"/>
                <w:b/>
                <w:bCs/>
                <w:color w:val="auto"/>
                <w:sz w:val="24"/>
                <w:szCs w:val="24"/>
                <w:lang w:val="en-US" w:eastAsia="zh-CN"/>
              </w:rPr>
              <w:t>）封边废气</w:t>
            </w:r>
          </w:p>
          <w:p w14:paraId="3FAC818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项目封边是将铝塑膜加热至180℃左右，铝塑膜的热封层（聚丙烯薄膜）热熔黏合在一起，封边过程会产生有机废气（VOCs）。项目封边工序运行时间短，铝塑膜用量较少，封边工序的有机废气（VOCs）产生量很少，本次环评不进行定量计算，仅进行定性分析。</w:t>
            </w:r>
          </w:p>
          <w:p w14:paraId="0C5D65DB">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b/>
                <w:bCs/>
                <w:color w:val="auto"/>
                <w:sz w:val="24"/>
                <w:szCs w:val="24"/>
                <w:lang w:val="en-US" w:eastAsia="zh-CN"/>
              </w:rPr>
              <w:t>拟采取治理措施：</w:t>
            </w:r>
            <w:r>
              <w:rPr>
                <w:rFonts w:hint="default" w:ascii="Times New Roman" w:hAnsi="Times New Roman" w:eastAsia="宋体" w:cs="Times New Roman"/>
                <w:color w:val="auto"/>
                <w:sz w:val="24"/>
                <w:szCs w:val="24"/>
                <w:lang w:val="en-US" w:eastAsia="zh-CN"/>
              </w:rPr>
              <w:t>本项目拟在封边工位上方设置1个密闭集气罩</w:t>
            </w:r>
            <w:r>
              <w:rPr>
                <w:rFonts w:hint="eastAsia" w:ascii="Times New Roman" w:hAnsi="Times New Roman" w:eastAsia="宋体" w:cs="Times New Roman"/>
                <w:color w:val="auto"/>
                <w:sz w:val="24"/>
                <w:szCs w:val="24"/>
                <w:lang w:val="en-US" w:eastAsia="zh-CN"/>
              </w:rPr>
              <w:t>，收集后经二级活性炭（TA003）处理通过30m高排气筒（DA002）排放。</w:t>
            </w:r>
          </w:p>
          <w:p w14:paraId="5F421AC7">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cs="Times New Roman"/>
                <w:b/>
                <w:bCs/>
                <w:color w:val="auto"/>
                <w:sz w:val="24"/>
                <w:szCs w:val="24"/>
                <w:lang w:val="en-US" w:eastAsia="zh-CN"/>
              </w:rPr>
            </w:pPr>
            <w:r>
              <w:rPr>
                <w:rFonts w:hint="eastAsia" w:cs="Times New Roman"/>
                <w:b/>
                <w:bCs/>
                <w:color w:val="auto"/>
                <w:sz w:val="24"/>
                <w:szCs w:val="24"/>
                <w:lang w:val="en-US" w:eastAsia="zh-CN"/>
              </w:rPr>
              <w:t>二级活性炭吸附装置风量核算：</w:t>
            </w:r>
          </w:p>
          <w:p w14:paraId="67253B12">
            <w:pPr>
              <w:pStyle w:val="17"/>
              <w:keepNext w:val="0"/>
              <w:keepLines w:val="0"/>
              <w:pageBreakBefore w:val="0"/>
              <w:widowControl/>
              <w:kinsoku/>
              <w:wordWrap/>
              <w:overflowPunct/>
              <w:topLinePunct w:val="0"/>
              <w:autoSpaceDE/>
              <w:autoSpaceDN/>
              <w:bidi w:val="0"/>
              <w:adjustRightInd/>
              <w:snapToGrid w:val="0"/>
              <w:spacing w:before="0" w:after="0" w:line="360" w:lineRule="auto"/>
              <w:ind w:left="0" w:leftChars="0" w:right="113" w:firstLine="480" w:firstLineChars="200"/>
              <w:textAlignment w:val="auto"/>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①集气罩风量参考《环境工程设计技术手册》（2002年版），计算公式为：</w:t>
            </w:r>
          </w:p>
          <w:p w14:paraId="17340AA5">
            <w:pPr>
              <w:pStyle w:val="223"/>
              <w:pageBreakBefore w:val="0"/>
              <w:kinsoku/>
              <w:wordWrap/>
              <w:overflowPunct/>
              <w:topLinePunct w:val="0"/>
              <w:bidi w:val="0"/>
              <w:adjustRightInd/>
              <w:spacing w:line="360" w:lineRule="auto"/>
              <w:ind w:firstLine="480" w:firstLineChars="200"/>
              <w:jc w:val="center"/>
              <w:textAlignment w:val="auto"/>
              <w:rPr>
                <w:rFonts w:hint="default" w:ascii="Times New Roman" w:hAnsi="Times New Roman" w:eastAsia="宋体" w:cs="Times New Roman"/>
                <w:color w:val="auto"/>
                <w:sz w:val="24"/>
                <w:szCs w:val="24"/>
                <w:highlight w:val="none"/>
                <w:lang w:val="en-US" w:eastAsia="zh-CN"/>
              </w:rPr>
            </w:pPr>
            <w:r>
              <w:rPr>
                <w:rFonts w:hint="eastAsia" w:ascii="Times New Roman" w:hAnsi="Times New Roman" w:cs="Times New Roman"/>
                <w:color w:val="auto"/>
                <w:sz w:val="24"/>
                <w:szCs w:val="24"/>
                <w:highlight w:val="none"/>
                <w:lang w:val="en-US" w:eastAsia="zh-CN"/>
              </w:rPr>
              <w:t>Q</w:t>
            </w:r>
            <w:r>
              <w:rPr>
                <w:rFonts w:hint="default" w:ascii="Times New Roman" w:hAnsi="Times New Roman" w:cs="Times New Roman"/>
                <w:color w:val="auto"/>
                <w:sz w:val="24"/>
                <w:szCs w:val="24"/>
                <w:highlight w:val="none"/>
              </w:rPr>
              <w:t>=</w:t>
            </w:r>
            <w:r>
              <w:rPr>
                <w:rFonts w:hint="eastAsia" w:ascii="Times New Roman" w:hAnsi="Times New Roman" w:cs="Times New Roman"/>
                <w:color w:val="auto"/>
                <w:sz w:val="24"/>
                <w:szCs w:val="24"/>
                <w:highlight w:val="none"/>
                <w:lang w:val="en-US" w:eastAsia="zh-CN"/>
              </w:rPr>
              <w:t>0.75</w:t>
            </w:r>
            <w:r>
              <w:rPr>
                <w:rFonts w:hint="eastAsia" w:cs="Times New Roman"/>
                <w:color w:val="auto"/>
                <w:sz w:val="24"/>
                <w:szCs w:val="24"/>
                <w:highlight w:val="none"/>
                <w:lang w:val="en-US" w:eastAsia="zh-CN"/>
              </w:rPr>
              <w:t>（</w:t>
            </w:r>
            <w:r>
              <w:rPr>
                <w:rFonts w:hint="eastAsia" w:ascii="Times New Roman" w:hAnsi="Times New Roman" w:cs="Times New Roman"/>
                <w:color w:val="auto"/>
                <w:sz w:val="24"/>
                <w:szCs w:val="24"/>
                <w:highlight w:val="none"/>
                <w:lang w:val="en-US" w:eastAsia="zh-CN"/>
              </w:rPr>
              <w:t>10X</w:t>
            </w:r>
            <w:r>
              <w:rPr>
                <w:rFonts w:hint="eastAsia" w:ascii="Times New Roman" w:hAnsi="Times New Roman" w:cs="Times New Roman"/>
                <w:color w:val="auto"/>
                <w:sz w:val="24"/>
                <w:szCs w:val="24"/>
                <w:highlight w:val="none"/>
                <w:vertAlign w:val="superscript"/>
                <w:lang w:val="en-US" w:eastAsia="zh-CN"/>
              </w:rPr>
              <w:t>2</w:t>
            </w:r>
            <w:r>
              <w:rPr>
                <w:rFonts w:hint="eastAsia" w:ascii="Times New Roman" w:hAnsi="Times New Roman" w:cs="Times New Roman"/>
                <w:color w:val="auto"/>
                <w:sz w:val="24"/>
                <w:szCs w:val="24"/>
                <w:highlight w:val="none"/>
                <w:lang w:val="en-US" w:eastAsia="zh-CN"/>
              </w:rPr>
              <w:t>+F</w:t>
            </w:r>
            <w:r>
              <w:rPr>
                <w:rFonts w:hint="eastAsia" w:cs="Times New Roman"/>
                <w:color w:val="auto"/>
                <w:sz w:val="24"/>
                <w:szCs w:val="24"/>
                <w:highlight w:val="none"/>
                <w:lang w:val="en-US" w:eastAsia="zh-CN"/>
              </w:rPr>
              <w:t>）</w:t>
            </w:r>
            <w:r>
              <w:rPr>
                <w:rFonts w:hint="eastAsia" w:ascii="Times New Roman" w:hAnsi="Times New Roman" w:cs="Times New Roman"/>
                <w:color w:val="auto"/>
                <w:sz w:val="24"/>
                <w:szCs w:val="24"/>
                <w:highlight w:val="none"/>
                <w:lang w:val="en-US" w:eastAsia="zh-CN"/>
              </w:rPr>
              <w:t>Vx×3600</w:t>
            </w:r>
          </w:p>
          <w:p w14:paraId="6F179CD5">
            <w:pPr>
              <w:pStyle w:val="17"/>
              <w:keepNext w:val="0"/>
              <w:keepLines w:val="0"/>
              <w:pageBreakBefore w:val="0"/>
              <w:widowControl/>
              <w:kinsoku/>
              <w:wordWrap/>
              <w:overflowPunct/>
              <w:topLinePunct w:val="0"/>
              <w:autoSpaceDE/>
              <w:autoSpaceDN/>
              <w:bidi w:val="0"/>
              <w:adjustRightInd/>
              <w:snapToGrid w:val="0"/>
              <w:spacing w:before="0" w:after="0" w:line="360" w:lineRule="auto"/>
              <w:ind w:left="0" w:leftChars="0" w:right="113" w:firstLine="480" w:firstLineChars="200"/>
              <w:textAlignment w:val="auto"/>
              <w:rPr>
                <w:rFonts w:hint="eastAsia"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式中：Q—集气罩风量，m</w:t>
            </w:r>
            <w:r>
              <w:rPr>
                <w:rFonts w:hint="eastAsia" w:ascii="Times New Roman" w:hAnsi="Times New Roman" w:eastAsia="宋体" w:cs="Times New Roman"/>
                <w:color w:val="auto"/>
                <w:kern w:val="2"/>
                <w:sz w:val="24"/>
                <w:szCs w:val="24"/>
                <w:highlight w:val="none"/>
                <w:vertAlign w:val="superscript"/>
                <w:lang w:val="en-US" w:eastAsia="zh-CN" w:bidi="ar-SA"/>
              </w:rPr>
              <w:t>3</w:t>
            </w:r>
            <w:r>
              <w:rPr>
                <w:rFonts w:hint="eastAsia" w:ascii="Times New Roman" w:hAnsi="Times New Roman" w:eastAsia="宋体" w:cs="Times New Roman"/>
                <w:color w:val="auto"/>
                <w:kern w:val="2"/>
                <w:sz w:val="24"/>
                <w:szCs w:val="24"/>
                <w:highlight w:val="none"/>
                <w:lang w:val="en-US" w:eastAsia="zh-CN" w:bidi="ar-SA"/>
              </w:rPr>
              <w:t>/h；</w:t>
            </w:r>
          </w:p>
          <w:p w14:paraId="2531188B">
            <w:pPr>
              <w:pStyle w:val="17"/>
              <w:keepNext w:val="0"/>
              <w:keepLines w:val="0"/>
              <w:pageBreakBefore w:val="0"/>
              <w:widowControl/>
              <w:kinsoku/>
              <w:wordWrap/>
              <w:overflowPunct/>
              <w:topLinePunct w:val="0"/>
              <w:autoSpaceDE/>
              <w:autoSpaceDN/>
              <w:bidi w:val="0"/>
              <w:adjustRightInd/>
              <w:snapToGrid w:val="0"/>
              <w:spacing w:before="0" w:after="0" w:line="360" w:lineRule="auto"/>
              <w:ind w:left="0" w:leftChars="0" w:right="113" w:firstLine="480" w:firstLineChars="200"/>
              <w:textAlignment w:val="auto"/>
              <w:rPr>
                <w:rFonts w:hint="eastAsia" w:ascii="Times New Roman" w:hAnsi="Times New Roman" w:eastAsia="宋体" w:cs="Times New Roman"/>
                <w:color w:val="auto"/>
                <w:kern w:val="2"/>
                <w:sz w:val="24"/>
                <w:szCs w:val="24"/>
                <w:highlight w:val="none"/>
                <w:lang w:val="en-US" w:eastAsia="zh-CN" w:bidi="ar-SA"/>
              </w:rPr>
            </w:pPr>
            <w:r>
              <w:rPr>
                <w:rFonts w:hint="eastAsia" w:ascii="Times New Roman" w:hAnsi="Times New Roman" w:cs="Times New Roman"/>
                <w:color w:val="auto"/>
                <w:sz w:val="24"/>
                <w:szCs w:val="24"/>
                <w:highlight w:val="none"/>
                <w:lang w:val="en-US" w:eastAsia="zh-CN"/>
              </w:rPr>
              <w:t>X</w:t>
            </w:r>
            <w:r>
              <w:rPr>
                <w:rFonts w:hint="eastAsia" w:ascii="Times New Roman" w:hAnsi="Times New Roman" w:eastAsia="宋体" w:cs="Times New Roman"/>
                <w:color w:val="auto"/>
                <w:kern w:val="2"/>
                <w:sz w:val="24"/>
                <w:szCs w:val="24"/>
                <w:highlight w:val="none"/>
                <w:lang w:val="en-US" w:eastAsia="zh-CN" w:bidi="ar-SA"/>
              </w:rPr>
              <w:t>—控制点距集气罩的距离，m，本项目控制点距集气罩的距离设计为0.3m；</w:t>
            </w:r>
          </w:p>
          <w:p w14:paraId="5784C89C">
            <w:pPr>
              <w:pageBreakBefore w:val="0"/>
              <w:kinsoku/>
              <w:wordWrap/>
              <w:overflowPunct/>
              <w:topLinePunct w:val="0"/>
              <w:autoSpaceDE w:val="0"/>
              <w:autoSpaceDN w:val="0"/>
              <w:bidi w:val="0"/>
              <w:adjustRightInd/>
              <w:spacing w:line="360" w:lineRule="auto"/>
              <w:ind w:firstLine="480" w:firstLineChars="200"/>
              <w:textAlignment w:val="auto"/>
              <w:rPr>
                <w:rFonts w:hint="eastAsia"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F—集气罩罩面面积，m</w:t>
            </w:r>
            <w:r>
              <w:rPr>
                <w:rFonts w:hint="eastAsia" w:ascii="Times New Roman" w:hAnsi="Times New Roman" w:eastAsia="宋体" w:cs="Times New Roman"/>
                <w:color w:val="auto"/>
                <w:kern w:val="2"/>
                <w:sz w:val="24"/>
                <w:szCs w:val="24"/>
                <w:highlight w:val="none"/>
                <w:vertAlign w:val="superscript"/>
                <w:lang w:val="en-US" w:eastAsia="zh-CN" w:bidi="ar-SA"/>
              </w:rPr>
              <w:t>2</w:t>
            </w:r>
            <w:r>
              <w:rPr>
                <w:rFonts w:hint="eastAsia" w:ascii="Times New Roman" w:hAnsi="Times New Roman" w:eastAsia="宋体" w:cs="Times New Roman"/>
                <w:color w:val="auto"/>
                <w:kern w:val="2"/>
                <w:sz w:val="24"/>
                <w:szCs w:val="24"/>
                <w:highlight w:val="none"/>
                <w:vertAlign w:val="baseline"/>
                <w:lang w:val="en-US" w:eastAsia="zh-CN" w:bidi="ar-SA"/>
              </w:rPr>
              <w:t>，本项目集气罩罩面面积为0.25m</w:t>
            </w:r>
            <w:r>
              <w:rPr>
                <w:rFonts w:hint="eastAsia" w:ascii="Times New Roman" w:hAnsi="Times New Roman" w:eastAsia="宋体" w:cs="Times New Roman"/>
                <w:color w:val="auto"/>
                <w:kern w:val="2"/>
                <w:sz w:val="24"/>
                <w:szCs w:val="24"/>
                <w:highlight w:val="none"/>
                <w:vertAlign w:val="superscript"/>
                <w:lang w:val="en-US" w:eastAsia="zh-CN" w:bidi="ar-SA"/>
              </w:rPr>
              <w:t>2</w:t>
            </w:r>
            <w:r>
              <w:rPr>
                <w:rFonts w:hint="eastAsia" w:ascii="Times New Roman" w:hAnsi="Times New Roman" w:eastAsia="宋体" w:cs="Times New Roman"/>
                <w:color w:val="auto"/>
                <w:kern w:val="2"/>
                <w:sz w:val="24"/>
                <w:szCs w:val="24"/>
                <w:highlight w:val="none"/>
                <w:lang w:val="en-US" w:eastAsia="zh-CN" w:bidi="ar-SA"/>
              </w:rPr>
              <w:t>；</w:t>
            </w:r>
          </w:p>
          <w:p w14:paraId="5C3C1AB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color w:val="auto"/>
                <w:kern w:val="2"/>
                <w:sz w:val="24"/>
                <w:szCs w:val="24"/>
                <w:highlight w:val="none"/>
                <w:lang w:val="en-US" w:eastAsia="zh-CN" w:bidi="ar-SA"/>
              </w:rPr>
            </w:pPr>
            <w:r>
              <w:rPr>
                <w:rFonts w:hint="eastAsia" w:ascii="Times New Roman" w:hAnsi="Times New Roman" w:cs="Times New Roman"/>
                <w:color w:val="auto"/>
                <w:sz w:val="24"/>
                <w:szCs w:val="24"/>
                <w:highlight w:val="none"/>
                <w:lang w:val="en-US" w:eastAsia="zh-CN"/>
              </w:rPr>
              <w:t>Vx</w:t>
            </w:r>
            <w:r>
              <w:rPr>
                <w:rFonts w:hint="eastAsia" w:ascii="Times New Roman" w:hAnsi="Times New Roman" w:eastAsia="宋体" w:cs="Times New Roman"/>
                <w:color w:val="auto"/>
                <w:kern w:val="2"/>
                <w:sz w:val="24"/>
                <w:szCs w:val="24"/>
                <w:highlight w:val="none"/>
                <w:lang w:val="en-US" w:eastAsia="zh-CN" w:bidi="ar-SA"/>
              </w:rPr>
              <w:t>—集气罩罩面风速，m/s，本项目取0.3m/s。</w:t>
            </w:r>
          </w:p>
          <w:p w14:paraId="2BB5F3F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经计算，本项目封边工序风机风量为931.5</w:t>
            </w:r>
            <w:r>
              <w:rPr>
                <w:rFonts w:hint="eastAsia" w:ascii="Times New Roman" w:hAnsi="Times New Roman" w:cs="Times New Roman"/>
                <w:color w:val="auto"/>
                <w:sz w:val="24"/>
                <w:szCs w:val="24"/>
                <w:highlight w:val="none"/>
                <w:lang w:val="en-US" w:eastAsia="zh-CN"/>
              </w:rPr>
              <w:t>m</w:t>
            </w:r>
            <w:r>
              <w:rPr>
                <w:rFonts w:hint="eastAsia" w:ascii="Times New Roman" w:hAnsi="Times New Roman" w:cs="Times New Roman"/>
                <w:color w:val="auto"/>
                <w:sz w:val="24"/>
                <w:szCs w:val="24"/>
                <w:highlight w:val="none"/>
                <w:vertAlign w:val="superscript"/>
                <w:lang w:val="en-US" w:eastAsia="zh-CN"/>
              </w:rPr>
              <w:t>3</w:t>
            </w:r>
            <w:r>
              <w:rPr>
                <w:rFonts w:hint="eastAsia" w:ascii="Times New Roman" w:hAnsi="Times New Roman" w:cs="Times New Roman"/>
                <w:color w:val="auto"/>
                <w:sz w:val="24"/>
                <w:szCs w:val="24"/>
                <w:highlight w:val="none"/>
                <w:lang w:val="en-US" w:eastAsia="zh-CN"/>
              </w:rPr>
              <w:t>/h。</w:t>
            </w:r>
          </w:p>
          <w:p w14:paraId="7835DACF">
            <w:pPr>
              <w:pStyle w:val="27"/>
              <w:keepNext w:val="0"/>
              <w:keepLines w:val="0"/>
              <w:pageBreakBefore w:val="0"/>
              <w:widowControl w:val="0"/>
              <w:kinsoku/>
              <w:wordWrap/>
              <w:overflowPunct/>
              <w:topLinePunct w:val="0"/>
              <w:autoSpaceDE/>
              <w:autoSpaceDN/>
              <w:bidi w:val="0"/>
              <w:adjustRightInd w:val="0"/>
              <w:snapToGrid/>
              <w:spacing w:line="360" w:lineRule="auto"/>
              <w:ind w:left="0" w:leftChars="0" w:firstLine="480" w:firstLineChars="200"/>
              <w:textAlignment w:val="auto"/>
              <w:rPr>
                <w:rFonts w:hint="eastAsia" w:ascii="Times New Roman" w:hAnsi="Times New Roman" w:eastAsia="宋体" w:cs="Times New Roman"/>
                <w:color w:val="auto"/>
                <w:sz w:val="24"/>
                <w:szCs w:val="24"/>
                <w:lang w:val="en-US" w:eastAsia="zh-CN"/>
              </w:rPr>
            </w:pPr>
            <w:r>
              <w:rPr>
                <w:rFonts w:hint="eastAsia" w:cs="Times New Roman"/>
                <w:color w:val="auto"/>
                <w:sz w:val="24"/>
                <w:szCs w:val="24"/>
                <w:lang w:val="en-US" w:eastAsia="zh-CN"/>
              </w:rPr>
              <w:t>②</w:t>
            </w:r>
            <w:r>
              <w:rPr>
                <w:rFonts w:hint="eastAsia" w:ascii="Times New Roman" w:hAnsi="Times New Roman" w:eastAsia="宋体" w:cs="Times New Roman"/>
                <w:color w:val="auto"/>
                <w:sz w:val="24"/>
                <w:szCs w:val="24"/>
                <w:lang w:val="en-US" w:eastAsia="zh-CN"/>
              </w:rPr>
              <w:t>密闭管道风量</w:t>
            </w:r>
            <w:r>
              <w:rPr>
                <w:rFonts w:hint="eastAsia" w:cs="Times New Roman"/>
                <w:color w:val="auto"/>
                <w:sz w:val="24"/>
                <w:szCs w:val="24"/>
                <w:lang w:val="en-US" w:eastAsia="zh-CN"/>
              </w:rPr>
              <w:t>参照《通风与空调工程施工质量验收规范》（GB50243-2016），其</w:t>
            </w:r>
            <w:r>
              <w:rPr>
                <w:rFonts w:hint="eastAsia" w:ascii="Times New Roman" w:hAnsi="Times New Roman" w:eastAsia="宋体" w:cs="Times New Roman"/>
                <w:color w:val="auto"/>
                <w:sz w:val="24"/>
                <w:szCs w:val="24"/>
                <w:lang w:val="en-US" w:eastAsia="zh-CN"/>
              </w:rPr>
              <w:t>计算公式如下：</w:t>
            </w:r>
          </w:p>
          <w:p w14:paraId="279FC1A0">
            <w:pPr>
              <w:keepNext w:val="0"/>
              <w:keepLines w:val="0"/>
              <w:pageBreakBefore w:val="0"/>
              <w:widowControl w:val="0"/>
              <w:kinsoku/>
              <w:wordWrap/>
              <w:overflowPunct/>
              <w:topLinePunct w:val="0"/>
              <w:bidi w:val="0"/>
              <w:adjustRightInd w:val="0"/>
              <w:snapToGrid w:val="0"/>
              <w:spacing w:line="360" w:lineRule="auto"/>
              <w:ind w:firstLine="480" w:firstLineChars="200"/>
              <w:jc w:val="center"/>
              <w:rPr>
                <w:rFonts w:hint="default" w:eastAsia="宋体"/>
                <w:bCs/>
                <w:color w:val="auto"/>
                <w:sz w:val="24"/>
                <w:szCs w:val="24"/>
                <w:highlight w:val="none"/>
                <w:lang w:val="en-US" w:eastAsia="zh-CN"/>
              </w:rPr>
            </w:pPr>
            <w:r>
              <w:rPr>
                <w:rFonts w:hint="eastAsia"/>
                <w:bCs/>
                <w:color w:val="auto"/>
                <w:sz w:val="24"/>
                <w:szCs w:val="24"/>
                <w:highlight w:val="none"/>
                <w:lang w:val="en-US" w:eastAsia="zh-CN"/>
              </w:rPr>
              <w:t>L</w:t>
            </w:r>
            <w:r>
              <w:rPr>
                <w:rFonts w:hint="eastAsia"/>
                <w:bCs/>
                <w:color w:val="auto"/>
                <w:sz w:val="24"/>
                <w:szCs w:val="24"/>
                <w:highlight w:val="none"/>
              </w:rPr>
              <w:t>=</w:t>
            </w:r>
            <w:r>
              <w:rPr>
                <w:rFonts w:hint="eastAsia"/>
                <w:bCs/>
                <w:color w:val="auto"/>
                <w:sz w:val="24"/>
                <w:szCs w:val="24"/>
                <w:highlight w:val="none"/>
                <w:lang w:val="en-US" w:eastAsia="zh-CN"/>
              </w:rPr>
              <w:t>3600×F×V</w:t>
            </w:r>
          </w:p>
          <w:p w14:paraId="2D28992B">
            <w:pPr>
              <w:keepNext w:val="0"/>
              <w:keepLines w:val="0"/>
              <w:pageBreakBefore w:val="0"/>
              <w:widowControl w:val="0"/>
              <w:kinsoku/>
              <w:wordWrap/>
              <w:overflowPunct/>
              <w:topLinePunct w:val="0"/>
              <w:bidi w:val="0"/>
              <w:adjustRightInd w:val="0"/>
              <w:snapToGrid w:val="0"/>
              <w:spacing w:line="360" w:lineRule="auto"/>
              <w:ind w:firstLine="480" w:firstLineChars="200"/>
              <w:jc w:val="both"/>
              <w:rPr>
                <w:rFonts w:hint="eastAsia"/>
                <w:bCs/>
                <w:color w:val="auto"/>
                <w:sz w:val="24"/>
                <w:szCs w:val="24"/>
                <w:highlight w:val="none"/>
                <w:lang w:val="en-US" w:eastAsia="zh-CN"/>
              </w:rPr>
            </w:pPr>
            <w:r>
              <w:rPr>
                <w:rFonts w:hint="eastAsia"/>
                <w:bCs/>
                <w:color w:val="auto"/>
                <w:sz w:val="24"/>
                <w:szCs w:val="24"/>
                <w:highlight w:val="none"/>
                <w:lang w:val="en-US" w:eastAsia="zh-CN"/>
              </w:rPr>
              <w:t>式中：F—风管测定断面面积（m</w:t>
            </w:r>
            <w:r>
              <w:rPr>
                <w:rFonts w:hint="eastAsia"/>
                <w:bCs/>
                <w:color w:val="auto"/>
                <w:sz w:val="24"/>
                <w:szCs w:val="24"/>
                <w:highlight w:val="none"/>
                <w:vertAlign w:val="superscript"/>
                <w:lang w:val="en-US" w:eastAsia="zh-CN"/>
              </w:rPr>
              <w:t>2</w:t>
            </w:r>
            <w:r>
              <w:rPr>
                <w:rFonts w:hint="eastAsia"/>
                <w:bCs/>
                <w:color w:val="auto"/>
                <w:sz w:val="24"/>
                <w:szCs w:val="24"/>
                <w:highlight w:val="none"/>
                <w:lang w:val="en-US" w:eastAsia="zh-CN"/>
              </w:rPr>
              <w:t>）；</w:t>
            </w:r>
          </w:p>
          <w:p w14:paraId="7B3C881E">
            <w:pPr>
              <w:keepNext w:val="0"/>
              <w:keepLines w:val="0"/>
              <w:pageBreakBefore w:val="0"/>
              <w:widowControl w:val="0"/>
              <w:kinsoku/>
              <w:wordWrap/>
              <w:overflowPunct/>
              <w:topLinePunct w:val="0"/>
              <w:bidi w:val="0"/>
              <w:adjustRightInd w:val="0"/>
              <w:snapToGrid w:val="0"/>
              <w:spacing w:line="360" w:lineRule="auto"/>
              <w:ind w:firstLine="480" w:firstLineChars="200"/>
              <w:jc w:val="both"/>
              <w:rPr>
                <w:rFonts w:hint="eastAsia"/>
                <w:bCs/>
                <w:color w:val="auto"/>
                <w:sz w:val="24"/>
                <w:szCs w:val="24"/>
                <w:highlight w:val="none"/>
                <w:lang w:val="en-US" w:eastAsia="zh-CN"/>
              </w:rPr>
            </w:pPr>
            <w:r>
              <w:rPr>
                <w:rFonts w:hint="eastAsia"/>
                <w:bCs/>
                <w:color w:val="auto"/>
                <w:sz w:val="24"/>
                <w:szCs w:val="24"/>
                <w:highlight w:val="none"/>
                <w:lang w:val="en-US" w:eastAsia="zh-CN"/>
              </w:rPr>
              <w:t>V—风管测定断面平均风速（m/s），本次评价取10m/s。</w:t>
            </w:r>
          </w:p>
          <w:p w14:paraId="32A63B9D">
            <w:pPr>
              <w:keepNext w:val="0"/>
              <w:keepLines w:val="0"/>
              <w:pageBreakBefore w:val="0"/>
              <w:widowControl w:val="0"/>
              <w:kinsoku/>
              <w:wordWrap/>
              <w:overflowPunct/>
              <w:topLinePunct w:val="0"/>
              <w:bidi w:val="0"/>
              <w:adjustRightInd w:val="0"/>
              <w:snapToGrid w:val="0"/>
              <w:spacing w:line="360" w:lineRule="auto"/>
              <w:ind w:firstLine="480" w:firstLineChars="200"/>
              <w:jc w:val="both"/>
              <w:rPr>
                <w:rFonts w:hint="default"/>
                <w:bCs/>
                <w:color w:val="auto"/>
                <w:sz w:val="24"/>
                <w:szCs w:val="24"/>
                <w:highlight w:val="none"/>
                <w:lang w:val="en-US" w:eastAsia="zh-CN"/>
              </w:rPr>
            </w:pPr>
            <w:r>
              <w:rPr>
                <w:rFonts w:hint="eastAsia"/>
                <w:bCs/>
                <w:color w:val="auto"/>
                <w:sz w:val="24"/>
                <w:szCs w:val="24"/>
                <w:highlight w:val="none"/>
                <w:lang w:val="en-US" w:eastAsia="zh-CN"/>
              </w:rPr>
              <w:t>本项目注液机、二封机分别设置密闭集气管道，根据建设单位提供资料，项目集气管道一般为100-200mm，本次评价取200mm，经计算，注液、二封工序风机风量为2260.8m</w:t>
            </w:r>
            <w:r>
              <w:rPr>
                <w:rFonts w:hint="eastAsia"/>
                <w:bCs/>
                <w:color w:val="auto"/>
                <w:sz w:val="24"/>
                <w:szCs w:val="24"/>
                <w:highlight w:val="none"/>
                <w:vertAlign w:val="superscript"/>
                <w:lang w:val="en-US" w:eastAsia="zh-CN"/>
              </w:rPr>
              <w:t>3</w:t>
            </w:r>
            <w:r>
              <w:rPr>
                <w:rFonts w:hint="eastAsia"/>
                <w:bCs/>
                <w:color w:val="auto"/>
                <w:sz w:val="24"/>
                <w:szCs w:val="24"/>
                <w:highlight w:val="none"/>
                <w:lang w:val="en-US" w:eastAsia="zh-CN"/>
              </w:rPr>
              <w:t>/h。</w:t>
            </w:r>
          </w:p>
          <w:p w14:paraId="3EF50A3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③根据建设单位提供资料，电池拆解间体积为99m</w:t>
            </w:r>
            <w:r>
              <w:rPr>
                <w:rFonts w:hint="eastAsia" w:ascii="Times New Roman" w:hAnsi="Times New Roman" w:eastAsia="宋体" w:cs="Times New Roman"/>
                <w:color w:val="auto"/>
                <w:kern w:val="2"/>
                <w:sz w:val="24"/>
                <w:szCs w:val="24"/>
                <w:highlight w:val="none"/>
                <w:vertAlign w:val="superscript"/>
                <w:lang w:val="en-US" w:eastAsia="zh-CN" w:bidi="ar-SA"/>
              </w:rPr>
              <w:t>3</w:t>
            </w:r>
            <w:r>
              <w:rPr>
                <w:rFonts w:hint="eastAsia" w:ascii="Times New Roman" w:hAnsi="Times New Roman" w:eastAsia="宋体" w:cs="Times New Roman"/>
                <w:color w:val="auto"/>
                <w:kern w:val="2"/>
                <w:sz w:val="24"/>
                <w:szCs w:val="24"/>
                <w:highlight w:val="none"/>
                <w:lang w:val="en-US" w:eastAsia="zh-CN" w:bidi="ar-SA"/>
              </w:rPr>
              <w:t>，参考《工业企业卫生设计标准》</w:t>
            </w:r>
            <w:r>
              <w:rPr>
                <w:rFonts w:hint="eastAsia" w:cs="Times New Roman"/>
                <w:color w:val="auto"/>
                <w:kern w:val="2"/>
                <w:sz w:val="24"/>
                <w:szCs w:val="24"/>
                <w:highlight w:val="none"/>
                <w:lang w:val="en-US" w:eastAsia="zh-CN" w:bidi="ar-SA"/>
              </w:rPr>
              <w:t>（</w:t>
            </w:r>
            <w:r>
              <w:rPr>
                <w:rFonts w:hint="eastAsia" w:ascii="Times New Roman" w:hAnsi="Times New Roman" w:eastAsia="宋体" w:cs="Times New Roman"/>
                <w:color w:val="auto"/>
                <w:kern w:val="2"/>
                <w:sz w:val="24"/>
                <w:szCs w:val="24"/>
                <w:highlight w:val="none"/>
                <w:lang w:val="en-US" w:eastAsia="zh-CN" w:bidi="ar-SA"/>
              </w:rPr>
              <w:t>GBZ 1-2010</w:t>
            </w:r>
            <w:r>
              <w:rPr>
                <w:rFonts w:hint="eastAsia" w:cs="Times New Roman"/>
                <w:color w:val="auto"/>
                <w:kern w:val="2"/>
                <w:sz w:val="24"/>
                <w:szCs w:val="24"/>
                <w:highlight w:val="none"/>
                <w:lang w:val="en-US" w:eastAsia="zh-CN" w:bidi="ar-SA"/>
              </w:rPr>
              <w:t>）</w:t>
            </w:r>
            <w:r>
              <w:rPr>
                <w:rFonts w:hint="eastAsia" w:ascii="Times New Roman" w:hAnsi="Times New Roman" w:eastAsia="宋体" w:cs="Times New Roman"/>
                <w:color w:val="auto"/>
                <w:kern w:val="2"/>
                <w:sz w:val="24"/>
                <w:szCs w:val="24"/>
                <w:highlight w:val="none"/>
                <w:lang w:val="en-US" w:eastAsia="zh-CN" w:bidi="ar-SA"/>
              </w:rPr>
              <w:t>中“6.1.5.2 a）事故通风宜由进厂使用的通风系统和事故通风系统......事故通风系统风量宜根据工艺设计要求通过计算确定，但换气次数不宜＜12次/h”的相关要求。电池拆解间风机风量＝房间体积×换气次数＝66×12＝1188m</w:t>
            </w:r>
            <w:r>
              <w:rPr>
                <w:rFonts w:hint="eastAsia" w:ascii="Times New Roman" w:hAnsi="Times New Roman" w:eastAsia="宋体" w:cs="Times New Roman"/>
                <w:color w:val="auto"/>
                <w:kern w:val="2"/>
                <w:sz w:val="24"/>
                <w:szCs w:val="24"/>
                <w:highlight w:val="none"/>
                <w:vertAlign w:val="superscript"/>
                <w:lang w:val="en-US" w:eastAsia="zh-CN" w:bidi="ar-SA"/>
              </w:rPr>
              <w:t>3</w:t>
            </w:r>
            <w:r>
              <w:rPr>
                <w:rFonts w:hint="eastAsia" w:ascii="Times New Roman" w:hAnsi="Times New Roman" w:eastAsia="宋体" w:cs="Times New Roman"/>
                <w:color w:val="auto"/>
                <w:kern w:val="2"/>
                <w:sz w:val="24"/>
                <w:szCs w:val="24"/>
                <w:highlight w:val="none"/>
                <w:lang w:val="en-US" w:eastAsia="zh-CN" w:bidi="ar-SA"/>
              </w:rPr>
              <w:t>/h。</w:t>
            </w:r>
          </w:p>
          <w:p w14:paraId="6CC497A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综上，</w:t>
            </w:r>
            <w:r>
              <w:rPr>
                <w:rFonts w:hint="eastAsia" w:ascii="Times New Roman" w:hAnsi="Times New Roman"/>
                <w:color w:val="auto"/>
                <w:sz w:val="24"/>
                <w:highlight w:val="none"/>
                <w:lang w:val="en-US" w:eastAsia="zh-CN"/>
              </w:rPr>
              <w:t>考虑风管、弯头等损耗，按照计算值的1.2倍系数取值，</w:t>
            </w:r>
            <w:r>
              <w:rPr>
                <w:rFonts w:hint="eastAsia" w:ascii="Times New Roman" w:hAnsi="Times New Roman" w:eastAsia="宋体" w:cs="Times New Roman"/>
                <w:color w:val="auto"/>
                <w:kern w:val="2"/>
                <w:sz w:val="24"/>
                <w:szCs w:val="24"/>
                <w:highlight w:val="none"/>
                <w:lang w:val="en-US" w:eastAsia="zh-CN" w:bidi="ar-SA"/>
              </w:rPr>
              <w:t>本项目DA002风机总量为6000m</w:t>
            </w:r>
            <w:r>
              <w:rPr>
                <w:rFonts w:hint="eastAsia" w:ascii="Times New Roman" w:hAnsi="Times New Roman" w:eastAsia="宋体" w:cs="Times New Roman"/>
                <w:color w:val="auto"/>
                <w:kern w:val="2"/>
                <w:sz w:val="24"/>
                <w:szCs w:val="24"/>
                <w:highlight w:val="none"/>
                <w:vertAlign w:val="superscript"/>
                <w:lang w:val="en-US" w:eastAsia="zh-CN" w:bidi="ar-SA"/>
              </w:rPr>
              <w:t>3</w:t>
            </w:r>
            <w:r>
              <w:rPr>
                <w:rFonts w:hint="eastAsia" w:ascii="Times New Roman" w:hAnsi="Times New Roman" w:eastAsia="宋体" w:cs="Times New Roman"/>
                <w:color w:val="auto"/>
                <w:kern w:val="2"/>
                <w:sz w:val="24"/>
                <w:szCs w:val="24"/>
                <w:highlight w:val="none"/>
                <w:lang w:val="en-US" w:eastAsia="zh-CN" w:bidi="ar-SA"/>
              </w:rPr>
              <w:t>/h</w:t>
            </w:r>
            <w:r>
              <w:rPr>
                <w:rFonts w:hint="eastAsia" w:ascii="Times New Roman" w:hAnsi="Times New Roman"/>
                <w:color w:val="auto"/>
                <w:sz w:val="24"/>
                <w:highlight w:val="none"/>
                <w:lang w:val="en-US" w:eastAsia="zh-CN"/>
              </w:rPr>
              <w:t>。</w:t>
            </w:r>
          </w:p>
          <w:p w14:paraId="5D5A4BC5">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default" w:ascii="Times New Roman" w:hAnsi="Times New Roman" w:eastAsia="宋体" w:cs="Times New Roman"/>
                <w:b/>
                <w:bCs/>
                <w:color w:val="auto"/>
                <w:sz w:val="24"/>
                <w:szCs w:val="24"/>
                <w:lang w:val="en-US" w:eastAsia="zh-CN"/>
              </w:rPr>
            </w:pPr>
            <w:r>
              <w:rPr>
                <w:rFonts w:hint="eastAsia" w:cs="Times New Roman"/>
                <w:b/>
                <w:bCs/>
                <w:color w:val="auto"/>
                <w:sz w:val="24"/>
                <w:szCs w:val="24"/>
                <w:lang w:val="en-US" w:eastAsia="zh-CN"/>
              </w:rPr>
              <w:t>8）NMP储罐呼吸废气</w:t>
            </w:r>
          </w:p>
          <w:p w14:paraId="18395E5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s="Times New Roman"/>
                <w:color w:val="auto"/>
                <w:sz w:val="24"/>
                <w:szCs w:val="24"/>
                <w:lang w:val="en-US" w:eastAsia="zh-CN"/>
              </w:rPr>
            </w:pPr>
            <w:r>
              <w:rPr>
                <w:rFonts w:hint="eastAsia" w:cs="Times New Roman"/>
                <w:color w:val="auto"/>
                <w:sz w:val="24"/>
                <w:szCs w:val="24"/>
                <w:lang w:val="en-US" w:eastAsia="zh-CN"/>
              </w:rPr>
              <w:t>本项目拟在电芯车间设置2个NMP储罐，其中1个储存为NMP新液，储罐容积为3m</w:t>
            </w:r>
            <w:r>
              <w:rPr>
                <w:rFonts w:hint="eastAsia" w:cs="Times New Roman"/>
                <w:color w:val="auto"/>
                <w:sz w:val="24"/>
                <w:szCs w:val="24"/>
                <w:vertAlign w:val="superscript"/>
                <w:lang w:val="en-US" w:eastAsia="zh-CN"/>
              </w:rPr>
              <w:t>3</w:t>
            </w:r>
            <w:r>
              <w:rPr>
                <w:rFonts w:hint="eastAsia" w:cs="Times New Roman"/>
                <w:color w:val="auto"/>
                <w:sz w:val="24"/>
                <w:szCs w:val="24"/>
                <w:lang w:val="en-US" w:eastAsia="zh-CN"/>
              </w:rPr>
              <w:t>，1个储存NMP回收液，储罐容积为6m</w:t>
            </w:r>
            <w:r>
              <w:rPr>
                <w:rFonts w:hint="eastAsia" w:cs="Times New Roman"/>
                <w:color w:val="auto"/>
                <w:sz w:val="24"/>
                <w:szCs w:val="24"/>
                <w:vertAlign w:val="superscript"/>
                <w:lang w:val="en-US" w:eastAsia="zh-CN"/>
              </w:rPr>
              <w:t>3</w:t>
            </w:r>
            <w:r>
              <w:rPr>
                <w:rFonts w:hint="eastAsia" w:cs="Times New Roman"/>
                <w:color w:val="auto"/>
                <w:sz w:val="24"/>
                <w:szCs w:val="24"/>
                <w:lang w:val="en-US" w:eastAsia="zh-CN"/>
              </w:rPr>
              <w:t>，主要存放NMP新液、回收的NMP回收液。储罐在储存过程中会通过呼吸阀排放少量有机废气，包括“大呼吸”损耗和“小呼吸”损耗。</w:t>
            </w:r>
          </w:p>
          <w:p w14:paraId="50D352E3">
            <w:pPr>
              <w:adjustRightInd w:val="0"/>
              <w:snapToGrid w:val="0"/>
              <w:spacing w:line="360" w:lineRule="auto"/>
              <w:ind w:firstLine="480" w:firstLineChars="200"/>
              <w:rPr>
                <w:rFonts w:hint="eastAsia"/>
                <w:color w:val="auto"/>
                <w:sz w:val="24"/>
              </w:rPr>
            </w:pPr>
            <w:r>
              <w:rPr>
                <w:rFonts w:hint="eastAsia"/>
                <w:color w:val="auto"/>
                <w:sz w:val="24"/>
              </w:rPr>
              <w:t>根据</w:t>
            </w:r>
            <w:r>
              <w:rPr>
                <w:rFonts w:hint="eastAsia" w:ascii="宋体" w:hAnsi="宋体" w:eastAsia="宋体"/>
                <w:color w:val="auto"/>
                <w:sz w:val="24"/>
                <w:szCs w:val="24"/>
              </w:rPr>
              <w:t>美国《工业污染源调查与研究》第二辑计算公式</w:t>
            </w:r>
            <w:r>
              <w:rPr>
                <w:rFonts w:hint="eastAsia"/>
                <w:color w:val="auto"/>
                <w:sz w:val="24"/>
              </w:rPr>
              <w:t>，罐区大、小呼吸气计算公式说明如下：</w:t>
            </w:r>
          </w:p>
          <w:p w14:paraId="73DC28E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s="Times New Roman"/>
                <w:color w:val="auto"/>
                <w:sz w:val="24"/>
                <w:szCs w:val="24"/>
                <w:lang w:val="en-US" w:eastAsia="zh-CN"/>
              </w:rPr>
            </w:pPr>
            <w:r>
              <w:rPr>
                <w:rFonts w:hint="eastAsia"/>
                <w:color w:val="auto"/>
                <w:sz w:val="24"/>
              </w:rPr>
              <w:t>a小呼吸气：</w:t>
            </w:r>
          </w:p>
          <w:p w14:paraId="2086564E">
            <w:pPr>
              <w:adjustRightInd w:val="0"/>
              <w:snapToGrid w:val="0"/>
              <w:spacing w:line="360" w:lineRule="auto"/>
              <w:ind w:firstLine="480" w:firstLineChars="200"/>
              <w:jc w:val="center"/>
              <w:rPr>
                <w:color w:val="auto"/>
                <w:sz w:val="24"/>
              </w:rPr>
            </w:pPr>
            <w:r>
              <w:rPr>
                <w:rFonts w:hint="eastAsia"/>
                <w:color w:val="auto"/>
                <w:sz w:val="24"/>
              </w:rPr>
              <w:t>LB=0.191×M（P/（100910-P））</w:t>
            </w:r>
            <w:r>
              <w:rPr>
                <w:rFonts w:hint="eastAsia"/>
                <w:color w:val="auto"/>
                <w:sz w:val="24"/>
                <w:vertAlign w:val="superscript"/>
              </w:rPr>
              <w:t>0.68</w:t>
            </w:r>
            <w:r>
              <w:rPr>
                <w:rFonts w:hint="eastAsia"/>
                <w:color w:val="auto"/>
                <w:sz w:val="24"/>
              </w:rPr>
              <w:t>×D</w:t>
            </w:r>
            <w:r>
              <w:rPr>
                <w:rFonts w:hint="eastAsia"/>
                <w:color w:val="auto"/>
                <w:sz w:val="24"/>
                <w:vertAlign w:val="superscript"/>
              </w:rPr>
              <w:t>1.73</w:t>
            </w:r>
            <w:r>
              <w:rPr>
                <w:rFonts w:hint="eastAsia"/>
                <w:color w:val="auto"/>
                <w:sz w:val="24"/>
              </w:rPr>
              <w:t>×H</w:t>
            </w:r>
            <w:r>
              <w:rPr>
                <w:rFonts w:hint="eastAsia"/>
                <w:color w:val="auto"/>
                <w:sz w:val="24"/>
                <w:vertAlign w:val="superscript"/>
              </w:rPr>
              <w:t>0.51</w:t>
            </w:r>
            <w:r>
              <w:rPr>
                <w:rFonts w:hint="eastAsia"/>
                <w:color w:val="auto"/>
                <w:sz w:val="24"/>
              </w:rPr>
              <w:t>×△T</w:t>
            </w:r>
            <w:r>
              <w:rPr>
                <w:rFonts w:hint="eastAsia"/>
                <w:color w:val="auto"/>
                <w:sz w:val="24"/>
                <w:vertAlign w:val="superscript"/>
              </w:rPr>
              <w:t>0.45</w:t>
            </w:r>
            <w:r>
              <w:rPr>
                <w:rFonts w:hint="eastAsia"/>
                <w:color w:val="auto"/>
                <w:sz w:val="24"/>
              </w:rPr>
              <w:t>×FP×C×KC×</w:t>
            </w:r>
            <w:r>
              <w:rPr>
                <w:rFonts w:hint="default" w:ascii="Times New Roman" w:hAnsi="Times New Roman" w:eastAsia="宋体" w:cs="Times New Roman"/>
                <w:color w:val="auto"/>
                <w:sz w:val="24"/>
                <w:szCs w:val="24"/>
              </w:rPr>
              <w:t>η1</w:t>
            </w:r>
            <w:r>
              <w:rPr>
                <w:rFonts w:hint="default" w:ascii="Times New Roman" w:hAnsi="Times New Roman" w:cs="Times New Roman"/>
                <w:color w:val="auto"/>
                <w:sz w:val="24"/>
              </w:rPr>
              <w:t>×</w:t>
            </w:r>
            <w:r>
              <w:rPr>
                <w:rFonts w:hint="default" w:ascii="Times New Roman" w:hAnsi="Times New Roman" w:eastAsia="宋体" w:cs="Times New Roman"/>
                <w:color w:val="auto"/>
                <w:sz w:val="24"/>
                <w:szCs w:val="24"/>
              </w:rPr>
              <w:t>η2​</w:t>
            </w:r>
          </w:p>
          <w:p w14:paraId="0A1325D6">
            <w:pPr>
              <w:adjustRightInd w:val="0"/>
              <w:snapToGrid w:val="0"/>
              <w:spacing w:line="360" w:lineRule="auto"/>
              <w:ind w:firstLine="480" w:firstLineChars="200"/>
              <w:rPr>
                <w:color w:val="auto"/>
                <w:sz w:val="24"/>
              </w:rPr>
            </w:pPr>
            <w:r>
              <w:rPr>
                <w:rFonts w:hint="eastAsia"/>
                <w:color w:val="auto"/>
                <w:sz w:val="24"/>
              </w:rPr>
              <w:t>式中：LB——固定顶罐的</w:t>
            </w:r>
            <w:r>
              <w:rPr>
                <w:rFonts w:hint="eastAsia"/>
                <w:color w:val="auto"/>
                <w:sz w:val="24"/>
                <w:lang w:val="en-US" w:eastAsia="zh-CN"/>
              </w:rPr>
              <w:t>小</w:t>
            </w:r>
            <w:r>
              <w:rPr>
                <w:rFonts w:hint="eastAsia"/>
                <w:color w:val="auto"/>
                <w:sz w:val="24"/>
              </w:rPr>
              <w:t>呼吸排放量（kg/a）；</w:t>
            </w:r>
          </w:p>
          <w:p w14:paraId="3316E004">
            <w:pPr>
              <w:adjustRightInd w:val="0"/>
              <w:snapToGrid w:val="0"/>
              <w:spacing w:line="360" w:lineRule="auto"/>
              <w:ind w:firstLine="480" w:firstLineChars="200"/>
              <w:rPr>
                <w:color w:val="auto"/>
                <w:sz w:val="24"/>
              </w:rPr>
            </w:pPr>
            <w:r>
              <w:rPr>
                <w:rFonts w:hint="eastAsia"/>
                <w:color w:val="auto"/>
                <w:sz w:val="24"/>
              </w:rPr>
              <w:t>M——储罐内蒸汽的分子量，</w:t>
            </w:r>
            <w:r>
              <w:rPr>
                <w:rFonts w:hint="eastAsia"/>
                <w:color w:val="auto"/>
                <w:sz w:val="24"/>
                <w:lang w:val="en-US" w:eastAsia="zh-CN"/>
              </w:rPr>
              <w:t>NMP</w:t>
            </w:r>
            <w:r>
              <w:rPr>
                <w:rFonts w:hint="eastAsia"/>
                <w:color w:val="auto"/>
                <w:sz w:val="24"/>
              </w:rPr>
              <w:t>为</w:t>
            </w:r>
            <w:r>
              <w:rPr>
                <w:rFonts w:hint="eastAsia"/>
                <w:color w:val="auto"/>
                <w:sz w:val="24"/>
                <w:lang w:val="en-US" w:eastAsia="zh-CN"/>
              </w:rPr>
              <w:t>99.13</w:t>
            </w:r>
            <w:r>
              <w:rPr>
                <w:rFonts w:hint="eastAsia"/>
                <w:color w:val="auto"/>
                <w:sz w:val="24"/>
              </w:rPr>
              <w:t>；</w:t>
            </w:r>
          </w:p>
          <w:p w14:paraId="7417D2D2">
            <w:pPr>
              <w:adjustRightInd w:val="0"/>
              <w:snapToGrid w:val="0"/>
              <w:spacing w:line="360" w:lineRule="auto"/>
              <w:ind w:firstLine="480" w:firstLineChars="200"/>
              <w:rPr>
                <w:color w:val="auto"/>
                <w:sz w:val="24"/>
              </w:rPr>
            </w:pPr>
            <w:r>
              <w:rPr>
                <w:rFonts w:hint="eastAsia"/>
                <w:color w:val="auto"/>
                <w:sz w:val="24"/>
              </w:rPr>
              <w:t>P——在大量液体状态下，真实的蒸汽压力（Pa），</w:t>
            </w:r>
            <w:r>
              <w:rPr>
                <w:rFonts w:hint="eastAsia" w:ascii="宋体" w:hAnsi="宋体" w:eastAsia="宋体"/>
                <w:color w:val="auto"/>
                <w:sz w:val="24"/>
                <w:szCs w:val="24"/>
              </w:rPr>
              <w:t>根据《化工物性算图手册》（刘光启等，</w:t>
            </w:r>
            <w:r>
              <w:rPr>
                <w:rFonts w:hint="eastAsia" w:ascii="TimesNewRomanPSMT" w:hAnsi="TimesNewRomanPSMT" w:eastAsia="TimesNewRomanPSMT"/>
                <w:color w:val="auto"/>
                <w:sz w:val="24"/>
                <w:szCs w:val="24"/>
              </w:rPr>
              <w:t>2022</w:t>
            </w:r>
            <w:r>
              <w:rPr>
                <w:rFonts w:hint="eastAsia" w:ascii="宋体" w:hAnsi="宋体" w:eastAsia="宋体"/>
                <w:color w:val="auto"/>
                <w:sz w:val="24"/>
                <w:szCs w:val="24"/>
              </w:rPr>
              <w:t>），本项目</w:t>
            </w:r>
            <w:r>
              <w:rPr>
                <w:rFonts w:hint="eastAsia" w:ascii="TimesNewRomanPSMT" w:hAnsi="TimesNewRomanPSMT" w:eastAsia="TimesNewRomanPSMT"/>
                <w:color w:val="auto"/>
                <w:sz w:val="24"/>
                <w:szCs w:val="24"/>
              </w:rPr>
              <w:t>NMP</w:t>
            </w:r>
            <w:r>
              <w:rPr>
                <w:rFonts w:hint="eastAsia" w:ascii="宋体" w:hAnsi="宋体" w:eastAsia="宋体"/>
                <w:color w:val="auto"/>
                <w:sz w:val="24"/>
                <w:szCs w:val="24"/>
              </w:rPr>
              <w:t>储罐中</w:t>
            </w:r>
            <w:r>
              <w:rPr>
                <w:rFonts w:hint="eastAsia" w:ascii="宋体" w:hAnsi="宋体"/>
                <w:color w:val="auto"/>
                <w:sz w:val="24"/>
                <w:szCs w:val="24"/>
                <w:lang w:eastAsia="zh-CN"/>
              </w:rPr>
              <w:t>蒸汽</w:t>
            </w:r>
            <w:r>
              <w:rPr>
                <w:rFonts w:hint="eastAsia" w:ascii="宋体" w:hAnsi="宋体" w:eastAsia="宋体"/>
                <w:color w:val="auto"/>
                <w:sz w:val="24"/>
                <w:szCs w:val="24"/>
              </w:rPr>
              <w:t>压为</w:t>
            </w:r>
            <w:r>
              <w:rPr>
                <w:rFonts w:hint="eastAsia" w:ascii="TimesNewRomanPSMT" w:hAnsi="TimesNewRomanPSMT" w:eastAsia="TimesNewRomanPSMT"/>
                <w:color w:val="auto"/>
                <w:sz w:val="24"/>
                <w:szCs w:val="24"/>
              </w:rPr>
              <w:t>320</w:t>
            </w:r>
            <w:r>
              <w:rPr>
                <w:rFonts w:hint="eastAsia"/>
                <w:color w:val="auto"/>
                <w:sz w:val="24"/>
              </w:rPr>
              <w:t>Pa；</w:t>
            </w:r>
          </w:p>
          <w:p w14:paraId="5FA818B8">
            <w:pPr>
              <w:adjustRightInd w:val="0"/>
              <w:snapToGrid w:val="0"/>
              <w:spacing w:line="360" w:lineRule="auto"/>
              <w:ind w:firstLine="480" w:firstLineChars="200"/>
              <w:rPr>
                <w:color w:val="auto"/>
                <w:sz w:val="24"/>
              </w:rPr>
            </w:pPr>
            <w:r>
              <w:rPr>
                <w:rFonts w:hint="eastAsia"/>
                <w:color w:val="auto"/>
                <w:sz w:val="24"/>
              </w:rPr>
              <w:t>D——罐的直径（m）；</w:t>
            </w:r>
          </w:p>
          <w:p w14:paraId="57ED76E6">
            <w:pPr>
              <w:adjustRightInd w:val="0"/>
              <w:snapToGrid w:val="0"/>
              <w:spacing w:line="360" w:lineRule="auto"/>
              <w:ind w:firstLine="480" w:firstLineChars="200"/>
              <w:rPr>
                <w:rFonts w:hint="eastAsia"/>
                <w:color w:val="auto"/>
                <w:sz w:val="24"/>
              </w:rPr>
            </w:pPr>
            <w:r>
              <w:rPr>
                <w:rFonts w:hint="eastAsia"/>
                <w:color w:val="auto"/>
                <w:sz w:val="24"/>
              </w:rPr>
              <w:t>H——平均蒸汽空间高度（m），本处取1.0m；</w:t>
            </w:r>
          </w:p>
          <w:p w14:paraId="46A2EC28">
            <w:pPr>
              <w:adjustRightInd w:val="0"/>
              <w:snapToGrid w:val="0"/>
              <w:spacing w:line="360" w:lineRule="auto"/>
              <w:ind w:firstLine="480" w:firstLineChars="200"/>
              <w:rPr>
                <w:color w:val="auto"/>
                <w:sz w:val="24"/>
              </w:rPr>
            </w:pPr>
            <w:r>
              <w:rPr>
                <w:rFonts w:hint="eastAsia"/>
                <w:color w:val="auto"/>
                <w:sz w:val="24"/>
              </w:rPr>
              <w:t>ΔT——一天之内的平均温度差（℃），本处取10℃；</w:t>
            </w:r>
          </w:p>
          <w:p w14:paraId="73106D53">
            <w:pPr>
              <w:adjustRightInd w:val="0"/>
              <w:snapToGrid w:val="0"/>
              <w:spacing w:line="360" w:lineRule="auto"/>
              <w:ind w:firstLine="480" w:firstLineChars="200"/>
              <w:rPr>
                <w:color w:val="auto"/>
                <w:sz w:val="24"/>
              </w:rPr>
            </w:pPr>
            <w:r>
              <w:rPr>
                <w:rFonts w:hint="eastAsia"/>
                <w:color w:val="auto"/>
                <w:sz w:val="24"/>
              </w:rPr>
              <w:t>FP——</w:t>
            </w:r>
            <w:r>
              <w:rPr>
                <w:rFonts w:hint="eastAsia"/>
                <w:color w:val="auto"/>
                <w:sz w:val="24"/>
                <w:lang w:val="en-US" w:eastAsia="zh-CN"/>
              </w:rPr>
              <w:t>涂层</w:t>
            </w:r>
            <w:r>
              <w:rPr>
                <w:rFonts w:hint="eastAsia"/>
                <w:color w:val="auto"/>
                <w:sz w:val="24"/>
              </w:rPr>
              <w:t>因子（无量纲），根据</w:t>
            </w:r>
            <w:r>
              <w:rPr>
                <w:rFonts w:hint="eastAsia"/>
                <w:color w:val="auto"/>
                <w:sz w:val="24"/>
                <w:lang w:val="en-US" w:eastAsia="zh-CN"/>
              </w:rPr>
              <w:t>液体</w:t>
            </w:r>
            <w:r>
              <w:rPr>
                <w:rFonts w:hint="eastAsia"/>
                <w:color w:val="auto"/>
                <w:sz w:val="24"/>
              </w:rPr>
              <w:t>状况取值在1~1.5之间，本处取1.</w:t>
            </w:r>
            <w:r>
              <w:rPr>
                <w:rFonts w:hint="eastAsia"/>
                <w:color w:val="auto"/>
                <w:sz w:val="24"/>
                <w:lang w:val="en-US" w:eastAsia="zh-CN"/>
              </w:rPr>
              <w:t>25</w:t>
            </w:r>
            <w:r>
              <w:rPr>
                <w:rFonts w:hint="eastAsia"/>
                <w:color w:val="auto"/>
                <w:sz w:val="24"/>
              </w:rPr>
              <w:t>；</w:t>
            </w:r>
          </w:p>
          <w:p w14:paraId="3F31F5C4">
            <w:pPr>
              <w:adjustRightInd w:val="0"/>
              <w:snapToGrid w:val="0"/>
              <w:spacing w:line="360" w:lineRule="auto"/>
              <w:ind w:firstLine="480" w:firstLineChars="200"/>
              <w:rPr>
                <w:rFonts w:hint="eastAsia"/>
                <w:color w:val="auto"/>
                <w:sz w:val="24"/>
              </w:rPr>
            </w:pPr>
            <w:r>
              <w:rPr>
                <w:rFonts w:hint="eastAsia"/>
                <w:color w:val="auto"/>
                <w:sz w:val="24"/>
              </w:rPr>
              <w:t>C——用于小直径罐的调节因子（无量纲），直径在0~9m之间的罐体，C=1-0.0123（D-9）</w:t>
            </w:r>
            <w:r>
              <w:rPr>
                <w:rFonts w:hint="eastAsia"/>
                <w:color w:val="auto"/>
                <w:sz w:val="24"/>
                <w:vertAlign w:val="superscript"/>
              </w:rPr>
              <w:t>2</w:t>
            </w:r>
            <w:r>
              <w:rPr>
                <w:rFonts w:hint="eastAsia"/>
                <w:color w:val="auto"/>
                <w:sz w:val="24"/>
              </w:rPr>
              <w:t>；罐径大于9m的C=1；</w:t>
            </w:r>
          </w:p>
          <w:p w14:paraId="1DDCD7B9">
            <w:pPr>
              <w:adjustRightInd w:val="0"/>
              <w:snapToGrid w:val="0"/>
              <w:spacing w:line="360" w:lineRule="auto"/>
              <w:ind w:firstLine="480" w:firstLineChars="200"/>
              <w:rPr>
                <w:rFonts w:hint="eastAsia" w:ascii="Times New Roman" w:hAnsi="Times New Roman" w:eastAsia="宋体" w:cs="Times New Roman"/>
                <w:color w:val="auto"/>
                <w:sz w:val="24"/>
                <w:lang w:val="en-US" w:eastAsia="zh-CN"/>
              </w:rPr>
            </w:pPr>
            <w:r>
              <w:rPr>
                <w:rFonts w:hint="eastAsia" w:ascii="Times New Roman" w:hAnsi="Times New Roman" w:eastAsia="宋体" w:cs="Times New Roman"/>
                <w:color w:val="auto"/>
                <w:sz w:val="24"/>
              </w:rPr>
              <w:t>KC——产品因子（石油</w:t>
            </w:r>
            <w:r>
              <w:rPr>
                <w:rFonts w:hint="eastAsia" w:cs="Times New Roman"/>
                <w:color w:val="auto"/>
                <w:sz w:val="24"/>
                <w:lang w:val="en-US" w:eastAsia="zh-CN"/>
              </w:rPr>
              <w:t>原油</w:t>
            </w:r>
            <w:r>
              <w:rPr>
                <w:rFonts w:hint="eastAsia" w:ascii="Times New Roman" w:hAnsi="Times New Roman" w:eastAsia="宋体" w:cs="Times New Roman"/>
                <w:color w:val="auto"/>
                <w:sz w:val="24"/>
              </w:rPr>
              <w:t>KC取0.65，其他液体取1.0）</w:t>
            </w:r>
            <w:r>
              <w:rPr>
                <w:rFonts w:hint="eastAsia" w:ascii="Times New Roman" w:hAnsi="Times New Roman" w:eastAsia="宋体" w:cs="Times New Roman"/>
                <w:color w:val="auto"/>
                <w:sz w:val="24"/>
                <w:lang w:val="en-US" w:eastAsia="zh-CN"/>
              </w:rPr>
              <w:t>。</w:t>
            </w:r>
          </w:p>
          <w:p w14:paraId="53287D0C">
            <w:pPr>
              <w:adjustRightInd w:val="0"/>
              <w:snapToGrid w:val="0"/>
              <w:spacing w:line="360" w:lineRule="auto"/>
              <w:ind w:firstLine="480" w:firstLineChars="200"/>
              <w:rPr>
                <w:rFonts w:hint="eastAsia" w:cs="Times New Roman"/>
                <w:color w:val="auto"/>
                <w:sz w:val="24"/>
                <w:lang w:val="en-US" w:eastAsia="zh-CN"/>
              </w:rPr>
            </w:pPr>
            <w:r>
              <w:rPr>
                <w:rFonts w:hint="default" w:ascii="Times New Roman" w:hAnsi="Times New Roman" w:eastAsia="宋体" w:cs="Times New Roman"/>
                <w:color w:val="auto"/>
                <w:sz w:val="24"/>
                <w:szCs w:val="24"/>
              </w:rPr>
              <w:t>η1</w:t>
            </w:r>
            <w:r>
              <w:rPr>
                <w:rFonts w:hint="eastAsia" w:ascii="Times New Roman" w:hAnsi="Times New Roman" w:eastAsia="宋体" w:cs="Times New Roman"/>
                <w:color w:val="auto"/>
                <w:sz w:val="24"/>
              </w:rPr>
              <w:t>——</w:t>
            </w:r>
            <w:r>
              <w:rPr>
                <w:rFonts w:hint="eastAsia" w:cs="Times New Roman"/>
                <w:color w:val="auto"/>
                <w:sz w:val="24"/>
                <w:lang w:val="en-US" w:eastAsia="zh-CN"/>
              </w:rPr>
              <w:t>内浮顶罐取0.05，拱顶罐取1；</w:t>
            </w:r>
          </w:p>
          <w:p w14:paraId="5B953FE2">
            <w:pPr>
              <w:adjustRightInd w:val="0"/>
              <w:snapToGrid w:val="0"/>
              <w:spacing w:line="360" w:lineRule="auto"/>
              <w:ind w:firstLine="480" w:firstLineChars="200"/>
              <w:rPr>
                <w:rFonts w:hint="default" w:eastAsia="宋体" w:cs="Times New Roman"/>
                <w:color w:val="auto"/>
                <w:sz w:val="24"/>
                <w:lang w:val="en-US" w:eastAsia="zh-CN"/>
              </w:rPr>
            </w:pPr>
            <w:r>
              <w:rPr>
                <w:rFonts w:hint="default" w:ascii="Times New Roman" w:hAnsi="Times New Roman" w:eastAsia="宋体" w:cs="Times New Roman"/>
                <w:color w:val="auto"/>
                <w:sz w:val="24"/>
                <w:szCs w:val="24"/>
              </w:rPr>
              <w:t>η2</w:t>
            </w:r>
            <w:r>
              <w:rPr>
                <w:rFonts w:hint="eastAsia" w:ascii="Times New Roman" w:hAnsi="Times New Roman" w:eastAsia="宋体" w:cs="Times New Roman"/>
                <w:color w:val="auto"/>
                <w:sz w:val="24"/>
              </w:rPr>
              <w:t>——</w:t>
            </w:r>
            <w:r>
              <w:rPr>
                <w:rFonts w:hint="eastAsia" w:cs="Times New Roman"/>
                <w:color w:val="auto"/>
                <w:sz w:val="24"/>
                <w:lang w:val="en-US" w:eastAsia="zh-CN"/>
              </w:rPr>
              <w:t>设置呼吸阀取0.7，不设呼吸阀取1。</w:t>
            </w:r>
          </w:p>
          <w:p w14:paraId="03E0F17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color w:val="auto"/>
                <w:sz w:val="24"/>
                <w:lang w:eastAsia="zh-CN"/>
              </w:rPr>
            </w:pPr>
            <w:r>
              <w:rPr>
                <w:rFonts w:hint="eastAsia" w:ascii="Times New Roman" w:hAnsi="Times New Roman" w:eastAsia="宋体" w:cs="Times New Roman"/>
                <w:color w:val="auto"/>
                <w:sz w:val="24"/>
              </w:rPr>
              <w:t>b大呼吸气</w:t>
            </w:r>
            <w:r>
              <w:rPr>
                <w:rFonts w:hint="eastAsia" w:ascii="Times New Roman" w:hAnsi="Times New Roman" w:eastAsia="宋体" w:cs="Times New Roman"/>
                <w:color w:val="auto"/>
                <w:sz w:val="24"/>
                <w:lang w:eastAsia="zh-CN"/>
              </w:rPr>
              <w:t>：</w:t>
            </w:r>
          </w:p>
          <w:p w14:paraId="5327B2D2">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eastAsia="宋体"/>
                <w:color w:val="auto"/>
                <w:sz w:val="24"/>
                <w:szCs w:val="24"/>
                <w:lang w:val="en-US" w:eastAsia="zh-CN"/>
              </w:rPr>
            </w:pPr>
            <w:r>
              <w:rPr>
                <w:rFonts w:hint="eastAsia"/>
                <w:color w:val="auto"/>
                <w:sz w:val="24"/>
                <w:szCs w:val="24"/>
              </w:rPr>
              <w:t>LW=4.188×10</w:t>
            </w:r>
            <w:r>
              <w:rPr>
                <w:rFonts w:hint="eastAsia"/>
                <w:color w:val="auto"/>
                <w:sz w:val="24"/>
                <w:szCs w:val="24"/>
                <w:vertAlign w:val="superscript"/>
              </w:rPr>
              <w:t>-7</w:t>
            </w:r>
            <w:r>
              <w:rPr>
                <w:rFonts w:hint="eastAsia"/>
                <w:color w:val="auto"/>
                <w:sz w:val="24"/>
                <w:szCs w:val="24"/>
              </w:rPr>
              <w:t>×M×P×KN×KC×</w:t>
            </w:r>
            <w:r>
              <w:rPr>
                <w:rFonts w:hint="eastAsia"/>
                <w:color w:val="auto"/>
                <w:sz w:val="24"/>
                <w:szCs w:val="24"/>
                <w:lang w:val="en-US" w:eastAsia="zh-CN"/>
              </w:rPr>
              <w:t>V</w:t>
            </w:r>
          </w:p>
          <w:p w14:paraId="6A142B7F">
            <w:pPr>
              <w:pStyle w:val="225"/>
              <w:rPr>
                <w:color w:val="auto"/>
              </w:rPr>
            </w:pPr>
            <w:r>
              <w:rPr>
                <w:rFonts w:hint="eastAsia"/>
                <w:color w:val="auto"/>
              </w:rPr>
              <w:t>式中：LW——固定顶罐的</w:t>
            </w:r>
            <w:r>
              <w:rPr>
                <w:rFonts w:hint="eastAsia"/>
                <w:color w:val="auto"/>
                <w:lang w:val="en-US" w:eastAsia="zh-CN"/>
              </w:rPr>
              <w:t>大呼吸排放量</w:t>
            </w:r>
            <w:r>
              <w:rPr>
                <w:rFonts w:hint="eastAsia"/>
                <w:color w:val="auto"/>
              </w:rPr>
              <w:t>（kg/</w:t>
            </w:r>
            <w:r>
              <w:rPr>
                <w:rFonts w:hint="eastAsia"/>
                <w:color w:val="auto"/>
                <w:lang w:val="en-US" w:eastAsia="zh-CN"/>
              </w:rPr>
              <w:t>a</w:t>
            </w:r>
            <w:r>
              <w:rPr>
                <w:rFonts w:hint="eastAsia"/>
                <w:color w:val="auto"/>
              </w:rPr>
              <w:t>）。</w:t>
            </w:r>
          </w:p>
          <w:p w14:paraId="0EBD7166">
            <w:pPr>
              <w:pStyle w:val="225"/>
              <w:rPr>
                <w:rFonts w:hint="eastAsia"/>
                <w:color w:val="auto"/>
              </w:rPr>
            </w:pPr>
            <w:r>
              <w:rPr>
                <w:rFonts w:hint="eastAsia"/>
                <w:color w:val="auto"/>
              </w:rPr>
              <w:t>KN——周转因子（无量纲），取值按年周转次数（K）确定。</w:t>
            </w:r>
          </w:p>
          <w:p w14:paraId="55A7B815">
            <w:pPr>
              <w:pStyle w:val="225"/>
              <w:rPr>
                <w:rFonts w:hint="eastAsia" w:eastAsia="宋体"/>
                <w:color w:val="auto"/>
                <w:sz w:val="24"/>
                <w:szCs w:val="24"/>
                <w:lang w:eastAsia="zh-CN"/>
              </w:rPr>
            </w:pPr>
            <w:r>
              <w:rPr>
                <w:rFonts w:hint="eastAsia"/>
                <w:color w:val="auto"/>
              </w:rPr>
              <w:t>K&lt;36，KN=1</w:t>
            </w:r>
            <w:r>
              <w:rPr>
                <w:rFonts w:hint="eastAsia"/>
                <w:color w:val="auto"/>
                <w:lang w:eastAsia="zh-CN"/>
              </w:rPr>
              <w:t>；</w:t>
            </w:r>
            <w:r>
              <w:rPr>
                <w:rFonts w:hint="eastAsia"/>
                <w:color w:val="auto"/>
                <w:sz w:val="24"/>
                <w:szCs w:val="24"/>
              </w:rPr>
              <w:t>36&lt;K&lt;220，KN=11.467×K</w:t>
            </w:r>
            <w:r>
              <w:rPr>
                <w:rFonts w:hint="eastAsia"/>
                <w:color w:val="auto"/>
                <w:sz w:val="24"/>
                <w:szCs w:val="24"/>
                <w:vertAlign w:val="superscript"/>
              </w:rPr>
              <w:t>-0.7026</w:t>
            </w:r>
            <w:r>
              <w:rPr>
                <w:rFonts w:hint="eastAsia"/>
                <w:color w:val="auto"/>
                <w:sz w:val="24"/>
                <w:szCs w:val="24"/>
                <w:lang w:eastAsia="zh-CN"/>
              </w:rPr>
              <w:t>；</w:t>
            </w:r>
            <w:r>
              <w:rPr>
                <w:rFonts w:hint="eastAsia"/>
                <w:color w:val="auto"/>
                <w:sz w:val="24"/>
                <w:szCs w:val="24"/>
              </w:rPr>
              <w:t>K&gt;220，KN=0.26</w:t>
            </w:r>
            <w:r>
              <w:rPr>
                <w:rFonts w:hint="eastAsia"/>
                <w:color w:val="auto"/>
                <w:sz w:val="24"/>
                <w:szCs w:val="24"/>
                <w:lang w:eastAsia="zh-CN"/>
              </w:rPr>
              <w:t>。</w:t>
            </w:r>
          </w:p>
          <w:p w14:paraId="435BE3CA">
            <w:pPr>
              <w:spacing w:line="240" w:lineRule="auto"/>
              <w:jc w:val="center"/>
              <w:rPr>
                <w:b/>
                <w:bCs/>
                <w:color w:val="auto"/>
                <w:sz w:val="21"/>
                <w:szCs w:val="21"/>
              </w:rPr>
            </w:pPr>
            <w:r>
              <w:rPr>
                <w:b/>
                <w:bCs/>
                <w:color w:val="auto"/>
                <w:sz w:val="21"/>
                <w:szCs w:val="21"/>
              </w:rPr>
              <w:t>表</w:t>
            </w:r>
            <w:r>
              <w:rPr>
                <w:rFonts w:hint="eastAsia"/>
                <w:b/>
                <w:bCs/>
                <w:color w:val="auto"/>
                <w:sz w:val="21"/>
                <w:szCs w:val="21"/>
              </w:rPr>
              <w:t>4</w:t>
            </w:r>
            <w:r>
              <w:rPr>
                <w:b/>
                <w:bCs/>
                <w:color w:val="auto"/>
                <w:sz w:val="21"/>
                <w:szCs w:val="21"/>
              </w:rPr>
              <w:t>-</w:t>
            </w:r>
            <w:r>
              <w:rPr>
                <w:rFonts w:hint="eastAsia"/>
                <w:b/>
                <w:bCs/>
                <w:color w:val="auto"/>
                <w:sz w:val="21"/>
                <w:szCs w:val="21"/>
                <w:lang w:val="en-US" w:eastAsia="zh-CN"/>
              </w:rPr>
              <w:t>1</w:t>
            </w:r>
            <w:r>
              <w:rPr>
                <w:b/>
                <w:bCs/>
                <w:color w:val="auto"/>
                <w:sz w:val="21"/>
                <w:szCs w:val="21"/>
              </w:rPr>
              <w:t xml:space="preserve"> </w:t>
            </w:r>
            <w:r>
              <w:rPr>
                <w:rFonts w:hint="eastAsia"/>
                <w:b/>
                <w:bCs/>
                <w:color w:val="auto"/>
                <w:sz w:val="21"/>
                <w:szCs w:val="21"/>
              </w:rPr>
              <w:t>参数选取一览表</w:t>
            </w:r>
          </w:p>
          <w:tbl>
            <w:tblPr>
              <w:tblStyle w:val="41"/>
              <w:tblW w:w="7956" w:type="dxa"/>
              <w:jc w:val="center"/>
              <w:tblBorders>
                <w:top w:val="single" w:color="000000" w:sz="8" w:space="0"/>
                <w:left w:val="none" w:color="auto" w:sz="0" w:space="0"/>
                <w:bottom w:val="single" w:color="000000" w:sz="8" w:space="0"/>
                <w:right w:val="none" w:color="auto" w:sz="0" w:space="0"/>
                <w:insideH w:val="single" w:color="000000" w:sz="6" w:space="0"/>
                <w:insideV w:val="single" w:color="000000" w:sz="6" w:space="0"/>
              </w:tblBorders>
              <w:tblLayout w:type="fixed"/>
              <w:tblCellMar>
                <w:top w:w="0" w:type="dxa"/>
                <w:left w:w="0" w:type="dxa"/>
                <w:bottom w:w="0" w:type="dxa"/>
                <w:right w:w="0" w:type="dxa"/>
              </w:tblCellMar>
            </w:tblPr>
            <w:tblGrid>
              <w:gridCol w:w="612"/>
              <w:gridCol w:w="612"/>
              <w:gridCol w:w="612"/>
              <w:gridCol w:w="612"/>
              <w:gridCol w:w="612"/>
              <w:gridCol w:w="612"/>
              <w:gridCol w:w="612"/>
              <w:gridCol w:w="612"/>
              <w:gridCol w:w="612"/>
              <w:gridCol w:w="612"/>
              <w:gridCol w:w="612"/>
              <w:gridCol w:w="612"/>
              <w:gridCol w:w="612"/>
            </w:tblGrid>
            <w:tr w14:paraId="540E89D4">
              <w:tblPrEx>
                <w:tblBorders>
                  <w:top w:val="single" w:color="000000" w:sz="8" w:space="0"/>
                  <w:left w:val="none" w:color="auto" w:sz="0" w:space="0"/>
                  <w:bottom w:val="single" w:color="000000" w:sz="8"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89" w:hRule="exact"/>
                <w:jc w:val="center"/>
              </w:trPr>
              <w:tc>
                <w:tcPr>
                  <w:tcW w:w="612" w:type="dxa"/>
                  <w:noWrap w:val="0"/>
                  <w:vAlign w:val="center"/>
                </w:tcPr>
                <w:p w14:paraId="5407EF25">
                  <w:pPr>
                    <w:spacing w:line="320" w:lineRule="exact"/>
                    <w:jc w:val="center"/>
                    <w:rPr>
                      <w:b/>
                      <w:color w:val="auto"/>
                      <w:szCs w:val="21"/>
                    </w:rPr>
                  </w:pPr>
                  <w:r>
                    <w:rPr>
                      <w:rFonts w:hint="eastAsia"/>
                      <w:b/>
                      <w:color w:val="auto"/>
                      <w:szCs w:val="21"/>
                    </w:rPr>
                    <w:t>参数</w:t>
                  </w:r>
                </w:p>
              </w:tc>
              <w:tc>
                <w:tcPr>
                  <w:tcW w:w="612" w:type="dxa"/>
                  <w:noWrap w:val="0"/>
                  <w:vAlign w:val="center"/>
                </w:tcPr>
                <w:p w14:paraId="47704E86">
                  <w:pPr>
                    <w:spacing w:line="320" w:lineRule="exact"/>
                    <w:jc w:val="center"/>
                    <w:rPr>
                      <w:b/>
                      <w:color w:val="auto"/>
                      <w:szCs w:val="21"/>
                    </w:rPr>
                  </w:pPr>
                  <w:r>
                    <w:rPr>
                      <w:rFonts w:hint="eastAsia"/>
                      <w:b/>
                      <w:color w:val="auto"/>
                      <w:szCs w:val="21"/>
                    </w:rPr>
                    <w:t>M</w:t>
                  </w:r>
                </w:p>
              </w:tc>
              <w:tc>
                <w:tcPr>
                  <w:tcW w:w="612" w:type="dxa"/>
                  <w:noWrap w:val="0"/>
                  <w:vAlign w:val="center"/>
                </w:tcPr>
                <w:p w14:paraId="648DE77E">
                  <w:pPr>
                    <w:spacing w:line="320" w:lineRule="exact"/>
                    <w:jc w:val="center"/>
                    <w:rPr>
                      <w:b/>
                      <w:color w:val="auto"/>
                      <w:szCs w:val="21"/>
                    </w:rPr>
                  </w:pPr>
                  <w:r>
                    <w:rPr>
                      <w:rFonts w:hint="eastAsia"/>
                      <w:b/>
                      <w:color w:val="auto"/>
                      <w:szCs w:val="21"/>
                    </w:rPr>
                    <w:t>P</w:t>
                  </w:r>
                </w:p>
              </w:tc>
              <w:tc>
                <w:tcPr>
                  <w:tcW w:w="612" w:type="dxa"/>
                  <w:noWrap w:val="0"/>
                  <w:vAlign w:val="center"/>
                </w:tcPr>
                <w:p w14:paraId="132C28BC">
                  <w:pPr>
                    <w:spacing w:line="320" w:lineRule="exact"/>
                    <w:jc w:val="center"/>
                    <w:rPr>
                      <w:b/>
                      <w:color w:val="auto"/>
                      <w:szCs w:val="21"/>
                    </w:rPr>
                  </w:pPr>
                  <w:r>
                    <w:rPr>
                      <w:rFonts w:hint="eastAsia"/>
                      <w:b/>
                      <w:color w:val="auto"/>
                      <w:szCs w:val="21"/>
                    </w:rPr>
                    <w:t>H</w:t>
                  </w:r>
                </w:p>
              </w:tc>
              <w:tc>
                <w:tcPr>
                  <w:tcW w:w="612" w:type="dxa"/>
                  <w:noWrap w:val="0"/>
                  <w:vAlign w:val="center"/>
                </w:tcPr>
                <w:p w14:paraId="28D8E113">
                  <w:pPr>
                    <w:spacing w:line="320" w:lineRule="exact"/>
                    <w:jc w:val="center"/>
                    <w:rPr>
                      <w:b/>
                      <w:color w:val="auto"/>
                      <w:szCs w:val="21"/>
                    </w:rPr>
                  </w:pPr>
                  <w:r>
                    <w:rPr>
                      <w:rFonts w:hint="eastAsia"/>
                      <w:b/>
                      <w:color w:val="auto"/>
                      <w:szCs w:val="21"/>
                    </w:rPr>
                    <w:t>Δ</w:t>
                  </w:r>
                  <w:r>
                    <w:rPr>
                      <w:b/>
                      <w:color w:val="auto"/>
                      <w:szCs w:val="21"/>
                    </w:rPr>
                    <w:t>T</w:t>
                  </w:r>
                </w:p>
              </w:tc>
              <w:tc>
                <w:tcPr>
                  <w:tcW w:w="612" w:type="dxa"/>
                  <w:noWrap w:val="0"/>
                  <w:vAlign w:val="center"/>
                </w:tcPr>
                <w:p w14:paraId="6CBF169F">
                  <w:pPr>
                    <w:spacing w:line="320" w:lineRule="exact"/>
                    <w:jc w:val="center"/>
                    <w:rPr>
                      <w:b/>
                      <w:color w:val="auto"/>
                      <w:szCs w:val="21"/>
                    </w:rPr>
                  </w:pPr>
                  <w:r>
                    <w:rPr>
                      <w:rFonts w:hint="eastAsia"/>
                      <w:b/>
                      <w:color w:val="auto"/>
                      <w:szCs w:val="21"/>
                    </w:rPr>
                    <w:t>F</w:t>
                  </w:r>
                  <w:r>
                    <w:rPr>
                      <w:b/>
                      <w:color w:val="auto"/>
                      <w:szCs w:val="21"/>
                    </w:rPr>
                    <w:t>P</w:t>
                  </w:r>
                </w:p>
              </w:tc>
              <w:tc>
                <w:tcPr>
                  <w:tcW w:w="612" w:type="dxa"/>
                  <w:noWrap w:val="0"/>
                  <w:vAlign w:val="center"/>
                </w:tcPr>
                <w:p w14:paraId="0A595852">
                  <w:pPr>
                    <w:spacing w:line="320" w:lineRule="exact"/>
                    <w:jc w:val="center"/>
                    <w:rPr>
                      <w:b/>
                      <w:color w:val="auto"/>
                      <w:szCs w:val="21"/>
                    </w:rPr>
                  </w:pPr>
                  <w:r>
                    <w:rPr>
                      <w:rFonts w:hint="eastAsia"/>
                      <w:b/>
                      <w:color w:val="auto"/>
                      <w:szCs w:val="21"/>
                    </w:rPr>
                    <w:t>C</w:t>
                  </w:r>
                </w:p>
              </w:tc>
              <w:tc>
                <w:tcPr>
                  <w:tcW w:w="612" w:type="dxa"/>
                  <w:noWrap w:val="0"/>
                  <w:vAlign w:val="center"/>
                </w:tcPr>
                <w:p w14:paraId="52563529">
                  <w:pPr>
                    <w:spacing w:line="320" w:lineRule="exact"/>
                    <w:jc w:val="center"/>
                    <w:rPr>
                      <w:b/>
                      <w:color w:val="auto"/>
                      <w:szCs w:val="21"/>
                    </w:rPr>
                  </w:pPr>
                  <w:r>
                    <w:rPr>
                      <w:rFonts w:hint="eastAsia"/>
                      <w:b/>
                      <w:color w:val="auto"/>
                      <w:szCs w:val="21"/>
                    </w:rPr>
                    <w:t>K</w:t>
                  </w:r>
                  <w:r>
                    <w:rPr>
                      <w:b/>
                      <w:color w:val="auto"/>
                      <w:szCs w:val="21"/>
                    </w:rPr>
                    <w:t>N</w:t>
                  </w:r>
                </w:p>
              </w:tc>
              <w:tc>
                <w:tcPr>
                  <w:tcW w:w="612" w:type="dxa"/>
                  <w:noWrap w:val="0"/>
                  <w:vAlign w:val="center"/>
                </w:tcPr>
                <w:p w14:paraId="016EDDEC">
                  <w:pPr>
                    <w:spacing w:line="320" w:lineRule="exact"/>
                    <w:jc w:val="center"/>
                    <w:rPr>
                      <w:b/>
                      <w:color w:val="auto"/>
                      <w:szCs w:val="21"/>
                    </w:rPr>
                  </w:pPr>
                  <w:r>
                    <w:rPr>
                      <w:rFonts w:hint="eastAsia"/>
                      <w:b/>
                      <w:color w:val="auto"/>
                      <w:szCs w:val="21"/>
                    </w:rPr>
                    <w:t>K</w:t>
                  </w:r>
                  <w:r>
                    <w:rPr>
                      <w:b/>
                      <w:color w:val="auto"/>
                      <w:szCs w:val="21"/>
                    </w:rPr>
                    <w:t>C</w:t>
                  </w:r>
                </w:p>
              </w:tc>
              <w:tc>
                <w:tcPr>
                  <w:tcW w:w="612" w:type="dxa"/>
                  <w:noWrap w:val="0"/>
                  <w:vAlign w:val="center"/>
                </w:tcPr>
                <w:p w14:paraId="1E212283">
                  <w:pPr>
                    <w:spacing w:line="320" w:lineRule="exact"/>
                    <w:jc w:val="center"/>
                    <w:rPr>
                      <w:b/>
                      <w:color w:val="auto"/>
                      <w:szCs w:val="21"/>
                    </w:rPr>
                  </w:pPr>
                  <w:r>
                    <w:rPr>
                      <w:rFonts w:hint="eastAsia"/>
                      <w:b/>
                      <w:color w:val="auto"/>
                      <w:szCs w:val="21"/>
                    </w:rPr>
                    <w:t>D</w:t>
                  </w:r>
                </w:p>
              </w:tc>
              <w:tc>
                <w:tcPr>
                  <w:tcW w:w="612" w:type="dxa"/>
                  <w:noWrap w:val="0"/>
                  <w:vAlign w:val="center"/>
                </w:tcPr>
                <w:p w14:paraId="6ABC6654">
                  <w:pPr>
                    <w:spacing w:line="320" w:lineRule="exact"/>
                    <w:jc w:val="center"/>
                    <w:rPr>
                      <w:rFonts w:hint="eastAsia"/>
                      <w:b/>
                      <w:color w:val="auto"/>
                      <w:sz w:val="21"/>
                      <w:szCs w:val="21"/>
                    </w:rPr>
                  </w:pPr>
                  <w:r>
                    <w:rPr>
                      <w:rFonts w:hint="default" w:ascii="Times New Roman" w:hAnsi="Times New Roman" w:eastAsia="宋体" w:cs="Times New Roman"/>
                      <w:color w:val="auto"/>
                      <w:sz w:val="21"/>
                      <w:szCs w:val="21"/>
                    </w:rPr>
                    <w:t>η1</w:t>
                  </w:r>
                </w:p>
              </w:tc>
              <w:tc>
                <w:tcPr>
                  <w:tcW w:w="612" w:type="dxa"/>
                  <w:noWrap w:val="0"/>
                  <w:vAlign w:val="center"/>
                </w:tcPr>
                <w:p w14:paraId="1DF20657">
                  <w:pPr>
                    <w:spacing w:line="320" w:lineRule="exact"/>
                    <w:jc w:val="center"/>
                    <w:rPr>
                      <w:rFonts w:hint="eastAsia" w:eastAsia="宋体"/>
                      <w:b/>
                      <w:color w:val="auto"/>
                      <w:sz w:val="21"/>
                      <w:szCs w:val="21"/>
                      <w:lang w:val="en-US" w:eastAsia="zh-CN"/>
                    </w:rPr>
                  </w:pPr>
                  <w:r>
                    <w:rPr>
                      <w:rFonts w:hint="default" w:ascii="Times New Roman" w:hAnsi="Times New Roman" w:eastAsia="宋体" w:cs="Times New Roman"/>
                      <w:color w:val="auto"/>
                      <w:sz w:val="21"/>
                      <w:szCs w:val="21"/>
                    </w:rPr>
                    <w:t>η</w:t>
                  </w:r>
                  <w:r>
                    <w:rPr>
                      <w:rFonts w:hint="eastAsia" w:cs="Times New Roman"/>
                      <w:color w:val="auto"/>
                      <w:sz w:val="21"/>
                      <w:szCs w:val="21"/>
                      <w:lang w:val="en-US" w:eastAsia="zh-CN"/>
                    </w:rPr>
                    <w:t>2</w:t>
                  </w:r>
                </w:p>
              </w:tc>
              <w:tc>
                <w:tcPr>
                  <w:tcW w:w="612" w:type="dxa"/>
                  <w:noWrap w:val="0"/>
                  <w:vAlign w:val="center"/>
                </w:tcPr>
                <w:p w14:paraId="26F7122F">
                  <w:pPr>
                    <w:spacing w:line="320" w:lineRule="exact"/>
                    <w:jc w:val="center"/>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V</w:t>
                  </w:r>
                </w:p>
              </w:tc>
            </w:tr>
            <w:tr w14:paraId="7937E305">
              <w:tblPrEx>
                <w:tblBorders>
                  <w:top w:val="single" w:color="000000" w:sz="8" w:space="0"/>
                  <w:left w:val="none" w:color="auto" w:sz="0" w:space="0"/>
                  <w:bottom w:val="single" w:color="000000" w:sz="8"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871" w:hRule="exact"/>
                <w:jc w:val="center"/>
              </w:trPr>
              <w:tc>
                <w:tcPr>
                  <w:tcW w:w="612" w:type="dxa"/>
                  <w:noWrap w:val="0"/>
                  <w:vAlign w:val="center"/>
                </w:tcPr>
                <w:p w14:paraId="3F71BD6B">
                  <w:pPr>
                    <w:pStyle w:val="226"/>
                    <w:spacing w:line="280" w:lineRule="exact"/>
                    <w:rPr>
                      <w:rFonts w:hint="eastAsia" w:eastAsia="宋体"/>
                      <w:color w:val="auto"/>
                      <w:szCs w:val="21"/>
                      <w:lang w:val="en-US" w:eastAsia="zh-CN"/>
                    </w:rPr>
                  </w:pPr>
                  <w:r>
                    <w:rPr>
                      <w:rFonts w:hint="eastAsia"/>
                      <w:color w:val="auto"/>
                      <w:szCs w:val="21"/>
                      <w:lang w:val="en-US" w:eastAsia="zh-CN"/>
                    </w:rPr>
                    <w:t>NMP回收储罐</w:t>
                  </w:r>
                </w:p>
              </w:tc>
              <w:tc>
                <w:tcPr>
                  <w:tcW w:w="612" w:type="dxa"/>
                  <w:noWrap w:val="0"/>
                  <w:vAlign w:val="center"/>
                </w:tcPr>
                <w:p w14:paraId="091074F7">
                  <w:pPr>
                    <w:pStyle w:val="226"/>
                    <w:spacing w:line="280" w:lineRule="exact"/>
                    <w:rPr>
                      <w:rFonts w:hint="default" w:eastAsia="宋体"/>
                      <w:color w:val="auto"/>
                      <w:szCs w:val="21"/>
                      <w:lang w:val="en-US" w:eastAsia="zh-CN"/>
                    </w:rPr>
                  </w:pPr>
                  <w:r>
                    <w:rPr>
                      <w:rFonts w:hint="eastAsia"/>
                      <w:color w:val="auto"/>
                      <w:szCs w:val="21"/>
                      <w:lang w:val="en-US" w:eastAsia="zh-CN"/>
                    </w:rPr>
                    <w:t>99.13</w:t>
                  </w:r>
                </w:p>
              </w:tc>
              <w:tc>
                <w:tcPr>
                  <w:tcW w:w="612" w:type="dxa"/>
                  <w:noWrap w:val="0"/>
                  <w:vAlign w:val="center"/>
                </w:tcPr>
                <w:p w14:paraId="3FA75F82">
                  <w:pPr>
                    <w:pStyle w:val="226"/>
                    <w:spacing w:line="280" w:lineRule="exact"/>
                    <w:rPr>
                      <w:rFonts w:hint="default"/>
                      <w:color w:val="auto"/>
                      <w:szCs w:val="21"/>
                      <w:lang w:val="en-US"/>
                    </w:rPr>
                  </w:pPr>
                  <w:r>
                    <w:rPr>
                      <w:rFonts w:hint="eastAsia"/>
                      <w:color w:val="auto"/>
                      <w:szCs w:val="21"/>
                      <w:lang w:val="en-US" w:eastAsia="zh-CN"/>
                    </w:rPr>
                    <w:t>320</w:t>
                  </w:r>
                </w:p>
              </w:tc>
              <w:tc>
                <w:tcPr>
                  <w:tcW w:w="612" w:type="dxa"/>
                  <w:noWrap w:val="0"/>
                  <w:vAlign w:val="center"/>
                </w:tcPr>
                <w:p w14:paraId="43BC606F">
                  <w:pPr>
                    <w:pStyle w:val="226"/>
                    <w:spacing w:line="280" w:lineRule="exact"/>
                    <w:rPr>
                      <w:rFonts w:hint="default" w:eastAsia="宋体"/>
                      <w:color w:val="auto"/>
                      <w:szCs w:val="21"/>
                      <w:lang w:val="en-US" w:eastAsia="zh-CN"/>
                    </w:rPr>
                  </w:pPr>
                  <w:r>
                    <w:rPr>
                      <w:rFonts w:hint="eastAsia"/>
                      <w:color w:val="auto"/>
                      <w:szCs w:val="21"/>
                      <w:lang w:val="en-US" w:eastAsia="zh-CN"/>
                    </w:rPr>
                    <w:t>1.0</w:t>
                  </w:r>
                </w:p>
              </w:tc>
              <w:tc>
                <w:tcPr>
                  <w:tcW w:w="612" w:type="dxa"/>
                  <w:noWrap w:val="0"/>
                  <w:vAlign w:val="center"/>
                </w:tcPr>
                <w:p w14:paraId="2122F197">
                  <w:pPr>
                    <w:pStyle w:val="226"/>
                    <w:spacing w:line="280" w:lineRule="exact"/>
                    <w:rPr>
                      <w:rFonts w:hint="eastAsia"/>
                      <w:color w:val="auto"/>
                      <w:kern w:val="0"/>
                      <w:sz w:val="21"/>
                      <w:szCs w:val="21"/>
                      <w:lang w:val="en-US" w:eastAsia="zh-CN" w:bidi="ar-SA"/>
                    </w:rPr>
                  </w:pPr>
                  <w:r>
                    <w:rPr>
                      <w:rFonts w:hint="eastAsia"/>
                      <w:color w:val="auto"/>
                      <w:szCs w:val="21"/>
                    </w:rPr>
                    <w:t>1</w:t>
                  </w:r>
                  <w:r>
                    <w:rPr>
                      <w:color w:val="auto"/>
                      <w:szCs w:val="21"/>
                    </w:rPr>
                    <w:t>0</w:t>
                  </w:r>
                  <w:r>
                    <w:rPr>
                      <w:rFonts w:hint="default" w:ascii="Times New Roman" w:hAnsi="Times New Roman" w:cs="Times New Roman"/>
                      <w:color w:val="auto"/>
                      <w:szCs w:val="21"/>
                    </w:rPr>
                    <w:t>℃</w:t>
                  </w:r>
                </w:p>
              </w:tc>
              <w:tc>
                <w:tcPr>
                  <w:tcW w:w="612" w:type="dxa"/>
                  <w:noWrap w:val="0"/>
                  <w:vAlign w:val="center"/>
                </w:tcPr>
                <w:p w14:paraId="6ED50240">
                  <w:pPr>
                    <w:pStyle w:val="226"/>
                    <w:spacing w:line="280" w:lineRule="exact"/>
                    <w:rPr>
                      <w:rFonts w:hint="default" w:eastAsia="宋体"/>
                      <w:color w:val="auto"/>
                      <w:kern w:val="0"/>
                      <w:sz w:val="21"/>
                      <w:szCs w:val="21"/>
                      <w:lang w:val="en-US" w:eastAsia="zh-CN" w:bidi="ar-SA"/>
                    </w:rPr>
                  </w:pPr>
                  <w:r>
                    <w:rPr>
                      <w:rFonts w:hint="eastAsia"/>
                      <w:color w:val="auto"/>
                      <w:szCs w:val="21"/>
                      <w:lang w:val="en-US" w:eastAsia="zh-CN"/>
                    </w:rPr>
                    <w:t>1.25</w:t>
                  </w:r>
                </w:p>
              </w:tc>
              <w:tc>
                <w:tcPr>
                  <w:tcW w:w="612" w:type="dxa"/>
                  <w:noWrap w:val="0"/>
                  <w:vAlign w:val="center"/>
                </w:tcPr>
                <w:p w14:paraId="6673BFFD">
                  <w:pPr>
                    <w:pStyle w:val="226"/>
                    <w:spacing w:line="280" w:lineRule="exact"/>
                    <w:rPr>
                      <w:rFonts w:hint="default" w:eastAsia="宋体"/>
                      <w:color w:val="auto"/>
                      <w:szCs w:val="21"/>
                      <w:lang w:val="en-US" w:eastAsia="zh-CN"/>
                    </w:rPr>
                  </w:pPr>
                  <w:r>
                    <w:rPr>
                      <w:rFonts w:hint="eastAsia"/>
                      <w:color w:val="auto"/>
                      <w:szCs w:val="21"/>
                      <w:lang w:val="en-US" w:eastAsia="zh-CN"/>
                    </w:rPr>
                    <w:t>0.308125</w:t>
                  </w:r>
                </w:p>
              </w:tc>
              <w:tc>
                <w:tcPr>
                  <w:tcW w:w="612" w:type="dxa"/>
                  <w:noWrap w:val="0"/>
                  <w:vAlign w:val="center"/>
                </w:tcPr>
                <w:p w14:paraId="522CDC20">
                  <w:pPr>
                    <w:pStyle w:val="226"/>
                    <w:spacing w:line="280" w:lineRule="exact"/>
                    <w:rPr>
                      <w:rFonts w:hint="default" w:eastAsia="宋体"/>
                      <w:color w:val="auto"/>
                      <w:szCs w:val="21"/>
                      <w:lang w:val="en-US" w:eastAsia="zh-CN"/>
                    </w:rPr>
                  </w:pPr>
                  <w:r>
                    <w:rPr>
                      <w:rFonts w:hint="eastAsia"/>
                      <w:color w:val="auto"/>
                      <w:szCs w:val="21"/>
                      <w:lang w:val="en-US" w:eastAsia="zh-CN"/>
                    </w:rPr>
                    <w:t>0.26</w:t>
                  </w:r>
                </w:p>
              </w:tc>
              <w:tc>
                <w:tcPr>
                  <w:tcW w:w="612" w:type="dxa"/>
                  <w:noWrap w:val="0"/>
                  <w:vAlign w:val="center"/>
                </w:tcPr>
                <w:p w14:paraId="1F1E7EF2">
                  <w:pPr>
                    <w:pStyle w:val="226"/>
                    <w:spacing w:line="280" w:lineRule="exact"/>
                    <w:rPr>
                      <w:rFonts w:hint="default" w:eastAsia="宋体"/>
                      <w:color w:val="auto"/>
                      <w:szCs w:val="21"/>
                      <w:lang w:val="en-US" w:eastAsia="zh-CN"/>
                    </w:rPr>
                  </w:pPr>
                  <w:r>
                    <w:rPr>
                      <w:rFonts w:hint="eastAsia"/>
                      <w:color w:val="auto"/>
                      <w:szCs w:val="21"/>
                      <w:lang w:val="en-US" w:eastAsia="zh-CN"/>
                    </w:rPr>
                    <w:t>1.0</w:t>
                  </w:r>
                </w:p>
              </w:tc>
              <w:tc>
                <w:tcPr>
                  <w:tcW w:w="612" w:type="dxa"/>
                  <w:noWrap w:val="0"/>
                  <w:vAlign w:val="center"/>
                </w:tcPr>
                <w:p w14:paraId="385B8D92">
                  <w:pPr>
                    <w:pStyle w:val="226"/>
                    <w:spacing w:line="280" w:lineRule="exact"/>
                    <w:rPr>
                      <w:rFonts w:hint="default" w:eastAsia="宋体"/>
                      <w:color w:val="auto"/>
                      <w:szCs w:val="21"/>
                      <w:lang w:val="en-US" w:eastAsia="zh-CN"/>
                    </w:rPr>
                  </w:pPr>
                  <w:r>
                    <w:rPr>
                      <w:rFonts w:hint="eastAsia"/>
                      <w:color w:val="auto"/>
                      <w:szCs w:val="21"/>
                      <w:lang w:val="en-US" w:eastAsia="zh-CN"/>
                    </w:rPr>
                    <w:t>1.5</w:t>
                  </w:r>
                </w:p>
              </w:tc>
              <w:tc>
                <w:tcPr>
                  <w:tcW w:w="612" w:type="dxa"/>
                  <w:noWrap w:val="0"/>
                  <w:vAlign w:val="center"/>
                </w:tcPr>
                <w:p w14:paraId="43F25E6A">
                  <w:pPr>
                    <w:pStyle w:val="226"/>
                    <w:spacing w:line="280" w:lineRule="exact"/>
                    <w:rPr>
                      <w:rFonts w:hint="default"/>
                      <w:color w:val="auto"/>
                      <w:szCs w:val="21"/>
                      <w:lang w:val="en-US" w:eastAsia="zh-CN"/>
                    </w:rPr>
                  </w:pPr>
                  <w:r>
                    <w:rPr>
                      <w:rFonts w:hint="eastAsia"/>
                      <w:color w:val="auto"/>
                      <w:szCs w:val="21"/>
                      <w:lang w:val="en-US" w:eastAsia="zh-CN"/>
                    </w:rPr>
                    <w:t>1</w:t>
                  </w:r>
                </w:p>
              </w:tc>
              <w:tc>
                <w:tcPr>
                  <w:tcW w:w="612" w:type="dxa"/>
                  <w:noWrap w:val="0"/>
                  <w:vAlign w:val="center"/>
                </w:tcPr>
                <w:p w14:paraId="00631E3D">
                  <w:pPr>
                    <w:pStyle w:val="226"/>
                    <w:spacing w:line="280" w:lineRule="exact"/>
                    <w:rPr>
                      <w:rFonts w:hint="default"/>
                      <w:color w:val="auto"/>
                      <w:szCs w:val="21"/>
                      <w:lang w:val="en-US" w:eastAsia="zh-CN"/>
                    </w:rPr>
                  </w:pPr>
                  <w:r>
                    <w:rPr>
                      <w:rFonts w:hint="eastAsia"/>
                      <w:color w:val="auto"/>
                      <w:szCs w:val="21"/>
                      <w:lang w:val="en-US" w:eastAsia="zh-CN"/>
                    </w:rPr>
                    <w:t>0.7</w:t>
                  </w:r>
                </w:p>
              </w:tc>
              <w:tc>
                <w:tcPr>
                  <w:tcW w:w="612" w:type="dxa"/>
                  <w:noWrap w:val="0"/>
                  <w:vAlign w:val="center"/>
                </w:tcPr>
                <w:p w14:paraId="57E2513A">
                  <w:pPr>
                    <w:pStyle w:val="226"/>
                    <w:spacing w:line="280" w:lineRule="exact"/>
                    <w:rPr>
                      <w:rFonts w:hint="default"/>
                      <w:color w:val="auto"/>
                      <w:szCs w:val="21"/>
                      <w:lang w:val="en-US" w:eastAsia="zh-CN"/>
                    </w:rPr>
                  </w:pPr>
                  <w:r>
                    <w:rPr>
                      <w:rFonts w:hint="eastAsia"/>
                      <w:color w:val="auto"/>
                      <w:szCs w:val="21"/>
                      <w:lang w:val="en-US" w:eastAsia="zh-CN"/>
                    </w:rPr>
                    <w:t>5.0888</w:t>
                  </w:r>
                </w:p>
              </w:tc>
            </w:tr>
            <w:tr w14:paraId="377F182E">
              <w:tblPrEx>
                <w:tblBorders>
                  <w:top w:val="single" w:color="000000" w:sz="8" w:space="0"/>
                  <w:left w:val="none" w:color="auto" w:sz="0" w:space="0"/>
                  <w:bottom w:val="single" w:color="000000" w:sz="8"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728" w:hRule="exact"/>
                <w:jc w:val="center"/>
              </w:trPr>
              <w:tc>
                <w:tcPr>
                  <w:tcW w:w="612" w:type="dxa"/>
                  <w:noWrap w:val="0"/>
                  <w:vAlign w:val="center"/>
                </w:tcPr>
                <w:p w14:paraId="0DC81961">
                  <w:pPr>
                    <w:pStyle w:val="226"/>
                    <w:spacing w:line="280" w:lineRule="exact"/>
                    <w:rPr>
                      <w:rFonts w:hint="default"/>
                      <w:color w:val="auto"/>
                      <w:szCs w:val="21"/>
                      <w:lang w:val="en-US" w:eastAsia="zh-CN"/>
                    </w:rPr>
                  </w:pPr>
                  <w:r>
                    <w:rPr>
                      <w:rFonts w:hint="eastAsia"/>
                      <w:color w:val="auto"/>
                      <w:szCs w:val="21"/>
                      <w:lang w:val="en-US" w:eastAsia="zh-CN"/>
                    </w:rPr>
                    <w:t>NMP储罐</w:t>
                  </w:r>
                </w:p>
              </w:tc>
              <w:tc>
                <w:tcPr>
                  <w:tcW w:w="612" w:type="dxa"/>
                  <w:noWrap w:val="0"/>
                  <w:vAlign w:val="center"/>
                </w:tcPr>
                <w:p w14:paraId="436C5138">
                  <w:pPr>
                    <w:pStyle w:val="226"/>
                    <w:spacing w:line="280" w:lineRule="exact"/>
                    <w:rPr>
                      <w:rFonts w:hint="eastAsia"/>
                      <w:color w:val="auto"/>
                      <w:szCs w:val="21"/>
                      <w:lang w:val="en-US" w:eastAsia="zh-CN"/>
                    </w:rPr>
                  </w:pPr>
                  <w:r>
                    <w:rPr>
                      <w:rFonts w:hint="eastAsia"/>
                      <w:color w:val="auto"/>
                      <w:szCs w:val="21"/>
                      <w:lang w:val="en-US" w:eastAsia="zh-CN"/>
                    </w:rPr>
                    <w:t>99.13</w:t>
                  </w:r>
                </w:p>
              </w:tc>
              <w:tc>
                <w:tcPr>
                  <w:tcW w:w="612" w:type="dxa"/>
                  <w:noWrap w:val="0"/>
                  <w:vAlign w:val="center"/>
                </w:tcPr>
                <w:p w14:paraId="19836473">
                  <w:pPr>
                    <w:pStyle w:val="226"/>
                    <w:spacing w:line="280" w:lineRule="exact"/>
                    <w:rPr>
                      <w:rFonts w:hint="default"/>
                      <w:color w:val="auto"/>
                      <w:szCs w:val="21"/>
                      <w:lang w:val="en-US" w:eastAsia="zh-CN"/>
                    </w:rPr>
                  </w:pPr>
                  <w:r>
                    <w:rPr>
                      <w:rFonts w:hint="eastAsia"/>
                      <w:color w:val="auto"/>
                      <w:szCs w:val="21"/>
                      <w:lang w:val="en-US" w:eastAsia="zh-CN"/>
                    </w:rPr>
                    <w:t>320</w:t>
                  </w:r>
                </w:p>
              </w:tc>
              <w:tc>
                <w:tcPr>
                  <w:tcW w:w="612" w:type="dxa"/>
                  <w:noWrap w:val="0"/>
                  <w:vAlign w:val="center"/>
                </w:tcPr>
                <w:p w14:paraId="06AC1889">
                  <w:pPr>
                    <w:pStyle w:val="226"/>
                    <w:spacing w:line="280" w:lineRule="exact"/>
                    <w:rPr>
                      <w:rFonts w:hint="default"/>
                      <w:color w:val="auto"/>
                      <w:szCs w:val="21"/>
                      <w:lang w:val="en-US" w:eastAsia="zh-CN"/>
                    </w:rPr>
                  </w:pPr>
                  <w:r>
                    <w:rPr>
                      <w:rFonts w:hint="eastAsia"/>
                      <w:color w:val="auto"/>
                      <w:szCs w:val="21"/>
                      <w:lang w:val="en-US" w:eastAsia="zh-CN"/>
                    </w:rPr>
                    <w:t>1.0</w:t>
                  </w:r>
                </w:p>
              </w:tc>
              <w:tc>
                <w:tcPr>
                  <w:tcW w:w="612" w:type="dxa"/>
                  <w:noWrap w:val="0"/>
                  <w:vAlign w:val="center"/>
                </w:tcPr>
                <w:p w14:paraId="7701E4B9">
                  <w:pPr>
                    <w:pStyle w:val="226"/>
                    <w:spacing w:line="280" w:lineRule="exact"/>
                    <w:rPr>
                      <w:rFonts w:hint="eastAsia"/>
                      <w:color w:val="auto"/>
                      <w:szCs w:val="21"/>
                    </w:rPr>
                  </w:pPr>
                  <w:r>
                    <w:rPr>
                      <w:rFonts w:hint="eastAsia"/>
                      <w:color w:val="auto"/>
                      <w:szCs w:val="21"/>
                    </w:rPr>
                    <w:t>1</w:t>
                  </w:r>
                  <w:r>
                    <w:rPr>
                      <w:color w:val="auto"/>
                      <w:szCs w:val="21"/>
                    </w:rPr>
                    <w:t>0</w:t>
                  </w:r>
                  <w:r>
                    <w:rPr>
                      <w:rFonts w:hint="default" w:ascii="Times New Roman" w:hAnsi="Times New Roman" w:cs="Times New Roman"/>
                      <w:color w:val="auto"/>
                      <w:szCs w:val="21"/>
                    </w:rPr>
                    <w:t>℃</w:t>
                  </w:r>
                </w:p>
              </w:tc>
              <w:tc>
                <w:tcPr>
                  <w:tcW w:w="612" w:type="dxa"/>
                  <w:noWrap w:val="0"/>
                  <w:vAlign w:val="center"/>
                </w:tcPr>
                <w:p w14:paraId="6D56790B">
                  <w:pPr>
                    <w:pStyle w:val="226"/>
                    <w:spacing w:line="280" w:lineRule="exact"/>
                    <w:rPr>
                      <w:rFonts w:hint="default"/>
                      <w:color w:val="auto"/>
                      <w:szCs w:val="21"/>
                      <w:lang w:val="en-US" w:eastAsia="zh-CN"/>
                    </w:rPr>
                  </w:pPr>
                  <w:r>
                    <w:rPr>
                      <w:rFonts w:hint="eastAsia"/>
                      <w:color w:val="auto"/>
                      <w:szCs w:val="21"/>
                      <w:lang w:val="en-US" w:eastAsia="zh-CN"/>
                    </w:rPr>
                    <w:t>1.25</w:t>
                  </w:r>
                </w:p>
              </w:tc>
              <w:tc>
                <w:tcPr>
                  <w:tcW w:w="612" w:type="dxa"/>
                  <w:noWrap w:val="0"/>
                  <w:vAlign w:val="center"/>
                </w:tcPr>
                <w:p w14:paraId="2C4AE3E6">
                  <w:pPr>
                    <w:pStyle w:val="226"/>
                    <w:spacing w:line="280" w:lineRule="exact"/>
                    <w:rPr>
                      <w:rFonts w:hint="default"/>
                      <w:color w:val="auto"/>
                      <w:szCs w:val="21"/>
                      <w:lang w:val="en-US" w:eastAsia="zh-CN"/>
                    </w:rPr>
                  </w:pPr>
                  <w:r>
                    <w:rPr>
                      <w:rFonts w:hint="eastAsia"/>
                      <w:color w:val="auto"/>
                      <w:szCs w:val="21"/>
                      <w:lang w:val="en-US" w:eastAsia="zh-CN"/>
                    </w:rPr>
                    <w:t>0.2128</w:t>
                  </w:r>
                </w:p>
              </w:tc>
              <w:tc>
                <w:tcPr>
                  <w:tcW w:w="612" w:type="dxa"/>
                  <w:noWrap w:val="0"/>
                  <w:vAlign w:val="center"/>
                </w:tcPr>
                <w:p w14:paraId="737E2F9B">
                  <w:pPr>
                    <w:pStyle w:val="226"/>
                    <w:spacing w:line="280" w:lineRule="exact"/>
                    <w:rPr>
                      <w:rFonts w:hint="default"/>
                      <w:color w:val="auto"/>
                      <w:szCs w:val="21"/>
                      <w:lang w:val="en-US" w:eastAsia="zh-CN"/>
                    </w:rPr>
                  </w:pPr>
                  <w:r>
                    <w:rPr>
                      <w:rFonts w:hint="eastAsia"/>
                      <w:color w:val="auto"/>
                      <w:szCs w:val="21"/>
                      <w:lang w:val="en-US" w:eastAsia="zh-CN"/>
                    </w:rPr>
                    <w:t>0.26</w:t>
                  </w:r>
                </w:p>
              </w:tc>
              <w:tc>
                <w:tcPr>
                  <w:tcW w:w="612" w:type="dxa"/>
                  <w:noWrap w:val="0"/>
                  <w:vAlign w:val="center"/>
                </w:tcPr>
                <w:p w14:paraId="1DA090A4">
                  <w:pPr>
                    <w:pStyle w:val="226"/>
                    <w:spacing w:line="280" w:lineRule="exact"/>
                    <w:rPr>
                      <w:rFonts w:hint="default"/>
                      <w:color w:val="auto"/>
                      <w:szCs w:val="21"/>
                      <w:lang w:val="en-US" w:eastAsia="zh-CN"/>
                    </w:rPr>
                  </w:pPr>
                  <w:r>
                    <w:rPr>
                      <w:rFonts w:hint="eastAsia"/>
                      <w:color w:val="auto"/>
                      <w:szCs w:val="21"/>
                      <w:lang w:val="en-US" w:eastAsia="zh-CN"/>
                    </w:rPr>
                    <w:t>1.0</w:t>
                  </w:r>
                </w:p>
              </w:tc>
              <w:tc>
                <w:tcPr>
                  <w:tcW w:w="612" w:type="dxa"/>
                  <w:noWrap w:val="0"/>
                  <w:vAlign w:val="center"/>
                </w:tcPr>
                <w:p w14:paraId="1D1A2150">
                  <w:pPr>
                    <w:pStyle w:val="226"/>
                    <w:spacing w:line="280" w:lineRule="exact"/>
                    <w:rPr>
                      <w:rFonts w:hint="default"/>
                      <w:color w:val="auto"/>
                      <w:szCs w:val="21"/>
                      <w:lang w:val="en-US" w:eastAsia="zh-CN"/>
                    </w:rPr>
                  </w:pPr>
                  <w:r>
                    <w:rPr>
                      <w:rFonts w:hint="eastAsia"/>
                      <w:color w:val="auto"/>
                      <w:szCs w:val="21"/>
                      <w:lang w:val="en-US" w:eastAsia="zh-CN"/>
                    </w:rPr>
                    <w:t>1</w:t>
                  </w:r>
                </w:p>
              </w:tc>
              <w:tc>
                <w:tcPr>
                  <w:tcW w:w="612" w:type="dxa"/>
                  <w:noWrap w:val="0"/>
                  <w:vAlign w:val="center"/>
                </w:tcPr>
                <w:p w14:paraId="195BD46A">
                  <w:pPr>
                    <w:pStyle w:val="226"/>
                    <w:spacing w:line="280" w:lineRule="exact"/>
                    <w:rPr>
                      <w:rFonts w:hint="default"/>
                      <w:color w:val="auto"/>
                      <w:szCs w:val="21"/>
                      <w:lang w:val="en-US" w:eastAsia="zh-CN"/>
                    </w:rPr>
                  </w:pPr>
                  <w:r>
                    <w:rPr>
                      <w:rFonts w:hint="eastAsia"/>
                      <w:color w:val="auto"/>
                      <w:szCs w:val="21"/>
                      <w:lang w:val="en-US" w:eastAsia="zh-CN"/>
                    </w:rPr>
                    <w:t>1</w:t>
                  </w:r>
                </w:p>
              </w:tc>
              <w:tc>
                <w:tcPr>
                  <w:tcW w:w="612" w:type="dxa"/>
                  <w:noWrap w:val="0"/>
                  <w:vAlign w:val="center"/>
                </w:tcPr>
                <w:p w14:paraId="425F341B">
                  <w:pPr>
                    <w:pStyle w:val="226"/>
                    <w:spacing w:line="280" w:lineRule="exact"/>
                    <w:rPr>
                      <w:rFonts w:hint="default"/>
                      <w:color w:val="auto"/>
                      <w:szCs w:val="21"/>
                      <w:lang w:val="en-US" w:eastAsia="zh-CN"/>
                    </w:rPr>
                  </w:pPr>
                  <w:r>
                    <w:rPr>
                      <w:rFonts w:hint="eastAsia"/>
                      <w:color w:val="auto"/>
                      <w:szCs w:val="21"/>
                      <w:lang w:val="en-US" w:eastAsia="zh-CN"/>
                    </w:rPr>
                    <w:t>0.7</w:t>
                  </w:r>
                </w:p>
              </w:tc>
              <w:tc>
                <w:tcPr>
                  <w:tcW w:w="612" w:type="dxa"/>
                  <w:noWrap w:val="0"/>
                  <w:vAlign w:val="center"/>
                </w:tcPr>
                <w:p w14:paraId="5E243D04">
                  <w:pPr>
                    <w:pStyle w:val="226"/>
                    <w:spacing w:line="280" w:lineRule="exact"/>
                    <w:rPr>
                      <w:rFonts w:hint="default"/>
                      <w:color w:val="auto"/>
                      <w:szCs w:val="21"/>
                      <w:lang w:val="en-US" w:eastAsia="zh-CN"/>
                    </w:rPr>
                  </w:pPr>
                  <w:r>
                    <w:rPr>
                      <w:rFonts w:hint="eastAsia"/>
                      <w:color w:val="auto"/>
                      <w:szCs w:val="21"/>
                      <w:lang w:val="en-US" w:eastAsia="zh-CN"/>
                    </w:rPr>
                    <w:t>2.55</w:t>
                  </w:r>
                </w:p>
              </w:tc>
            </w:tr>
          </w:tbl>
          <w:p w14:paraId="7CF35524">
            <w:pPr>
              <w:pStyle w:val="225"/>
              <w:snapToGrid/>
              <w:rPr>
                <w:color w:val="auto"/>
              </w:rPr>
            </w:pPr>
            <w:r>
              <w:rPr>
                <w:rFonts w:hint="eastAsia"/>
                <w:color w:val="auto"/>
              </w:rPr>
              <w:t>根据上式及参数计算的储罐呼吸废气见下表：</w:t>
            </w:r>
          </w:p>
          <w:p w14:paraId="38B8D1B0">
            <w:pPr>
              <w:spacing w:line="240" w:lineRule="auto"/>
              <w:jc w:val="center"/>
              <w:rPr>
                <w:b/>
                <w:bCs/>
                <w:color w:val="auto"/>
                <w:sz w:val="21"/>
                <w:szCs w:val="21"/>
              </w:rPr>
            </w:pPr>
            <w:r>
              <w:rPr>
                <w:b/>
                <w:bCs/>
                <w:color w:val="auto"/>
                <w:sz w:val="21"/>
                <w:szCs w:val="21"/>
              </w:rPr>
              <w:t>表</w:t>
            </w:r>
            <w:r>
              <w:rPr>
                <w:rFonts w:hint="eastAsia"/>
                <w:b/>
                <w:bCs/>
                <w:color w:val="auto"/>
                <w:sz w:val="21"/>
                <w:szCs w:val="21"/>
              </w:rPr>
              <w:t>4</w:t>
            </w:r>
            <w:r>
              <w:rPr>
                <w:b/>
                <w:bCs/>
                <w:color w:val="auto"/>
                <w:sz w:val="21"/>
                <w:szCs w:val="21"/>
              </w:rPr>
              <w:t>-</w:t>
            </w:r>
            <w:r>
              <w:rPr>
                <w:rFonts w:hint="eastAsia"/>
                <w:b/>
                <w:bCs/>
                <w:color w:val="auto"/>
                <w:sz w:val="21"/>
                <w:szCs w:val="21"/>
                <w:lang w:val="en-US" w:eastAsia="zh-CN"/>
              </w:rPr>
              <w:t>2</w:t>
            </w:r>
            <w:r>
              <w:rPr>
                <w:b/>
                <w:bCs/>
                <w:color w:val="auto"/>
                <w:sz w:val="21"/>
                <w:szCs w:val="21"/>
              </w:rPr>
              <w:t xml:space="preserve"> </w:t>
            </w:r>
            <w:r>
              <w:rPr>
                <w:rFonts w:hint="eastAsia"/>
                <w:b/>
                <w:bCs/>
                <w:color w:val="auto"/>
                <w:sz w:val="21"/>
                <w:szCs w:val="21"/>
              </w:rPr>
              <w:t>储罐大小呼吸废气产生量</w:t>
            </w:r>
          </w:p>
          <w:tbl>
            <w:tblPr>
              <w:tblStyle w:val="41"/>
              <w:tblW w:w="7819" w:type="dxa"/>
              <w:tblInd w:w="30" w:type="dxa"/>
              <w:tblBorders>
                <w:top w:val="single" w:color="000000" w:sz="8" w:space="0"/>
                <w:left w:val="none" w:color="auto" w:sz="0" w:space="0"/>
                <w:bottom w:val="single" w:color="000000" w:sz="8" w:space="0"/>
                <w:right w:val="none" w:color="auto" w:sz="0" w:space="0"/>
                <w:insideH w:val="single" w:color="000000" w:sz="6" w:space="0"/>
                <w:insideV w:val="single" w:color="000000" w:sz="6" w:space="0"/>
              </w:tblBorders>
              <w:tblLayout w:type="fixed"/>
              <w:tblCellMar>
                <w:top w:w="0" w:type="dxa"/>
                <w:left w:w="0" w:type="dxa"/>
                <w:bottom w:w="0" w:type="dxa"/>
                <w:right w:w="0" w:type="dxa"/>
              </w:tblCellMar>
            </w:tblPr>
            <w:tblGrid>
              <w:gridCol w:w="1263"/>
              <w:gridCol w:w="2408"/>
              <w:gridCol w:w="2203"/>
              <w:gridCol w:w="1945"/>
            </w:tblGrid>
            <w:tr w14:paraId="059F63C8">
              <w:tblPrEx>
                <w:tblBorders>
                  <w:top w:val="single" w:color="000000" w:sz="8" w:space="0"/>
                  <w:left w:val="none" w:color="auto" w:sz="0" w:space="0"/>
                  <w:bottom w:val="single" w:color="000000" w:sz="8"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493" w:hRule="exact"/>
              </w:trPr>
              <w:tc>
                <w:tcPr>
                  <w:tcW w:w="1263" w:type="dxa"/>
                  <w:noWrap w:val="0"/>
                  <w:vAlign w:val="center"/>
                </w:tcPr>
                <w:p w14:paraId="0F72844A">
                  <w:pPr>
                    <w:spacing w:line="320" w:lineRule="exact"/>
                    <w:jc w:val="center"/>
                    <w:rPr>
                      <w:b/>
                      <w:color w:val="auto"/>
                      <w:szCs w:val="21"/>
                    </w:rPr>
                  </w:pPr>
                  <w:r>
                    <w:rPr>
                      <w:rFonts w:hint="eastAsia"/>
                      <w:b/>
                      <w:color w:val="auto"/>
                      <w:szCs w:val="21"/>
                    </w:rPr>
                    <w:t>储罐</w:t>
                  </w:r>
                </w:p>
              </w:tc>
              <w:tc>
                <w:tcPr>
                  <w:tcW w:w="2408" w:type="dxa"/>
                  <w:noWrap w:val="0"/>
                  <w:vAlign w:val="center"/>
                </w:tcPr>
                <w:p w14:paraId="7EA54C06">
                  <w:pPr>
                    <w:spacing w:line="320" w:lineRule="exact"/>
                    <w:jc w:val="center"/>
                    <w:rPr>
                      <w:b/>
                      <w:color w:val="auto"/>
                      <w:szCs w:val="21"/>
                    </w:rPr>
                  </w:pPr>
                  <w:r>
                    <w:rPr>
                      <w:rFonts w:hint="eastAsia"/>
                      <w:b/>
                      <w:color w:val="auto"/>
                      <w:szCs w:val="21"/>
                    </w:rPr>
                    <w:t>小呼吸气（kg</w:t>
                  </w:r>
                  <w:r>
                    <w:rPr>
                      <w:b/>
                      <w:color w:val="auto"/>
                      <w:szCs w:val="21"/>
                    </w:rPr>
                    <w:t>/a</w:t>
                  </w:r>
                  <w:r>
                    <w:rPr>
                      <w:rFonts w:hint="eastAsia"/>
                      <w:b/>
                      <w:color w:val="auto"/>
                      <w:szCs w:val="21"/>
                    </w:rPr>
                    <w:t>）</w:t>
                  </w:r>
                </w:p>
              </w:tc>
              <w:tc>
                <w:tcPr>
                  <w:tcW w:w="2203" w:type="dxa"/>
                  <w:noWrap w:val="0"/>
                  <w:vAlign w:val="center"/>
                </w:tcPr>
                <w:p w14:paraId="4F61005A">
                  <w:pPr>
                    <w:spacing w:line="320" w:lineRule="exact"/>
                    <w:jc w:val="center"/>
                    <w:rPr>
                      <w:rFonts w:hint="eastAsia"/>
                      <w:b/>
                      <w:color w:val="auto"/>
                      <w:szCs w:val="21"/>
                    </w:rPr>
                  </w:pPr>
                  <w:r>
                    <w:rPr>
                      <w:rFonts w:hint="eastAsia"/>
                      <w:b/>
                      <w:color w:val="auto"/>
                      <w:szCs w:val="21"/>
                    </w:rPr>
                    <w:t>大呼吸气（kg</w:t>
                  </w:r>
                  <w:r>
                    <w:rPr>
                      <w:b/>
                      <w:color w:val="auto"/>
                      <w:szCs w:val="21"/>
                    </w:rPr>
                    <w:t>/a</w:t>
                  </w:r>
                  <w:r>
                    <w:rPr>
                      <w:rFonts w:hint="eastAsia"/>
                      <w:b/>
                      <w:color w:val="auto"/>
                      <w:szCs w:val="21"/>
                    </w:rPr>
                    <w:t>）</w:t>
                  </w:r>
                </w:p>
              </w:tc>
              <w:tc>
                <w:tcPr>
                  <w:tcW w:w="1945" w:type="dxa"/>
                  <w:noWrap w:val="0"/>
                  <w:vAlign w:val="center"/>
                </w:tcPr>
                <w:p w14:paraId="37E674F1">
                  <w:pPr>
                    <w:spacing w:line="320" w:lineRule="exact"/>
                    <w:jc w:val="center"/>
                    <w:rPr>
                      <w:b/>
                      <w:color w:val="auto"/>
                      <w:szCs w:val="21"/>
                    </w:rPr>
                  </w:pPr>
                  <w:r>
                    <w:rPr>
                      <w:rFonts w:hint="eastAsia"/>
                      <w:b/>
                      <w:color w:val="auto"/>
                      <w:szCs w:val="21"/>
                    </w:rPr>
                    <w:t>合计（</w:t>
                  </w:r>
                  <w:r>
                    <w:rPr>
                      <w:rFonts w:hint="eastAsia"/>
                      <w:b/>
                      <w:color w:val="auto"/>
                      <w:szCs w:val="21"/>
                      <w:lang w:val="en-US" w:eastAsia="zh-CN"/>
                    </w:rPr>
                    <w:t>kg</w:t>
                  </w:r>
                  <w:r>
                    <w:rPr>
                      <w:b/>
                      <w:color w:val="auto"/>
                      <w:szCs w:val="21"/>
                    </w:rPr>
                    <w:t>/a</w:t>
                  </w:r>
                  <w:r>
                    <w:rPr>
                      <w:rFonts w:hint="eastAsia"/>
                      <w:b/>
                      <w:color w:val="auto"/>
                      <w:szCs w:val="21"/>
                    </w:rPr>
                    <w:t>）</w:t>
                  </w:r>
                </w:p>
              </w:tc>
            </w:tr>
            <w:tr w14:paraId="681D888D">
              <w:tblPrEx>
                <w:tblBorders>
                  <w:top w:val="single" w:color="000000" w:sz="8" w:space="0"/>
                  <w:left w:val="none" w:color="auto" w:sz="0" w:space="0"/>
                  <w:bottom w:val="single" w:color="000000" w:sz="8"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651" w:hRule="exact"/>
              </w:trPr>
              <w:tc>
                <w:tcPr>
                  <w:tcW w:w="1263" w:type="dxa"/>
                  <w:noWrap w:val="0"/>
                  <w:vAlign w:val="center"/>
                </w:tcPr>
                <w:p w14:paraId="130FF343">
                  <w:pPr>
                    <w:spacing w:line="320" w:lineRule="exact"/>
                    <w:jc w:val="center"/>
                    <w:rPr>
                      <w:rFonts w:hint="eastAsia" w:eastAsia="宋体"/>
                      <w:color w:val="000000" w:themeColor="text1"/>
                      <w:szCs w:val="21"/>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NMP回收储罐</w:t>
                  </w:r>
                </w:p>
              </w:tc>
              <w:tc>
                <w:tcPr>
                  <w:tcW w:w="2408" w:type="dxa"/>
                  <w:noWrap w:val="0"/>
                  <w:vAlign w:val="center"/>
                </w:tcPr>
                <w:p w14:paraId="3D691357">
                  <w:pPr>
                    <w:spacing w:line="320" w:lineRule="exact"/>
                    <w:jc w:val="center"/>
                    <w:rPr>
                      <w:rFonts w:hint="default" w:eastAsia="宋体"/>
                      <w:color w:val="000000" w:themeColor="text1"/>
                      <w:szCs w:val="21"/>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0.58</w:t>
                  </w:r>
                </w:p>
              </w:tc>
              <w:tc>
                <w:tcPr>
                  <w:tcW w:w="2203" w:type="dxa"/>
                  <w:noWrap w:val="0"/>
                  <w:vAlign w:val="center"/>
                </w:tcPr>
                <w:p w14:paraId="21524C4C">
                  <w:pPr>
                    <w:pStyle w:val="226"/>
                    <w:spacing w:line="280" w:lineRule="exact"/>
                    <w:rPr>
                      <w:rFonts w:hint="default" w:eastAsia="宋体"/>
                      <w:color w:val="000000" w:themeColor="text1"/>
                      <w:szCs w:val="21"/>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0.02</w:t>
                  </w:r>
                </w:p>
              </w:tc>
              <w:tc>
                <w:tcPr>
                  <w:tcW w:w="1945" w:type="dxa"/>
                  <w:noWrap w:val="0"/>
                  <w:vAlign w:val="center"/>
                </w:tcPr>
                <w:p w14:paraId="00BA6DF7">
                  <w:pPr>
                    <w:pStyle w:val="226"/>
                    <w:spacing w:line="280" w:lineRule="exact"/>
                    <w:rPr>
                      <w:rFonts w:hint="default" w:eastAsia="宋体"/>
                      <w:color w:val="000000" w:themeColor="text1"/>
                      <w:szCs w:val="21"/>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0.6</w:t>
                  </w:r>
                </w:p>
              </w:tc>
            </w:tr>
            <w:tr w14:paraId="4AE745CC">
              <w:tblPrEx>
                <w:tblBorders>
                  <w:top w:val="single" w:color="000000" w:sz="8" w:space="0"/>
                  <w:left w:val="none" w:color="auto" w:sz="0" w:space="0"/>
                  <w:bottom w:val="single" w:color="000000" w:sz="8"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36" w:hRule="exact"/>
              </w:trPr>
              <w:tc>
                <w:tcPr>
                  <w:tcW w:w="1263" w:type="dxa"/>
                  <w:noWrap w:val="0"/>
                  <w:vAlign w:val="center"/>
                </w:tcPr>
                <w:p w14:paraId="67ECD544">
                  <w:pPr>
                    <w:spacing w:line="320" w:lineRule="exact"/>
                    <w:jc w:val="center"/>
                    <w:rPr>
                      <w:rFonts w:hint="default"/>
                      <w:color w:val="000000" w:themeColor="text1"/>
                      <w:szCs w:val="21"/>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NMP储罐</w:t>
                  </w:r>
                </w:p>
              </w:tc>
              <w:tc>
                <w:tcPr>
                  <w:tcW w:w="2408" w:type="dxa"/>
                  <w:noWrap w:val="0"/>
                  <w:vAlign w:val="center"/>
                </w:tcPr>
                <w:p w14:paraId="6CFB7C44">
                  <w:pPr>
                    <w:spacing w:line="320" w:lineRule="exact"/>
                    <w:jc w:val="center"/>
                    <w:rPr>
                      <w:rFonts w:hint="default"/>
                      <w:color w:val="000000" w:themeColor="text1"/>
                      <w:szCs w:val="21"/>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0.2</w:t>
                  </w:r>
                </w:p>
              </w:tc>
              <w:tc>
                <w:tcPr>
                  <w:tcW w:w="2203" w:type="dxa"/>
                  <w:noWrap w:val="0"/>
                  <w:vAlign w:val="center"/>
                </w:tcPr>
                <w:p w14:paraId="1D07F54F">
                  <w:pPr>
                    <w:pStyle w:val="226"/>
                    <w:spacing w:line="280" w:lineRule="exact"/>
                    <w:rPr>
                      <w:rFonts w:hint="default"/>
                      <w:color w:val="000000" w:themeColor="text1"/>
                      <w:szCs w:val="21"/>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0.009</w:t>
                  </w:r>
                </w:p>
              </w:tc>
              <w:tc>
                <w:tcPr>
                  <w:tcW w:w="1945" w:type="dxa"/>
                  <w:noWrap w:val="0"/>
                  <w:vAlign w:val="center"/>
                </w:tcPr>
                <w:p w14:paraId="062DDED4">
                  <w:pPr>
                    <w:pStyle w:val="226"/>
                    <w:spacing w:line="280" w:lineRule="exact"/>
                    <w:rPr>
                      <w:rFonts w:hint="default"/>
                      <w:color w:val="000000" w:themeColor="text1"/>
                      <w:szCs w:val="21"/>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0.209</w:t>
                  </w:r>
                </w:p>
              </w:tc>
            </w:tr>
          </w:tbl>
          <w:p w14:paraId="2A28D59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bCs/>
                <w:color w:val="auto"/>
                <w:kern w:val="0"/>
                <w:sz w:val="24"/>
                <w:szCs w:val="24"/>
                <w:lang w:val="en-US" w:eastAsia="zh-CN" w:bidi="ar-SA"/>
              </w:rPr>
            </w:pPr>
            <w:r>
              <w:rPr>
                <w:rFonts w:hint="eastAsia" w:ascii="Times New Roman" w:hAnsi="Times New Roman" w:eastAsia="宋体" w:cs="Times New Roman"/>
                <w:bCs/>
                <w:color w:val="000000" w:themeColor="text1"/>
                <w:kern w:val="0"/>
                <w:sz w:val="24"/>
                <w:szCs w:val="24"/>
                <w:lang w:val="en-US" w:eastAsia="zh-CN" w:bidi="ar-SA"/>
                <w14:textFill>
                  <w14:solidFill>
                    <w14:schemeClr w14:val="tx1"/>
                  </w14:solidFill>
                </w14:textFill>
              </w:rPr>
              <w:t>综上，本项目NMP储罐大小呼吸产生的有机废气（非甲烷总烃）总量为</w:t>
            </w:r>
            <w:r>
              <w:rPr>
                <w:rFonts w:hint="eastAsia" w:cs="Times New Roman"/>
                <w:bCs/>
                <w:color w:val="000000" w:themeColor="text1"/>
                <w:kern w:val="0"/>
                <w:sz w:val="24"/>
                <w:szCs w:val="24"/>
                <w:lang w:val="en-US" w:eastAsia="zh-CN" w:bidi="ar-SA"/>
                <w14:textFill>
                  <w14:solidFill>
                    <w14:schemeClr w14:val="tx1"/>
                  </w14:solidFill>
                </w14:textFill>
              </w:rPr>
              <w:t>0.809kg</w:t>
            </w:r>
            <w:r>
              <w:rPr>
                <w:rFonts w:hint="eastAsia" w:ascii="Times New Roman" w:hAnsi="Times New Roman" w:eastAsia="宋体" w:cs="Times New Roman"/>
                <w:bCs/>
                <w:color w:val="000000" w:themeColor="text1"/>
                <w:kern w:val="0"/>
                <w:sz w:val="24"/>
                <w:szCs w:val="24"/>
                <w:lang w:val="en-US" w:eastAsia="zh-CN" w:bidi="ar-SA"/>
                <w14:textFill>
                  <w14:solidFill>
                    <w14:schemeClr w14:val="tx1"/>
                  </w14:solidFill>
                </w14:textFill>
              </w:rPr>
              <w:t>/a</w:t>
            </w:r>
            <w:r>
              <w:rPr>
                <w:rFonts w:hint="eastAsia" w:cs="Times New Roman"/>
                <w:bCs/>
                <w:color w:val="000000" w:themeColor="text1"/>
                <w:kern w:val="0"/>
                <w:sz w:val="24"/>
                <w:szCs w:val="24"/>
                <w:lang w:val="en-US" w:eastAsia="zh-CN" w:bidi="ar-SA"/>
                <w14:textFill>
                  <w14:solidFill>
                    <w14:schemeClr w14:val="tx1"/>
                  </w14:solidFill>
                </w14:textFill>
              </w:rPr>
              <w:t>（约为0.0008t/a）</w:t>
            </w:r>
            <w:r>
              <w:rPr>
                <w:rFonts w:hint="eastAsia" w:ascii="Times New Roman" w:hAnsi="Times New Roman" w:eastAsia="宋体" w:cs="Times New Roman"/>
                <w:bCs/>
                <w:color w:val="000000" w:themeColor="text1"/>
                <w:kern w:val="0"/>
                <w:sz w:val="24"/>
                <w:szCs w:val="24"/>
                <w:lang w:val="en-US" w:eastAsia="zh-CN" w:bidi="ar-SA"/>
                <w14:textFill>
                  <w14:solidFill>
                    <w14:schemeClr w14:val="tx1"/>
                  </w14:solidFill>
                </w14:textFill>
              </w:rPr>
              <w:t>，产生</w:t>
            </w:r>
            <w:r>
              <w:rPr>
                <w:rFonts w:hint="eastAsia" w:ascii="Times New Roman" w:hAnsi="Times New Roman" w:eastAsia="宋体" w:cs="Times New Roman"/>
                <w:bCs/>
                <w:color w:val="auto"/>
                <w:kern w:val="0"/>
                <w:sz w:val="24"/>
                <w:szCs w:val="24"/>
                <w:lang w:val="en-US" w:eastAsia="zh-CN" w:bidi="ar-SA"/>
              </w:rPr>
              <w:t>量较小，由厂区内无组织排放。</w:t>
            </w:r>
          </w:p>
          <w:p w14:paraId="5CEAD776">
            <w:pPr>
              <w:pStyle w:val="66"/>
              <w:keepNext w:val="0"/>
              <w:keepLines w:val="0"/>
              <w:pageBreakBefore w:val="0"/>
              <w:widowControl w:val="0"/>
              <w:shd w:val="clear"/>
              <w:kinsoku/>
              <w:wordWrap/>
              <w:overflowPunct/>
              <w:topLinePunct w:val="0"/>
              <w:bidi w:val="0"/>
              <w:spacing w:line="360" w:lineRule="auto"/>
              <w:ind w:firstLine="482" w:firstLineChars="200"/>
              <w:textAlignment w:val="auto"/>
              <w:rPr>
                <w:rFonts w:hint="default" w:ascii="Times New Roman" w:hAnsi="Times New Roman" w:eastAsia="宋体" w:cs="Times New Roman"/>
                <w:b/>
                <w:bCs/>
                <w:color w:val="auto"/>
                <w:sz w:val="24"/>
                <w:szCs w:val="24"/>
                <w:lang w:val="en-US" w:eastAsia="zh-CN"/>
              </w:rPr>
            </w:pPr>
            <w:r>
              <w:rPr>
                <w:rFonts w:hint="eastAsia" w:cs="Times New Roman"/>
                <w:b/>
                <w:bCs/>
                <w:color w:val="auto"/>
                <w:sz w:val="24"/>
                <w:szCs w:val="24"/>
                <w:lang w:val="en-US" w:eastAsia="zh-CN"/>
              </w:rPr>
              <w:t>9）危废库</w:t>
            </w:r>
            <w:r>
              <w:rPr>
                <w:rFonts w:hint="default" w:ascii="Times New Roman" w:hAnsi="Times New Roman" w:eastAsia="宋体" w:cs="Times New Roman"/>
                <w:b/>
                <w:bCs/>
                <w:color w:val="auto"/>
                <w:sz w:val="24"/>
                <w:szCs w:val="24"/>
                <w:lang w:val="en-US" w:eastAsia="zh-CN"/>
              </w:rPr>
              <w:t>废气</w:t>
            </w:r>
          </w:p>
          <w:p w14:paraId="67FC99CE">
            <w:pPr>
              <w:pStyle w:val="66"/>
              <w:keepNext w:val="0"/>
              <w:keepLines w:val="0"/>
              <w:pageBreakBefore w:val="0"/>
              <w:widowControl w:val="0"/>
              <w:shd w:val="clear"/>
              <w:kinsoku/>
              <w:wordWrap/>
              <w:overflowPunct/>
              <w:topLinePunct w:val="0"/>
              <w:bidi w:val="0"/>
              <w:spacing w:line="360" w:lineRule="auto"/>
              <w:ind w:firstLine="480" w:firstLineChars="200"/>
              <w:textAlignment w:val="auto"/>
              <w:rPr>
                <w:rFonts w:hint="eastAsia" w:ascii="Times New Roman" w:hAnsi="Times New Roman" w:eastAsia="宋体" w:cs="Times New Roman"/>
                <w:color w:val="auto"/>
                <w:sz w:val="24"/>
                <w:szCs w:val="24"/>
                <w:lang w:val="en-US" w:eastAsia="zh-CN"/>
              </w:rPr>
            </w:pPr>
            <w:r>
              <w:rPr>
                <w:rFonts w:hint="eastAsia" w:cs="Times New Roman"/>
                <w:color w:val="auto"/>
                <w:sz w:val="24"/>
                <w:szCs w:val="24"/>
                <w:lang w:val="en-US" w:eastAsia="zh-CN"/>
              </w:rPr>
              <w:t>危废库</w:t>
            </w:r>
            <w:r>
              <w:rPr>
                <w:rFonts w:hint="default" w:ascii="Times New Roman" w:hAnsi="Times New Roman" w:eastAsia="宋体" w:cs="Times New Roman"/>
                <w:color w:val="auto"/>
                <w:sz w:val="24"/>
                <w:szCs w:val="24"/>
                <w:lang w:val="en-US" w:eastAsia="zh-CN"/>
              </w:rPr>
              <w:t>暂存的</w:t>
            </w:r>
            <w:r>
              <w:rPr>
                <w:rFonts w:hint="eastAsia" w:cs="Times New Roman"/>
                <w:color w:val="auto"/>
                <w:sz w:val="24"/>
                <w:szCs w:val="24"/>
                <w:lang w:val="en-US" w:eastAsia="zh-CN"/>
              </w:rPr>
              <w:t>沾染危险物质的废包装材料</w:t>
            </w:r>
            <w:r>
              <w:rPr>
                <w:rFonts w:hint="default" w:ascii="Times New Roman" w:hAnsi="Times New Roman" w:eastAsia="宋体" w:cs="Times New Roman"/>
                <w:color w:val="auto"/>
                <w:sz w:val="24"/>
                <w:szCs w:val="24"/>
                <w:lang w:val="en-US" w:eastAsia="zh-CN"/>
              </w:rPr>
              <w:t>、废活性炭</w:t>
            </w:r>
            <w:r>
              <w:rPr>
                <w:rFonts w:hint="eastAsia" w:cs="Times New Roman"/>
                <w:color w:val="auto"/>
                <w:sz w:val="24"/>
                <w:szCs w:val="24"/>
                <w:lang w:val="en-US" w:eastAsia="zh-CN"/>
              </w:rPr>
              <w:t>等危险废物在</w:t>
            </w:r>
            <w:r>
              <w:rPr>
                <w:rFonts w:hint="default" w:ascii="Times New Roman" w:hAnsi="Times New Roman" w:eastAsia="宋体" w:cs="Times New Roman"/>
                <w:color w:val="auto"/>
                <w:sz w:val="24"/>
                <w:szCs w:val="24"/>
                <w:lang w:val="en-US" w:eastAsia="zh-CN"/>
              </w:rPr>
              <w:t>储存过</w:t>
            </w:r>
            <w:r>
              <w:rPr>
                <w:rFonts w:hint="eastAsia" w:cs="Times New Roman"/>
                <w:color w:val="auto"/>
                <w:sz w:val="24"/>
                <w:szCs w:val="24"/>
                <w:lang w:val="en-US" w:eastAsia="zh-CN"/>
              </w:rPr>
              <w:t>程中</w:t>
            </w:r>
            <w:r>
              <w:rPr>
                <w:rFonts w:hint="default" w:ascii="Times New Roman" w:hAnsi="Times New Roman" w:eastAsia="宋体" w:cs="Times New Roman"/>
                <w:color w:val="auto"/>
                <w:sz w:val="24"/>
                <w:szCs w:val="24"/>
                <w:lang w:val="en-US" w:eastAsia="zh-CN"/>
              </w:rPr>
              <w:t>会挥发少量挥发性有机物（以非甲烷总烃计）。危废间密闭，内设集气管道，将</w:t>
            </w:r>
            <w:r>
              <w:rPr>
                <w:rFonts w:hint="eastAsia" w:cs="Times New Roman"/>
                <w:color w:val="auto"/>
                <w:sz w:val="24"/>
                <w:szCs w:val="24"/>
                <w:lang w:val="en-US" w:eastAsia="zh-CN"/>
              </w:rPr>
              <w:t>危废库</w:t>
            </w:r>
            <w:r>
              <w:rPr>
                <w:rFonts w:hint="default" w:ascii="Times New Roman" w:hAnsi="Times New Roman" w:eastAsia="宋体" w:cs="Times New Roman"/>
                <w:color w:val="auto"/>
                <w:sz w:val="24"/>
                <w:szCs w:val="24"/>
                <w:lang w:val="en-US" w:eastAsia="zh-CN"/>
              </w:rPr>
              <w:t>废气引至活性炭吸附装置（TA00</w:t>
            </w:r>
            <w:r>
              <w:rPr>
                <w:rFonts w:hint="eastAsia" w:cs="Times New Roman"/>
                <w:color w:val="auto"/>
                <w:sz w:val="24"/>
                <w:szCs w:val="24"/>
                <w:lang w:val="en-US" w:eastAsia="zh-CN"/>
              </w:rPr>
              <w:t>4，风机风量11000m</w:t>
            </w:r>
            <w:r>
              <w:rPr>
                <w:rFonts w:hint="eastAsia" w:cs="Times New Roman"/>
                <w:color w:val="auto"/>
                <w:sz w:val="24"/>
                <w:szCs w:val="24"/>
                <w:vertAlign w:val="superscript"/>
                <w:lang w:val="en-US" w:eastAsia="zh-CN"/>
              </w:rPr>
              <w:t>3</w:t>
            </w:r>
            <w:r>
              <w:rPr>
                <w:rFonts w:hint="eastAsia" w:cs="Times New Roman"/>
                <w:color w:val="auto"/>
                <w:sz w:val="24"/>
                <w:szCs w:val="24"/>
                <w:lang w:val="en-US" w:eastAsia="zh-CN"/>
              </w:rPr>
              <w:t>/h</w:t>
            </w:r>
            <w:r>
              <w:rPr>
                <w:rFonts w:hint="default" w:ascii="Times New Roman" w:hAnsi="Times New Roman" w:eastAsia="宋体" w:cs="Times New Roman"/>
                <w:color w:val="auto"/>
                <w:sz w:val="24"/>
                <w:szCs w:val="24"/>
                <w:lang w:val="en-US" w:eastAsia="zh-CN"/>
              </w:rPr>
              <w:t>）处理后，仅有极少量有机废气经</w:t>
            </w:r>
            <w:r>
              <w:rPr>
                <w:rFonts w:hint="eastAsia" w:cs="Times New Roman"/>
                <w:color w:val="auto"/>
                <w:sz w:val="24"/>
                <w:szCs w:val="24"/>
                <w:lang w:val="en-US" w:eastAsia="zh-CN"/>
              </w:rPr>
              <w:t>15</w:t>
            </w:r>
            <w:r>
              <w:rPr>
                <w:rFonts w:hint="default" w:ascii="Times New Roman" w:hAnsi="Times New Roman" w:eastAsia="宋体" w:cs="Times New Roman"/>
                <w:color w:val="auto"/>
                <w:sz w:val="24"/>
                <w:szCs w:val="24"/>
                <w:lang w:val="en-US" w:eastAsia="zh-CN"/>
              </w:rPr>
              <w:t>m高排气筒（DA00</w:t>
            </w:r>
            <w:r>
              <w:rPr>
                <w:rFonts w:hint="eastAsia" w:cs="Times New Roman"/>
                <w:color w:val="auto"/>
                <w:sz w:val="24"/>
                <w:szCs w:val="24"/>
                <w:lang w:val="en-US" w:eastAsia="zh-CN"/>
              </w:rPr>
              <w:t>3</w:t>
            </w:r>
            <w:r>
              <w:rPr>
                <w:rFonts w:hint="default" w:ascii="Times New Roman" w:hAnsi="Times New Roman" w:eastAsia="宋体" w:cs="Times New Roman"/>
                <w:color w:val="auto"/>
                <w:sz w:val="24"/>
                <w:szCs w:val="24"/>
                <w:lang w:val="en-US" w:eastAsia="zh-CN"/>
              </w:rPr>
              <w:t>）排放。由于项目危险废物暂存过程中有机废气产生、排放量极小，本次评价仅对其进行定性分析</w:t>
            </w:r>
            <w:r>
              <w:rPr>
                <w:rFonts w:hint="eastAsia" w:ascii="Times New Roman" w:hAnsi="Times New Roman" w:eastAsia="宋体" w:cs="Times New Roman"/>
                <w:color w:val="auto"/>
                <w:sz w:val="24"/>
                <w:szCs w:val="24"/>
                <w:lang w:val="en-US" w:eastAsia="zh-CN"/>
              </w:rPr>
              <w:t>。</w:t>
            </w:r>
          </w:p>
          <w:p w14:paraId="7983465F">
            <w:pPr>
              <w:pStyle w:val="66"/>
              <w:keepNext w:val="0"/>
              <w:keepLines w:val="0"/>
              <w:pageBreakBefore w:val="0"/>
              <w:widowControl w:val="0"/>
              <w:shd w:val="clear"/>
              <w:kinsoku/>
              <w:wordWrap/>
              <w:overflowPunct/>
              <w:topLinePunct w:val="0"/>
              <w:bidi w:val="0"/>
              <w:spacing w:line="360" w:lineRule="auto"/>
              <w:ind w:firstLine="482" w:firstLineChars="200"/>
              <w:textAlignment w:val="auto"/>
              <w:rPr>
                <w:rFonts w:hint="default" w:ascii="Times New Roman" w:hAnsi="Times New Roman" w:eastAsia="宋体" w:cs="Times New Roman"/>
                <w:color w:val="auto"/>
                <w:sz w:val="24"/>
                <w:szCs w:val="24"/>
                <w:lang w:val="en-US" w:eastAsia="zh-CN"/>
              </w:rPr>
            </w:pPr>
            <w:r>
              <w:rPr>
                <w:rFonts w:hint="eastAsia" w:cs="Times New Roman"/>
                <w:b/>
                <w:bCs/>
                <w:color w:val="auto"/>
                <w:sz w:val="24"/>
                <w:szCs w:val="24"/>
                <w:lang w:val="en-US" w:eastAsia="zh-CN"/>
              </w:rPr>
              <w:t>风机风量核算：</w:t>
            </w:r>
            <w:r>
              <w:rPr>
                <w:rFonts w:hint="eastAsia" w:ascii="Times New Roman" w:hAnsi="Times New Roman" w:eastAsia="宋体" w:cs="Times New Roman"/>
                <w:color w:val="auto"/>
                <w:kern w:val="2"/>
                <w:sz w:val="24"/>
                <w:szCs w:val="24"/>
                <w:highlight w:val="none"/>
                <w:lang w:val="en-US" w:eastAsia="zh-CN" w:bidi="ar-SA"/>
              </w:rPr>
              <w:t>根据建设单位提供资料，电池拆解间体积为727.935m</w:t>
            </w:r>
            <w:r>
              <w:rPr>
                <w:rFonts w:hint="eastAsia" w:ascii="Times New Roman" w:hAnsi="Times New Roman" w:eastAsia="宋体" w:cs="Times New Roman"/>
                <w:color w:val="auto"/>
                <w:kern w:val="2"/>
                <w:sz w:val="24"/>
                <w:szCs w:val="24"/>
                <w:highlight w:val="none"/>
                <w:vertAlign w:val="superscript"/>
                <w:lang w:val="en-US" w:eastAsia="zh-CN" w:bidi="ar-SA"/>
              </w:rPr>
              <w:t>3</w:t>
            </w:r>
            <w:r>
              <w:rPr>
                <w:rFonts w:hint="eastAsia" w:ascii="Times New Roman" w:hAnsi="Times New Roman" w:eastAsia="宋体" w:cs="Times New Roman"/>
                <w:color w:val="auto"/>
                <w:kern w:val="2"/>
                <w:sz w:val="24"/>
                <w:szCs w:val="24"/>
                <w:highlight w:val="none"/>
                <w:lang w:val="en-US" w:eastAsia="zh-CN" w:bidi="ar-SA"/>
              </w:rPr>
              <w:t>，</w:t>
            </w:r>
            <w:r>
              <w:rPr>
                <w:rFonts w:hint="eastAsia" w:ascii="Times New Roman" w:hAnsi="Times New Roman"/>
                <w:color w:val="auto"/>
                <w:sz w:val="24"/>
                <w:highlight w:val="none"/>
                <w:lang w:eastAsia="zh-CN"/>
              </w:rPr>
              <w:t>参考《工业企业卫生设计标准</w:t>
            </w:r>
            <w:r>
              <w:rPr>
                <w:rFonts w:hint="eastAsia" w:ascii="宋体" w:hAnsi="宋体" w:eastAsia="宋体" w:cs="宋体"/>
                <w:color w:val="auto"/>
                <w:sz w:val="24"/>
                <w:highlight w:val="none"/>
                <w:lang w:eastAsia="zh-CN"/>
              </w:rPr>
              <w:t>》</w:t>
            </w:r>
            <w:r>
              <w:rPr>
                <w:rFonts w:hint="eastAsia" w:ascii="宋体" w:hAnsi="宋体" w:cs="宋体"/>
                <w:color w:val="auto"/>
                <w:sz w:val="24"/>
                <w:highlight w:val="none"/>
                <w:lang w:eastAsia="zh-CN"/>
              </w:rPr>
              <w:t>（</w:t>
            </w:r>
            <w:r>
              <w:rPr>
                <w:rFonts w:hint="eastAsia" w:ascii="Times New Roman" w:hAnsi="Times New Roman"/>
                <w:color w:val="auto"/>
                <w:sz w:val="24"/>
                <w:highlight w:val="none"/>
                <w:lang w:eastAsia="zh-CN"/>
              </w:rPr>
              <w:t>GBZ</w:t>
            </w:r>
            <w:r>
              <w:rPr>
                <w:rFonts w:hint="eastAsia" w:ascii="Times New Roman" w:hAnsi="Times New Roman"/>
                <w:color w:val="auto"/>
                <w:sz w:val="24"/>
                <w:highlight w:val="none"/>
                <w:lang w:val="en-US" w:eastAsia="zh-CN"/>
              </w:rPr>
              <w:t xml:space="preserve"> </w:t>
            </w:r>
            <w:r>
              <w:rPr>
                <w:rFonts w:hint="eastAsia" w:ascii="Times New Roman" w:hAnsi="Times New Roman"/>
                <w:color w:val="auto"/>
                <w:sz w:val="24"/>
                <w:highlight w:val="none"/>
                <w:lang w:eastAsia="zh-CN"/>
              </w:rPr>
              <w:t>1-2010</w:t>
            </w:r>
            <w:r>
              <w:rPr>
                <w:rFonts w:hint="eastAsia" w:ascii="宋体" w:hAnsi="宋体" w:cs="宋体"/>
                <w:color w:val="auto"/>
                <w:sz w:val="24"/>
                <w:highlight w:val="none"/>
                <w:lang w:eastAsia="zh-CN"/>
              </w:rPr>
              <w:t>）</w:t>
            </w:r>
            <w:r>
              <w:rPr>
                <w:rFonts w:hint="eastAsia" w:ascii="宋体" w:hAnsi="宋体" w:eastAsia="宋体" w:cs="宋体"/>
                <w:color w:val="auto"/>
                <w:sz w:val="24"/>
                <w:highlight w:val="none"/>
                <w:lang w:eastAsia="zh-CN"/>
              </w:rPr>
              <w:t>中</w:t>
            </w:r>
            <w:r>
              <w:rPr>
                <w:rFonts w:hint="eastAsia" w:ascii="Times New Roman" w:hAnsi="Times New Roman"/>
                <w:color w:val="auto"/>
                <w:sz w:val="24"/>
                <w:highlight w:val="none"/>
                <w:lang w:eastAsia="zh-CN"/>
              </w:rPr>
              <w:t>“6.1.5.2</w:t>
            </w:r>
            <w:r>
              <w:rPr>
                <w:rFonts w:hint="eastAsia" w:ascii="Times New Roman" w:hAnsi="Times New Roman"/>
                <w:color w:val="auto"/>
                <w:sz w:val="24"/>
                <w:highlight w:val="none"/>
                <w:lang w:val="en-US" w:eastAsia="zh-CN"/>
              </w:rPr>
              <w:t xml:space="preserve"> a）事故通风宜由进厂使用的通风系统和事故通风系统......事故通风系统风量宜根据工艺设计要求通过计算确定，但换气次数不宜＜12次/h</w:t>
            </w:r>
            <w:r>
              <w:rPr>
                <w:rFonts w:hint="eastAsia" w:ascii="Times New Roman" w:hAnsi="Times New Roman"/>
                <w:color w:val="auto"/>
                <w:sz w:val="24"/>
                <w:highlight w:val="none"/>
                <w:lang w:eastAsia="zh-CN"/>
              </w:rPr>
              <w:t>”的相关要求。</w:t>
            </w:r>
            <w:r>
              <w:rPr>
                <w:rFonts w:hint="eastAsia" w:ascii="Times New Roman" w:hAnsi="Times New Roman"/>
                <w:color w:val="auto"/>
                <w:sz w:val="24"/>
                <w:highlight w:val="none"/>
                <w:lang w:val="en-US" w:eastAsia="zh-CN"/>
              </w:rPr>
              <w:t>本项目风机风量＝房间体积×换气次数＝</w:t>
            </w:r>
            <w:r>
              <w:rPr>
                <w:rFonts w:hint="eastAsia" w:ascii="Times New Roman" w:hAnsi="Times New Roman" w:eastAsia="宋体" w:cs="Times New Roman"/>
                <w:color w:val="auto"/>
                <w:kern w:val="2"/>
                <w:sz w:val="24"/>
                <w:szCs w:val="24"/>
                <w:highlight w:val="none"/>
                <w:lang w:val="en-US" w:eastAsia="zh-CN" w:bidi="ar-SA"/>
              </w:rPr>
              <w:t>727.935</w:t>
            </w:r>
            <w:r>
              <w:rPr>
                <w:rFonts w:hint="eastAsia" w:ascii="Times New Roman" w:hAnsi="Times New Roman"/>
                <w:color w:val="auto"/>
                <w:sz w:val="24"/>
                <w:highlight w:val="none"/>
                <w:lang w:val="en-US" w:eastAsia="zh-CN"/>
              </w:rPr>
              <w:t>×12＝8735.22m</w:t>
            </w:r>
            <w:r>
              <w:rPr>
                <w:rFonts w:hint="eastAsia" w:ascii="Times New Roman" w:hAnsi="Times New Roman"/>
                <w:color w:val="auto"/>
                <w:sz w:val="24"/>
                <w:highlight w:val="none"/>
                <w:vertAlign w:val="superscript"/>
                <w:lang w:val="en-US" w:eastAsia="zh-CN"/>
              </w:rPr>
              <w:t>3</w:t>
            </w:r>
            <w:r>
              <w:rPr>
                <w:rFonts w:hint="eastAsia" w:ascii="Times New Roman" w:hAnsi="Times New Roman"/>
                <w:color w:val="auto"/>
                <w:sz w:val="24"/>
                <w:highlight w:val="none"/>
                <w:lang w:val="en-US" w:eastAsia="zh-CN"/>
              </w:rPr>
              <w:t>/h，考虑风管、弯头等损耗，按照计算值的1.2倍系数取值，本次环评取整为11000m</w:t>
            </w:r>
            <w:r>
              <w:rPr>
                <w:rFonts w:hint="eastAsia" w:ascii="Times New Roman" w:hAnsi="Times New Roman"/>
                <w:color w:val="auto"/>
                <w:sz w:val="24"/>
                <w:highlight w:val="none"/>
                <w:vertAlign w:val="superscript"/>
                <w:lang w:val="en-US" w:eastAsia="zh-CN"/>
              </w:rPr>
              <w:t>3</w:t>
            </w:r>
            <w:r>
              <w:rPr>
                <w:rFonts w:hint="eastAsia" w:ascii="Times New Roman" w:hAnsi="Times New Roman"/>
                <w:color w:val="auto"/>
                <w:sz w:val="24"/>
                <w:highlight w:val="none"/>
                <w:lang w:val="en-US" w:eastAsia="zh-CN"/>
              </w:rPr>
              <w:t>/h。</w:t>
            </w:r>
          </w:p>
          <w:p w14:paraId="2F5527EC">
            <w:pPr>
              <w:pStyle w:val="66"/>
              <w:keepNext w:val="0"/>
              <w:keepLines w:val="0"/>
              <w:pageBreakBefore w:val="0"/>
              <w:widowControl w:val="0"/>
              <w:shd w:val="clear"/>
              <w:kinsoku/>
              <w:wordWrap/>
              <w:overflowPunct/>
              <w:topLinePunct w:val="0"/>
              <w:bidi w:val="0"/>
              <w:spacing w:line="360" w:lineRule="auto"/>
              <w:ind w:firstLine="482" w:firstLineChars="200"/>
              <w:textAlignment w:val="auto"/>
              <w:rPr>
                <w:rFonts w:hint="default" w:ascii="Times New Roman" w:hAnsi="Times New Roman" w:eastAsia="宋体" w:cs="Times New Roman"/>
                <w:b/>
                <w:bCs/>
                <w:color w:val="auto"/>
                <w:sz w:val="24"/>
                <w:szCs w:val="24"/>
                <w:lang w:val="en-US" w:eastAsia="zh-CN"/>
              </w:rPr>
            </w:pPr>
            <w:r>
              <w:rPr>
                <w:rFonts w:hint="eastAsia" w:cs="Times New Roman"/>
                <w:b/>
                <w:bCs/>
                <w:color w:val="auto"/>
                <w:sz w:val="24"/>
                <w:szCs w:val="24"/>
                <w:lang w:val="en-US" w:eastAsia="zh-CN"/>
              </w:rPr>
              <w:t>10）污水</w:t>
            </w:r>
            <w:r>
              <w:rPr>
                <w:rFonts w:hint="default" w:ascii="Times New Roman" w:hAnsi="Times New Roman" w:eastAsia="宋体" w:cs="Times New Roman"/>
                <w:b/>
                <w:bCs/>
                <w:color w:val="auto"/>
                <w:sz w:val="24"/>
                <w:szCs w:val="24"/>
                <w:lang w:val="en-US" w:eastAsia="zh-CN"/>
              </w:rPr>
              <w:t>处理站废气</w:t>
            </w:r>
          </w:p>
          <w:p w14:paraId="0FC6EE6A">
            <w:pPr>
              <w:pStyle w:val="66"/>
              <w:keepNext w:val="0"/>
              <w:keepLines w:val="0"/>
              <w:pageBreakBefore w:val="0"/>
              <w:widowControl w:val="0"/>
              <w:shd w:val="clear"/>
              <w:kinsoku/>
              <w:wordWrap/>
              <w:overflowPunct/>
              <w:topLinePunct w:val="0"/>
              <w:bidi w:val="0"/>
              <w:spacing w:line="360" w:lineRule="auto"/>
              <w:ind w:firstLine="480" w:firstLineChars="200"/>
              <w:textAlignment w:val="auto"/>
              <w:rPr>
                <w:rFonts w:ascii="宋体" w:hAnsi="宋体" w:eastAsia="宋体" w:cs="宋体"/>
                <w:color w:val="auto"/>
                <w:sz w:val="24"/>
                <w:szCs w:val="24"/>
              </w:rPr>
            </w:pPr>
            <w:r>
              <w:rPr>
                <w:rFonts w:ascii="宋体" w:hAnsi="宋体" w:eastAsia="宋体" w:cs="宋体"/>
                <w:color w:val="auto"/>
                <w:sz w:val="24"/>
                <w:szCs w:val="24"/>
              </w:rPr>
              <w:t>项目污水处理工序会产生少量恶臭废气，主要污染物为硫化氢、氨等，以无组织形式扩散。本项目废水产生规模偏小，恶臭污染物产排强度低。污水处理站采用密闭式成套处理设施，可有效抑制恶臭气体逸散，</w:t>
            </w:r>
            <w:r>
              <w:rPr>
                <w:rFonts w:hint="eastAsia" w:ascii="Times New Roman" w:hAnsi="Times New Roman" w:eastAsia="宋体" w:cs="Times New Roman"/>
                <w:color w:val="auto"/>
                <w:sz w:val="24"/>
                <w:szCs w:val="24"/>
                <w:lang w:val="en-US" w:eastAsia="zh-CN"/>
              </w:rPr>
              <w:t>不会对大气环境带来明显不良影响</w:t>
            </w:r>
            <w:r>
              <w:rPr>
                <w:rFonts w:ascii="宋体" w:hAnsi="宋体" w:eastAsia="宋体" w:cs="宋体"/>
                <w:color w:val="auto"/>
                <w:sz w:val="24"/>
                <w:szCs w:val="24"/>
              </w:rPr>
              <w:t>。</w:t>
            </w:r>
          </w:p>
          <w:p w14:paraId="63624C7F">
            <w:pPr>
              <w:pStyle w:val="66"/>
              <w:keepNext w:val="0"/>
              <w:keepLines w:val="0"/>
              <w:pageBreakBefore w:val="0"/>
              <w:widowControl w:val="0"/>
              <w:shd w:val="clear"/>
              <w:kinsoku/>
              <w:wordWrap/>
              <w:overflowPunct/>
              <w:topLinePunct w:val="0"/>
              <w:bidi w:val="0"/>
              <w:spacing w:line="360" w:lineRule="auto"/>
              <w:ind w:firstLine="482" w:firstLineChars="200"/>
              <w:textAlignment w:val="auto"/>
              <w:rPr>
                <w:rFonts w:hint="eastAsia" w:ascii="宋体" w:hAnsi="宋体" w:eastAsia="宋体" w:cs="宋体"/>
                <w:b/>
                <w:bCs/>
                <w:color w:val="auto"/>
                <w:sz w:val="24"/>
                <w:szCs w:val="24"/>
                <w:lang w:val="en-US" w:eastAsia="zh-CN"/>
              </w:rPr>
            </w:pPr>
            <w:r>
              <w:rPr>
                <w:rFonts w:hint="eastAsia" w:cs="Times New Roman"/>
                <w:b/>
                <w:bCs/>
                <w:color w:val="auto"/>
                <w:sz w:val="24"/>
                <w:szCs w:val="24"/>
                <w:lang w:val="en-US" w:eastAsia="zh-CN"/>
              </w:rPr>
              <w:t>11</w:t>
            </w:r>
            <w:r>
              <w:rPr>
                <w:rFonts w:hint="eastAsia" w:ascii="宋体" w:hAnsi="宋体" w:cs="宋体"/>
                <w:b/>
                <w:bCs/>
                <w:color w:val="auto"/>
                <w:sz w:val="24"/>
                <w:szCs w:val="24"/>
                <w:lang w:val="en-US" w:eastAsia="zh-CN"/>
              </w:rPr>
              <w:t>）</w:t>
            </w:r>
            <w:r>
              <w:rPr>
                <w:rFonts w:hint="eastAsia" w:ascii="宋体" w:hAnsi="宋体" w:eastAsia="宋体" w:cs="宋体"/>
                <w:b/>
                <w:bCs/>
                <w:color w:val="auto"/>
                <w:sz w:val="24"/>
                <w:szCs w:val="24"/>
                <w:lang w:val="en-US" w:eastAsia="zh-CN"/>
              </w:rPr>
              <w:t>焊接烟尘</w:t>
            </w:r>
          </w:p>
          <w:p w14:paraId="58A10D1F">
            <w:pPr>
              <w:pStyle w:val="66"/>
              <w:keepNext w:val="0"/>
              <w:keepLines w:val="0"/>
              <w:pageBreakBefore w:val="0"/>
              <w:widowControl w:val="0"/>
              <w:shd w:val="clear"/>
              <w:kinsoku/>
              <w:wordWrap/>
              <w:overflowPunct/>
              <w:topLinePunct w:val="0"/>
              <w:bidi w:val="0"/>
              <w:spacing w:line="360" w:lineRule="auto"/>
              <w:ind w:firstLine="480" w:firstLineChars="200"/>
              <w:textAlignment w:val="auto"/>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本项目</w:t>
            </w:r>
            <w:r>
              <w:rPr>
                <w:rFonts w:hint="eastAsia" w:ascii="宋体" w:hAnsi="宋体" w:cs="宋体"/>
                <w:color w:val="auto"/>
                <w:sz w:val="24"/>
                <w:szCs w:val="24"/>
                <w:lang w:val="en-US" w:eastAsia="zh-CN"/>
              </w:rPr>
              <w:t>电源系统组</w:t>
            </w:r>
            <w:r>
              <w:rPr>
                <w:rFonts w:hint="eastAsia" w:ascii="宋体" w:hAnsi="宋体" w:eastAsia="宋体"/>
                <w:color w:val="auto"/>
                <w:sz w:val="24"/>
                <w:szCs w:val="24"/>
                <w:lang w:val="en-US" w:eastAsia="zh-CN"/>
              </w:rPr>
              <w:t>织工序设置有焊裁一体机，</w:t>
            </w:r>
            <w:r>
              <w:rPr>
                <w:rFonts w:hint="eastAsia" w:ascii="宋体" w:hAnsi="宋体"/>
                <w:color w:val="auto"/>
                <w:sz w:val="24"/>
                <w:szCs w:val="24"/>
                <w:lang w:val="en-US" w:eastAsia="zh-CN"/>
              </w:rPr>
              <w:t>主要采用激光焊，</w:t>
            </w:r>
            <w:r>
              <w:rPr>
                <w:rFonts w:hint="eastAsia" w:ascii="宋体" w:hAnsi="宋体" w:eastAsia="宋体"/>
                <w:color w:val="auto"/>
                <w:sz w:val="24"/>
                <w:szCs w:val="24"/>
              </w:rPr>
              <w:t>利用高频振动波传递到两个需焊接的物体表面，在加压的情况下，使两个物体表面相互摩擦而形成分子层之间的熔合。激光焊均不用焊条，粉尘产生量极小，</w:t>
            </w:r>
            <w:r>
              <w:rPr>
                <w:rFonts w:hint="eastAsia" w:ascii="宋体" w:hAnsi="宋体" w:eastAsia="宋体"/>
                <w:color w:val="auto"/>
                <w:sz w:val="24"/>
                <w:szCs w:val="24"/>
                <w:lang w:val="en-US" w:eastAsia="zh-CN"/>
              </w:rPr>
              <w:t>产生的焊接烟尘经设备自带滤芯除尘器处理后无组织排放，</w:t>
            </w:r>
            <w:r>
              <w:rPr>
                <w:rFonts w:hint="default" w:ascii="Times New Roman" w:hAnsi="Times New Roman" w:eastAsia="宋体" w:cs="Times New Roman"/>
                <w:color w:val="auto"/>
                <w:sz w:val="24"/>
                <w:szCs w:val="24"/>
                <w:lang w:val="en-US" w:eastAsia="zh-CN"/>
              </w:rPr>
              <w:t>本次评价仅对其进行定性分析</w:t>
            </w:r>
            <w:r>
              <w:rPr>
                <w:rFonts w:hint="eastAsia" w:ascii="Times New Roman" w:hAnsi="Times New Roman" w:eastAsia="宋体" w:cs="Times New Roman"/>
                <w:color w:val="auto"/>
                <w:sz w:val="24"/>
                <w:szCs w:val="24"/>
                <w:lang w:val="en-US" w:eastAsia="zh-CN"/>
              </w:rPr>
              <w:t>。</w:t>
            </w:r>
          </w:p>
          <w:p w14:paraId="470FE0EC">
            <w:pPr>
              <w:pStyle w:val="66"/>
              <w:keepNext w:val="0"/>
              <w:keepLines w:val="0"/>
              <w:pageBreakBefore w:val="0"/>
              <w:widowControl w:val="0"/>
              <w:kinsoku/>
              <w:wordWrap/>
              <w:overflowPunct/>
              <w:topLinePunct w:val="0"/>
              <w:bidi w:val="0"/>
              <w:spacing w:line="360" w:lineRule="auto"/>
              <w:ind w:firstLine="480" w:firstLineChars="200"/>
              <w:textAlignment w:val="auto"/>
              <w:rPr>
                <w:rFonts w:hint="eastAsia"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综上，本项目废气产排情况见下表。</w:t>
            </w:r>
          </w:p>
          <w:p w14:paraId="345F40B2">
            <w:pPr>
              <w:pStyle w:val="66"/>
              <w:ind w:firstLine="477" w:firstLineChars="199"/>
              <w:rPr>
                <w:rFonts w:hint="eastAsia"/>
                <w:color w:val="auto"/>
              </w:rPr>
            </w:pPr>
          </w:p>
          <w:p w14:paraId="5C670463">
            <w:pPr>
              <w:pStyle w:val="66"/>
              <w:spacing w:line="540" w:lineRule="exact"/>
              <w:ind w:left="0" w:leftChars="0" w:firstLine="0" w:firstLineChars="0"/>
              <w:rPr>
                <w:rFonts w:hint="eastAsia" w:ascii="Times New Roman" w:hAnsi="Times New Roman" w:eastAsia="宋体" w:cs="Times New Roman"/>
                <w:color w:val="auto"/>
                <w:sz w:val="24"/>
              </w:rPr>
            </w:pPr>
          </w:p>
          <w:p w14:paraId="29DE20AA">
            <w:pPr>
              <w:pStyle w:val="66"/>
              <w:spacing w:line="540" w:lineRule="exact"/>
              <w:ind w:left="0" w:leftChars="0" w:firstLine="0" w:firstLineChars="0"/>
              <w:rPr>
                <w:rFonts w:hint="eastAsia" w:ascii="Times New Roman" w:hAnsi="Times New Roman" w:eastAsia="宋体" w:cs="Times New Roman"/>
                <w:color w:val="auto"/>
                <w:sz w:val="24"/>
              </w:rPr>
            </w:pPr>
          </w:p>
        </w:tc>
      </w:tr>
    </w:tbl>
    <w:p w14:paraId="2DAD398D">
      <w:pPr>
        <w:pStyle w:val="37"/>
        <w:jc w:val="both"/>
        <w:outlineLvl w:val="9"/>
        <w:rPr>
          <w:rFonts w:hint="eastAsia" w:ascii="黑体" w:hAnsi="黑体" w:eastAsia="黑体"/>
          <w:snapToGrid w:val="0"/>
          <w:color w:val="auto"/>
          <w:sz w:val="30"/>
          <w:szCs w:val="30"/>
        </w:rPr>
        <w:sectPr>
          <w:pgSz w:w="11906" w:h="16838"/>
          <w:pgMar w:top="1701" w:right="1531" w:bottom="1701" w:left="1531" w:header="851" w:footer="1021" w:gutter="0"/>
          <w:cols w:space="720" w:num="1"/>
          <w:docGrid w:linePitch="312" w:charSpace="0"/>
        </w:sectPr>
      </w:pPr>
    </w:p>
    <w:p w14:paraId="269C71AE">
      <w:pPr>
        <w:pStyle w:val="208"/>
        <w:spacing w:line="240" w:lineRule="auto"/>
        <w:ind w:firstLine="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b/>
          <w:bCs/>
          <w:color w:val="auto"/>
          <w:kern w:val="0"/>
          <w:sz w:val="21"/>
          <w:szCs w:val="21"/>
          <w:highlight w:val="none"/>
        </w:rPr>
        <w:t>表4-</w:t>
      </w:r>
      <w:r>
        <w:rPr>
          <w:rFonts w:hint="eastAsia" w:ascii="Times New Roman" w:cs="Times New Roman"/>
          <w:b/>
          <w:bCs/>
          <w:color w:val="auto"/>
          <w:kern w:val="0"/>
          <w:sz w:val="21"/>
          <w:szCs w:val="21"/>
          <w:highlight w:val="none"/>
          <w:lang w:val="en-US" w:eastAsia="zh-CN"/>
        </w:rPr>
        <w:t>3</w:t>
      </w:r>
      <w:r>
        <w:rPr>
          <w:rFonts w:hint="default" w:ascii="Times New Roman" w:hAnsi="Times New Roman" w:eastAsia="宋体" w:cs="Times New Roman"/>
          <w:b/>
          <w:bCs/>
          <w:color w:val="auto"/>
          <w:kern w:val="0"/>
          <w:sz w:val="21"/>
          <w:szCs w:val="21"/>
          <w:highlight w:val="none"/>
          <w:lang w:val="en-US" w:eastAsia="zh-CN"/>
        </w:rPr>
        <w:t xml:space="preserve"> </w:t>
      </w:r>
      <w:r>
        <w:rPr>
          <w:rFonts w:hint="default" w:ascii="Times New Roman" w:hAnsi="Times New Roman" w:eastAsia="宋体" w:cs="Times New Roman"/>
          <w:b/>
          <w:bCs/>
          <w:color w:val="auto"/>
          <w:kern w:val="0"/>
          <w:sz w:val="21"/>
          <w:szCs w:val="21"/>
          <w:highlight w:val="none"/>
        </w:rPr>
        <w:t>本项目</w:t>
      </w:r>
      <w:r>
        <w:rPr>
          <w:rFonts w:hint="eastAsia" w:ascii="Times New Roman" w:cs="Times New Roman"/>
          <w:b/>
          <w:bCs/>
          <w:color w:val="auto"/>
          <w:kern w:val="0"/>
          <w:sz w:val="21"/>
          <w:szCs w:val="21"/>
          <w:highlight w:val="none"/>
          <w:lang w:val="en-US" w:eastAsia="zh-CN"/>
        </w:rPr>
        <w:t>有组织</w:t>
      </w:r>
      <w:r>
        <w:rPr>
          <w:rFonts w:hint="default" w:ascii="Times New Roman" w:hAnsi="Times New Roman" w:eastAsia="宋体" w:cs="Times New Roman"/>
          <w:b/>
          <w:bCs/>
          <w:color w:val="auto"/>
          <w:kern w:val="0"/>
          <w:sz w:val="21"/>
          <w:szCs w:val="21"/>
          <w:highlight w:val="none"/>
        </w:rPr>
        <w:t>废气产生、治理、排放情况一览表（单位：产生量t/a</w:t>
      </w:r>
      <w:r>
        <w:rPr>
          <w:rFonts w:hint="eastAsia" w:ascii="Times New Roman" w:hAnsi="Times New Roman" w:eastAsia="宋体" w:cs="Times New Roman"/>
          <w:b/>
          <w:bCs/>
          <w:color w:val="auto"/>
          <w:kern w:val="0"/>
          <w:sz w:val="21"/>
          <w:szCs w:val="21"/>
          <w:highlight w:val="none"/>
          <w:lang w:eastAsia="zh-CN"/>
        </w:rPr>
        <w:t>；</w:t>
      </w:r>
      <w:r>
        <w:rPr>
          <w:rFonts w:hint="default" w:ascii="Times New Roman" w:hAnsi="Times New Roman" w:eastAsia="宋体" w:cs="Times New Roman"/>
          <w:b/>
          <w:bCs/>
          <w:color w:val="auto"/>
          <w:kern w:val="0"/>
          <w:sz w:val="21"/>
          <w:szCs w:val="21"/>
          <w:highlight w:val="none"/>
        </w:rPr>
        <w:t>速率kg/h；浓度：mg/m</w:t>
      </w:r>
      <w:r>
        <w:rPr>
          <w:rFonts w:hint="default" w:ascii="Times New Roman" w:hAnsi="Times New Roman" w:eastAsia="宋体" w:cs="Times New Roman"/>
          <w:b/>
          <w:bCs/>
          <w:color w:val="auto"/>
          <w:kern w:val="0"/>
          <w:sz w:val="21"/>
          <w:szCs w:val="21"/>
          <w:highlight w:val="none"/>
          <w:vertAlign w:val="superscript"/>
        </w:rPr>
        <w:t>3</w:t>
      </w:r>
      <w:r>
        <w:rPr>
          <w:rFonts w:hint="default" w:ascii="Times New Roman" w:hAnsi="Times New Roman" w:eastAsia="宋体" w:cs="Times New Roman"/>
          <w:b/>
          <w:bCs/>
          <w:color w:val="auto"/>
          <w:kern w:val="0"/>
          <w:sz w:val="21"/>
          <w:szCs w:val="21"/>
          <w:highlight w:val="none"/>
        </w:rPr>
        <w:t>）</w:t>
      </w:r>
    </w:p>
    <w:tbl>
      <w:tblPr>
        <w:tblStyle w:val="41"/>
        <w:tblW w:w="14597"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827"/>
        <w:gridCol w:w="795"/>
        <w:gridCol w:w="990"/>
        <w:gridCol w:w="915"/>
        <w:gridCol w:w="1740"/>
        <w:gridCol w:w="965"/>
        <w:gridCol w:w="1795"/>
        <w:gridCol w:w="1245"/>
        <w:gridCol w:w="1140"/>
        <w:gridCol w:w="915"/>
        <w:gridCol w:w="900"/>
        <w:gridCol w:w="780"/>
        <w:gridCol w:w="750"/>
        <w:gridCol w:w="840"/>
      </w:tblGrid>
      <w:tr w14:paraId="0F1603F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3" w:hRule="atLeast"/>
          <w:jc w:val="center"/>
        </w:trPr>
        <w:tc>
          <w:tcPr>
            <w:tcW w:w="827" w:type="dxa"/>
            <w:vMerge w:val="restart"/>
            <w:shd w:val="clear" w:color="auto" w:fill="auto"/>
            <w:noWrap w:val="0"/>
            <w:vAlign w:val="center"/>
          </w:tcPr>
          <w:p w14:paraId="6722BCF5">
            <w:pPr>
              <w:pStyle w:val="208"/>
              <w:spacing w:line="240" w:lineRule="auto"/>
              <w:ind w:firstLine="0"/>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产污环节</w:t>
            </w:r>
          </w:p>
        </w:tc>
        <w:tc>
          <w:tcPr>
            <w:tcW w:w="795" w:type="dxa"/>
            <w:vMerge w:val="restart"/>
            <w:shd w:val="clear" w:color="auto" w:fill="auto"/>
            <w:noWrap w:val="0"/>
            <w:vAlign w:val="center"/>
          </w:tcPr>
          <w:p w14:paraId="328DD385">
            <w:pPr>
              <w:pStyle w:val="208"/>
              <w:spacing w:line="240" w:lineRule="auto"/>
              <w:ind w:firstLine="0"/>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污染物种类</w:t>
            </w:r>
          </w:p>
        </w:tc>
        <w:tc>
          <w:tcPr>
            <w:tcW w:w="1905" w:type="dxa"/>
            <w:gridSpan w:val="2"/>
            <w:shd w:val="clear" w:color="auto" w:fill="auto"/>
            <w:noWrap w:val="0"/>
            <w:vAlign w:val="center"/>
          </w:tcPr>
          <w:p w14:paraId="25AD1A51">
            <w:pPr>
              <w:pStyle w:val="208"/>
              <w:spacing w:line="240" w:lineRule="auto"/>
              <w:ind w:firstLine="0"/>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污染物产生情况</w:t>
            </w:r>
          </w:p>
        </w:tc>
        <w:tc>
          <w:tcPr>
            <w:tcW w:w="6885" w:type="dxa"/>
            <w:gridSpan w:val="5"/>
            <w:shd w:val="clear" w:color="auto" w:fill="auto"/>
            <w:noWrap w:val="0"/>
            <w:vAlign w:val="center"/>
          </w:tcPr>
          <w:p w14:paraId="1DD2D027">
            <w:pPr>
              <w:pStyle w:val="208"/>
              <w:spacing w:line="240" w:lineRule="auto"/>
              <w:ind w:firstLine="0"/>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治理措施及效果</w:t>
            </w:r>
          </w:p>
        </w:tc>
        <w:tc>
          <w:tcPr>
            <w:tcW w:w="4185" w:type="dxa"/>
            <w:gridSpan w:val="5"/>
            <w:shd w:val="clear" w:color="auto" w:fill="auto"/>
            <w:noWrap w:val="0"/>
            <w:vAlign w:val="center"/>
          </w:tcPr>
          <w:p w14:paraId="5476601D">
            <w:pPr>
              <w:pStyle w:val="208"/>
              <w:spacing w:line="240" w:lineRule="auto"/>
              <w:ind w:firstLine="0"/>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污染物排放情况</w:t>
            </w:r>
          </w:p>
        </w:tc>
      </w:tr>
      <w:tr w14:paraId="1D5658B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142" w:hRule="atLeast"/>
          <w:jc w:val="center"/>
        </w:trPr>
        <w:tc>
          <w:tcPr>
            <w:tcW w:w="827" w:type="dxa"/>
            <w:vMerge w:val="continue"/>
            <w:shd w:val="clear" w:color="auto" w:fill="auto"/>
            <w:noWrap w:val="0"/>
            <w:vAlign w:val="center"/>
          </w:tcPr>
          <w:p w14:paraId="67D5C736">
            <w:pPr>
              <w:pStyle w:val="208"/>
              <w:spacing w:line="240" w:lineRule="auto"/>
              <w:ind w:firstLine="0"/>
              <w:jc w:val="center"/>
              <w:rPr>
                <w:rFonts w:hint="default" w:ascii="Times New Roman" w:hAnsi="Times New Roman" w:eastAsia="宋体" w:cs="Times New Roman"/>
                <w:b/>
                <w:bCs/>
                <w:color w:val="auto"/>
                <w:sz w:val="21"/>
                <w:szCs w:val="21"/>
                <w:highlight w:val="none"/>
              </w:rPr>
            </w:pPr>
          </w:p>
        </w:tc>
        <w:tc>
          <w:tcPr>
            <w:tcW w:w="795" w:type="dxa"/>
            <w:vMerge w:val="continue"/>
            <w:shd w:val="clear" w:color="auto" w:fill="auto"/>
            <w:noWrap w:val="0"/>
            <w:vAlign w:val="center"/>
          </w:tcPr>
          <w:p w14:paraId="4F7E584F">
            <w:pPr>
              <w:pStyle w:val="208"/>
              <w:spacing w:line="240" w:lineRule="auto"/>
              <w:ind w:firstLine="0"/>
              <w:jc w:val="center"/>
              <w:rPr>
                <w:rFonts w:hint="default" w:ascii="Times New Roman" w:hAnsi="Times New Roman" w:eastAsia="宋体" w:cs="Times New Roman"/>
                <w:b/>
                <w:bCs/>
                <w:color w:val="auto"/>
                <w:sz w:val="21"/>
                <w:szCs w:val="21"/>
                <w:highlight w:val="none"/>
              </w:rPr>
            </w:pPr>
          </w:p>
        </w:tc>
        <w:tc>
          <w:tcPr>
            <w:tcW w:w="990" w:type="dxa"/>
            <w:shd w:val="clear" w:color="auto" w:fill="auto"/>
            <w:noWrap w:val="0"/>
            <w:vAlign w:val="center"/>
          </w:tcPr>
          <w:p w14:paraId="2F6B40AE">
            <w:pPr>
              <w:pStyle w:val="208"/>
              <w:spacing w:line="240" w:lineRule="auto"/>
              <w:ind w:firstLine="0"/>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产生量</w:t>
            </w:r>
          </w:p>
        </w:tc>
        <w:tc>
          <w:tcPr>
            <w:tcW w:w="915" w:type="dxa"/>
            <w:shd w:val="clear" w:color="auto" w:fill="auto"/>
            <w:noWrap w:val="0"/>
            <w:vAlign w:val="center"/>
          </w:tcPr>
          <w:p w14:paraId="60ADB6F6">
            <w:pPr>
              <w:pStyle w:val="208"/>
              <w:spacing w:line="240" w:lineRule="auto"/>
              <w:ind w:firstLine="0"/>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产生速率</w:t>
            </w:r>
          </w:p>
        </w:tc>
        <w:tc>
          <w:tcPr>
            <w:tcW w:w="1740" w:type="dxa"/>
            <w:shd w:val="clear" w:color="auto" w:fill="auto"/>
            <w:noWrap w:val="0"/>
            <w:vAlign w:val="center"/>
          </w:tcPr>
          <w:p w14:paraId="6AD49C78">
            <w:pPr>
              <w:pStyle w:val="208"/>
              <w:spacing w:line="240" w:lineRule="auto"/>
              <w:ind w:firstLine="0"/>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措施</w:t>
            </w:r>
          </w:p>
        </w:tc>
        <w:tc>
          <w:tcPr>
            <w:tcW w:w="965" w:type="dxa"/>
            <w:shd w:val="clear" w:color="auto" w:fill="auto"/>
            <w:noWrap w:val="0"/>
            <w:vAlign w:val="center"/>
          </w:tcPr>
          <w:p w14:paraId="7A27FB2A">
            <w:pPr>
              <w:pStyle w:val="208"/>
              <w:spacing w:line="240" w:lineRule="auto"/>
              <w:ind w:firstLine="0"/>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收集效率（％）</w:t>
            </w:r>
          </w:p>
        </w:tc>
        <w:tc>
          <w:tcPr>
            <w:tcW w:w="1795" w:type="dxa"/>
            <w:shd w:val="clear" w:color="auto" w:fill="auto"/>
            <w:noWrap w:val="0"/>
            <w:vAlign w:val="center"/>
          </w:tcPr>
          <w:p w14:paraId="1294283C">
            <w:pPr>
              <w:pStyle w:val="208"/>
              <w:spacing w:line="240" w:lineRule="auto"/>
              <w:ind w:firstLine="0"/>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处理效率（％）</w:t>
            </w:r>
          </w:p>
        </w:tc>
        <w:tc>
          <w:tcPr>
            <w:tcW w:w="1245" w:type="dxa"/>
            <w:shd w:val="clear" w:color="auto" w:fill="auto"/>
            <w:noWrap w:val="0"/>
            <w:vAlign w:val="center"/>
          </w:tcPr>
          <w:p w14:paraId="5B7EFD78">
            <w:pPr>
              <w:pStyle w:val="208"/>
              <w:spacing w:line="240" w:lineRule="auto"/>
              <w:ind w:firstLine="0"/>
              <w:jc w:val="center"/>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eastAsia="宋体" w:cs="Times New Roman"/>
                <w:b/>
                <w:bCs/>
                <w:color w:val="auto"/>
                <w:sz w:val="21"/>
                <w:szCs w:val="21"/>
                <w:highlight w:val="none"/>
                <w:lang w:val="en-US" w:eastAsia="zh-CN"/>
              </w:rPr>
              <w:t>风机风量（m</w:t>
            </w:r>
            <w:r>
              <w:rPr>
                <w:rFonts w:hint="default" w:ascii="Times New Roman" w:hAnsi="Times New Roman" w:eastAsia="宋体" w:cs="Times New Roman"/>
                <w:b/>
                <w:bCs/>
                <w:color w:val="auto"/>
                <w:sz w:val="21"/>
                <w:szCs w:val="21"/>
                <w:highlight w:val="none"/>
                <w:vertAlign w:val="superscript"/>
                <w:lang w:val="en-US" w:eastAsia="zh-CN"/>
              </w:rPr>
              <w:t>3</w:t>
            </w:r>
            <w:r>
              <w:rPr>
                <w:rFonts w:hint="default" w:ascii="Times New Roman" w:hAnsi="Times New Roman" w:eastAsia="宋体" w:cs="Times New Roman"/>
                <w:b/>
                <w:bCs/>
                <w:color w:val="auto"/>
                <w:sz w:val="21"/>
                <w:szCs w:val="21"/>
                <w:highlight w:val="none"/>
                <w:lang w:val="en-US" w:eastAsia="zh-CN"/>
              </w:rPr>
              <w:t>/h）</w:t>
            </w:r>
          </w:p>
        </w:tc>
        <w:tc>
          <w:tcPr>
            <w:tcW w:w="1140" w:type="dxa"/>
            <w:shd w:val="clear" w:color="auto" w:fill="auto"/>
            <w:noWrap w:val="0"/>
            <w:vAlign w:val="center"/>
          </w:tcPr>
          <w:p w14:paraId="2174893D">
            <w:pPr>
              <w:pStyle w:val="208"/>
              <w:spacing w:line="240" w:lineRule="auto"/>
              <w:ind w:firstLine="0"/>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是否为可行技术</w:t>
            </w:r>
          </w:p>
        </w:tc>
        <w:tc>
          <w:tcPr>
            <w:tcW w:w="915" w:type="dxa"/>
            <w:shd w:val="clear" w:color="auto" w:fill="auto"/>
            <w:noWrap w:val="0"/>
            <w:vAlign w:val="center"/>
          </w:tcPr>
          <w:p w14:paraId="7CA95B32">
            <w:pPr>
              <w:pStyle w:val="208"/>
              <w:spacing w:line="240" w:lineRule="auto"/>
              <w:ind w:firstLine="0"/>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排放形式</w:t>
            </w:r>
          </w:p>
        </w:tc>
        <w:tc>
          <w:tcPr>
            <w:tcW w:w="900" w:type="dxa"/>
            <w:shd w:val="clear" w:color="auto" w:fill="auto"/>
            <w:noWrap w:val="0"/>
            <w:vAlign w:val="center"/>
          </w:tcPr>
          <w:p w14:paraId="68DEB2B7">
            <w:pPr>
              <w:pStyle w:val="208"/>
              <w:spacing w:line="240" w:lineRule="auto"/>
              <w:ind w:firstLine="0"/>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排放量</w:t>
            </w:r>
          </w:p>
        </w:tc>
        <w:tc>
          <w:tcPr>
            <w:tcW w:w="780" w:type="dxa"/>
            <w:shd w:val="clear" w:color="auto" w:fill="auto"/>
            <w:noWrap w:val="0"/>
            <w:vAlign w:val="center"/>
          </w:tcPr>
          <w:p w14:paraId="23A18B44">
            <w:pPr>
              <w:pStyle w:val="208"/>
              <w:spacing w:line="240" w:lineRule="auto"/>
              <w:ind w:firstLine="0"/>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排放速率</w:t>
            </w:r>
          </w:p>
        </w:tc>
        <w:tc>
          <w:tcPr>
            <w:tcW w:w="750" w:type="dxa"/>
            <w:shd w:val="clear" w:color="auto" w:fill="auto"/>
            <w:noWrap w:val="0"/>
            <w:vAlign w:val="center"/>
          </w:tcPr>
          <w:p w14:paraId="25B8D100">
            <w:pPr>
              <w:pStyle w:val="208"/>
              <w:spacing w:line="240" w:lineRule="auto"/>
              <w:ind w:firstLine="0"/>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排放浓度</w:t>
            </w:r>
          </w:p>
        </w:tc>
        <w:tc>
          <w:tcPr>
            <w:tcW w:w="840" w:type="dxa"/>
            <w:shd w:val="clear" w:color="auto" w:fill="auto"/>
            <w:noWrap w:val="0"/>
            <w:vAlign w:val="center"/>
          </w:tcPr>
          <w:p w14:paraId="12D66D98">
            <w:pPr>
              <w:pStyle w:val="208"/>
              <w:spacing w:line="240" w:lineRule="auto"/>
              <w:ind w:firstLine="0"/>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排放时间</w:t>
            </w:r>
          </w:p>
        </w:tc>
      </w:tr>
      <w:tr w14:paraId="00BF543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827" w:type="dxa"/>
            <w:noWrap w:val="0"/>
            <w:vAlign w:val="center"/>
          </w:tcPr>
          <w:p w14:paraId="25FE2226">
            <w:pPr>
              <w:pStyle w:val="18"/>
              <w:keepNext w:val="0"/>
              <w:keepLines w:val="0"/>
              <w:pageBreakBefore w:val="0"/>
              <w:widowControl w:val="0"/>
              <w:kinsoku/>
              <w:wordWrap/>
              <w:overflowPunct/>
              <w:topLinePunct w:val="0"/>
              <w:autoSpaceDE w:val="0"/>
              <w:autoSpaceDN w:val="0"/>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eastAsia="宋体" w:cs="Times New Roman"/>
                <w:color w:val="auto"/>
                <w:sz w:val="21"/>
                <w:szCs w:val="21"/>
                <w:highlight w:val="none"/>
                <w:lang w:val="en-US" w:eastAsia="zh-CN"/>
              </w:rPr>
              <w:t>涂布烘干</w:t>
            </w:r>
          </w:p>
        </w:tc>
        <w:tc>
          <w:tcPr>
            <w:tcW w:w="795" w:type="dxa"/>
            <w:noWrap w:val="0"/>
            <w:vAlign w:val="center"/>
          </w:tcPr>
          <w:p w14:paraId="4792E267">
            <w:pPr>
              <w:pStyle w:val="18"/>
              <w:keepNext w:val="0"/>
              <w:keepLines w:val="0"/>
              <w:pageBreakBefore w:val="0"/>
              <w:widowControl w:val="0"/>
              <w:kinsoku/>
              <w:wordWrap/>
              <w:overflowPunct/>
              <w:topLinePunct w:val="0"/>
              <w:autoSpaceDE w:val="0"/>
              <w:autoSpaceDN w:val="0"/>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eastAsia="宋体" w:cs="Times New Roman"/>
                <w:color w:val="auto"/>
                <w:sz w:val="21"/>
                <w:szCs w:val="21"/>
                <w:highlight w:val="none"/>
                <w:lang w:val="en-US" w:eastAsia="zh-CN"/>
              </w:rPr>
              <w:t>NMP（以非甲烷总烃计）</w:t>
            </w:r>
          </w:p>
        </w:tc>
        <w:tc>
          <w:tcPr>
            <w:tcW w:w="990" w:type="dxa"/>
            <w:noWrap w:val="0"/>
            <w:vAlign w:val="center"/>
          </w:tcPr>
          <w:p w14:paraId="39C5646F">
            <w:pPr>
              <w:pStyle w:val="18"/>
              <w:keepNext w:val="0"/>
              <w:keepLines w:val="0"/>
              <w:pageBreakBefore w:val="0"/>
              <w:widowControl w:val="0"/>
              <w:kinsoku/>
              <w:wordWrap/>
              <w:overflowPunct/>
              <w:topLinePunct w:val="0"/>
              <w:autoSpaceDE w:val="0"/>
              <w:autoSpaceDN w:val="0"/>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1328.84</w:t>
            </w:r>
          </w:p>
        </w:tc>
        <w:tc>
          <w:tcPr>
            <w:tcW w:w="915" w:type="dxa"/>
            <w:noWrap w:val="0"/>
            <w:vAlign w:val="center"/>
          </w:tcPr>
          <w:p w14:paraId="0472CFAC">
            <w:pPr>
              <w:pStyle w:val="18"/>
              <w:keepNext w:val="0"/>
              <w:keepLines w:val="0"/>
              <w:pageBreakBefore w:val="0"/>
              <w:widowControl w:val="0"/>
              <w:kinsoku/>
              <w:wordWrap/>
              <w:overflowPunct/>
              <w:topLinePunct w:val="0"/>
              <w:autoSpaceDE w:val="0"/>
              <w:autoSpaceDN w:val="0"/>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lang w:val="en-US" w:eastAsia="zh-CN"/>
              </w:rPr>
              <w:t>221.5</w:t>
            </w:r>
          </w:p>
        </w:tc>
        <w:tc>
          <w:tcPr>
            <w:tcW w:w="1740" w:type="dxa"/>
            <w:noWrap w:val="0"/>
            <w:vAlign w:val="center"/>
          </w:tcPr>
          <w:p w14:paraId="24B48DC8">
            <w:pPr>
              <w:pStyle w:val="18"/>
              <w:keepNext w:val="0"/>
              <w:keepLines w:val="0"/>
              <w:pageBreakBefore w:val="0"/>
              <w:widowControl w:val="0"/>
              <w:kinsoku/>
              <w:wordWrap/>
              <w:overflowPunct/>
              <w:topLinePunct w:val="0"/>
              <w:autoSpaceDE w:val="0"/>
              <w:autoSpaceDN w:val="0"/>
              <w:bidi w:val="0"/>
              <w:adjustRightInd/>
              <w:snapToGrid/>
              <w:spacing w:line="240" w:lineRule="auto"/>
              <w:ind w:left="0" w:leftChars="0" w:firstLine="0" w:firstLineChars="0"/>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二级冷凝回收+</w:t>
            </w:r>
            <w:r>
              <w:rPr>
                <w:rFonts w:hint="default" w:ascii="Times New Roman" w:hAnsi="Times New Roman" w:eastAsia="宋体" w:cs="Times New Roman"/>
                <w:color w:val="auto"/>
                <w:sz w:val="21"/>
                <w:szCs w:val="21"/>
                <w:highlight w:val="none"/>
              </w:rPr>
              <w:t>转轮深度吸附</w:t>
            </w:r>
          </w:p>
        </w:tc>
        <w:tc>
          <w:tcPr>
            <w:tcW w:w="965" w:type="dxa"/>
            <w:noWrap w:val="0"/>
            <w:vAlign w:val="center"/>
          </w:tcPr>
          <w:p w14:paraId="4ADCB2FD">
            <w:pPr>
              <w:pStyle w:val="18"/>
              <w:keepNext w:val="0"/>
              <w:keepLines w:val="0"/>
              <w:pageBreakBefore w:val="0"/>
              <w:widowControl w:val="0"/>
              <w:kinsoku/>
              <w:wordWrap/>
              <w:overflowPunct/>
              <w:topLinePunct w:val="0"/>
              <w:autoSpaceDE w:val="0"/>
              <w:autoSpaceDN w:val="0"/>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100</w:t>
            </w:r>
          </w:p>
        </w:tc>
        <w:tc>
          <w:tcPr>
            <w:tcW w:w="1795" w:type="dxa"/>
            <w:noWrap w:val="0"/>
            <w:vAlign w:val="center"/>
          </w:tcPr>
          <w:p w14:paraId="7D57ADF6">
            <w:pPr>
              <w:pStyle w:val="18"/>
              <w:keepNext w:val="0"/>
              <w:keepLines w:val="0"/>
              <w:pageBreakBefore w:val="0"/>
              <w:widowControl w:val="0"/>
              <w:kinsoku/>
              <w:wordWrap/>
              <w:overflowPunct/>
              <w:topLinePunct w:val="0"/>
              <w:autoSpaceDE w:val="0"/>
              <w:autoSpaceDN w:val="0"/>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99.9</w:t>
            </w:r>
          </w:p>
        </w:tc>
        <w:tc>
          <w:tcPr>
            <w:tcW w:w="1245" w:type="dxa"/>
            <w:noWrap w:val="0"/>
            <w:vAlign w:val="center"/>
          </w:tcPr>
          <w:p w14:paraId="1FABC110">
            <w:pPr>
              <w:pStyle w:val="18"/>
              <w:keepNext w:val="0"/>
              <w:keepLines w:val="0"/>
              <w:pageBreakBefore w:val="0"/>
              <w:widowControl w:val="0"/>
              <w:kinsoku/>
              <w:wordWrap/>
              <w:overflowPunct/>
              <w:topLinePunct w:val="0"/>
              <w:autoSpaceDE w:val="0"/>
              <w:autoSpaceDN w:val="0"/>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35000</w:t>
            </w:r>
          </w:p>
        </w:tc>
        <w:tc>
          <w:tcPr>
            <w:tcW w:w="1140" w:type="dxa"/>
            <w:noWrap w:val="0"/>
            <w:vAlign w:val="center"/>
          </w:tcPr>
          <w:p w14:paraId="3FB8514E">
            <w:pPr>
              <w:pStyle w:val="208"/>
              <w:spacing w:line="240" w:lineRule="auto"/>
              <w:ind w:firstLine="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是</w:t>
            </w:r>
          </w:p>
        </w:tc>
        <w:tc>
          <w:tcPr>
            <w:tcW w:w="915" w:type="dxa"/>
            <w:noWrap w:val="0"/>
            <w:vAlign w:val="center"/>
          </w:tcPr>
          <w:p w14:paraId="1437334B">
            <w:pPr>
              <w:pStyle w:val="208"/>
              <w:spacing w:line="240" w:lineRule="auto"/>
              <w:ind w:firstLine="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有组织</w:t>
            </w:r>
          </w:p>
        </w:tc>
        <w:tc>
          <w:tcPr>
            <w:tcW w:w="900" w:type="dxa"/>
            <w:noWrap w:val="0"/>
            <w:vAlign w:val="center"/>
          </w:tcPr>
          <w:p w14:paraId="7EEDEB00">
            <w:pPr>
              <w:pStyle w:val="18"/>
              <w:keepNext w:val="0"/>
              <w:keepLines w:val="0"/>
              <w:pageBreakBefore w:val="0"/>
              <w:widowControl w:val="0"/>
              <w:kinsoku/>
              <w:wordWrap/>
              <w:overflowPunct/>
              <w:topLinePunct w:val="0"/>
              <w:autoSpaceDE w:val="0"/>
              <w:autoSpaceDN w:val="0"/>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lang w:val="en-US" w:eastAsia="zh-CN"/>
              </w:rPr>
              <w:t>1.33</w:t>
            </w:r>
          </w:p>
        </w:tc>
        <w:tc>
          <w:tcPr>
            <w:tcW w:w="780" w:type="dxa"/>
            <w:noWrap w:val="0"/>
            <w:vAlign w:val="center"/>
          </w:tcPr>
          <w:p w14:paraId="71A203FD">
            <w:pPr>
              <w:pStyle w:val="18"/>
              <w:keepNext w:val="0"/>
              <w:keepLines w:val="0"/>
              <w:pageBreakBefore w:val="0"/>
              <w:widowControl w:val="0"/>
              <w:kinsoku/>
              <w:wordWrap/>
              <w:overflowPunct/>
              <w:topLinePunct w:val="0"/>
              <w:autoSpaceDE w:val="0"/>
              <w:autoSpaceDN w:val="0"/>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lang w:val="en-US" w:eastAsia="zh-CN"/>
              </w:rPr>
              <w:t>0.222</w:t>
            </w:r>
          </w:p>
        </w:tc>
        <w:tc>
          <w:tcPr>
            <w:tcW w:w="750" w:type="dxa"/>
            <w:noWrap w:val="0"/>
            <w:vAlign w:val="center"/>
          </w:tcPr>
          <w:p w14:paraId="250FA530">
            <w:pPr>
              <w:pStyle w:val="18"/>
              <w:keepNext w:val="0"/>
              <w:keepLines w:val="0"/>
              <w:pageBreakBefore w:val="0"/>
              <w:widowControl w:val="0"/>
              <w:kinsoku/>
              <w:wordWrap/>
              <w:overflowPunct/>
              <w:topLinePunct w:val="0"/>
              <w:autoSpaceDE w:val="0"/>
              <w:autoSpaceDN w:val="0"/>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lang w:val="en-US" w:eastAsia="zh-CN"/>
              </w:rPr>
              <w:t>6.34</w:t>
            </w:r>
          </w:p>
        </w:tc>
        <w:tc>
          <w:tcPr>
            <w:tcW w:w="840" w:type="dxa"/>
            <w:vMerge w:val="restart"/>
            <w:noWrap w:val="0"/>
            <w:vAlign w:val="center"/>
          </w:tcPr>
          <w:p w14:paraId="4390A0FF">
            <w:pPr>
              <w:pStyle w:val="208"/>
              <w:spacing w:line="240" w:lineRule="auto"/>
              <w:ind w:left="0" w:leftChars="0" w:firstLine="0" w:firstLineChars="0"/>
              <w:jc w:val="center"/>
              <w:rPr>
                <w:rFonts w:hint="default" w:ascii="Times New Roman" w:hAnsi="Times New Roman" w:eastAsia="宋体" w:cs="Times New Roman"/>
                <w:color w:val="auto"/>
                <w:sz w:val="21"/>
                <w:szCs w:val="21"/>
                <w:highlight w:val="none"/>
                <w:lang w:val="en-US" w:eastAsia="zh-CN"/>
              </w:rPr>
            </w:pPr>
            <w:r>
              <w:rPr>
                <w:rFonts w:hint="eastAsia" w:ascii="Times New Roman" w:cs="Times New Roman"/>
                <w:color w:val="auto"/>
                <w:sz w:val="21"/>
                <w:szCs w:val="21"/>
                <w:highlight w:val="none"/>
                <w:lang w:val="en-US" w:eastAsia="zh-CN"/>
              </w:rPr>
              <w:t>6000h</w:t>
            </w:r>
          </w:p>
        </w:tc>
      </w:tr>
      <w:tr w14:paraId="1A14921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76" w:hRule="atLeast"/>
          <w:jc w:val="center"/>
        </w:trPr>
        <w:tc>
          <w:tcPr>
            <w:tcW w:w="827" w:type="dxa"/>
            <w:noWrap w:val="0"/>
            <w:vAlign w:val="center"/>
          </w:tcPr>
          <w:p w14:paraId="68FB07D4">
            <w:pPr>
              <w:pStyle w:val="18"/>
              <w:keepNext w:val="0"/>
              <w:keepLines w:val="0"/>
              <w:pageBreakBefore w:val="0"/>
              <w:widowControl w:val="0"/>
              <w:kinsoku/>
              <w:wordWrap/>
              <w:overflowPunct/>
              <w:topLinePunct w:val="0"/>
              <w:autoSpaceDE w:val="0"/>
              <w:autoSpaceDN w:val="0"/>
              <w:bidi w:val="0"/>
              <w:adjustRightInd/>
              <w:snapToGrid/>
              <w:spacing w:line="240" w:lineRule="auto"/>
              <w:ind w:left="0" w:leftChars="0" w:firstLine="0" w:firstLineChars="0"/>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lang w:val="en-US" w:eastAsia="zh-CN"/>
              </w:rPr>
              <w:t>注液、二封</w:t>
            </w:r>
          </w:p>
        </w:tc>
        <w:tc>
          <w:tcPr>
            <w:tcW w:w="795" w:type="dxa"/>
            <w:noWrap w:val="0"/>
            <w:vAlign w:val="center"/>
          </w:tcPr>
          <w:p w14:paraId="6A15684E">
            <w:pPr>
              <w:pStyle w:val="18"/>
              <w:keepNext w:val="0"/>
              <w:keepLines w:val="0"/>
              <w:pageBreakBefore w:val="0"/>
              <w:widowControl w:val="0"/>
              <w:kinsoku/>
              <w:wordWrap/>
              <w:overflowPunct/>
              <w:topLinePunct w:val="0"/>
              <w:autoSpaceDE w:val="0"/>
              <w:autoSpaceDN w:val="0"/>
              <w:bidi w:val="0"/>
              <w:adjustRightInd/>
              <w:snapToGrid/>
              <w:spacing w:line="240" w:lineRule="auto"/>
              <w:ind w:left="0" w:leftChars="0" w:firstLine="0" w:firstLineChars="0"/>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lang w:val="en-US" w:eastAsia="zh-CN"/>
              </w:rPr>
              <w:t>挥发性有机物（以非甲烷总烃计）</w:t>
            </w:r>
          </w:p>
        </w:tc>
        <w:tc>
          <w:tcPr>
            <w:tcW w:w="990" w:type="dxa"/>
            <w:noWrap w:val="0"/>
            <w:vAlign w:val="center"/>
          </w:tcPr>
          <w:p w14:paraId="11E5EA75">
            <w:pPr>
              <w:pStyle w:val="18"/>
              <w:keepNext w:val="0"/>
              <w:keepLines w:val="0"/>
              <w:pageBreakBefore w:val="0"/>
              <w:widowControl w:val="0"/>
              <w:kinsoku/>
              <w:wordWrap/>
              <w:overflowPunct/>
              <w:topLinePunct w:val="0"/>
              <w:autoSpaceDE w:val="0"/>
              <w:autoSpaceDN w:val="0"/>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1.1224</w:t>
            </w:r>
          </w:p>
        </w:tc>
        <w:tc>
          <w:tcPr>
            <w:tcW w:w="915" w:type="dxa"/>
            <w:noWrap w:val="0"/>
            <w:vAlign w:val="center"/>
          </w:tcPr>
          <w:p w14:paraId="347C8BE2">
            <w:pPr>
              <w:pStyle w:val="18"/>
              <w:keepNext w:val="0"/>
              <w:keepLines w:val="0"/>
              <w:pageBreakBefore w:val="0"/>
              <w:widowControl w:val="0"/>
              <w:kinsoku/>
              <w:wordWrap/>
              <w:overflowPunct/>
              <w:topLinePunct w:val="0"/>
              <w:autoSpaceDE w:val="0"/>
              <w:autoSpaceDN w:val="0"/>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0.187</w:t>
            </w:r>
          </w:p>
        </w:tc>
        <w:tc>
          <w:tcPr>
            <w:tcW w:w="1740" w:type="dxa"/>
            <w:noWrap w:val="0"/>
            <w:vAlign w:val="center"/>
          </w:tcPr>
          <w:p w14:paraId="1FB13672">
            <w:pPr>
              <w:pStyle w:val="18"/>
              <w:keepNext w:val="0"/>
              <w:keepLines w:val="0"/>
              <w:pageBreakBefore w:val="0"/>
              <w:widowControl w:val="0"/>
              <w:kinsoku/>
              <w:wordWrap/>
              <w:overflowPunct/>
              <w:topLinePunct w:val="0"/>
              <w:autoSpaceDE w:val="0"/>
              <w:autoSpaceDN w:val="0"/>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lang w:val="en-US" w:eastAsia="zh-CN"/>
              </w:rPr>
              <w:t>二级活性炭</w:t>
            </w:r>
          </w:p>
        </w:tc>
        <w:tc>
          <w:tcPr>
            <w:tcW w:w="965" w:type="dxa"/>
            <w:noWrap w:val="0"/>
            <w:vAlign w:val="center"/>
          </w:tcPr>
          <w:p w14:paraId="7EE761E9">
            <w:pPr>
              <w:pStyle w:val="18"/>
              <w:keepNext w:val="0"/>
              <w:keepLines w:val="0"/>
              <w:pageBreakBefore w:val="0"/>
              <w:widowControl w:val="0"/>
              <w:kinsoku/>
              <w:wordWrap/>
              <w:overflowPunct/>
              <w:topLinePunct w:val="0"/>
              <w:autoSpaceDE w:val="0"/>
              <w:autoSpaceDN w:val="0"/>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lang w:val="en-US" w:eastAsia="zh-CN"/>
              </w:rPr>
              <w:t>95%</w:t>
            </w:r>
          </w:p>
        </w:tc>
        <w:tc>
          <w:tcPr>
            <w:tcW w:w="1795" w:type="dxa"/>
            <w:noWrap w:val="0"/>
            <w:vAlign w:val="center"/>
          </w:tcPr>
          <w:p w14:paraId="23FD40BB">
            <w:pPr>
              <w:pStyle w:val="18"/>
              <w:keepNext w:val="0"/>
              <w:keepLines w:val="0"/>
              <w:pageBreakBefore w:val="0"/>
              <w:widowControl w:val="0"/>
              <w:kinsoku/>
              <w:wordWrap/>
              <w:overflowPunct/>
              <w:topLinePunct w:val="0"/>
              <w:autoSpaceDE w:val="0"/>
              <w:autoSpaceDN w:val="0"/>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75%</w:t>
            </w:r>
          </w:p>
        </w:tc>
        <w:tc>
          <w:tcPr>
            <w:tcW w:w="1245" w:type="dxa"/>
            <w:noWrap w:val="0"/>
            <w:vAlign w:val="center"/>
          </w:tcPr>
          <w:p w14:paraId="5947D80B">
            <w:pPr>
              <w:pStyle w:val="18"/>
              <w:keepNext w:val="0"/>
              <w:keepLines w:val="0"/>
              <w:pageBreakBefore w:val="0"/>
              <w:widowControl w:val="0"/>
              <w:kinsoku/>
              <w:wordWrap/>
              <w:overflowPunct/>
              <w:topLinePunct w:val="0"/>
              <w:autoSpaceDE w:val="0"/>
              <w:autoSpaceDN w:val="0"/>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6000</w:t>
            </w:r>
          </w:p>
        </w:tc>
        <w:tc>
          <w:tcPr>
            <w:tcW w:w="1140" w:type="dxa"/>
            <w:noWrap w:val="0"/>
            <w:vAlign w:val="center"/>
          </w:tcPr>
          <w:p w14:paraId="1B3C1D54">
            <w:pPr>
              <w:pStyle w:val="208"/>
              <w:spacing w:line="240" w:lineRule="auto"/>
              <w:ind w:firstLine="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是</w:t>
            </w:r>
          </w:p>
        </w:tc>
        <w:tc>
          <w:tcPr>
            <w:tcW w:w="915" w:type="dxa"/>
            <w:noWrap w:val="0"/>
            <w:vAlign w:val="center"/>
          </w:tcPr>
          <w:p w14:paraId="3A380DB1">
            <w:pPr>
              <w:pStyle w:val="208"/>
              <w:spacing w:line="240" w:lineRule="auto"/>
              <w:ind w:left="0" w:leftChars="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有组织</w:t>
            </w:r>
          </w:p>
        </w:tc>
        <w:tc>
          <w:tcPr>
            <w:tcW w:w="900" w:type="dxa"/>
            <w:noWrap w:val="0"/>
            <w:vAlign w:val="center"/>
          </w:tcPr>
          <w:p w14:paraId="671E75B5">
            <w:pPr>
              <w:pStyle w:val="18"/>
              <w:keepNext w:val="0"/>
              <w:keepLines w:val="0"/>
              <w:pageBreakBefore w:val="0"/>
              <w:widowControl w:val="0"/>
              <w:kinsoku/>
              <w:wordWrap/>
              <w:overflowPunct/>
              <w:topLinePunct w:val="0"/>
              <w:autoSpaceDE w:val="0"/>
              <w:autoSpaceDN w:val="0"/>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lang w:val="en-US" w:eastAsia="zh-CN"/>
              </w:rPr>
              <w:t>0.3</w:t>
            </w:r>
          </w:p>
        </w:tc>
        <w:tc>
          <w:tcPr>
            <w:tcW w:w="780" w:type="dxa"/>
            <w:noWrap w:val="0"/>
            <w:vAlign w:val="center"/>
          </w:tcPr>
          <w:p w14:paraId="732ACC70">
            <w:pPr>
              <w:pStyle w:val="18"/>
              <w:keepNext w:val="0"/>
              <w:keepLines w:val="0"/>
              <w:pageBreakBefore w:val="0"/>
              <w:widowControl w:val="0"/>
              <w:kinsoku/>
              <w:wordWrap/>
              <w:overflowPunct/>
              <w:topLinePunct w:val="0"/>
              <w:autoSpaceDE w:val="0"/>
              <w:autoSpaceDN w:val="0"/>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lang w:val="en-US" w:eastAsia="zh-CN"/>
              </w:rPr>
              <w:t>0.05</w:t>
            </w:r>
          </w:p>
        </w:tc>
        <w:tc>
          <w:tcPr>
            <w:tcW w:w="750" w:type="dxa"/>
            <w:noWrap w:val="0"/>
            <w:vAlign w:val="center"/>
          </w:tcPr>
          <w:p w14:paraId="7013FA8C">
            <w:pPr>
              <w:pStyle w:val="18"/>
              <w:keepNext w:val="0"/>
              <w:keepLines w:val="0"/>
              <w:pageBreakBefore w:val="0"/>
              <w:widowControl w:val="0"/>
              <w:kinsoku/>
              <w:wordWrap/>
              <w:overflowPunct/>
              <w:topLinePunct w:val="0"/>
              <w:autoSpaceDE w:val="0"/>
              <w:autoSpaceDN w:val="0"/>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lang w:val="en-US" w:eastAsia="zh-CN"/>
              </w:rPr>
              <w:t>8.33</w:t>
            </w:r>
          </w:p>
        </w:tc>
        <w:tc>
          <w:tcPr>
            <w:tcW w:w="840" w:type="dxa"/>
            <w:vMerge w:val="continue"/>
            <w:noWrap w:val="0"/>
            <w:vAlign w:val="center"/>
          </w:tcPr>
          <w:p w14:paraId="7AC4086F">
            <w:pPr>
              <w:pStyle w:val="208"/>
              <w:spacing w:line="240" w:lineRule="auto"/>
              <w:ind w:firstLine="0"/>
              <w:jc w:val="center"/>
              <w:rPr>
                <w:rFonts w:hint="default" w:ascii="Times New Roman" w:hAnsi="Times New Roman" w:eastAsia="宋体" w:cs="Times New Roman"/>
                <w:color w:val="auto"/>
                <w:sz w:val="21"/>
                <w:szCs w:val="21"/>
                <w:highlight w:val="none"/>
                <w:lang w:val="en-US" w:eastAsia="zh-CN"/>
              </w:rPr>
            </w:pPr>
          </w:p>
        </w:tc>
      </w:tr>
      <w:tr w14:paraId="187B10F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76" w:hRule="atLeast"/>
          <w:jc w:val="center"/>
        </w:trPr>
        <w:tc>
          <w:tcPr>
            <w:tcW w:w="827" w:type="dxa"/>
            <w:noWrap w:val="0"/>
            <w:vAlign w:val="center"/>
          </w:tcPr>
          <w:p w14:paraId="762241DD">
            <w:pPr>
              <w:pStyle w:val="18"/>
              <w:keepNext w:val="0"/>
              <w:keepLines w:val="0"/>
              <w:pageBreakBefore w:val="0"/>
              <w:widowControl w:val="0"/>
              <w:kinsoku/>
              <w:wordWrap/>
              <w:overflowPunct/>
              <w:topLinePunct w:val="0"/>
              <w:autoSpaceDE w:val="0"/>
              <w:autoSpaceDN w:val="0"/>
              <w:bidi w:val="0"/>
              <w:adjustRightInd/>
              <w:snapToGrid/>
              <w:spacing w:line="240" w:lineRule="auto"/>
              <w:ind w:left="0" w:leftChars="0" w:firstLine="0" w:firstLineChars="0"/>
              <w:textAlignment w:val="auto"/>
              <w:rPr>
                <w:rFonts w:hint="default" w:cs="Times New Roman"/>
                <w:color w:val="auto"/>
                <w:sz w:val="21"/>
                <w:szCs w:val="21"/>
                <w:lang w:val="en-US" w:eastAsia="zh-CN"/>
              </w:rPr>
            </w:pPr>
            <w:r>
              <w:rPr>
                <w:rFonts w:hint="eastAsia" w:cs="Times New Roman"/>
                <w:color w:val="auto"/>
                <w:sz w:val="21"/>
                <w:szCs w:val="21"/>
                <w:lang w:val="en-US" w:eastAsia="zh-CN"/>
              </w:rPr>
              <w:t>危废库</w:t>
            </w:r>
          </w:p>
        </w:tc>
        <w:tc>
          <w:tcPr>
            <w:tcW w:w="795" w:type="dxa"/>
            <w:noWrap w:val="0"/>
            <w:vAlign w:val="center"/>
          </w:tcPr>
          <w:p w14:paraId="6954F21C">
            <w:pPr>
              <w:pStyle w:val="18"/>
              <w:keepNext w:val="0"/>
              <w:keepLines w:val="0"/>
              <w:pageBreakBefore w:val="0"/>
              <w:widowControl w:val="0"/>
              <w:kinsoku/>
              <w:wordWrap/>
              <w:overflowPunct/>
              <w:topLinePunct w:val="0"/>
              <w:autoSpaceDE w:val="0"/>
              <w:autoSpaceDN w:val="0"/>
              <w:bidi w:val="0"/>
              <w:adjustRightInd/>
              <w:snapToGrid/>
              <w:spacing w:line="240" w:lineRule="auto"/>
              <w:ind w:left="0" w:leftChars="0" w:firstLine="0" w:firstLineChars="0"/>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挥发性有机物（以非甲烷总烃</w:t>
            </w:r>
          </w:p>
        </w:tc>
        <w:tc>
          <w:tcPr>
            <w:tcW w:w="990" w:type="dxa"/>
            <w:noWrap w:val="0"/>
            <w:vAlign w:val="center"/>
          </w:tcPr>
          <w:p w14:paraId="6FA9597B">
            <w:pPr>
              <w:pStyle w:val="18"/>
              <w:keepNext w:val="0"/>
              <w:keepLines w:val="0"/>
              <w:pageBreakBefore w:val="0"/>
              <w:widowControl w:val="0"/>
              <w:kinsoku/>
              <w:wordWrap/>
              <w:overflowPunct/>
              <w:topLinePunct w:val="0"/>
              <w:autoSpaceDE w:val="0"/>
              <w:autoSpaceDN w:val="0"/>
              <w:bidi w:val="0"/>
              <w:adjustRightInd/>
              <w:snapToGrid/>
              <w:spacing w:line="240" w:lineRule="auto"/>
              <w:ind w:left="0" w:leftChars="0" w:firstLine="0" w:firstLineChars="0"/>
              <w:jc w:val="center"/>
              <w:textAlignment w:val="auto"/>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少量</w:t>
            </w:r>
          </w:p>
        </w:tc>
        <w:tc>
          <w:tcPr>
            <w:tcW w:w="915" w:type="dxa"/>
            <w:noWrap w:val="0"/>
            <w:vAlign w:val="center"/>
          </w:tcPr>
          <w:p w14:paraId="12B9874B">
            <w:pPr>
              <w:pStyle w:val="18"/>
              <w:keepNext w:val="0"/>
              <w:keepLines w:val="0"/>
              <w:pageBreakBefore w:val="0"/>
              <w:widowControl w:val="0"/>
              <w:kinsoku/>
              <w:wordWrap/>
              <w:overflowPunct/>
              <w:topLinePunct w:val="0"/>
              <w:autoSpaceDE w:val="0"/>
              <w:autoSpaceDN w:val="0"/>
              <w:bidi w:val="0"/>
              <w:adjustRightInd/>
              <w:snapToGrid/>
              <w:spacing w:line="240" w:lineRule="auto"/>
              <w:ind w:left="0" w:leftChars="0" w:firstLine="0" w:firstLineChars="0"/>
              <w:jc w:val="center"/>
              <w:textAlignment w:val="auto"/>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w:t>
            </w:r>
          </w:p>
        </w:tc>
        <w:tc>
          <w:tcPr>
            <w:tcW w:w="1740" w:type="dxa"/>
            <w:noWrap w:val="0"/>
            <w:vAlign w:val="center"/>
          </w:tcPr>
          <w:p w14:paraId="7877C16B">
            <w:pPr>
              <w:pStyle w:val="18"/>
              <w:keepNext w:val="0"/>
              <w:keepLines w:val="0"/>
              <w:pageBreakBefore w:val="0"/>
              <w:widowControl w:val="0"/>
              <w:kinsoku/>
              <w:wordWrap/>
              <w:overflowPunct/>
              <w:topLinePunct w:val="0"/>
              <w:autoSpaceDE w:val="0"/>
              <w:autoSpaceDN w:val="0"/>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密闭+活性炭吸附装置</w:t>
            </w:r>
          </w:p>
        </w:tc>
        <w:tc>
          <w:tcPr>
            <w:tcW w:w="965" w:type="dxa"/>
            <w:noWrap w:val="0"/>
            <w:vAlign w:val="center"/>
          </w:tcPr>
          <w:p w14:paraId="42ED1BAE">
            <w:pPr>
              <w:pStyle w:val="18"/>
              <w:keepNext w:val="0"/>
              <w:keepLines w:val="0"/>
              <w:pageBreakBefore w:val="0"/>
              <w:widowControl w:val="0"/>
              <w:kinsoku/>
              <w:wordWrap/>
              <w:overflowPunct/>
              <w:topLinePunct w:val="0"/>
              <w:autoSpaceDE w:val="0"/>
              <w:autoSpaceDN w:val="0"/>
              <w:bidi w:val="0"/>
              <w:adjustRightInd/>
              <w:snapToGrid/>
              <w:spacing w:line="240" w:lineRule="auto"/>
              <w:ind w:left="0" w:leftChars="0" w:firstLine="0" w:firstLineChars="0"/>
              <w:jc w:val="center"/>
              <w:textAlignment w:val="auto"/>
              <w:rPr>
                <w:rFonts w:hint="default" w:cs="Times New Roman"/>
                <w:color w:val="auto"/>
                <w:sz w:val="21"/>
                <w:szCs w:val="21"/>
                <w:lang w:val="en-US" w:eastAsia="zh-CN"/>
              </w:rPr>
            </w:pPr>
            <w:r>
              <w:rPr>
                <w:rFonts w:hint="eastAsia" w:cs="Times New Roman"/>
                <w:color w:val="auto"/>
                <w:sz w:val="21"/>
                <w:szCs w:val="21"/>
                <w:lang w:val="en-US" w:eastAsia="zh-CN"/>
              </w:rPr>
              <w:t>90%</w:t>
            </w:r>
          </w:p>
        </w:tc>
        <w:tc>
          <w:tcPr>
            <w:tcW w:w="1795" w:type="dxa"/>
            <w:noWrap w:val="0"/>
            <w:vAlign w:val="center"/>
          </w:tcPr>
          <w:p w14:paraId="66190FEA">
            <w:pPr>
              <w:pStyle w:val="18"/>
              <w:keepNext w:val="0"/>
              <w:keepLines w:val="0"/>
              <w:pageBreakBefore w:val="0"/>
              <w:widowControl w:val="0"/>
              <w:kinsoku/>
              <w:wordWrap/>
              <w:overflowPunct/>
              <w:topLinePunct w:val="0"/>
              <w:autoSpaceDE w:val="0"/>
              <w:autoSpaceDN w:val="0"/>
              <w:bidi w:val="0"/>
              <w:adjustRightInd/>
              <w:snapToGrid/>
              <w:spacing w:line="240" w:lineRule="auto"/>
              <w:ind w:left="0" w:leftChars="0" w:firstLine="0" w:firstLineChars="0"/>
              <w:jc w:val="center"/>
              <w:textAlignment w:val="auto"/>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50%</w:t>
            </w:r>
          </w:p>
        </w:tc>
        <w:tc>
          <w:tcPr>
            <w:tcW w:w="1245" w:type="dxa"/>
            <w:noWrap w:val="0"/>
            <w:vAlign w:val="center"/>
          </w:tcPr>
          <w:p w14:paraId="267BEC6C">
            <w:pPr>
              <w:pStyle w:val="18"/>
              <w:keepNext w:val="0"/>
              <w:keepLines w:val="0"/>
              <w:pageBreakBefore w:val="0"/>
              <w:widowControl w:val="0"/>
              <w:kinsoku/>
              <w:wordWrap/>
              <w:overflowPunct/>
              <w:topLinePunct w:val="0"/>
              <w:autoSpaceDE w:val="0"/>
              <w:autoSpaceDN w:val="0"/>
              <w:bidi w:val="0"/>
              <w:adjustRightInd/>
              <w:snapToGrid/>
              <w:spacing w:line="240" w:lineRule="auto"/>
              <w:ind w:left="0" w:leftChars="0" w:firstLine="0" w:firstLineChars="0"/>
              <w:jc w:val="center"/>
              <w:textAlignment w:val="auto"/>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11000</w:t>
            </w:r>
          </w:p>
        </w:tc>
        <w:tc>
          <w:tcPr>
            <w:tcW w:w="1140" w:type="dxa"/>
            <w:noWrap w:val="0"/>
            <w:vAlign w:val="center"/>
          </w:tcPr>
          <w:p w14:paraId="095D270A">
            <w:pPr>
              <w:pStyle w:val="208"/>
              <w:spacing w:line="240" w:lineRule="auto"/>
              <w:ind w:firstLine="0"/>
              <w:jc w:val="center"/>
              <w:rPr>
                <w:rFonts w:hint="default" w:ascii="Times New Roman" w:hAnsi="Times New Roman" w:eastAsia="宋体" w:cs="Times New Roman"/>
                <w:color w:val="auto"/>
                <w:sz w:val="21"/>
                <w:szCs w:val="21"/>
                <w:highlight w:val="none"/>
                <w:lang w:val="en-US" w:eastAsia="zh-CN"/>
              </w:rPr>
            </w:pPr>
            <w:r>
              <w:rPr>
                <w:rFonts w:hint="eastAsia" w:ascii="Times New Roman" w:cs="Times New Roman"/>
                <w:color w:val="auto"/>
                <w:sz w:val="21"/>
                <w:szCs w:val="21"/>
                <w:highlight w:val="none"/>
                <w:lang w:val="en-US" w:eastAsia="zh-CN"/>
              </w:rPr>
              <w:t>是</w:t>
            </w:r>
          </w:p>
        </w:tc>
        <w:tc>
          <w:tcPr>
            <w:tcW w:w="915" w:type="dxa"/>
            <w:noWrap w:val="0"/>
            <w:vAlign w:val="center"/>
          </w:tcPr>
          <w:p w14:paraId="2A480684">
            <w:pPr>
              <w:pStyle w:val="208"/>
              <w:spacing w:line="240" w:lineRule="auto"/>
              <w:ind w:left="0" w:leftChars="0" w:firstLine="0" w:firstLineChars="0"/>
              <w:jc w:val="center"/>
              <w:rPr>
                <w:rFonts w:hint="default" w:ascii="Times New Roman" w:hAnsi="Times New Roman" w:eastAsia="宋体" w:cs="Times New Roman"/>
                <w:color w:val="auto"/>
                <w:sz w:val="21"/>
                <w:szCs w:val="21"/>
                <w:highlight w:val="none"/>
                <w:lang w:val="en-US" w:eastAsia="zh-CN"/>
              </w:rPr>
            </w:pPr>
            <w:r>
              <w:rPr>
                <w:rFonts w:hint="eastAsia" w:ascii="Times New Roman" w:cs="Times New Roman"/>
                <w:color w:val="auto"/>
                <w:sz w:val="21"/>
                <w:szCs w:val="21"/>
                <w:highlight w:val="none"/>
                <w:lang w:val="en-US" w:eastAsia="zh-CN"/>
              </w:rPr>
              <w:t>有组织</w:t>
            </w:r>
          </w:p>
        </w:tc>
        <w:tc>
          <w:tcPr>
            <w:tcW w:w="900" w:type="dxa"/>
            <w:noWrap w:val="0"/>
            <w:vAlign w:val="center"/>
          </w:tcPr>
          <w:p w14:paraId="39ED013D">
            <w:pPr>
              <w:pStyle w:val="18"/>
              <w:keepNext w:val="0"/>
              <w:keepLines w:val="0"/>
              <w:pageBreakBefore w:val="0"/>
              <w:widowControl w:val="0"/>
              <w:kinsoku/>
              <w:wordWrap/>
              <w:overflowPunct/>
              <w:topLinePunct w:val="0"/>
              <w:autoSpaceDE w:val="0"/>
              <w:autoSpaceDN w:val="0"/>
              <w:bidi w:val="0"/>
              <w:adjustRightInd/>
              <w:snapToGrid/>
              <w:spacing w:line="240" w:lineRule="auto"/>
              <w:ind w:left="0" w:leftChars="0" w:firstLine="0" w:firstLineChars="0"/>
              <w:jc w:val="center"/>
              <w:textAlignment w:val="auto"/>
              <w:rPr>
                <w:rFonts w:hint="default" w:cs="Times New Roman"/>
                <w:color w:val="auto"/>
                <w:sz w:val="21"/>
                <w:szCs w:val="21"/>
                <w:lang w:val="en-US" w:eastAsia="zh-CN"/>
              </w:rPr>
            </w:pPr>
            <w:r>
              <w:rPr>
                <w:rFonts w:hint="eastAsia" w:cs="Times New Roman"/>
                <w:color w:val="auto"/>
                <w:sz w:val="21"/>
                <w:szCs w:val="21"/>
                <w:lang w:val="en-US" w:eastAsia="zh-CN"/>
              </w:rPr>
              <w:t>/</w:t>
            </w:r>
          </w:p>
        </w:tc>
        <w:tc>
          <w:tcPr>
            <w:tcW w:w="780" w:type="dxa"/>
            <w:noWrap w:val="0"/>
            <w:vAlign w:val="center"/>
          </w:tcPr>
          <w:p w14:paraId="743E1170">
            <w:pPr>
              <w:pStyle w:val="18"/>
              <w:keepNext w:val="0"/>
              <w:keepLines w:val="0"/>
              <w:pageBreakBefore w:val="0"/>
              <w:widowControl w:val="0"/>
              <w:kinsoku/>
              <w:wordWrap/>
              <w:overflowPunct/>
              <w:topLinePunct w:val="0"/>
              <w:autoSpaceDE w:val="0"/>
              <w:autoSpaceDN w:val="0"/>
              <w:bidi w:val="0"/>
              <w:adjustRightInd/>
              <w:snapToGrid/>
              <w:spacing w:line="240" w:lineRule="auto"/>
              <w:ind w:left="0" w:leftChars="0" w:firstLine="0" w:firstLineChars="0"/>
              <w:jc w:val="center"/>
              <w:textAlignment w:val="auto"/>
              <w:rPr>
                <w:rFonts w:hint="default" w:cs="Times New Roman"/>
                <w:color w:val="auto"/>
                <w:sz w:val="21"/>
                <w:szCs w:val="21"/>
                <w:lang w:val="en-US" w:eastAsia="zh-CN"/>
              </w:rPr>
            </w:pPr>
            <w:r>
              <w:rPr>
                <w:rFonts w:hint="eastAsia" w:cs="Times New Roman"/>
                <w:color w:val="auto"/>
                <w:sz w:val="21"/>
                <w:szCs w:val="21"/>
                <w:lang w:val="en-US" w:eastAsia="zh-CN"/>
              </w:rPr>
              <w:t>/</w:t>
            </w:r>
          </w:p>
        </w:tc>
        <w:tc>
          <w:tcPr>
            <w:tcW w:w="750" w:type="dxa"/>
            <w:noWrap w:val="0"/>
            <w:vAlign w:val="center"/>
          </w:tcPr>
          <w:p w14:paraId="626FDC7C">
            <w:pPr>
              <w:pStyle w:val="18"/>
              <w:keepNext w:val="0"/>
              <w:keepLines w:val="0"/>
              <w:pageBreakBefore w:val="0"/>
              <w:widowControl w:val="0"/>
              <w:kinsoku/>
              <w:wordWrap/>
              <w:overflowPunct/>
              <w:topLinePunct w:val="0"/>
              <w:autoSpaceDE w:val="0"/>
              <w:autoSpaceDN w:val="0"/>
              <w:bidi w:val="0"/>
              <w:adjustRightInd/>
              <w:snapToGrid/>
              <w:spacing w:line="240" w:lineRule="auto"/>
              <w:ind w:left="0" w:leftChars="0" w:firstLine="0" w:firstLineChars="0"/>
              <w:jc w:val="center"/>
              <w:textAlignment w:val="auto"/>
              <w:rPr>
                <w:rFonts w:hint="default" w:cs="Times New Roman"/>
                <w:color w:val="auto"/>
                <w:sz w:val="21"/>
                <w:szCs w:val="21"/>
                <w:lang w:val="en-US" w:eastAsia="zh-CN"/>
              </w:rPr>
            </w:pPr>
            <w:r>
              <w:rPr>
                <w:rFonts w:hint="eastAsia" w:cs="Times New Roman"/>
                <w:color w:val="auto"/>
                <w:sz w:val="21"/>
                <w:szCs w:val="21"/>
                <w:lang w:val="en-US" w:eastAsia="zh-CN"/>
              </w:rPr>
              <w:t>/</w:t>
            </w:r>
          </w:p>
        </w:tc>
        <w:tc>
          <w:tcPr>
            <w:tcW w:w="840" w:type="dxa"/>
            <w:noWrap w:val="0"/>
            <w:vAlign w:val="center"/>
          </w:tcPr>
          <w:p w14:paraId="79280DB5">
            <w:pPr>
              <w:pStyle w:val="208"/>
              <w:spacing w:line="240" w:lineRule="auto"/>
              <w:ind w:firstLine="0"/>
              <w:jc w:val="center"/>
              <w:rPr>
                <w:rFonts w:hint="default" w:ascii="Times New Roman" w:hAnsi="Times New Roman" w:eastAsia="宋体" w:cs="Times New Roman"/>
                <w:color w:val="auto"/>
                <w:sz w:val="21"/>
                <w:szCs w:val="21"/>
                <w:highlight w:val="none"/>
                <w:lang w:val="en-US" w:eastAsia="zh-CN"/>
              </w:rPr>
            </w:pPr>
            <w:r>
              <w:rPr>
                <w:rFonts w:hint="eastAsia" w:ascii="Times New Roman" w:cs="Times New Roman"/>
                <w:color w:val="auto"/>
                <w:sz w:val="21"/>
                <w:szCs w:val="21"/>
                <w:highlight w:val="none"/>
                <w:lang w:val="en-US" w:eastAsia="zh-CN"/>
              </w:rPr>
              <w:t>/</w:t>
            </w:r>
          </w:p>
        </w:tc>
      </w:tr>
    </w:tbl>
    <w:p w14:paraId="3A20A2B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bCs/>
          <w:color w:val="auto"/>
          <w:kern w:val="0"/>
          <w:sz w:val="21"/>
          <w:szCs w:val="21"/>
          <w:lang w:val="en-US" w:eastAsia="zh-CN" w:bidi="ar"/>
        </w:rPr>
      </w:pPr>
      <w:r>
        <w:rPr>
          <w:rFonts w:hint="eastAsia" w:cs="Times New Roman"/>
          <w:b/>
          <w:bCs/>
          <w:color w:val="auto"/>
          <w:kern w:val="0"/>
          <w:sz w:val="21"/>
          <w:szCs w:val="21"/>
          <w:lang w:val="en-US" w:eastAsia="zh-CN" w:bidi="ar"/>
        </w:rPr>
        <w:t>表4-4 项目无组织排放情况一览表</w:t>
      </w:r>
      <w:r>
        <w:rPr>
          <w:rFonts w:hint="default" w:ascii="Times New Roman" w:hAnsi="Times New Roman" w:eastAsia="宋体" w:cs="Times New Roman"/>
          <w:b/>
          <w:bCs/>
          <w:color w:val="auto"/>
          <w:kern w:val="0"/>
          <w:sz w:val="21"/>
          <w:szCs w:val="21"/>
          <w:highlight w:val="none"/>
        </w:rPr>
        <w:t>（单位：产生量t/a</w:t>
      </w:r>
      <w:r>
        <w:rPr>
          <w:rFonts w:hint="eastAsia" w:ascii="Times New Roman" w:hAnsi="Times New Roman" w:eastAsia="宋体" w:cs="Times New Roman"/>
          <w:b/>
          <w:bCs/>
          <w:color w:val="auto"/>
          <w:kern w:val="0"/>
          <w:sz w:val="21"/>
          <w:szCs w:val="21"/>
          <w:highlight w:val="none"/>
          <w:lang w:eastAsia="zh-CN"/>
        </w:rPr>
        <w:t>；</w:t>
      </w:r>
      <w:r>
        <w:rPr>
          <w:rFonts w:hint="default" w:ascii="Times New Roman" w:hAnsi="Times New Roman" w:eastAsia="宋体" w:cs="Times New Roman"/>
          <w:b/>
          <w:bCs/>
          <w:color w:val="auto"/>
          <w:kern w:val="0"/>
          <w:sz w:val="21"/>
          <w:szCs w:val="21"/>
          <w:highlight w:val="none"/>
        </w:rPr>
        <w:t>速率kg/h）</w:t>
      </w:r>
    </w:p>
    <w:tbl>
      <w:tblPr>
        <w:tblStyle w:val="42"/>
        <w:tblW w:w="14450" w:type="dxa"/>
        <w:tblInd w:w="-391"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383"/>
        <w:gridCol w:w="1650"/>
        <w:gridCol w:w="1983"/>
        <w:gridCol w:w="2150"/>
        <w:gridCol w:w="2917"/>
        <w:gridCol w:w="1717"/>
        <w:gridCol w:w="1450"/>
        <w:gridCol w:w="1200"/>
      </w:tblGrid>
      <w:tr w14:paraId="6A575CD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383" w:type="dxa"/>
            <w:vMerge w:val="restart"/>
            <w:vAlign w:val="center"/>
          </w:tcPr>
          <w:p w14:paraId="795A8ACB">
            <w:pPr>
              <w:pStyle w:val="208"/>
              <w:spacing w:line="240" w:lineRule="auto"/>
              <w:ind w:firstLine="0"/>
              <w:jc w:val="center"/>
              <w:rPr>
                <w:rFonts w:hint="default" w:ascii="Times New Roman" w:hAnsi="Times New Roman" w:eastAsia="宋体" w:cs="Times New Roman"/>
                <w:b/>
                <w:bCs/>
                <w:color w:val="auto"/>
                <w:sz w:val="21"/>
                <w:szCs w:val="21"/>
                <w:highlight w:val="none"/>
                <w:lang w:val="en-US" w:eastAsia="zh-CN"/>
              </w:rPr>
            </w:pPr>
            <w:r>
              <w:rPr>
                <w:rFonts w:hint="eastAsia" w:ascii="Times New Roman" w:hAnsi="Times New Roman" w:eastAsia="宋体" w:cs="Times New Roman"/>
                <w:b/>
                <w:bCs/>
                <w:color w:val="auto"/>
                <w:sz w:val="21"/>
                <w:szCs w:val="21"/>
                <w:highlight w:val="none"/>
                <w:lang w:val="en-US" w:eastAsia="zh-CN"/>
              </w:rPr>
              <w:t>产污环节</w:t>
            </w:r>
          </w:p>
        </w:tc>
        <w:tc>
          <w:tcPr>
            <w:tcW w:w="1650" w:type="dxa"/>
            <w:vMerge w:val="restart"/>
            <w:vAlign w:val="center"/>
          </w:tcPr>
          <w:p w14:paraId="5CCC5E02">
            <w:pPr>
              <w:pStyle w:val="208"/>
              <w:spacing w:line="240" w:lineRule="auto"/>
              <w:ind w:firstLine="0"/>
              <w:jc w:val="center"/>
              <w:rPr>
                <w:rFonts w:hint="default" w:ascii="Times New Roman" w:hAnsi="Times New Roman" w:eastAsia="宋体" w:cs="Times New Roman"/>
                <w:b/>
                <w:bCs/>
                <w:color w:val="auto"/>
                <w:sz w:val="21"/>
                <w:szCs w:val="21"/>
                <w:highlight w:val="none"/>
                <w:lang w:val="en-US" w:eastAsia="zh-CN"/>
              </w:rPr>
            </w:pPr>
            <w:r>
              <w:rPr>
                <w:rFonts w:hint="eastAsia" w:ascii="Times New Roman" w:hAnsi="Times New Roman" w:eastAsia="宋体" w:cs="Times New Roman"/>
                <w:b/>
                <w:bCs/>
                <w:color w:val="auto"/>
                <w:sz w:val="21"/>
                <w:szCs w:val="21"/>
                <w:highlight w:val="none"/>
                <w:lang w:val="en-US" w:eastAsia="zh-CN"/>
              </w:rPr>
              <w:t>污染物种类</w:t>
            </w:r>
          </w:p>
        </w:tc>
        <w:tc>
          <w:tcPr>
            <w:tcW w:w="4133" w:type="dxa"/>
            <w:gridSpan w:val="2"/>
            <w:vAlign w:val="center"/>
          </w:tcPr>
          <w:p w14:paraId="0AC1E30A">
            <w:pPr>
              <w:pStyle w:val="208"/>
              <w:spacing w:line="240" w:lineRule="auto"/>
              <w:ind w:firstLine="0"/>
              <w:jc w:val="center"/>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eastAsia="宋体" w:cs="Times New Roman"/>
                <w:b/>
                <w:bCs/>
                <w:color w:val="auto"/>
                <w:sz w:val="21"/>
                <w:szCs w:val="21"/>
                <w:highlight w:val="none"/>
              </w:rPr>
              <w:t>污染物产生情况</w:t>
            </w:r>
          </w:p>
        </w:tc>
        <w:tc>
          <w:tcPr>
            <w:tcW w:w="2917" w:type="dxa"/>
            <w:vMerge w:val="restart"/>
            <w:vAlign w:val="center"/>
          </w:tcPr>
          <w:p w14:paraId="36F3606B">
            <w:pPr>
              <w:pStyle w:val="208"/>
              <w:spacing w:line="240" w:lineRule="auto"/>
              <w:ind w:firstLine="0"/>
              <w:jc w:val="center"/>
              <w:rPr>
                <w:rFonts w:hint="default" w:ascii="Times New Roman" w:hAnsi="Times New Roman" w:eastAsia="宋体" w:cs="Times New Roman"/>
                <w:b/>
                <w:bCs/>
                <w:color w:val="auto"/>
                <w:sz w:val="21"/>
                <w:szCs w:val="21"/>
                <w:highlight w:val="none"/>
                <w:lang w:val="en-US" w:eastAsia="zh-CN"/>
              </w:rPr>
            </w:pPr>
            <w:r>
              <w:rPr>
                <w:rFonts w:hint="eastAsia" w:ascii="Times New Roman" w:hAnsi="Times New Roman" w:eastAsia="宋体" w:cs="Times New Roman"/>
                <w:b/>
                <w:bCs/>
                <w:color w:val="auto"/>
                <w:sz w:val="21"/>
                <w:szCs w:val="21"/>
                <w:highlight w:val="none"/>
                <w:lang w:val="en-US" w:eastAsia="zh-CN"/>
              </w:rPr>
              <w:t>治理措施</w:t>
            </w:r>
          </w:p>
        </w:tc>
        <w:tc>
          <w:tcPr>
            <w:tcW w:w="4367" w:type="dxa"/>
            <w:gridSpan w:val="3"/>
            <w:vAlign w:val="center"/>
          </w:tcPr>
          <w:p w14:paraId="17CEFF85">
            <w:pPr>
              <w:pStyle w:val="208"/>
              <w:spacing w:line="240" w:lineRule="auto"/>
              <w:ind w:firstLine="0"/>
              <w:jc w:val="center"/>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eastAsia="宋体" w:cs="Times New Roman"/>
                <w:b/>
                <w:bCs/>
                <w:color w:val="auto"/>
                <w:sz w:val="21"/>
                <w:szCs w:val="21"/>
                <w:highlight w:val="none"/>
              </w:rPr>
              <w:t>污染物排放情况</w:t>
            </w:r>
          </w:p>
        </w:tc>
      </w:tr>
      <w:tr w14:paraId="3861F4E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383" w:type="dxa"/>
            <w:vMerge w:val="continue"/>
            <w:vAlign w:val="center"/>
          </w:tcPr>
          <w:p w14:paraId="514CB34A">
            <w:pPr>
              <w:pStyle w:val="208"/>
              <w:spacing w:line="240" w:lineRule="auto"/>
              <w:ind w:firstLine="0"/>
              <w:jc w:val="center"/>
              <w:rPr>
                <w:rFonts w:hint="default" w:ascii="Times New Roman" w:hAnsi="Times New Roman" w:eastAsia="宋体" w:cs="Times New Roman"/>
                <w:b/>
                <w:bCs/>
                <w:color w:val="auto"/>
                <w:sz w:val="21"/>
                <w:szCs w:val="21"/>
                <w:highlight w:val="none"/>
                <w:lang w:val="en-US" w:eastAsia="zh-CN"/>
              </w:rPr>
            </w:pPr>
          </w:p>
        </w:tc>
        <w:tc>
          <w:tcPr>
            <w:tcW w:w="1650" w:type="dxa"/>
            <w:vMerge w:val="continue"/>
            <w:vAlign w:val="center"/>
          </w:tcPr>
          <w:p w14:paraId="2F4C5DA8">
            <w:pPr>
              <w:pStyle w:val="208"/>
              <w:spacing w:line="240" w:lineRule="auto"/>
              <w:ind w:firstLine="0"/>
              <w:jc w:val="center"/>
              <w:rPr>
                <w:rFonts w:hint="default" w:ascii="Times New Roman" w:hAnsi="Times New Roman" w:eastAsia="宋体" w:cs="Times New Roman"/>
                <w:b/>
                <w:bCs/>
                <w:color w:val="auto"/>
                <w:sz w:val="21"/>
                <w:szCs w:val="21"/>
                <w:highlight w:val="none"/>
                <w:lang w:val="en-US" w:eastAsia="zh-CN"/>
              </w:rPr>
            </w:pPr>
          </w:p>
        </w:tc>
        <w:tc>
          <w:tcPr>
            <w:tcW w:w="1983" w:type="dxa"/>
            <w:vAlign w:val="center"/>
          </w:tcPr>
          <w:p w14:paraId="6B6AF429">
            <w:pPr>
              <w:pStyle w:val="208"/>
              <w:spacing w:line="240" w:lineRule="auto"/>
              <w:ind w:firstLine="0"/>
              <w:jc w:val="center"/>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eastAsia="宋体" w:cs="Times New Roman"/>
                <w:b/>
                <w:bCs/>
                <w:color w:val="auto"/>
                <w:sz w:val="21"/>
                <w:szCs w:val="21"/>
                <w:highlight w:val="none"/>
              </w:rPr>
              <w:t>产生量</w:t>
            </w:r>
          </w:p>
        </w:tc>
        <w:tc>
          <w:tcPr>
            <w:tcW w:w="2150" w:type="dxa"/>
            <w:vAlign w:val="center"/>
          </w:tcPr>
          <w:p w14:paraId="26BD53D7">
            <w:pPr>
              <w:pStyle w:val="208"/>
              <w:spacing w:line="240" w:lineRule="auto"/>
              <w:ind w:firstLine="0"/>
              <w:jc w:val="center"/>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eastAsia="宋体" w:cs="Times New Roman"/>
                <w:b/>
                <w:bCs/>
                <w:color w:val="auto"/>
                <w:sz w:val="21"/>
                <w:szCs w:val="21"/>
                <w:highlight w:val="none"/>
              </w:rPr>
              <w:t>产生速率</w:t>
            </w:r>
          </w:p>
        </w:tc>
        <w:tc>
          <w:tcPr>
            <w:tcW w:w="2917" w:type="dxa"/>
            <w:vMerge w:val="continue"/>
            <w:vAlign w:val="center"/>
          </w:tcPr>
          <w:p w14:paraId="3E4BF35C">
            <w:pPr>
              <w:pStyle w:val="208"/>
              <w:spacing w:line="240" w:lineRule="auto"/>
              <w:ind w:firstLine="0"/>
              <w:jc w:val="center"/>
              <w:rPr>
                <w:rFonts w:hint="default" w:ascii="Times New Roman" w:hAnsi="Times New Roman" w:eastAsia="宋体" w:cs="Times New Roman"/>
                <w:b/>
                <w:bCs/>
                <w:color w:val="auto"/>
                <w:sz w:val="21"/>
                <w:szCs w:val="21"/>
                <w:highlight w:val="none"/>
                <w:lang w:val="en-US" w:eastAsia="zh-CN"/>
              </w:rPr>
            </w:pPr>
          </w:p>
        </w:tc>
        <w:tc>
          <w:tcPr>
            <w:tcW w:w="1717" w:type="dxa"/>
            <w:vAlign w:val="center"/>
          </w:tcPr>
          <w:p w14:paraId="5C00FDD3">
            <w:pPr>
              <w:pStyle w:val="208"/>
              <w:spacing w:line="240" w:lineRule="auto"/>
              <w:ind w:firstLine="0"/>
              <w:jc w:val="center"/>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eastAsia="宋体" w:cs="Times New Roman"/>
                <w:b/>
                <w:bCs/>
                <w:color w:val="auto"/>
                <w:sz w:val="21"/>
                <w:szCs w:val="21"/>
                <w:highlight w:val="none"/>
              </w:rPr>
              <w:t>排放形式</w:t>
            </w:r>
          </w:p>
        </w:tc>
        <w:tc>
          <w:tcPr>
            <w:tcW w:w="1450" w:type="dxa"/>
            <w:vAlign w:val="center"/>
          </w:tcPr>
          <w:p w14:paraId="27C8D551">
            <w:pPr>
              <w:pStyle w:val="208"/>
              <w:spacing w:line="240" w:lineRule="auto"/>
              <w:ind w:firstLine="0"/>
              <w:jc w:val="center"/>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eastAsia="宋体" w:cs="Times New Roman"/>
                <w:b/>
                <w:bCs/>
                <w:color w:val="auto"/>
                <w:sz w:val="21"/>
                <w:szCs w:val="21"/>
                <w:highlight w:val="none"/>
              </w:rPr>
              <w:t>排放量</w:t>
            </w:r>
          </w:p>
        </w:tc>
        <w:tc>
          <w:tcPr>
            <w:tcW w:w="1200" w:type="dxa"/>
            <w:vAlign w:val="center"/>
          </w:tcPr>
          <w:p w14:paraId="1CF2CEF9">
            <w:pPr>
              <w:pStyle w:val="208"/>
              <w:spacing w:line="240" w:lineRule="auto"/>
              <w:ind w:firstLine="0"/>
              <w:jc w:val="center"/>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eastAsia="宋体" w:cs="Times New Roman"/>
                <w:b/>
                <w:bCs/>
                <w:color w:val="auto"/>
                <w:sz w:val="21"/>
                <w:szCs w:val="21"/>
                <w:highlight w:val="none"/>
              </w:rPr>
              <w:t>排放速率</w:t>
            </w:r>
          </w:p>
        </w:tc>
      </w:tr>
      <w:tr w14:paraId="7CB004C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383" w:type="dxa"/>
            <w:vAlign w:val="center"/>
          </w:tcPr>
          <w:p w14:paraId="31734926">
            <w:pPr>
              <w:pStyle w:val="208"/>
              <w:spacing w:line="240" w:lineRule="auto"/>
              <w:ind w:firstLine="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正负极原辅料投料</w:t>
            </w:r>
          </w:p>
        </w:tc>
        <w:tc>
          <w:tcPr>
            <w:tcW w:w="1650" w:type="dxa"/>
            <w:vAlign w:val="center"/>
          </w:tcPr>
          <w:p w14:paraId="04D2FAE8">
            <w:pPr>
              <w:pStyle w:val="208"/>
              <w:spacing w:line="240" w:lineRule="auto"/>
              <w:ind w:firstLine="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颗粒物</w:t>
            </w:r>
          </w:p>
        </w:tc>
        <w:tc>
          <w:tcPr>
            <w:tcW w:w="1983" w:type="dxa"/>
            <w:vAlign w:val="center"/>
          </w:tcPr>
          <w:p w14:paraId="5399EF8A">
            <w:pPr>
              <w:pStyle w:val="208"/>
              <w:spacing w:line="240" w:lineRule="auto"/>
              <w:ind w:firstLine="0"/>
              <w:jc w:val="center"/>
              <w:rPr>
                <w:rFonts w:hint="default" w:ascii="Times New Roman" w:hAnsi="Times New Roman" w:eastAsia="宋体" w:cs="Times New Roman"/>
                <w:color w:val="auto"/>
                <w:sz w:val="21"/>
                <w:szCs w:val="21"/>
                <w:highlight w:val="none"/>
                <w:lang w:val="en-US" w:eastAsia="zh-CN"/>
              </w:rPr>
            </w:pPr>
            <w:r>
              <w:rPr>
                <w:rFonts w:hint="eastAsia" w:ascii="Times New Roman" w:cs="Times New Roman"/>
                <w:color w:val="auto"/>
                <w:sz w:val="21"/>
                <w:szCs w:val="21"/>
                <w:highlight w:val="none"/>
                <w:lang w:val="en-US" w:eastAsia="zh-CN"/>
              </w:rPr>
              <w:t>0.149</w:t>
            </w:r>
          </w:p>
        </w:tc>
        <w:tc>
          <w:tcPr>
            <w:tcW w:w="2150" w:type="dxa"/>
            <w:vAlign w:val="center"/>
          </w:tcPr>
          <w:p w14:paraId="5EA0A3BE">
            <w:pPr>
              <w:pStyle w:val="208"/>
              <w:spacing w:line="240" w:lineRule="auto"/>
              <w:ind w:firstLine="0"/>
              <w:jc w:val="center"/>
              <w:rPr>
                <w:rFonts w:hint="default" w:ascii="Times New Roman" w:hAnsi="Times New Roman" w:eastAsia="宋体" w:cs="Times New Roman"/>
                <w:color w:val="auto"/>
                <w:sz w:val="21"/>
                <w:szCs w:val="21"/>
                <w:highlight w:val="none"/>
                <w:lang w:val="en-US" w:eastAsia="zh-CN"/>
              </w:rPr>
            </w:pPr>
            <w:r>
              <w:rPr>
                <w:rFonts w:hint="eastAsia" w:ascii="Times New Roman" w:cs="Times New Roman"/>
                <w:color w:val="auto"/>
                <w:sz w:val="21"/>
                <w:szCs w:val="21"/>
                <w:highlight w:val="none"/>
                <w:lang w:val="en-US" w:eastAsia="zh-CN"/>
              </w:rPr>
              <w:t>0.025</w:t>
            </w:r>
          </w:p>
        </w:tc>
        <w:tc>
          <w:tcPr>
            <w:tcW w:w="2917" w:type="dxa"/>
            <w:vAlign w:val="center"/>
          </w:tcPr>
          <w:p w14:paraId="0AE9EB00">
            <w:pPr>
              <w:pStyle w:val="208"/>
              <w:spacing w:line="240" w:lineRule="auto"/>
              <w:ind w:firstLine="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投料间密闭，经设备自带滤芯除尘器收集</w:t>
            </w:r>
          </w:p>
        </w:tc>
        <w:tc>
          <w:tcPr>
            <w:tcW w:w="1717" w:type="dxa"/>
            <w:vAlign w:val="center"/>
          </w:tcPr>
          <w:p w14:paraId="6408C35E">
            <w:pPr>
              <w:pStyle w:val="208"/>
              <w:spacing w:line="240" w:lineRule="auto"/>
              <w:ind w:firstLine="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无组织</w:t>
            </w:r>
          </w:p>
        </w:tc>
        <w:tc>
          <w:tcPr>
            <w:tcW w:w="1450" w:type="dxa"/>
            <w:vAlign w:val="center"/>
          </w:tcPr>
          <w:p w14:paraId="1880571A">
            <w:pPr>
              <w:pStyle w:val="208"/>
              <w:spacing w:line="240" w:lineRule="auto"/>
              <w:ind w:firstLine="0"/>
              <w:jc w:val="center"/>
              <w:rPr>
                <w:rFonts w:hint="default" w:ascii="Times New Roman" w:hAnsi="Times New Roman" w:eastAsia="宋体" w:cs="Times New Roman"/>
                <w:color w:val="auto"/>
                <w:sz w:val="21"/>
                <w:szCs w:val="21"/>
                <w:highlight w:val="none"/>
                <w:lang w:val="en-US" w:eastAsia="zh-CN"/>
              </w:rPr>
            </w:pPr>
            <w:r>
              <w:rPr>
                <w:rFonts w:hint="eastAsia" w:ascii="Times New Roman" w:cs="Times New Roman"/>
                <w:color w:val="auto"/>
                <w:sz w:val="21"/>
                <w:szCs w:val="21"/>
                <w:highlight w:val="none"/>
                <w:lang w:val="en-US" w:eastAsia="zh-CN"/>
              </w:rPr>
              <w:t>0.016</w:t>
            </w:r>
          </w:p>
        </w:tc>
        <w:tc>
          <w:tcPr>
            <w:tcW w:w="1200" w:type="dxa"/>
            <w:vAlign w:val="center"/>
          </w:tcPr>
          <w:p w14:paraId="425BD36E">
            <w:pPr>
              <w:pStyle w:val="208"/>
              <w:spacing w:line="240" w:lineRule="auto"/>
              <w:ind w:firstLine="0"/>
              <w:jc w:val="center"/>
              <w:rPr>
                <w:rFonts w:hint="default" w:ascii="Times New Roman" w:hAnsi="Times New Roman" w:eastAsia="宋体" w:cs="Times New Roman"/>
                <w:color w:val="auto"/>
                <w:sz w:val="21"/>
                <w:szCs w:val="21"/>
                <w:highlight w:val="none"/>
                <w:lang w:val="en-US" w:eastAsia="zh-CN"/>
              </w:rPr>
            </w:pPr>
            <w:r>
              <w:rPr>
                <w:rFonts w:hint="eastAsia" w:ascii="Times New Roman" w:cs="Times New Roman"/>
                <w:color w:val="auto"/>
                <w:sz w:val="21"/>
                <w:szCs w:val="21"/>
                <w:highlight w:val="none"/>
                <w:lang w:val="en-US" w:eastAsia="zh-CN"/>
              </w:rPr>
              <w:t>0.0027</w:t>
            </w:r>
          </w:p>
        </w:tc>
      </w:tr>
      <w:tr w14:paraId="39AF8A0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383" w:type="dxa"/>
            <w:vAlign w:val="center"/>
          </w:tcPr>
          <w:p w14:paraId="1B285D74">
            <w:pPr>
              <w:pStyle w:val="208"/>
              <w:spacing w:line="240" w:lineRule="auto"/>
              <w:ind w:firstLine="0"/>
              <w:jc w:val="center"/>
              <w:rPr>
                <w:rFonts w:hint="default" w:ascii="Times New Roman" w:hAnsi="Times New Roman" w:eastAsia="宋体" w:cs="Times New Roman"/>
                <w:color w:val="auto"/>
                <w:sz w:val="21"/>
                <w:szCs w:val="21"/>
                <w:highlight w:val="none"/>
                <w:lang w:val="en-US" w:eastAsia="zh-CN"/>
              </w:rPr>
            </w:pPr>
            <w:r>
              <w:rPr>
                <w:rFonts w:hint="eastAsia" w:ascii="Times New Roman" w:cs="Times New Roman"/>
                <w:color w:val="auto"/>
                <w:sz w:val="21"/>
                <w:szCs w:val="21"/>
                <w:highlight w:val="none"/>
                <w:lang w:val="en-US" w:eastAsia="zh-CN"/>
              </w:rPr>
              <w:t>储罐呼吸废气</w:t>
            </w:r>
          </w:p>
        </w:tc>
        <w:tc>
          <w:tcPr>
            <w:tcW w:w="1650" w:type="dxa"/>
            <w:vAlign w:val="center"/>
          </w:tcPr>
          <w:p w14:paraId="36836C5E">
            <w:pPr>
              <w:pStyle w:val="208"/>
              <w:spacing w:line="240" w:lineRule="auto"/>
              <w:ind w:firstLine="0"/>
              <w:jc w:val="center"/>
              <w:rPr>
                <w:rFonts w:hint="eastAsia" w:ascii="Times New Roman" w:hAnsi="Times New Roman" w:eastAsia="宋体" w:cs="Times New Roman"/>
                <w:color w:val="auto"/>
                <w:sz w:val="21"/>
                <w:szCs w:val="21"/>
                <w:highlight w:val="none"/>
                <w:lang w:val="en-US" w:eastAsia="zh-CN"/>
              </w:rPr>
            </w:pPr>
            <w:r>
              <w:rPr>
                <w:rFonts w:hint="eastAsia" w:ascii="Times New Roman" w:cs="Times New Roman"/>
                <w:color w:val="auto"/>
                <w:sz w:val="21"/>
                <w:szCs w:val="21"/>
                <w:highlight w:val="none"/>
                <w:lang w:val="en-US" w:eastAsia="zh-CN"/>
              </w:rPr>
              <w:t>非甲烷总烃</w:t>
            </w:r>
          </w:p>
        </w:tc>
        <w:tc>
          <w:tcPr>
            <w:tcW w:w="1983" w:type="dxa"/>
            <w:vAlign w:val="center"/>
          </w:tcPr>
          <w:p w14:paraId="42659010">
            <w:pPr>
              <w:pStyle w:val="208"/>
              <w:spacing w:line="240" w:lineRule="auto"/>
              <w:ind w:firstLine="0"/>
              <w:jc w:val="center"/>
              <w:rPr>
                <w:rFonts w:hint="default" w:ascii="Times New Roman" w:cs="Times New Roman"/>
                <w:color w:val="auto"/>
                <w:sz w:val="21"/>
                <w:szCs w:val="21"/>
                <w:highlight w:val="none"/>
                <w:lang w:val="en-US" w:eastAsia="zh-CN"/>
              </w:rPr>
            </w:pPr>
            <w:r>
              <w:rPr>
                <w:rFonts w:hint="eastAsia" w:ascii="Times New Roman" w:cs="Times New Roman"/>
                <w:color w:val="auto"/>
                <w:sz w:val="21"/>
                <w:szCs w:val="21"/>
                <w:highlight w:val="none"/>
                <w:lang w:val="en-US" w:eastAsia="zh-CN"/>
              </w:rPr>
              <w:t>0.0008</w:t>
            </w:r>
          </w:p>
        </w:tc>
        <w:tc>
          <w:tcPr>
            <w:tcW w:w="2150" w:type="dxa"/>
            <w:vAlign w:val="center"/>
          </w:tcPr>
          <w:p w14:paraId="493EFC8B">
            <w:pPr>
              <w:pStyle w:val="208"/>
              <w:spacing w:line="240" w:lineRule="auto"/>
              <w:ind w:firstLine="0"/>
              <w:jc w:val="center"/>
              <w:rPr>
                <w:rFonts w:hint="default" w:ascii="Times New Roman" w:cs="Times New Roman"/>
                <w:color w:val="auto"/>
                <w:sz w:val="21"/>
                <w:szCs w:val="21"/>
                <w:highlight w:val="none"/>
                <w:lang w:val="en-US" w:eastAsia="zh-CN"/>
              </w:rPr>
            </w:pPr>
            <w:r>
              <w:rPr>
                <w:rFonts w:hint="eastAsia" w:ascii="Times New Roman" w:cs="Times New Roman"/>
                <w:color w:val="auto"/>
                <w:sz w:val="21"/>
                <w:szCs w:val="21"/>
                <w:highlight w:val="none"/>
                <w:lang w:val="en-US" w:eastAsia="zh-CN"/>
              </w:rPr>
              <w:t>0.0001</w:t>
            </w:r>
          </w:p>
        </w:tc>
        <w:tc>
          <w:tcPr>
            <w:tcW w:w="2917" w:type="dxa"/>
            <w:vAlign w:val="center"/>
          </w:tcPr>
          <w:p w14:paraId="15511C84">
            <w:pPr>
              <w:pStyle w:val="208"/>
              <w:spacing w:line="240" w:lineRule="auto"/>
              <w:ind w:firstLine="0"/>
              <w:jc w:val="center"/>
              <w:rPr>
                <w:rFonts w:hint="default" w:ascii="Times New Roman" w:hAnsi="Times New Roman" w:eastAsia="宋体" w:cs="Times New Roman"/>
                <w:color w:val="auto"/>
                <w:sz w:val="21"/>
                <w:szCs w:val="21"/>
                <w:highlight w:val="none"/>
                <w:lang w:val="en-US" w:eastAsia="zh-CN"/>
              </w:rPr>
            </w:pPr>
            <w:r>
              <w:rPr>
                <w:rFonts w:hint="eastAsia" w:ascii="Times New Roman" w:cs="Times New Roman"/>
                <w:color w:val="auto"/>
                <w:sz w:val="21"/>
                <w:szCs w:val="21"/>
                <w:highlight w:val="none"/>
                <w:lang w:val="en-US" w:eastAsia="zh-CN"/>
              </w:rPr>
              <w:t>无组织排放</w:t>
            </w:r>
          </w:p>
        </w:tc>
        <w:tc>
          <w:tcPr>
            <w:tcW w:w="1717" w:type="dxa"/>
            <w:vAlign w:val="center"/>
          </w:tcPr>
          <w:p w14:paraId="0C01FE35">
            <w:pPr>
              <w:pStyle w:val="208"/>
              <w:spacing w:line="240" w:lineRule="auto"/>
              <w:ind w:firstLine="0"/>
              <w:jc w:val="center"/>
              <w:rPr>
                <w:rFonts w:hint="default" w:ascii="Times New Roman" w:hAnsi="Times New Roman" w:eastAsia="宋体" w:cs="Times New Roman"/>
                <w:color w:val="auto"/>
                <w:sz w:val="21"/>
                <w:szCs w:val="21"/>
                <w:highlight w:val="none"/>
                <w:lang w:val="en-US" w:eastAsia="zh-CN"/>
              </w:rPr>
            </w:pPr>
            <w:r>
              <w:rPr>
                <w:rFonts w:hint="eastAsia" w:ascii="Times New Roman" w:cs="Times New Roman"/>
                <w:color w:val="auto"/>
                <w:sz w:val="21"/>
                <w:szCs w:val="21"/>
                <w:highlight w:val="none"/>
                <w:lang w:val="en-US" w:eastAsia="zh-CN"/>
              </w:rPr>
              <w:t>无组织</w:t>
            </w:r>
          </w:p>
        </w:tc>
        <w:tc>
          <w:tcPr>
            <w:tcW w:w="1450" w:type="dxa"/>
            <w:vAlign w:val="center"/>
          </w:tcPr>
          <w:p w14:paraId="0B197B3E">
            <w:pPr>
              <w:pStyle w:val="208"/>
              <w:spacing w:line="240" w:lineRule="auto"/>
              <w:ind w:left="0" w:leftChars="0" w:firstLine="0" w:firstLineChars="0"/>
              <w:jc w:val="center"/>
              <w:rPr>
                <w:rFonts w:hint="default" w:ascii="Times New Roman" w:cs="Times New Roman"/>
                <w:color w:val="auto"/>
                <w:sz w:val="21"/>
                <w:szCs w:val="21"/>
                <w:highlight w:val="none"/>
                <w:lang w:val="en-US" w:eastAsia="zh-CN"/>
              </w:rPr>
            </w:pPr>
            <w:r>
              <w:rPr>
                <w:rFonts w:hint="eastAsia" w:ascii="Times New Roman" w:cs="Times New Roman"/>
                <w:color w:val="auto"/>
                <w:sz w:val="21"/>
                <w:szCs w:val="21"/>
                <w:highlight w:val="none"/>
                <w:lang w:val="en-US" w:eastAsia="zh-CN"/>
              </w:rPr>
              <w:t>0.0008</w:t>
            </w:r>
          </w:p>
        </w:tc>
        <w:tc>
          <w:tcPr>
            <w:tcW w:w="1200" w:type="dxa"/>
            <w:vAlign w:val="center"/>
          </w:tcPr>
          <w:p w14:paraId="1FE5D123">
            <w:pPr>
              <w:pStyle w:val="208"/>
              <w:spacing w:line="240" w:lineRule="auto"/>
              <w:ind w:left="0" w:leftChars="0" w:firstLine="0" w:firstLineChars="0"/>
              <w:jc w:val="center"/>
              <w:rPr>
                <w:rFonts w:hint="eastAsia" w:ascii="Times New Roman" w:cs="Times New Roman"/>
                <w:color w:val="auto"/>
                <w:sz w:val="21"/>
                <w:szCs w:val="21"/>
                <w:highlight w:val="none"/>
                <w:lang w:val="en-US" w:eastAsia="zh-CN"/>
              </w:rPr>
            </w:pPr>
            <w:r>
              <w:rPr>
                <w:rFonts w:hint="eastAsia" w:ascii="Times New Roman" w:cs="Times New Roman"/>
                <w:color w:val="auto"/>
                <w:sz w:val="21"/>
                <w:szCs w:val="21"/>
                <w:highlight w:val="none"/>
                <w:lang w:val="en-US" w:eastAsia="zh-CN"/>
              </w:rPr>
              <w:t>0.0001</w:t>
            </w:r>
          </w:p>
        </w:tc>
      </w:tr>
      <w:tr w14:paraId="5356598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383" w:type="dxa"/>
            <w:vAlign w:val="center"/>
          </w:tcPr>
          <w:p w14:paraId="6CDEA0CD">
            <w:pPr>
              <w:pStyle w:val="208"/>
              <w:spacing w:line="240" w:lineRule="auto"/>
              <w:ind w:firstLine="0"/>
              <w:jc w:val="center"/>
              <w:rPr>
                <w:rFonts w:hint="default" w:ascii="Times New Roman" w:hAnsi="Times New Roman" w:eastAsia="宋体" w:cs="Times New Roman"/>
                <w:color w:val="auto"/>
                <w:sz w:val="21"/>
                <w:szCs w:val="21"/>
                <w:highlight w:val="none"/>
                <w:lang w:val="en-US" w:eastAsia="zh-CN"/>
              </w:rPr>
            </w:pPr>
            <w:r>
              <w:rPr>
                <w:rFonts w:hint="eastAsia" w:ascii="Times New Roman" w:cs="Times New Roman"/>
                <w:color w:val="auto"/>
                <w:sz w:val="21"/>
                <w:szCs w:val="21"/>
                <w:highlight w:val="none"/>
                <w:lang w:val="en-US" w:eastAsia="zh-CN"/>
              </w:rPr>
              <w:t>注液、二封</w:t>
            </w:r>
          </w:p>
        </w:tc>
        <w:tc>
          <w:tcPr>
            <w:tcW w:w="1650" w:type="dxa"/>
            <w:vAlign w:val="center"/>
          </w:tcPr>
          <w:p w14:paraId="7FFA5C6D">
            <w:pPr>
              <w:pStyle w:val="208"/>
              <w:spacing w:line="240" w:lineRule="auto"/>
              <w:ind w:firstLine="0"/>
              <w:jc w:val="center"/>
              <w:rPr>
                <w:rFonts w:hint="default" w:ascii="Times New Roman" w:hAnsi="Times New Roman" w:eastAsia="宋体" w:cs="Times New Roman"/>
                <w:color w:val="auto"/>
                <w:sz w:val="21"/>
                <w:szCs w:val="21"/>
                <w:highlight w:val="none"/>
                <w:lang w:val="en-US" w:eastAsia="zh-CN"/>
              </w:rPr>
            </w:pPr>
            <w:r>
              <w:rPr>
                <w:rFonts w:hint="eastAsia" w:ascii="Times New Roman" w:cs="Times New Roman"/>
                <w:color w:val="auto"/>
                <w:sz w:val="21"/>
                <w:szCs w:val="21"/>
                <w:highlight w:val="none"/>
                <w:lang w:val="en-US" w:eastAsia="zh-CN"/>
              </w:rPr>
              <w:t>非甲烷总烃</w:t>
            </w:r>
          </w:p>
        </w:tc>
        <w:tc>
          <w:tcPr>
            <w:tcW w:w="1983" w:type="dxa"/>
            <w:vAlign w:val="center"/>
          </w:tcPr>
          <w:p w14:paraId="12C328D4">
            <w:pPr>
              <w:pStyle w:val="208"/>
              <w:spacing w:line="240" w:lineRule="auto"/>
              <w:ind w:firstLine="0"/>
              <w:jc w:val="center"/>
              <w:rPr>
                <w:rFonts w:hint="default" w:ascii="Times New Roman" w:cs="Times New Roman"/>
                <w:color w:val="auto"/>
                <w:sz w:val="21"/>
                <w:szCs w:val="21"/>
                <w:highlight w:val="none"/>
                <w:lang w:val="en-US" w:eastAsia="zh-CN"/>
              </w:rPr>
            </w:pPr>
            <w:r>
              <w:rPr>
                <w:rFonts w:hint="eastAsia" w:ascii="Times New Roman" w:cs="Times New Roman"/>
                <w:color w:val="auto"/>
                <w:sz w:val="21"/>
                <w:szCs w:val="21"/>
                <w:highlight w:val="none"/>
                <w:lang w:val="en-US" w:eastAsia="zh-CN"/>
              </w:rPr>
              <w:t>/</w:t>
            </w:r>
          </w:p>
        </w:tc>
        <w:tc>
          <w:tcPr>
            <w:tcW w:w="2150" w:type="dxa"/>
            <w:vAlign w:val="center"/>
          </w:tcPr>
          <w:p w14:paraId="67D21B2B">
            <w:pPr>
              <w:pStyle w:val="208"/>
              <w:spacing w:line="240" w:lineRule="auto"/>
              <w:ind w:firstLine="0"/>
              <w:jc w:val="center"/>
              <w:rPr>
                <w:rFonts w:hint="default" w:ascii="Times New Roman" w:cs="Times New Roman"/>
                <w:color w:val="auto"/>
                <w:sz w:val="21"/>
                <w:szCs w:val="21"/>
                <w:highlight w:val="none"/>
                <w:lang w:val="en-US" w:eastAsia="zh-CN"/>
              </w:rPr>
            </w:pPr>
            <w:r>
              <w:rPr>
                <w:rFonts w:hint="eastAsia" w:ascii="Times New Roman" w:cs="Times New Roman"/>
                <w:color w:val="auto"/>
                <w:sz w:val="21"/>
                <w:szCs w:val="21"/>
                <w:highlight w:val="none"/>
                <w:lang w:val="en-US" w:eastAsia="zh-CN"/>
              </w:rPr>
              <w:t>/</w:t>
            </w:r>
          </w:p>
        </w:tc>
        <w:tc>
          <w:tcPr>
            <w:tcW w:w="2917" w:type="dxa"/>
            <w:vAlign w:val="center"/>
          </w:tcPr>
          <w:p w14:paraId="312E1583">
            <w:pPr>
              <w:pStyle w:val="208"/>
              <w:spacing w:line="240" w:lineRule="auto"/>
              <w:ind w:firstLine="0"/>
              <w:jc w:val="center"/>
              <w:rPr>
                <w:rFonts w:hint="default" w:ascii="Times New Roman" w:hAnsi="Times New Roman" w:eastAsia="宋体" w:cs="Times New Roman"/>
                <w:color w:val="auto"/>
                <w:sz w:val="21"/>
                <w:szCs w:val="21"/>
                <w:highlight w:val="none"/>
                <w:lang w:val="en-US" w:eastAsia="zh-CN"/>
              </w:rPr>
            </w:pPr>
            <w:r>
              <w:rPr>
                <w:rFonts w:hint="eastAsia" w:ascii="Times New Roman" w:cs="Times New Roman"/>
                <w:color w:val="auto"/>
                <w:sz w:val="21"/>
                <w:szCs w:val="21"/>
                <w:highlight w:val="none"/>
                <w:lang w:val="en-US" w:eastAsia="zh-CN"/>
              </w:rPr>
              <w:t>/</w:t>
            </w:r>
          </w:p>
        </w:tc>
        <w:tc>
          <w:tcPr>
            <w:tcW w:w="1717" w:type="dxa"/>
            <w:vAlign w:val="center"/>
          </w:tcPr>
          <w:p w14:paraId="6839B3FC">
            <w:pPr>
              <w:pStyle w:val="208"/>
              <w:spacing w:line="240" w:lineRule="auto"/>
              <w:ind w:firstLine="0"/>
              <w:jc w:val="center"/>
              <w:rPr>
                <w:rFonts w:hint="default" w:ascii="Times New Roman" w:hAnsi="Times New Roman" w:eastAsia="宋体" w:cs="Times New Roman"/>
                <w:color w:val="auto"/>
                <w:sz w:val="21"/>
                <w:szCs w:val="21"/>
                <w:highlight w:val="none"/>
                <w:lang w:val="en-US" w:eastAsia="zh-CN"/>
              </w:rPr>
            </w:pPr>
            <w:r>
              <w:rPr>
                <w:rFonts w:hint="eastAsia" w:ascii="Times New Roman" w:cs="Times New Roman"/>
                <w:color w:val="auto"/>
                <w:sz w:val="21"/>
                <w:szCs w:val="21"/>
                <w:highlight w:val="none"/>
                <w:lang w:val="en-US" w:eastAsia="zh-CN"/>
              </w:rPr>
              <w:t>无组织</w:t>
            </w:r>
          </w:p>
        </w:tc>
        <w:tc>
          <w:tcPr>
            <w:tcW w:w="1450" w:type="dxa"/>
            <w:vAlign w:val="center"/>
          </w:tcPr>
          <w:p w14:paraId="04244FB7">
            <w:pPr>
              <w:pStyle w:val="208"/>
              <w:spacing w:line="240" w:lineRule="auto"/>
              <w:ind w:left="0" w:leftChars="0" w:firstLine="0" w:firstLineChars="0"/>
              <w:jc w:val="center"/>
              <w:rPr>
                <w:rFonts w:hint="default" w:ascii="Times New Roman" w:hAnsi="Times New Roman" w:eastAsia="宋体" w:cs="Times New Roman"/>
                <w:color w:val="auto"/>
                <w:sz w:val="21"/>
                <w:szCs w:val="21"/>
                <w:highlight w:val="none"/>
                <w:lang w:val="en-US" w:eastAsia="zh-CN"/>
              </w:rPr>
            </w:pPr>
            <w:r>
              <w:rPr>
                <w:rFonts w:hint="eastAsia" w:ascii="Times New Roman" w:cs="Times New Roman"/>
                <w:color w:val="auto"/>
                <w:sz w:val="21"/>
                <w:szCs w:val="21"/>
                <w:highlight w:val="none"/>
                <w:lang w:val="en-US" w:eastAsia="zh-CN"/>
              </w:rPr>
              <w:t>0.06</w:t>
            </w:r>
          </w:p>
        </w:tc>
        <w:tc>
          <w:tcPr>
            <w:tcW w:w="1200" w:type="dxa"/>
            <w:vAlign w:val="center"/>
          </w:tcPr>
          <w:p w14:paraId="4964E493">
            <w:pPr>
              <w:pStyle w:val="208"/>
              <w:spacing w:line="240" w:lineRule="auto"/>
              <w:ind w:left="0" w:leftChars="0" w:firstLine="0" w:firstLineChars="0"/>
              <w:jc w:val="center"/>
              <w:rPr>
                <w:rFonts w:hint="eastAsia" w:ascii="Times New Roman" w:hAnsi="Times New Roman" w:eastAsia="宋体" w:cs="Times New Roman"/>
                <w:color w:val="auto"/>
                <w:sz w:val="21"/>
                <w:szCs w:val="21"/>
                <w:highlight w:val="none"/>
                <w:lang w:val="en-US" w:eastAsia="zh-CN"/>
              </w:rPr>
            </w:pPr>
            <w:r>
              <w:rPr>
                <w:rFonts w:hint="eastAsia" w:ascii="Times New Roman" w:cs="Times New Roman"/>
                <w:color w:val="auto"/>
                <w:sz w:val="21"/>
                <w:szCs w:val="21"/>
                <w:highlight w:val="none"/>
                <w:lang w:val="en-US" w:eastAsia="zh-CN"/>
              </w:rPr>
              <w:t>0.01</w:t>
            </w:r>
          </w:p>
        </w:tc>
      </w:tr>
      <w:tr w14:paraId="579226C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7" w:hRule="atLeast"/>
        </w:trPr>
        <w:tc>
          <w:tcPr>
            <w:tcW w:w="1383" w:type="dxa"/>
            <w:vAlign w:val="center"/>
          </w:tcPr>
          <w:p w14:paraId="402CA445">
            <w:pPr>
              <w:pStyle w:val="208"/>
              <w:spacing w:line="240" w:lineRule="auto"/>
              <w:ind w:firstLine="0"/>
              <w:jc w:val="center"/>
              <w:rPr>
                <w:rFonts w:hint="default" w:ascii="Times New Roman" w:hAnsi="Times New Roman" w:eastAsia="宋体" w:cs="Times New Roman"/>
                <w:color w:val="auto"/>
                <w:sz w:val="21"/>
                <w:szCs w:val="21"/>
                <w:highlight w:val="none"/>
                <w:lang w:val="en-US" w:eastAsia="zh-CN"/>
              </w:rPr>
            </w:pPr>
            <w:r>
              <w:rPr>
                <w:rFonts w:hint="eastAsia" w:ascii="Times New Roman" w:cs="Times New Roman"/>
                <w:color w:val="auto"/>
                <w:sz w:val="21"/>
                <w:szCs w:val="21"/>
                <w:highlight w:val="none"/>
                <w:lang w:val="en-US" w:eastAsia="zh-CN"/>
              </w:rPr>
              <w:t>分条、模切</w:t>
            </w:r>
          </w:p>
        </w:tc>
        <w:tc>
          <w:tcPr>
            <w:tcW w:w="1650" w:type="dxa"/>
            <w:vAlign w:val="center"/>
          </w:tcPr>
          <w:p w14:paraId="16DEE8AD">
            <w:pPr>
              <w:pStyle w:val="208"/>
              <w:spacing w:line="240" w:lineRule="auto"/>
              <w:ind w:firstLine="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颗粒物</w:t>
            </w:r>
          </w:p>
        </w:tc>
        <w:tc>
          <w:tcPr>
            <w:tcW w:w="4133" w:type="dxa"/>
            <w:gridSpan w:val="2"/>
            <w:vAlign w:val="center"/>
          </w:tcPr>
          <w:p w14:paraId="0B0DD1CA">
            <w:pPr>
              <w:pStyle w:val="208"/>
              <w:spacing w:line="240" w:lineRule="auto"/>
              <w:ind w:firstLine="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少量</w:t>
            </w:r>
          </w:p>
        </w:tc>
        <w:tc>
          <w:tcPr>
            <w:tcW w:w="2917" w:type="dxa"/>
            <w:vAlign w:val="center"/>
          </w:tcPr>
          <w:p w14:paraId="0F2BC24D">
            <w:pPr>
              <w:pStyle w:val="208"/>
              <w:spacing w:line="240" w:lineRule="auto"/>
              <w:ind w:firstLine="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车间内自然沉降</w:t>
            </w:r>
          </w:p>
        </w:tc>
        <w:tc>
          <w:tcPr>
            <w:tcW w:w="1717" w:type="dxa"/>
            <w:vAlign w:val="center"/>
          </w:tcPr>
          <w:p w14:paraId="566B91FD">
            <w:pPr>
              <w:pStyle w:val="208"/>
              <w:spacing w:line="240" w:lineRule="auto"/>
              <w:ind w:firstLine="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无组织</w:t>
            </w:r>
          </w:p>
        </w:tc>
        <w:tc>
          <w:tcPr>
            <w:tcW w:w="1450" w:type="dxa"/>
            <w:vAlign w:val="center"/>
          </w:tcPr>
          <w:p w14:paraId="47347B3B">
            <w:pPr>
              <w:pStyle w:val="208"/>
              <w:spacing w:line="240" w:lineRule="auto"/>
              <w:ind w:firstLine="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w:t>
            </w:r>
          </w:p>
        </w:tc>
        <w:tc>
          <w:tcPr>
            <w:tcW w:w="1200" w:type="dxa"/>
            <w:vAlign w:val="center"/>
          </w:tcPr>
          <w:p w14:paraId="0BC7B8AD">
            <w:pPr>
              <w:pStyle w:val="208"/>
              <w:spacing w:line="240" w:lineRule="auto"/>
              <w:ind w:firstLine="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w:t>
            </w:r>
          </w:p>
        </w:tc>
      </w:tr>
      <w:tr w14:paraId="518D6BB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383" w:type="dxa"/>
            <w:vMerge w:val="restart"/>
            <w:vAlign w:val="center"/>
          </w:tcPr>
          <w:p w14:paraId="5C14C362">
            <w:pPr>
              <w:pStyle w:val="208"/>
              <w:spacing w:line="240" w:lineRule="auto"/>
              <w:ind w:firstLine="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污水处理站</w:t>
            </w:r>
          </w:p>
        </w:tc>
        <w:tc>
          <w:tcPr>
            <w:tcW w:w="1650" w:type="dxa"/>
            <w:vAlign w:val="center"/>
          </w:tcPr>
          <w:p w14:paraId="1C9E0FFF">
            <w:pPr>
              <w:pStyle w:val="208"/>
              <w:spacing w:line="240" w:lineRule="auto"/>
              <w:ind w:firstLine="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NH</w:t>
            </w:r>
            <w:r>
              <w:rPr>
                <w:rFonts w:hint="eastAsia" w:ascii="Times New Roman" w:hAnsi="Times New Roman" w:eastAsia="宋体" w:cs="Times New Roman"/>
                <w:color w:val="auto"/>
                <w:sz w:val="21"/>
                <w:szCs w:val="21"/>
                <w:highlight w:val="none"/>
                <w:vertAlign w:val="subscript"/>
                <w:lang w:val="en-US" w:eastAsia="zh-CN"/>
              </w:rPr>
              <w:t>3</w:t>
            </w:r>
          </w:p>
        </w:tc>
        <w:tc>
          <w:tcPr>
            <w:tcW w:w="4133" w:type="dxa"/>
            <w:gridSpan w:val="2"/>
            <w:vMerge w:val="restart"/>
            <w:vAlign w:val="center"/>
          </w:tcPr>
          <w:p w14:paraId="01312226">
            <w:pPr>
              <w:pStyle w:val="208"/>
              <w:spacing w:line="240" w:lineRule="auto"/>
              <w:ind w:firstLine="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少量</w:t>
            </w:r>
          </w:p>
        </w:tc>
        <w:tc>
          <w:tcPr>
            <w:tcW w:w="2917" w:type="dxa"/>
            <w:vMerge w:val="restart"/>
            <w:vAlign w:val="center"/>
          </w:tcPr>
          <w:p w14:paraId="4C57F14C">
            <w:pPr>
              <w:pStyle w:val="208"/>
              <w:spacing w:line="240" w:lineRule="auto"/>
              <w:ind w:firstLine="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w:t>
            </w:r>
          </w:p>
        </w:tc>
        <w:tc>
          <w:tcPr>
            <w:tcW w:w="1717" w:type="dxa"/>
            <w:vAlign w:val="center"/>
          </w:tcPr>
          <w:p w14:paraId="21BCD0A3">
            <w:pPr>
              <w:pStyle w:val="208"/>
              <w:spacing w:line="240" w:lineRule="auto"/>
              <w:ind w:firstLine="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无组织</w:t>
            </w:r>
          </w:p>
        </w:tc>
        <w:tc>
          <w:tcPr>
            <w:tcW w:w="1450" w:type="dxa"/>
            <w:vAlign w:val="center"/>
          </w:tcPr>
          <w:p w14:paraId="05B231D0">
            <w:pPr>
              <w:pStyle w:val="208"/>
              <w:spacing w:line="240" w:lineRule="auto"/>
              <w:ind w:firstLine="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w:t>
            </w:r>
          </w:p>
        </w:tc>
        <w:tc>
          <w:tcPr>
            <w:tcW w:w="1200" w:type="dxa"/>
            <w:vAlign w:val="center"/>
          </w:tcPr>
          <w:p w14:paraId="56B8F59C">
            <w:pPr>
              <w:pStyle w:val="208"/>
              <w:spacing w:line="240" w:lineRule="auto"/>
              <w:ind w:firstLine="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w:t>
            </w:r>
          </w:p>
        </w:tc>
      </w:tr>
      <w:tr w14:paraId="143C4E5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383" w:type="dxa"/>
            <w:vMerge w:val="continue"/>
            <w:vAlign w:val="center"/>
          </w:tcPr>
          <w:p w14:paraId="02AE84B6">
            <w:pPr>
              <w:pStyle w:val="208"/>
              <w:spacing w:line="240" w:lineRule="auto"/>
              <w:ind w:firstLine="0"/>
              <w:jc w:val="center"/>
              <w:rPr>
                <w:rFonts w:hint="eastAsia" w:ascii="Times New Roman" w:hAnsi="Times New Roman" w:eastAsia="宋体" w:cs="Times New Roman"/>
                <w:color w:val="auto"/>
                <w:sz w:val="21"/>
                <w:szCs w:val="21"/>
                <w:highlight w:val="none"/>
                <w:lang w:val="en-US" w:eastAsia="zh-CN"/>
              </w:rPr>
            </w:pPr>
          </w:p>
        </w:tc>
        <w:tc>
          <w:tcPr>
            <w:tcW w:w="1650" w:type="dxa"/>
            <w:vAlign w:val="center"/>
          </w:tcPr>
          <w:p w14:paraId="477E00BD">
            <w:pPr>
              <w:pStyle w:val="208"/>
              <w:spacing w:line="240" w:lineRule="auto"/>
              <w:ind w:firstLine="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硫化氢</w:t>
            </w:r>
          </w:p>
        </w:tc>
        <w:tc>
          <w:tcPr>
            <w:tcW w:w="4133" w:type="dxa"/>
            <w:gridSpan w:val="2"/>
            <w:vMerge w:val="continue"/>
            <w:vAlign w:val="center"/>
          </w:tcPr>
          <w:p w14:paraId="1C29498A">
            <w:pPr>
              <w:pStyle w:val="18"/>
              <w:keepNext w:val="0"/>
              <w:keepLines w:val="0"/>
              <w:pageBreakBefore w:val="0"/>
              <w:widowControl w:val="0"/>
              <w:kinsoku/>
              <w:wordWrap/>
              <w:overflowPunct/>
              <w:topLinePunct w:val="0"/>
              <w:autoSpaceDE w:val="0"/>
              <w:autoSpaceDN w:val="0"/>
              <w:bidi w:val="0"/>
              <w:adjustRightInd/>
              <w:snapToGrid/>
              <w:spacing w:line="240" w:lineRule="auto"/>
              <w:ind w:left="0" w:leftChars="0" w:firstLine="0" w:firstLineChars="0"/>
              <w:jc w:val="center"/>
              <w:textAlignment w:val="auto"/>
              <w:rPr>
                <w:rFonts w:hint="default" w:eastAsia="宋体" w:cs="Times New Roman"/>
                <w:color w:val="auto"/>
                <w:sz w:val="21"/>
                <w:szCs w:val="21"/>
                <w:lang w:val="en-US" w:eastAsia="zh-CN"/>
              </w:rPr>
            </w:pPr>
          </w:p>
        </w:tc>
        <w:tc>
          <w:tcPr>
            <w:tcW w:w="2917" w:type="dxa"/>
            <w:vMerge w:val="continue"/>
            <w:vAlign w:val="center"/>
          </w:tcPr>
          <w:p w14:paraId="37EA3746">
            <w:pPr>
              <w:pStyle w:val="208"/>
              <w:spacing w:line="240" w:lineRule="auto"/>
              <w:ind w:firstLine="0"/>
              <w:jc w:val="center"/>
              <w:rPr>
                <w:rFonts w:hint="default" w:ascii="Times New Roman" w:hAnsi="Times New Roman" w:eastAsia="宋体" w:cs="Times New Roman"/>
                <w:color w:val="auto"/>
                <w:sz w:val="21"/>
                <w:szCs w:val="21"/>
                <w:highlight w:val="none"/>
                <w:lang w:val="en-US" w:eastAsia="zh-CN"/>
              </w:rPr>
            </w:pPr>
          </w:p>
        </w:tc>
        <w:tc>
          <w:tcPr>
            <w:tcW w:w="1717" w:type="dxa"/>
            <w:vAlign w:val="center"/>
          </w:tcPr>
          <w:p w14:paraId="0F6ED615">
            <w:pPr>
              <w:pStyle w:val="208"/>
              <w:spacing w:line="240" w:lineRule="auto"/>
              <w:ind w:firstLine="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无组织</w:t>
            </w:r>
          </w:p>
        </w:tc>
        <w:tc>
          <w:tcPr>
            <w:tcW w:w="1450" w:type="dxa"/>
            <w:vAlign w:val="center"/>
          </w:tcPr>
          <w:p w14:paraId="4D751DCD">
            <w:pPr>
              <w:pStyle w:val="208"/>
              <w:spacing w:line="240" w:lineRule="auto"/>
              <w:ind w:firstLine="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w:t>
            </w:r>
          </w:p>
        </w:tc>
        <w:tc>
          <w:tcPr>
            <w:tcW w:w="1200" w:type="dxa"/>
            <w:vAlign w:val="center"/>
          </w:tcPr>
          <w:p w14:paraId="0508506F">
            <w:pPr>
              <w:pStyle w:val="208"/>
              <w:spacing w:line="240" w:lineRule="auto"/>
              <w:ind w:firstLine="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w:t>
            </w:r>
          </w:p>
        </w:tc>
      </w:tr>
      <w:tr w14:paraId="08DD8AC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383" w:type="dxa"/>
            <w:vAlign w:val="center"/>
          </w:tcPr>
          <w:p w14:paraId="4AD8CF68">
            <w:pPr>
              <w:pStyle w:val="208"/>
              <w:spacing w:line="240" w:lineRule="auto"/>
              <w:ind w:firstLine="0"/>
              <w:jc w:val="center"/>
              <w:rPr>
                <w:rFonts w:hint="default" w:ascii="Times New Roman" w:hAnsi="Times New Roman" w:eastAsia="宋体" w:cs="Times New Roman"/>
                <w:color w:val="auto"/>
                <w:sz w:val="21"/>
                <w:szCs w:val="21"/>
                <w:highlight w:val="none"/>
                <w:lang w:val="en-US" w:eastAsia="zh-CN"/>
              </w:rPr>
            </w:pPr>
            <w:r>
              <w:rPr>
                <w:rFonts w:hint="eastAsia" w:ascii="Times New Roman" w:cs="Times New Roman"/>
                <w:color w:val="auto"/>
                <w:sz w:val="21"/>
                <w:szCs w:val="21"/>
                <w:highlight w:val="none"/>
                <w:lang w:val="en-US" w:eastAsia="zh-CN"/>
              </w:rPr>
              <w:t>激光焊接</w:t>
            </w:r>
          </w:p>
        </w:tc>
        <w:tc>
          <w:tcPr>
            <w:tcW w:w="1650" w:type="dxa"/>
            <w:vAlign w:val="center"/>
          </w:tcPr>
          <w:p w14:paraId="3606730E">
            <w:pPr>
              <w:pStyle w:val="208"/>
              <w:spacing w:line="240" w:lineRule="auto"/>
              <w:ind w:firstLine="0"/>
              <w:jc w:val="center"/>
              <w:rPr>
                <w:rFonts w:hint="default" w:ascii="Times New Roman" w:hAnsi="Times New Roman" w:eastAsia="宋体" w:cs="Times New Roman"/>
                <w:color w:val="auto"/>
                <w:sz w:val="21"/>
                <w:szCs w:val="21"/>
                <w:highlight w:val="none"/>
                <w:lang w:val="en-US" w:eastAsia="zh-CN"/>
              </w:rPr>
            </w:pPr>
            <w:r>
              <w:rPr>
                <w:rFonts w:hint="eastAsia" w:ascii="Times New Roman" w:cs="Times New Roman"/>
                <w:color w:val="auto"/>
                <w:sz w:val="21"/>
                <w:szCs w:val="21"/>
                <w:highlight w:val="none"/>
                <w:lang w:val="en-US" w:eastAsia="zh-CN"/>
              </w:rPr>
              <w:t>颗粒物</w:t>
            </w:r>
          </w:p>
        </w:tc>
        <w:tc>
          <w:tcPr>
            <w:tcW w:w="4133" w:type="dxa"/>
            <w:gridSpan w:val="2"/>
            <w:vAlign w:val="center"/>
          </w:tcPr>
          <w:p w14:paraId="42C0C796">
            <w:pPr>
              <w:pStyle w:val="18"/>
              <w:keepNext w:val="0"/>
              <w:keepLines w:val="0"/>
              <w:pageBreakBefore w:val="0"/>
              <w:widowControl w:val="0"/>
              <w:kinsoku/>
              <w:wordWrap/>
              <w:overflowPunct/>
              <w:topLinePunct w:val="0"/>
              <w:autoSpaceDE w:val="0"/>
              <w:autoSpaceDN w:val="0"/>
              <w:bidi w:val="0"/>
              <w:adjustRightInd/>
              <w:snapToGrid/>
              <w:spacing w:line="240" w:lineRule="auto"/>
              <w:ind w:left="0" w:leftChars="0" w:firstLine="0" w:firstLineChars="0"/>
              <w:jc w:val="center"/>
              <w:textAlignment w:val="auto"/>
              <w:rPr>
                <w:rFonts w:hint="default" w:eastAsia="宋体" w:cs="Times New Roman"/>
                <w:color w:val="auto"/>
                <w:sz w:val="21"/>
                <w:szCs w:val="21"/>
                <w:lang w:val="en-US" w:eastAsia="zh-CN"/>
              </w:rPr>
            </w:pPr>
            <w:r>
              <w:rPr>
                <w:rFonts w:hint="eastAsia" w:cs="Times New Roman"/>
                <w:color w:val="auto"/>
                <w:sz w:val="21"/>
                <w:szCs w:val="21"/>
                <w:lang w:val="en-US" w:eastAsia="zh-CN"/>
              </w:rPr>
              <w:t>少量</w:t>
            </w:r>
          </w:p>
        </w:tc>
        <w:tc>
          <w:tcPr>
            <w:tcW w:w="2917" w:type="dxa"/>
            <w:vAlign w:val="center"/>
          </w:tcPr>
          <w:p w14:paraId="349E59ED">
            <w:pPr>
              <w:pStyle w:val="208"/>
              <w:spacing w:line="240" w:lineRule="auto"/>
              <w:ind w:firstLine="0"/>
              <w:jc w:val="center"/>
              <w:rPr>
                <w:rFonts w:hint="default" w:ascii="Times New Roman" w:hAnsi="Times New Roman" w:eastAsia="宋体" w:cs="Times New Roman"/>
                <w:color w:val="auto"/>
                <w:sz w:val="21"/>
                <w:szCs w:val="21"/>
                <w:highlight w:val="none"/>
                <w:lang w:val="en-US" w:eastAsia="zh-CN"/>
              </w:rPr>
            </w:pPr>
            <w:r>
              <w:rPr>
                <w:rFonts w:hint="eastAsia" w:ascii="Times New Roman" w:cs="Times New Roman"/>
                <w:color w:val="auto"/>
                <w:sz w:val="21"/>
                <w:szCs w:val="21"/>
                <w:highlight w:val="none"/>
                <w:lang w:val="en-US" w:eastAsia="zh-CN"/>
              </w:rPr>
              <w:t>经自带滤芯除尘器处理后无组织排放</w:t>
            </w:r>
          </w:p>
        </w:tc>
        <w:tc>
          <w:tcPr>
            <w:tcW w:w="1717" w:type="dxa"/>
            <w:vAlign w:val="center"/>
          </w:tcPr>
          <w:p w14:paraId="00A0B7C3">
            <w:pPr>
              <w:pStyle w:val="208"/>
              <w:spacing w:line="240" w:lineRule="auto"/>
              <w:ind w:firstLine="0"/>
              <w:jc w:val="center"/>
              <w:rPr>
                <w:rFonts w:hint="default" w:ascii="Times New Roman" w:hAnsi="Times New Roman" w:eastAsia="宋体" w:cs="Times New Roman"/>
                <w:color w:val="auto"/>
                <w:sz w:val="21"/>
                <w:szCs w:val="21"/>
                <w:highlight w:val="none"/>
                <w:lang w:val="en-US" w:eastAsia="zh-CN"/>
              </w:rPr>
            </w:pPr>
            <w:r>
              <w:rPr>
                <w:rFonts w:hint="eastAsia" w:ascii="Times New Roman" w:cs="Times New Roman"/>
                <w:color w:val="auto"/>
                <w:sz w:val="21"/>
                <w:szCs w:val="21"/>
                <w:highlight w:val="none"/>
                <w:lang w:val="en-US" w:eastAsia="zh-CN"/>
              </w:rPr>
              <w:t>无组织</w:t>
            </w:r>
          </w:p>
        </w:tc>
        <w:tc>
          <w:tcPr>
            <w:tcW w:w="1450" w:type="dxa"/>
            <w:vAlign w:val="center"/>
          </w:tcPr>
          <w:p w14:paraId="1430B3AB">
            <w:pPr>
              <w:pStyle w:val="208"/>
              <w:spacing w:line="240" w:lineRule="auto"/>
              <w:ind w:firstLine="0"/>
              <w:jc w:val="center"/>
              <w:rPr>
                <w:rFonts w:hint="default" w:ascii="Times New Roman" w:hAnsi="Times New Roman" w:eastAsia="宋体" w:cs="Times New Roman"/>
                <w:color w:val="auto"/>
                <w:sz w:val="21"/>
                <w:szCs w:val="21"/>
                <w:highlight w:val="none"/>
                <w:lang w:val="en-US" w:eastAsia="zh-CN"/>
              </w:rPr>
            </w:pPr>
            <w:r>
              <w:rPr>
                <w:rFonts w:hint="eastAsia" w:ascii="Times New Roman" w:cs="Times New Roman"/>
                <w:color w:val="auto"/>
                <w:sz w:val="21"/>
                <w:szCs w:val="21"/>
                <w:highlight w:val="none"/>
                <w:lang w:val="en-US" w:eastAsia="zh-CN"/>
              </w:rPr>
              <w:t>/</w:t>
            </w:r>
          </w:p>
        </w:tc>
        <w:tc>
          <w:tcPr>
            <w:tcW w:w="1200" w:type="dxa"/>
            <w:vAlign w:val="center"/>
          </w:tcPr>
          <w:p w14:paraId="2882E615">
            <w:pPr>
              <w:pStyle w:val="208"/>
              <w:spacing w:line="240" w:lineRule="auto"/>
              <w:ind w:firstLine="0"/>
              <w:jc w:val="center"/>
              <w:rPr>
                <w:rFonts w:hint="default" w:ascii="Times New Roman" w:hAnsi="Times New Roman" w:eastAsia="宋体" w:cs="Times New Roman"/>
                <w:color w:val="auto"/>
                <w:sz w:val="21"/>
                <w:szCs w:val="21"/>
                <w:highlight w:val="none"/>
                <w:lang w:val="en-US" w:eastAsia="zh-CN"/>
              </w:rPr>
            </w:pPr>
            <w:r>
              <w:rPr>
                <w:rFonts w:hint="eastAsia" w:ascii="Times New Roman" w:cs="Times New Roman"/>
                <w:color w:val="auto"/>
                <w:sz w:val="21"/>
                <w:szCs w:val="21"/>
                <w:highlight w:val="none"/>
                <w:lang w:val="en-US" w:eastAsia="zh-CN"/>
              </w:rPr>
              <w:t>/</w:t>
            </w:r>
          </w:p>
        </w:tc>
      </w:tr>
    </w:tbl>
    <w:p w14:paraId="7D08A39D">
      <w:pPr>
        <w:pStyle w:val="70"/>
        <w:rPr>
          <w:color w:val="auto"/>
        </w:rPr>
      </w:pPr>
    </w:p>
    <w:p w14:paraId="0038A74D">
      <w:pPr>
        <w:pStyle w:val="68"/>
        <w:rPr>
          <w:color w:val="auto"/>
        </w:rPr>
        <w:sectPr>
          <w:pgSz w:w="16838" w:h="11906" w:orient="landscape"/>
          <w:pgMar w:top="1531" w:right="1701" w:bottom="1531" w:left="1701" w:header="851" w:footer="1021" w:gutter="0"/>
          <w:cols w:space="720" w:num="1"/>
          <w:docGrid w:linePitch="312" w:charSpace="0"/>
        </w:sectPr>
      </w:pPr>
    </w:p>
    <w:tbl>
      <w:tblPr>
        <w:tblStyle w:val="4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4"/>
        <w:gridCol w:w="8130"/>
      </w:tblGrid>
      <w:tr w14:paraId="3FE57D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Align w:val="center"/>
          </w:tcPr>
          <w:p w14:paraId="5C566A2D">
            <w:pPr>
              <w:adjustRightInd w:val="0"/>
              <w:snapToGrid w:val="0"/>
              <w:jc w:val="center"/>
              <w:rPr>
                <w:rFonts w:hint="eastAsia" w:ascii="宋体" w:hAnsi="宋体" w:cs="宋体"/>
                <w:bCs/>
                <w:color w:val="auto"/>
                <w:szCs w:val="21"/>
              </w:rPr>
            </w:pPr>
            <w:r>
              <w:rPr>
                <w:rFonts w:hint="eastAsia" w:ascii="宋体" w:hAnsi="宋体" w:cs="宋体"/>
                <w:b/>
                <w:bCs w:val="0"/>
                <w:color w:val="auto"/>
                <w:sz w:val="24"/>
                <w:szCs w:val="24"/>
              </w:rPr>
              <w:t>运营期环境影响和保护措施</w:t>
            </w:r>
          </w:p>
        </w:tc>
        <w:tc>
          <w:tcPr>
            <w:tcW w:w="8130" w:type="dxa"/>
          </w:tcPr>
          <w:p w14:paraId="6A03A88C">
            <w:pPr>
              <w:adjustRightInd w:val="0"/>
              <w:snapToGrid w:val="0"/>
              <w:spacing w:line="360" w:lineRule="auto"/>
              <w:ind w:firstLine="482" w:firstLineChars="200"/>
              <w:rPr>
                <w:rFonts w:ascii="Times New Roman" w:hAnsi="Times New Roman"/>
                <w:b/>
                <w:bCs/>
                <w:color w:val="auto"/>
                <w:kern w:val="0"/>
                <w:sz w:val="24"/>
                <w:highlight w:val="none"/>
              </w:rPr>
            </w:pPr>
            <w:r>
              <w:rPr>
                <w:rFonts w:hint="eastAsia" w:ascii="Times New Roman" w:hAnsi="Times New Roman"/>
                <w:b/>
                <w:bCs/>
                <w:color w:val="auto"/>
                <w:sz w:val="24"/>
                <w:highlight w:val="none"/>
                <w:lang w:val="en-US" w:eastAsia="zh-CN"/>
              </w:rPr>
              <w:t>（2）</w:t>
            </w:r>
            <w:r>
              <w:rPr>
                <w:rFonts w:hint="eastAsia" w:ascii="Times New Roman" w:hAnsi="Times New Roman"/>
                <w:b/>
                <w:bCs/>
                <w:color w:val="auto"/>
                <w:sz w:val="24"/>
                <w:highlight w:val="none"/>
              </w:rPr>
              <w:t>废气排放口设置</w:t>
            </w:r>
          </w:p>
          <w:p w14:paraId="3B137622">
            <w:pPr>
              <w:pStyle w:val="208"/>
              <w:ind w:firstLine="480" w:firstLineChars="200"/>
              <w:rPr>
                <w:rFonts w:hint="eastAsia" w:ascii="Times New Roman" w:hAnsi="Times New Roman"/>
                <w:color w:val="auto"/>
                <w:highlight w:val="none"/>
              </w:rPr>
            </w:pPr>
            <w:r>
              <w:rPr>
                <w:rFonts w:hint="eastAsia" w:ascii="Times New Roman" w:hAnsi="Times New Roman"/>
                <w:color w:val="auto"/>
                <w:highlight w:val="none"/>
              </w:rPr>
              <w:t>本项目</w:t>
            </w:r>
            <w:r>
              <w:rPr>
                <w:rFonts w:hint="eastAsia" w:ascii="Times New Roman" w:hAnsi="Times New Roman"/>
                <w:color w:val="auto"/>
                <w:highlight w:val="none"/>
                <w:lang w:val="en-US" w:eastAsia="zh-CN"/>
              </w:rPr>
              <w:t>废气排放口设置情况见下表</w:t>
            </w:r>
            <w:r>
              <w:rPr>
                <w:rFonts w:hint="eastAsia" w:ascii="Times New Roman" w:hAnsi="Times New Roman"/>
                <w:color w:val="auto"/>
                <w:highlight w:val="none"/>
              </w:rPr>
              <w:t>。</w:t>
            </w:r>
          </w:p>
          <w:p w14:paraId="3E5B8CBB">
            <w:pPr>
              <w:pStyle w:val="208"/>
              <w:spacing w:line="240" w:lineRule="auto"/>
              <w:ind w:firstLine="0"/>
              <w:jc w:val="center"/>
              <w:rPr>
                <w:rFonts w:hint="eastAsia" w:ascii="Times New Roman" w:hAnsi="Times New Roman" w:eastAsia="宋体" w:cs="Times New Roman"/>
                <w:b/>
                <w:bCs/>
                <w:color w:val="auto"/>
                <w:kern w:val="0"/>
                <w:sz w:val="21"/>
                <w:szCs w:val="21"/>
                <w:highlight w:val="none"/>
                <w:lang w:val="en-US" w:eastAsia="zh-CN"/>
              </w:rPr>
            </w:pPr>
            <w:r>
              <w:rPr>
                <w:rFonts w:hint="eastAsia" w:ascii="Times New Roman" w:hAnsi="Times New Roman" w:eastAsia="宋体" w:cs="Times New Roman"/>
                <w:b/>
                <w:bCs/>
                <w:color w:val="auto"/>
                <w:kern w:val="0"/>
                <w:sz w:val="21"/>
                <w:szCs w:val="21"/>
                <w:highlight w:val="none"/>
                <w:lang w:val="en-US" w:eastAsia="zh-CN"/>
              </w:rPr>
              <w:t>表4-</w:t>
            </w:r>
            <w:r>
              <w:rPr>
                <w:rFonts w:hint="eastAsia" w:ascii="Times New Roman" w:cs="Times New Roman"/>
                <w:b/>
                <w:bCs/>
                <w:color w:val="auto"/>
                <w:kern w:val="0"/>
                <w:sz w:val="21"/>
                <w:szCs w:val="21"/>
                <w:highlight w:val="none"/>
                <w:lang w:val="en-US" w:eastAsia="zh-CN"/>
              </w:rPr>
              <w:t>5</w:t>
            </w:r>
            <w:r>
              <w:rPr>
                <w:rFonts w:hint="eastAsia" w:ascii="Times New Roman" w:hAnsi="Times New Roman" w:eastAsia="宋体" w:cs="Times New Roman"/>
                <w:b/>
                <w:bCs/>
                <w:color w:val="auto"/>
                <w:kern w:val="0"/>
                <w:sz w:val="21"/>
                <w:szCs w:val="21"/>
                <w:highlight w:val="none"/>
                <w:lang w:val="en-US" w:eastAsia="zh-CN"/>
              </w:rPr>
              <w:t xml:space="preserve"> 项目废气排放口基本情况一览表</w:t>
            </w:r>
          </w:p>
          <w:tbl>
            <w:tblPr>
              <w:tblStyle w:val="42"/>
              <w:tblW w:w="0" w:type="auto"/>
              <w:tblInd w:w="5"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874"/>
              <w:gridCol w:w="735"/>
              <w:gridCol w:w="765"/>
              <w:gridCol w:w="765"/>
              <w:gridCol w:w="690"/>
              <w:gridCol w:w="780"/>
              <w:gridCol w:w="795"/>
              <w:gridCol w:w="2404"/>
            </w:tblGrid>
            <w:tr w14:paraId="20F5F5E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74" w:type="dxa"/>
                  <w:vMerge w:val="restart"/>
                  <w:shd w:val="clear" w:color="auto" w:fill="auto"/>
                  <w:noWrap w:val="0"/>
                  <w:vAlign w:val="center"/>
                </w:tcPr>
                <w:p w14:paraId="274E57D3">
                  <w:pPr>
                    <w:keepNext w:val="0"/>
                    <w:keepLines w:val="0"/>
                    <w:pageBreakBefore w:val="0"/>
                    <w:widowControl w:val="0"/>
                    <w:kinsoku/>
                    <w:wordWrap/>
                    <w:overflowPunct/>
                    <w:topLinePunct w:val="0"/>
                    <w:autoSpaceDE/>
                    <w:autoSpaceDN/>
                    <w:bidi w:val="0"/>
                    <w:adjustRightInd/>
                    <w:snapToGrid/>
                    <w:spacing w:before="0" w:after="0" w:line="280" w:lineRule="exact"/>
                    <w:jc w:val="center"/>
                    <w:textAlignment w:val="auto"/>
                    <w:rPr>
                      <w:rFonts w:hint="default" w:ascii="Times New Roman" w:hAnsi="Times New Roman" w:eastAsia="宋体" w:cs="Times New Roman"/>
                      <w:b/>
                      <w:bCs/>
                      <w:i w:val="0"/>
                      <w:caps w:val="0"/>
                      <w:color w:val="auto"/>
                      <w:spacing w:val="0"/>
                      <w:sz w:val="21"/>
                      <w:szCs w:val="21"/>
                      <w:highlight w:val="none"/>
                      <w:shd w:val="clear" w:color="auto" w:fill="FFFFFF"/>
                      <w:vertAlign w:val="baseline"/>
                      <w:lang w:val="en-US" w:eastAsia="zh-CN"/>
                    </w:rPr>
                  </w:pPr>
                  <w:r>
                    <w:rPr>
                      <w:rFonts w:hint="eastAsia" w:ascii="Times New Roman" w:hAnsi="Times New Roman" w:eastAsia="宋体" w:cs="Times New Roman"/>
                      <w:b/>
                      <w:bCs/>
                      <w:i w:val="0"/>
                      <w:caps w:val="0"/>
                      <w:color w:val="auto"/>
                      <w:spacing w:val="0"/>
                      <w:sz w:val="21"/>
                      <w:szCs w:val="21"/>
                      <w:highlight w:val="none"/>
                      <w:shd w:val="clear" w:color="auto" w:fill="FFFFFF"/>
                      <w:vertAlign w:val="baseline"/>
                      <w:lang w:val="en-US" w:eastAsia="zh-CN"/>
                    </w:rPr>
                    <w:t>排气口编号及名称</w:t>
                  </w:r>
                </w:p>
              </w:tc>
              <w:tc>
                <w:tcPr>
                  <w:tcW w:w="735" w:type="dxa"/>
                  <w:vMerge w:val="restart"/>
                  <w:shd w:val="clear" w:color="auto" w:fill="auto"/>
                  <w:noWrap w:val="0"/>
                  <w:vAlign w:val="center"/>
                </w:tcPr>
                <w:p w14:paraId="4FDA3DFA">
                  <w:pPr>
                    <w:keepNext w:val="0"/>
                    <w:keepLines w:val="0"/>
                    <w:pageBreakBefore w:val="0"/>
                    <w:widowControl w:val="0"/>
                    <w:kinsoku/>
                    <w:wordWrap/>
                    <w:overflowPunct/>
                    <w:topLinePunct w:val="0"/>
                    <w:autoSpaceDE/>
                    <w:autoSpaceDN/>
                    <w:bidi w:val="0"/>
                    <w:adjustRightInd/>
                    <w:snapToGrid/>
                    <w:spacing w:before="0" w:after="0" w:line="280" w:lineRule="exact"/>
                    <w:jc w:val="center"/>
                    <w:textAlignment w:val="auto"/>
                    <w:rPr>
                      <w:rFonts w:hint="default" w:ascii="Times New Roman" w:hAnsi="Times New Roman" w:eastAsia="宋体" w:cs="Times New Roman"/>
                      <w:b/>
                      <w:bCs/>
                      <w:i w:val="0"/>
                      <w:caps w:val="0"/>
                      <w:color w:val="auto"/>
                      <w:spacing w:val="0"/>
                      <w:sz w:val="21"/>
                      <w:szCs w:val="21"/>
                      <w:highlight w:val="none"/>
                      <w:shd w:val="clear" w:color="auto" w:fill="FFFFFF"/>
                      <w:vertAlign w:val="baseline"/>
                      <w:lang w:val="en-US" w:eastAsia="zh-CN"/>
                    </w:rPr>
                  </w:pPr>
                  <w:r>
                    <w:rPr>
                      <w:rFonts w:hint="eastAsia" w:ascii="Times New Roman" w:hAnsi="Times New Roman" w:eastAsia="宋体" w:cs="Times New Roman"/>
                      <w:b/>
                      <w:bCs/>
                      <w:i w:val="0"/>
                      <w:caps w:val="0"/>
                      <w:color w:val="auto"/>
                      <w:spacing w:val="0"/>
                      <w:sz w:val="21"/>
                      <w:szCs w:val="21"/>
                      <w:highlight w:val="none"/>
                      <w:shd w:val="clear" w:color="auto" w:fill="FFFFFF"/>
                      <w:vertAlign w:val="baseline"/>
                      <w:lang w:val="en-US" w:eastAsia="zh-CN"/>
                    </w:rPr>
                    <w:t>排气筒高度</w:t>
                  </w:r>
                </w:p>
              </w:tc>
              <w:tc>
                <w:tcPr>
                  <w:tcW w:w="765" w:type="dxa"/>
                  <w:vMerge w:val="restart"/>
                  <w:shd w:val="clear" w:color="auto" w:fill="auto"/>
                  <w:noWrap w:val="0"/>
                  <w:vAlign w:val="center"/>
                </w:tcPr>
                <w:p w14:paraId="1CB13274">
                  <w:pPr>
                    <w:keepNext w:val="0"/>
                    <w:keepLines w:val="0"/>
                    <w:pageBreakBefore w:val="0"/>
                    <w:widowControl w:val="0"/>
                    <w:kinsoku/>
                    <w:wordWrap/>
                    <w:overflowPunct/>
                    <w:topLinePunct w:val="0"/>
                    <w:autoSpaceDE/>
                    <w:autoSpaceDN/>
                    <w:bidi w:val="0"/>
                    <w:adjustRightInd/>
                    <w:snapToGrid/>
                    <w:spacing w:before="0" w:after="0" w:line="280" w:lineRule="exact"/>
                    <w:jc w:val="center"/>
                    <w:textAlignment w:val="auto"/>
                    <w:rPr>
                      <w:rFonts w:hint="default" w:ascii="Times New Roman" w:hAnsi="Times New Roman" w:eastAsia="宋体" w:cs="Times New Roman"/>
                      <w:b/>
                      <w:bCs/>
                      <w:i w:val="0"/>
                      <w:caps w:val="0"/>
                      <w:color w:val="auto"/>
                      <w:spacing w:val="0"/>
                      <w:sz w:val="21"/>
                      <w:szCs w:val="21"/>
                      <w:highlight w:val="none"/>
                      <w:shd w:val="clear" w:color="auto" w:fill="FFFFFF"/>
                      <w:vertAlign w:val="baseline"/>
                      <w:lang w:val="en-US" w:eastAsia="zh-CN"/>
                    </w:rPr>
                  </w:pPr>
                  <w:r>
                    <w:rPr>
                      <w:rFonts w:hint="eastAsia" w:ascii="Times New Roman" w:hAnsi="Times New Roman" w:eastAsia="宋体" w:cs="Times New Roman"/>
                      <w:b/>
                      <w:bCs/>
                      <w:i w:val="0"/>
                      <w:caps w:val="0"/>
                      <w:color w:val="auto"/>
                      <w:spacing w:val="0"/>
                      <w:sz w:val="21"/>
                      <w:szCs w:val="21"/>
                      <w:highlight w:val="none"/>
                      <w:shd w:val="clear" w:color="auto" w:fill="FFFFFF"/>
                      <w:vertAlign w:val="baseline"/>
                      <w:lang w:val="en-US" w:eastAsia="zh-CN"/>
                    </w:rPr>
                    <w:t>内径</w:t>
                  </w:r>
                </w:p>
              </w:tc>
              <w:tc>
                <w:tcPr>
                  <w:tcW w:w="765" w:type="dxa"/>
                  <w:vMerge w:val="restart"/>
                  <w:shd w:val="clear" w:color="auto" w:fill="auto"/>
                  <w:noWrap w:val="0"/>
                  <w:vAlign w:val="center"/>
                </w:tcPr>
                <w:p w14:paraId="317114A6">
                  <w:pPr>
                    <w:keepNext w:val="0"/>
                    <w:keepLines w:val="0"/>
                    <w:pageBreakBefore w:val="0"/>
                    <w:widowControl w:val="0"/>
                    <w:kinsoku/>
                    <w:wordWrap/>
                    <w:overflowPunct/>
                    <w:topLinePunct w:val="0"/>
                    <w:autoSpaceDE/>
                    <w:autoSpaceDN/>
                    <w:bidi w:val="0"/>
                    <w:adjustRightInd/>
                    <w:snapToGrid/>
                    <w:spacing w:before="0" w:after="0" w:line="280" w:lineRule="exact"/>
                    <w:jc w:val="center"/>
                    <w:textAlignment w:val="auto"/>
                    <w:rPr>
                      <w:rFonts w:hint="default" w:ascii="Times New Roman" w:hAnsi="Times New Roman" w:eastAsia="宋体" w:cs="Times New Roman"/>
                      <w:b/>
                      <w:bCs/>
                      <w:i w:val="0"/>
                      <w:caps w:val="0"/>
                      <w:color w:val="auto"/>
                      <w:spacing w:val="0"/>
                      <w:sz w:val="21"/>
                      <w:szCs w:val="21"/>
                      <w:highlight w:val="none"/>
                      <w:shd w:val="clear" w:color="auto" w:fill="FFFFFF"/>
                      <w:vertAlign w:val="baseline"/>
                      <w:lang w:val="en-US" w:eastAsia="zh-CN"/>
                    </w:rPr>
                  </w:pPr>
                  <w:r>
                    <w:rPr>
                      <w:rFonts w:hint="eastAsia" w:ascii="Times New Roman" w:hAnsi="Times New Roman" w:eastAsia="宋体" w:cs="Times New Roman"/>
                      <w:b/>
                      <w:bCs/>
                      <w:i w:val="0"/>
                      <w:caps w:val="0"/>
                      <w:color w:val="auto"/>
                      <w:spacing w:val="0"/>
                      <w:sz w:val="21"/>
                      <w:szCs w:val="21"/>
                      <w:highlight w:val="none"/>
                      <w:shd w:val="clear" w:color="auto" w:fill="FFFFFF"/>
                      <w:vertAlign w:val="baseline"/>
                      <w:lang w:val="en-US" w:eastAsia="zh-CN"/>
                    </w:rPr>
                    <w:t>温度</w:t>
                  </w:r>
                </w:p>
              </w:tc>
              <w:tc>
                <w:tcPr>
                  <w:tcW w:w="690" w:type="dxa"/>
                  <w:vMerge w:val="restart"/>
                  <w:shd w:val="clear" w:color="auto" w:fill="auto"/>
                  <w:noWrap w:val="0"/>
                  <w:vAlign w:val="center"/>
                </w:tcPr>
                <w:p w14:paraId="01CEBE95">
                  <w:pPr>
                    <w:keepNext w:val="0"/>
                    <w:keepLines w:val="0"/>
                    <w:pageBreakBefore w:val="0"/>
                    <w:widowControl w:val="0"/>
                    <w:kinsoku/>
                    <w:wordWrap/>
                    <w:overflowPunct/>
                    <w:topLinePunct w:val="0"/>
                    <w:autoSpaceDE/>
                    <w:autoSpaceDN/>
                    <w:bidi w:val="0"/>
                    <w:adjustRightInd/>
                    <w:snapToGrid/>
                    <w:spacing w:before="0" w:after="0" w:line="280" w:lineRule="exact"/>
                    <w:jc w:val="center"/>
                    <w:textAlignment w:val="auto"/>
                    <w:rPr>
                      <w:rFonts w:hint="default" w:ascii="Times New Roman" w:hAnsi="Times New Roman" w:eastAsia="宋体" w:cs="Times New Roman"/>
                      <w:b/>
                      <w:bCs/>
                      <w:i w:val="0"/>
                      <w:caps w:val="0"/>
                      <w:color w:val="auto"/>
                      <w:spacing w:val="0"/>
                      <w:sz w:val="21"/>
                      <w:szCs w:val="21"/>
                      <w:highlight w:val="none"/>
                      <w:shd w:val="clear" w:color="auto" w:fill="FFFFFF"/>
                      <w:vertAlign w:val="baseline"/>
                      <w:lang w:val="en-US" w:eastAsia="zh-CN"/>
                    </w:rPr>
                  </w:pPr>
                  <w:r>
                    <w:rPr>
                      <w:rFonts w:hint="eastAsia" w:ascii="Times New Roman" w:hAnsi="Times New Roman" w:eastAsia="宋体" w:cs="Times New Roman"/>
                      <w:b/>
                      <w:bCs/>
                      <w:i w:val="0"/>
                      <w:caps w:val="0"/>
                      <w:color w:val="auto"/>
                      <w:spacing w:val="0"/>
                      <w:sz w:val="21"/>
                      <w:szCs w:val="21"/>
                      <w:highlight w:val="none"/>
                      <w:shd w:val="clear" w:color="auto" w:fill="FFFFFF"/>
                      <w:vertAlign w:val="baseline"/>
                      <w:lang w:val="en-US" w:eastAsia="zh-CN"/>
                    </w:rPr>
                    <w:t>类型</w:t>
                  </w:r>
                </w:p>
              </w:tc>
              <w:tc>
                <w:tcPr>
                  <w:tcW w:w="1575" w:type="dxa"/>
                  <w:gridSpan w:val="2"/>
                  <w:shd w:val="clear" w:color="auto" w:fill="auto"/>
                  <w:noWrap w:val="0"/>
                  <w:vAlign w:val="center"/>
                </w:tcPr>
                <w:p w14:paraId="6E6E4F6E">
                  <w:pPr>
                    <w:keepNext w:val="0"/>
                    <w:keepLines w:val="0"/>
                    <w:pageBreakBefore w:val="0"/>
                    <w:widowControl w:val="0"/>
                    <w:kinsoku/>
                    <w:wordWrap/>
                    <w:overflowPunct/>
                    <w:topLinePunct w:val="0"/>
                    <w:autoSpaceDE/>
                    <w:autoSpaceDN/>
                    <w:bidi w:val="0"/>
                    <w:adjustRightInd/>
                    <w:snapToGrid/>
                    <w:spacing w:before="0" w:after="0" w:line="280" w:lineRule="exact"/>
                    <w:jc w:val="center"/>
                    <w:textAlignment w:val="auto"/>
                    <w:rPr>
                      <w:rFonts w:hint="default" w:ascii="Times New Roman" w:hAnsi="Times New Roman" w:eastAsia="宋体" w:cs="Times New Roman"/>
                      <w:b/>
                      <w:bCs/>
                      <w:i w:val="0"/>
                      <w:caps w:val="0"/>
                      <w:color w:val="auto"/>
                      <w:spacing w:val="0"/>
                      <w:sz w:val="21"/>
                      <w:szCs w:val="21"/>
                      <w:highlight w:val="none"/>
                      <w:shd w:val="clear" w:color="auto" w:fill="FFFFFF"/>
                      <w:vertAlign w:val="baseline"/>
                      <w:lang w:val="en-US" w:eastAsia="zh-CN"/>
                    </w:rPr>
                  </w:pPr>
                  <w:r>
                    <w:rPr>
                      <w:rFonts w:hint="eastAsia" w:ascii="Times New Roman" w:hAnsi="Times New Roman" w:eastAsia="宋体" w:cs="Times New Roman"/>
                      <w:b/>
                      <w:bCs/>
                      <w:i w:val="0"/>
                      <w:caps w:val="0"/>
                      <w:color w:val="auto"/>
                      <w:spacing w:val="0"/>
                      <w:sz w:val="21"/>
                      <w:szCs w:val="21"/>
                      <w:highlight w:val="none"/>
                      <w:shd w:val="clear" w:color="auto" w:fill="FFFFFF"/>
                      <w:vertAlign w:val="baseline"/>
                      <w:lang w:val="en-US" w:eastAsia="zh-CN"/>
                    </w:rPr>
                    <w:t>地理坐标</w:t>
                  </w:r>
                </w:p>
              </w:tc>
              <w:tc>
                <w:tcPr>
                  <w:tcW w:w="2404" w:type="dxa"/>
                  <w:vMerge w:val="restart"/>
                  <w:shd w:val="clear" w:color="auto" w:fill="auto"/>
                  <w:noWrap w:val="0"/>
                  <w:vAlign w:val="center"/>
                </w:tcPr>
                <w:p w14:paraId="118B2CC2">
                  <w:pPr>
                    <w:keepNext w:val="0"/>
                    <w:keepLines w:val="0"/>
                    <w:pageBreakBefore w:val="0"/>
                    <w:widowControl w:val="0"/>
                    <w:kinsoku/>
                    <w:wordWrap/>
                    <w:overflowPunct/>
                    <w:topLinePunct w:val="0"/>
                    <w:autoSpaceDE/>
                    <w:autoSpaceDN/>
                    <w:bidi w:val="0"/>
                    <w:adjustRightInd/>
                    <w:snapToGrid/>
                    <w:spacing w:before="0" w:after="0" w:line="280" w:lineRule="exact"/>
                    <w:jc w:val="center"/>
                    <w:textAlignment w:val="auto"/>
                    <w:rPr>
                      <w:rFonts w:hint="default" w:ascii="Times New Roman" w:hAnsi="Times New Roman" w:eastAsia="宋体" w:cs="Times New Roman"/>
                      <w:b/>
                      <w:bCs/>
                      <w:i w:val="0"/>
                      <w:caps w:val="0"/>
                      <w:color w:val="auto"/>
                      <w:spacing w:val="0"/>
                      <w:sz w:val="21"/>
                      <w:szCs w:val="21"/>
                      <w:highlight w:val="none"/>
                      <w:shd w:val="clear" w:color="auto" w:fill="FFFFFF"/>
                      <w:vertAlign w:val="baseline"/>
                      <w:lang w:val="en-US" w:eastAsia="zh-CN"/>
                    </w:rPr>
                  </w:pPr>
                  <w:r>
                    <w:rPr>
                      <w:rFonts w:hint="eastAsia" w:ascii="Times New Roman" w:hAnsi="Times New Roman" w:eastAsia="宋体" w:cs="Times New Roman"/>
                      <w:b/>
                      <w:bCs/>
                      <w:i w:val="0"/>
                      <w:caps w:val="0"/>
                      <w:color w:val="auto"/>
                      <w:spacing w:val="0"/>
                      <w:sz w:val="21"/>
                      <w:szCs w:val="21"/>
                      <w:highlight w:val="none"/>
                      <w:shd w:val="clear" w:color="auto" w:fill="FFFFFF"/>
                      <w:vertAlign w:val="baseline"/>
                      <w:lang w:val="en-US" w:eastAsia="zh-CN"/>
                    </w:rPr>
                    <w:t>排放标准</w:t>
                  </w:r>
                </w:p>
              </w:tc>
            </w:tr>
            <w:tr w14:paraId="35E207D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74" w:type="dxa"/>
                  <w:vMerge w:val="continue"/>
                  <w:shd w:val="clear" w:color="auto" w:fill="auto"/>
                  <w:noWrap w:val="0"/>
                  <w:vAlign w:val="center"/>
                </w:tcPr>
                <w:p w14:paraId="41E4E021">
                  <w:pPr>
                    <w:pStyle w:val="16"/>
                    <w:spacing w:line="240" w:lineRule="auto"/>
                    <w:rPr>
                      <w:rFonts w:hint="default"/>
                      <w:color w:val="auto"/>
                      <w:sz w:val="21"/>
                      <w:szCs w:val="21"/>
                      <w:highlight w:val="none"/>
                      <w:vertAlign w:val="baseline"/>
                      <w:lang w:val="en-US" w:eastAsia="zh-CN"/>
                    </w:rPr>
                  </w:pPr>
                </w:p>
              </w:tc>
              <w:tc>
                <w:tcPr>
                  <w:tcW w:w="735" w:type="dxa"/>
                  <w:vMerge w:val="continue"/>
                  <w:shd w:val="clear" w:color="auto" w:fill="auto"/>
                  <w:noWrap w:val="0"/>
                  <w:vAlign w:val="center"/>
                </w:tcPr>
                <w:p w14:paraId="4F7C3328">
                  <w:pPr>
                    <w:pStyle w:val="16"/>
                    <w:spacing w:line="240" w:lineRule="auto"/>
                    <w:rPr>
                      <w:rFonts w:hint="default"/>
                      <w:color w:val="auto"/>
                      <w:sz w:val="21"/>
                      <w:szCs w:val="21"/>
                      <w:highlight w:val="none"/>
                      <w:vertAlign w:val="baseline"/>
                      <w:lang w:val="en-US" w:eastAsia="zh-CN"/>
                    </w:rPr>
                  </w:pPr>
                </w:p>
              </w:tc>
              <w:tc>
                <w:tcPr>
                  <w:tcW w:w="765" w:type="dxa"/>
                  <w:vMerge w:val="continue"/>
                  <w:shd w:val="clear" w:color="auto" w:fill="auto"/>
                  <w:noWrap w:val="0"/>
                  <w:vAlign w:val="center"/>
                </w:tcPr>
                <w:p w14:paraId="5B4C5D2E">
                  <w:pPr>
                    <w:pStyle w:val="16"/>
                    <w:spacing w:line="240" w:lineRule="auto"/>
                    <w:rPr>
                      <w:rFonts w:hint="default"/>
                      <w:color w:val="auto"/>
                      <w:sz w:val="21"/>
                      <w:szCs w:val="21"/>
                      <w:highlight w:val="none"/>
                      <w:vertAlign w:val="baseline"/>
                      <w:lang w:val="en-US" w:eastAsia="zh-CN"/>
                    </w:rPr>
                  </w:pPr>
                </w:p>
              </w:tc>
              <w:tc>
                <w:tcPr>
                  <w:tcW w:w="765" w:type="dxa"/>
                  <w:vMerge w:val="continue"/>
                  <w:shd w:val="clear" w:color="auto" w:fill="auto"/>
                  <w:noWrap w:val="0"/>
                  <w:vAlign w:val="center"/>
                </w:tcPr>
                <w:p w14:paraId="3BBAB58F">
                  <w:pPr>
                    <w:pStyle w:val="16"/>
                    <w:spacing w:line="240" w:lineRule="auto"/>
                    <w:rPr>
                      <w:rFonts w:hint="default"/>
                      <w:color w:val="auto"/>
                      <w:sz w:val="21"/>
                      <w:szCs w:val="21"/>
                      <w:highlight w:val="none"/>
                      <w:vertAlign w:val="baseline"/>
                      <w:lang w:val="en-US" w:eastAsia="zh-CN"/>
                    </w:rPr>
                  </w:pPr>
                </w:p>
              </w:tc>
              <w:tc>
                <w:tcPr>
                  <w:tcW w:w="690" w:type="dxa"/>
                  <w:vMerge w:val="continue"/>
                  <w:shd w:val="clear" w:color="auto" w:fill="auto"/>
                  <w:noWrap w:val="0"/>
                  <w:vAlign w:val="center"/>
                </w:tcPr>
                <w:p w14:paraId="0C9212FB">
                  <w:pPr>
                    <w:pStyle w:val="16"/>
                    <w:spacing w:line="240" w:lineRule="auto"/>
                    <w:rPr>
                      <w:rFonts w:hint="default"/>
                      <w:color w:val="auto"/>
                      <w:sz w:val="21"/>
                      <w:szCs w:val="21"/>
                      <w:highlight w:val="none"/>
                      <w:vertAlign w:val="baseline"/>
                      <w:lang w:val="en-US" w:eastAsia="zh-CN"/>
                    </w:rPr>
                  </w:pPr>
                </w:p>
              </w:tc>
              <w:tc>
                <w:tcPr>
                  <w:tcW w:w="780" w:type="dxa"/>
                  <w:shd w:val="clear" w:color="auto" w:fill="auto"/>
                  <w:noWrap w:val="0"/>
                  <w:vAlign w:val="center"/>
                </w:tcPr>
                <w:p w14:paraId="76E99A65">
                  <w:pPr>
                    <w:keepNext w:val="0"/>
                    <w:keepLines w:val="0"/>
                    <w:pageBreakBefore w:val="0"/>
                    <w:widowControl w:val="0"/>
                    <w:kinsoku/>
                    <w:wordWrap/>
                    <w:overflowPunct/>
                    <w:topLinePunct w:val="0"/>
                    <w:autoSpaceDE/>
                    <w:autoSpaceDN/>
                    <w:bidi w:val="0"/>
                    <w:adjustRightInd/>
                    <w:snapToGrid/>
                    <w:spacing w:before="0" w:after="0" w:line="280" w:lineRule="exact"/>
                    <w:jc w:val="center"/>
                    <w:textAlignment w:val="auto"/>
                    <w:rPr>
                      <w:rFonts w:hint="default" w:ascii="Times New Roman" w:hAnsi="Times New Roman" w:eastAsia="宋体" w:cs="Times New Roman"/>
                      <w:b/>
                      <w:bCs/>
                      <w:i w:val="0"/>
                      <w:caps w:val="0"/>
                      <w:color w:val="auto"/>
                      <w:spacing w:val="0"/>
                      <w:sz w:val="21"/>
                      <w:szCs w:val="21"/>
                      <w:highlight w:val="none"/>
                      <w:shd w:val="clear" w:color="auto" w:fill="FFFFFF"/>
                      <w:vertAlign w:val="baseline"/>
                      <w:lang w:val="en-US" w:eastAsia="zh-CN"/>
                    </w:rPr>
                  </w:pPr>
                  <w:r>
                    <w:rPr>
                      <w:rFonts w:hint="eastAsia" w:ascii="Times New Roman" w:hAnsi="Times New Roman" w:eastAsia="宋体" w:cs="Times New Roman"/>
                      <w:b/>
                      <w:bCs/>
                      <w:i w:val="0"/>
                      <w:caps w:val="0"/>
                      <w:color w:val="auto"/>
                      <w:spacing w:val="0"/>
                      <w:sz w:val="21"/>
                      <w:szCs w:val="21"/>
                      <w:highlight w:val="none"/>
                      <w:shd w:val="clear" w:color="auto" w:fill="FFFFFF"/>
                      <w:vertAlign w:val="baseline"/>
                      <w:lang w:val="en-US" w:eastAsia="zh-CN"/>
                    </w:rPr>
                    <w:t>经度</w:t>
                  </w:r>
                </w:p>
              </w:tc>
              <w:tc>
                <w:tcPr>
                  <w:tcW w:w="795" w:type="dxa"/>
                  <w:shd w:val="clear" w:color="auto" w:fill="auto"/>
                  <w:noWrap w:val="0"/>
                  <w:vAlign w:val="center"/>
                </w:tcPr>
                <w:p w14:paraId="31804330">
                  <w:pPr>
                    <w:keepNext w:val="0"/>
                    <w:keepLines w:val="0"/>
                    <w:pageBreakBefore w:val="0"/>
                    <w:widowControl w:val="0"/>
                    <w:kinsoku/>
                    <w:wordWrap/>
                    <w:overflowPunct/>
                    <w:topLinePunct w:val="0"/>
                    <w:autoSpaceDE/>
                    <w:autoSpaceDN/>
                    <w:bidi w:val="0"/>
                    <w:adjustRightInd/>
                    <w:snapToGrid/>
                    <w:spacing w:before="0" w:after="0" w:line="280" w:lineRule="exact"/>
                    <w:jc w:val="center"/>
                    <w:textAlignment w:val="auto"/>
                    <w:rPr>
                      <w:rFonts w:hint="default" w:ascii="Times New Roman" w:hAnsi="Times New Roman" w:eastAsia="宋体" w:cs="Times New Roman"/>
                      <w:b/>
                      <w:bCs/>
                      <w:i w:val="0"/>
                      <w:caps w:val="0"/>
                      <w:color w:val="auto"/>
                      <w:spacing w:val="0"/>
                      <w:sz w:val="21"/>
                      <w:szCs w:val="21"/>
                      <w:highlight w:val="none"/>
                      <w:shd w:val="clear" w:color="auto" w:fill="FFFFFF"/>
                      <w:vertAlign w:val="baseline"/>
                      <w:lang w:val="en-US" w:eastAsia="zh-CN"/>
                    </w:rPr>
                  </w:pPr>
                  <w:r>
                    <w:rPr>
                      <w:rFonts w:hint="eastAsia" w:ascii="Times New Roman" w:hAnsi="Times New Roman" w:eastAsia="宋体" w:cs="Times New Roman"/>
                      <w:b/>
                      <w:bCs/>
                      <w:i w:val="0"/>
                      <w:caps w:val="0"/>
                      <w:color w:val="auto"/>
                      <w:spacing w:val="0"/>
                      <w:sz w:val="21"/>
                      <w:szCs w:val="21"/>
                      <w:highlight w:val="none"/>
                      <w:shd w:val="clear" w:color="auto" w:fill="FFFFFF"/>
                      <w:vertAlign w:val="baseline"/>
                      <w:lang w:val="en-US" w:eastAsia="zh-CN"/>
                    </w:rPr>
                    <w:t>纬度</w:t>
                  </w:r>
                </w:p>
              </w:tc>
              <w:tc>
                <w:tcPr>
                  <w:tcW w:w="2404" w:type="dxa"/>
                  <w:vMerge w:val="continue"/>
                  <w:noWrap w:val="0"/>
                  <w:vAlign w:val="center"/>
                </w:tcPr>
                <w:p w14:paraId="4925C674">
                  <w:pPr>
                    <w:pStyle w:val="16"/>
                    <w:spacing w:line="240" w:lineRule="auto"/>
                    <w:rPr>
                      <w:rFonts w:hint="default"/>
                      <w:color w:val="auto"/>
                      <w:sz w:val="21"/>
                      <w:szCs w:val="21"/>
                      <w:highlight w:val="none"/>
                      <w:vertAlign w:val="baseline"/>
                      <w:lang w:val="en-US" w:eastAsia="zh-CN"/>
                    </w:rPr>
                  </w:pPr>
                </w:p>
              </w:tc>
            </w:tr>
            <w:tr w14:paraId="0E46DEE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858" w:hRule="atLeast"/>
              </w:trPr>
              <w:tc>
                <w:tcPr>
                  <w:tcW w:w="874" w:type="dxa"/>
                  <w:noWrap w:val="0"/>
                  <w:vAlign w:val="center"/>
                </w:tcPr>
                <w:p w14:paraId="698E96F4">
                  <w:pPr>
                    <w:keepNext w:val="0"/>
                    <w:keepLines w:val="0"/>
                    <w:pageBreakBefore w:val="0"/>
                    <w:widowControl w:val="0"/>
                    <w:kinsoku/>
                    <w:wordWrap/>
                    <w:overflowPunct/>
                    <w:topLinePunct w:val="0"/>
                    <w:autoSpaceDE/>
                    <w:autoSpaceDN/>
                    <w:bidi w:val="0"/>
                    <w:adjustRightInd/>
                    <w:snapToGrid/>
                    <w:spacing w:before="0" w:after="0" w:line="280" w:lineRule="exact"/>
                    <w:jc w:val="center"/>
                    <w:textAlignment w:val="auto"/>
                    <w:rPr>
                      <w:rFonts w:hint="default"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pPr>
                  <w:r>
                    <w:rPr>
                      <w:rFonts w:hint="eastAsia"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t>DA001</w:t>
                  </w:r>
                </w:p>
              </w:tc>
              <w:tc>
                <w:tcPr>
                  <w:tcW w:w="735" w:type="dxa"/>
                  <w:noWrap w:val="0"/>
                  <w:vAlign w:val="center"/>
                </w:tcPr>
                <w:p w14:paraId="024EEEB4">
                  <w:pPr>
                    <w:keepNext w:val="0"/>
                    <w:keepLines w:val="0"/>
                    <w:pageBreakBefore w:val="0"/>
                    <w:widowControl w:val="0"/>
                    <w:kinsoku/>
                    <w:wordWrap/>
                    <w:overflowPunct/>
                    <w:topLinePunct w:val="0"/>
                    <w:autoSpaceDE/>
                    <w:autoSpaceDN/>
                    <w:bidi w:val="0"/>
                    <w:adjustRightInd/>
                    <w:snapToGrid/>
                    <w:spacing w:before="0" w:after="0" w:line="280" w:lineRule="exact"/>
                    <w:jc w:val="center"/>
                    <w:textAlignment w:val="auto"/>
                    <w:rPr>
                      <w:rFonts w:hint="default"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pPr>
                  <w:r>
                    <w:rPr>
                      <w:rFonts w:hint="eastAsia"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t>30m</w:t>
                  </w:r>
                </w:p>
              </w:tc>
              <w:tc>
                <w:tcPr>
                  <w:tcW w:w="765" w:type="dxa"/>
                  <w:noWrap w:val="0"/>
                  <w:vAlign w:val="center"/>
                </w:tcPr>
                <w:p w14:paraId="2D98EEC5">
                  <w:pPr>
                    <w:keepNext w:val="0"/>
                    <w:keepLines w:val="0"/>
                    <w:pageBreakBefore w:val="0"/>
                    <w:widowControl w:val="0"/>
                    <w:kinsoku/>
                    <w:wordWrap/>
                    <w:overflowPunct/>
                    <w:topLinePunct w:val="0"/>
                    <w:autoSpaceDE/>
                    <w:autoSpaceDN/>
                    <w:bidi w:val="0"/>
                    <w:adjustRightInd/>
                    <w:snapToGrid/>
                    <w:spacing w:before="0" w:after="0" w:line="280" w:lineRule="exact"/>
                    <w:jc w:val="center"/>
                    <w:textAlignment w:val="auto"/>
                    <w:rPr>
                      <w:rFonts w:hint="default"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pPr>
                  <w:r>
                    <w:rPr>
                      <w:rFonts w:hint="eastAsia"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t>0.</w:t>
                  </w:r>
                  <w:r>
                    <w:rPr>
                      <w:rFonts w:hint="eastAsia" w:cs="Times New Roman"/>
                      <w:b w:val="0"/>
                      <w:bCs w:val="0"/>
                      <w:i w:val="0"/>
                      <w:caps w:val="0"/>
                      <w:color w:val="auto"/>
                      <w:spacing w:val="0"/>
                      <w:sz w:val="21"/>
                      <w:szCs w:val="21"/>
                      <w:highlight w:val="none"/>
                      <w:shd w:val="clear" w:color="auto" w:fill="FFFFFF"/>
                      <w:vertAlign w:val="baseline"/>
                      <w:lang w:val="en-US" w:eastAsia="zh-CN"/>
                    </w:rPr>
                    <w:t>8</w:t>
                  </w:r>
                </w:p>
              </w:tc>
              <w:tc>
                <w:tcPr>
                  <w:tcW w:w="765" w:type="dxa"/>
                  <w:noWrap w:val="0"/>
                  <w:vAlign w:val="center"/>
                </w:tcPr>
                <w:p w14:paraId="48E983A8">
                  <w:pPr>
                    <w:keepNext w:val="0"/>
                    <w:keepLines w:val="0"/>
                    <w:pageBreakBefore w:val="0"/>
                    <w:widowControl w:val="0"/>
                    <w:kinsoku/>
                    <w:wordWrap/>
                    <w:overflowPunct/>
                    <w:topLinePunct w:val="0"/>
                    <w:autoSpaceDE/>
                    <w:autoSpaceDN/>
                    <w:bidi w:val="0"/>
                    <w:adjustRightInd/>
                    <w:snapToGrid/>
                    <w:spacing w:before="0" w:after="0" w:line="280" w:lineRule="exact"/>
                    <w:jc w:val="center"/>
                    <w:textAlignment w:val="auto"/>
                    <w:rPr>
                      <w:rFonts w:hint="default"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pPr>
                  <w:r>
                    <w:rPr>
                      <w:rFonts w:hint="eastAsia"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t>25</w:t>
                  </w:r>
                  <w:r>
                    <w:rPr>
                      <w:rFonts w:hint="default"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t>℃</w:t>
                  </w:r>
                </w:p>
              </w:tc>
              <w:tc>
                <w:tcPr>
                  <w:tcW w:w="690" w:type="dxa"/>
                  <w:shd w:val="clear" w:color="auto" w:fill="auto"/>
                  <w:noWrap w:val="0"/>
                  <w:vAlign w:val="center"/>
                </w:tcPr>
                <w:p w14:paraId="214818C7">
                  <w:pPr>
                    <w:keepNext w:val="0"/>
                    <w:keepLines w:val="0"/>
                    <w:pageBreakBefore w:val="0"/>
                    <w:widowControl w:val="0"/>
                    <w:kinsoku/>
                    <w:wordWrap/>
                    <w:overflowPunct/>
                    <w:topLinePunct w:val="0"/>
                    <w:autoSpaceDE/>
                    <w:autoSpaceDN/>
                    <w:bidi w:val="0"/>
                    <w:adjustRightInd/>
                    <w:snapToGrid/>
                    <w:spacing w:before="0" w:after="0" w:line="280" w:lineRule="exact"/>
                    <w:jc w:val="center"/>
                    <w:textAlignment w:val="auto"/>
                    <w:rPr>
                      <w:rFonts w:hint="default"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pPr>
                  <w:r>
                    <w:rPr>
                      <w:rFonts w:hint="eastAsia"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t>一般排放口</w:t>
                  </w:r>
                </w:p>
              </w:tc>
              <w:tc>
                <w:tcPr>
                  <w:tcW w:w="780" w:type="dxa"/>
                  <w:shd w:val="clear" w:color="auto" w:fill="auto"/>
                  <w:noWrap w:val="0"/>
                  <w:vAlign w:val="center"/>
                </w:tcPr>
                <w:p w14:paraId="59071287">
                  <w:pPr>
                    <w:keepNext w:val="0"/>
                    <w:keepLines w:val="0"/>
                    <w:pageBreakBefore w:val="0"/>
                    <w:widowControl w:val="0"/>
                    <w:kinsoku/>
                    <w:wordWrap/>
                    <w:overflowPunct/>
                    <w:topLinePunct w:val="0"/>
                    <w:autoSpaceDE/>
                    <w:autoSpaceDN/>
                    <w:bidi w:val="0"/>
                    <w:adjustRightInd/>
                    <w:snapToGrid/>
                    <w:spacing w:before="0" w:after="0" w:line="280" w:lineRule="exact"/>
                    <w:jc w:val="center"/>
                    <w:textAlignment w:val="auto"/>
                    <w:rPr>
                      <w:rFonts w:hint="default"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pPr>
                  <w:r>
                    <w:rPr>
                      <w:rFonts w:hint="eastAsia"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t>106.895427</w:t>
                  </w:r>
                </w:p>
              </w:tc>
              <w:tc>
                <w:tcPr>
                  <w:tcW w:w="795" w:type="dxa"/>
                  <w:shd w:val="clear" w:color="auto" w:fill="auto"/>
                  <w:noWrap w:val="0"/>
                  <w:vAlign w:val="center"/>
                </w:tcPr>
                <w:p w14:paraId="08610FA2">
                  <w:pPr>
                    <w:keepNext w:val="0"/>
                    <w:keepLines w:val="0"/>
                    <w:pageBreakBefore w:val="0"/>
                    <w:widowControl w:val="0"/>
                    <w:kinsoku/>
                    <w:wordWrap/>
                    <w:overflowPunct/>
                    <w:topLinePunct w:val="0"/>
                    <w:autoSpaceDE/>
                    <w:autoSpaceDN/>
                    <w:bidi w:val="0"/>
                    <w:adjustRightInd/>
                    <w:snapToGrid/>
                    <w:spacing w:before="0" w:after="0" w:line="280" w:lineRule="exact"/>
                    <w:jc w:val="center"/>
                    <w:textAlignment w:val="auto"/>
                    <w:rPr>
                      <w:rFonts w:hint="default"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pPr>
                  <w:r>
                    <w:rPr>
                      <w:rFonts w:hint="eastAsia"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t>31.856391</w:t>
                  </w:r>
                </w:p>
              </w:tc>
              <w:tc>
                <w:tcPr>
                  <w:tcW w:w="2404" w:type="dxa"/>
                  <w:vMerge w:val="restart"/>
                  <w:noWrap w:val="0"/>
                  <w:vAlign w:val="center"/>
                </w:tcPr>
                <w:p w14:paraId="3DE54C0D">
                  <w:pPr>
                    <w:keepNext w:val="0"/>
                    <w:keepLines w:val="0"/>
                    <w:pageBreakBefore w:val="0"/>
                    <w:widowControl w:val="0"/>
                    <w:kinsoku/>
                    <w:wordWrap/>
                    <w:overflowPunct/>
                    <w:topLinePunct w:val="0"/>
                    <w:autoSpaceDE/>
                    <w:autoSpaceDN/>
                    <w:bidi w:val="0"/>
                    <w:adjustRightInd/>
                    <w:snapToGrid/>
                    <w:spacing w:before="0" w:after="0" w:line="280" w:lineRule="exact"/>
                    <w:jc w:val="center"/>
                    <w:textAlignment w:val="auto"/>
                    <w:rPr>
                      <w:rFonts w:hint="default"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pPr>
                  <w:r>
                    <w:rPr>
                      <w:rFonts w:hint="eastAsia"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t>《电池工业污染物排放标准》（GB30484-2013）</w:t>
                  </w:r>
                </w:p>
              </w:tc>
            </w:tr>
            <w:tr w14:paraId="6216B4B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858" w:hRule="atLeast"/>
              </w:trPr>
              <w:tc>
                <w:tcPr>
                  <w:tcW w:w="874" w:type="dxa"/>
                  <w:noWrap w:val="0"/>
                  <w:vAlign w:val="center"/>
                </w:tcPr>
                <w:p w14:paraId="002DCE27">
                  <w:pPr>
                    <w:keepNext w:val="0"/>
                    <w:keepLines w:val="0"/>
                    <w:pageBreakBefore w:val="0"/>
                    <w:widowControl w:val="0"/>
                    <w:kinsoku/>
                    <w:wordWrap/>
                    <w:overflowPunct/>
                    <w:topLinePunct w:val="0"/>
                    <w:autoSpaceDE/>
                    <w:autoSpaceDN/>
                    <w:bidi w:val="0"/>
                    <w:adjustRightInd/>
                    <w:snapToGrid/>
                    <w:spacing w:before="0" w:after="0" w:line="280" w:lineRule="exact"/>
                    <w:jc w:val="center"/>
                    <w:textAlignment w:val="auto"/>
                    <w:rPr>
                      <w:rFonts w:hint="default"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pPr>
                  <w:r>
                    <w:rPr>
                      <w:rFonts w:hint="eastAsia"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t>DA002</w:t>
                  </w:r>
                </w:p>
              </w:tc>
              <w:tc>
                <w:tcPr>
                  <w:tcW w:w="735" w:type="dxa"/>
                  <w:noWrap w:val="0"/>
                  <w:vAlign w:val="center"/>
                </w:tcPr>
                <w:p w14:paraId="7DF12489">
                  <w:pPr>
                    <w:keepNext w:val="0"/>
                    <w:keepLines w:val="0"/>
                    <w:pageBreakBefore w:val="0"/>
                    <w:widowControl w:val="0"/>
                    <w:kinsoku/>
                    <w:wordWrap/>
                    <w:overflowPunct/>
                    <w:topLinePunct w:val="0"/>
                    <w:autoSpaceDE/>
                    <w:autoSpaceDN/>
                    <w:bidi w:val="0"/>
                    <w:adjustRightInd/>
                    <w:snapToGrid/>
                    <w:spacing w:before="0" w:after="0" w:line="280" w:lineRule="exact"/>
                    <w:jc w:val="center"/>
                    <w:textAlignment w:val="auto"/>
                    <w:rPr>
                      <w:rFonts w:hint="default"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pPr>
                  <w:r>
                    <w:rPr>
                      <w:rFonts w:hint="eastAsia"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t>30m</w:t>
                  </w:r>
                </w:p>
              </w:tc>
              <w:tc>
                <w:tcPr>
                  <w:tcW w:w="765" w:type="dxa"/>
                  <w:noWrap w:val="0"/>
                  <w:vAlign w:val="center"/>
                </w:tcPr>
                <w:p w14:paraId="37A0D737">
                  <w:pPr>
                    <w:keepNext w:val="0"/>
                    <w:keepLines w:val="0"/>
                    <w:pageBreakBefore w:val="0"/>
                    <w:widowControl w:val="0"/>
                    <w:kinsoku/>
                    <w:wordWrap/>
                    <w:overflowPunct/>
                    <w:topLinePunct w:val="0"/>
                    <w:autoSpaceDE/>
                    <w:autoSpaceDN/>
                    <w:bidi w:val="0"/>
                    <w:adjustRightInd/>
                    <w:snapToGrid/>
                    <w:spacing w:before="0" w:after="0" w:line="280" w:lineRule="exact"/>
                    <w:jc w:val="center"/>
                    <w:textAlignment w:val="auto"/>
                    <w:rPr>
                      <w:rFonts w:hint="default"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pPr>
                  <w:r>
                    <w:rPr>
                      <w:rFonts w:hint="eastAsia"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t>0.</w:t>
                  </w:r>
                  <w:r>
                    <w:rPr>
                      <w:rFonts w:hint="eastAsia" w:cs="Times New Roman"/>
                      <w:b w:val="0"/>
                      <w:bCs w:val="0"/>
                      <w:i w:val="0"/>
                      <w:caps w:val="0"/>
                      <w:color w:val="auto"/>
                      <w:spacing w:val="0"/>
                      <w:sz w:val="21"/>
                      <w:szCs w:val="21"/>
                      <w:highlight w:val="none"/>
                      <w:shd w:val="clear" w:color="auto" w:fill="FFFFFF"/>
                      <w:vertAlign w:val="baseline"/>
                      <w:lang w:val="en-US" w:eastAsia="zh-CN"/>
                    </w:rPr>
                    <w:t>4</w:t>
                  </w:r>
                </w:p>
              </w:tc>
              <w:tc>
                <w:tcPr>
                  <w:tcW w:w="765" w:type="dxa"/>
                  <w:noWrap w:val="0"/>
                  <w:vAlign w:val="center"/>
                </w:tcPr>
                <w:p w14:paraId="6D042707">
                  <w:pPr>
                    <w:keepNext w:val="0"/>
                    <w:keepLines w:val="0"/>
                    <w:pageBreakBefore w:val="0"/>
                    <w:widowControl w:val="0"/>
                    <w:kinsoku/>
                    <w:wordWrap/>
                    <w:overflowPunct/>
                    <w:topLinePunct w:val="0"/>
                    <w:autoSpaceDE/>
                    <w:autoSpaceDN/>
                    <w:bidi w:val="0"/>
                    <w:adjustRightInd/>
                    <w:snapToGrid/>
                    <w:spacing w:before="0" w:after="0" w:line="280" w:lineRule="exact"/>
                    <w:jc w:val="center"/>
                    <w:textAlignment w:val="auto"/>
                    <w:rPr>
                      <w:rFonts w:hint="eastAsia"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pPr>
                  <w:r>
                    <w:rPr>
                      <w:rFonts w:hint="eastAsia"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t>25</w:t>
                  </w:r>
                  <w:r>
                    <w:rPr>
                      <w:rFonts w:hint="default"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t>℃</w:t>
                  </w:r>
                </w:p>
              </w:tc>
              <w:tc>
                <w:tcPr>
                  <w:tcW w:w="690" w:type="dxa"/>
                  <w:shd w:val="clear" w:color="auto" w:fill="auto"/>
                  <w:noWrap w:val="0"/>
                  <w:vAlign w:val="center"/>
                </w:tcPr>
                <w:p w14:paraId="67C479E3">
                  <w:pPr>
                    <w:keepNext w:val="0"/>
                    <w:keepLines w:val="0"/>
                    <w:pageBreakBefore w:val="0"/>
                    <w:widowControl w:val="0"/>
                    <w:kinsoku/>
                    <w:wordWrap/>
                    <w:overflowPunct/>
                    <w:topLinePunct w:val="0"/>
                    <w:autoSpaceDE/>
                    <w:autoSpaceDN/>
                    <w:bidi w:val="0"/>
                    <w:adjustRightInd/>
                    <w:snapToGrid/>
                    <w:spacing w:before="0" w:after="0" w:line="280" w:lineRule="exact"/>
                    <w:jc w:val="center"/>
                    <w:textAlignment w:val="auto"/>
                    <w:rPr>
                      <w:rFonts w:hint="eastAsia"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pPr>
                  <w:r>
                    <w:rPr>
                      <w:rFonts w:hint="eastAsia"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t>一般排放口</w:t>
                  </w:r>
                </w:p>
              </w:tc>
              <w:tc>
                <w:tcPr>
                  <w:tcW w:w="780" w:type="dxa"/>
                  <w:shd w:val="clear" w:color="auto" w:fill="auto"/>
                  <w:noWrap w:val="0"/>
                  <w:vAlign w:val="center"/>
                </w:tcPr>
                <w:p w14:paraId="7430DF5D">
                  <w:pPr>
                    <w:keepNext w:val="0"/>
                    <w:keepLines w:val="0"/>
                    <w:pageBreakBefore w:val="0"/>
                    <w:widowControl w:val="0"/>
                    <w:kinsoku/>
                    <w:wordWrap/>
                    <w:overflowPunct/>
                    <w:topLinePunct w:val="0"/>
                    <w:autoSpaceDE/>
                    <w:autoSpaceDN/>
                    <w:bidi w:val="0"/>
                    <w:adjustRightInd/>
                    <w:snapToGrid/>
                    <w:spacing w:before="0" w:after="0" w:line="280" w:lineRule="exact"/>
                    <w:jc w:val="center"/>
                    <w:textAlignment w:val="auto"/>
                    <w:rPr>
                      <w:rFonts w:hint="eastAsia"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pPr>
                  <w:r>
                    <w:rPr>
                      <w:rFonts w:hint="eastAsia"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t>106.895041</w:t>
                  </w:r>
                </w:p>
              </w:tc>
              <w:tc>
                <w:tcPr>
                  <w:tcW w:w="795" w:type="dxa"/>
                  <w:shd w:val="clear" w:color="auto" w:fill="auto"/>
                  <w:noWrap w:val="0"/>
                  <w:vAlign w:val="center"/>
                </w:tcPr>
                <w:p w14:paraId="0597E6AD">
                  <w:pPr>
                    <w:keepNext w:val="0"/>
                    <w:keepLines w:val="0"/>
                    <w:pageBreakBefore w:val="0"/>
                    <w:widowControl w:val="0"/>
                    <w:kinsoku/>
                    <w:wordWrap/>
                    <w:overflowPunct/>
                    <w:topLinePunct w:val="0"/>
                    <w:autoSpaceDE/>
                    <w:autoSpaceDN/>
                    <w:bidi w:val="0"/>
                    <w:adjustRightInd/>
                    <w:snapToGrid/>
                    <w:spacing w:before="0" w:after="0" w:line="280" w:lineRule="exact"/>
                    <w:jc w:val="center"/>
                    <w:textAlignment w:val="auto"/>
                    <w:rPr>
                      <w:rFonts w:hint="eastAsia"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pPr>
                  <w:r>
                    <w:rPr>
                      <w:rFonts w:hint="eastAsia"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t>31.856828</w:t>
                  </w:r>
                </w:p>
              </w:tc>
              <w:tc>
                <w:tcPr>
                  <w:tcW w:w="2404" w:type="dxa"/>
                  <w:vMerge w:val="continue"/>
                  <w:noWrap w:val="0"/>
                  <w:vAlign w:val="center"/>
                </w:tcPr>
                <w:p w14:paraId="6A1A1A22">
                  <w:pPr>
                    <w:keepNext w:val="0"/>
                    <w:keepLines w:val="0"/>
                    <w:pageBreakBefore w:val="0"/>
                    <w:widowControl w:val="0"/>
                    <w:kinsoku/>
                    <w:wordWrap/>
                    <w:overflowPunct/>
                    <w:topLinePunct w:val="0"/>
                    <w:autoSpaceDE/>
                    <w:autoSpaceDN/>
                    <w:bidi w:val="0"/>
                    <w:adjustRightInd/>
                    <w:snapToGrid/>
                    <w:spacing w:before="0" w:after="0" w:line="280" w:lineRule="exact"/>
                    <w:jc w:val="center"/>
                    <w:textAlignment w:val="auto"/>
                    <w:rPr>
                      <w:rFonts w:hint="eastAsia"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pPr>
                </w:p>
              </w:tc>
            </w:tr>
            <w:tr w14:paraId="0D3FE19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858" w:hRule="atLeast"/>
              </w:trPr>
              <w:tc>
                <w:tcPr>
                  <w:tcW w:w="874" w:type="dxa"/>
                  <w:noWrap w:val="0"/>
                  <w:vAlign w:val="center"/>
                </w:tcPr>
                <w:p w14:paraId="1D53544A">
                  <w:pPr>
                    <w:keepNext w:val="0"/>
                    <w:keepLines w:val="0"/>
                    <w:pageBreakBefore w:val="0"/>
                    <w:widowControl w:val="0"/>
                    <w:kinsoku/>
                    <w:wordWrap/>
                    <w:overflowPunct/>
                    <w:topLinePunct w:val="0"/>
                    <w:autoSpaceDE/>
                    <w:autoSpaceDN/>
                    <w:bidi w:val="0"/>
                    <w:adjustRightInd/>
                    <w:snapToGrid/>
                    <w:spacing w:before="0" w:after="0" w:line="280" w:lineRule="exact"/>
                    <w:jc w:val="center"/>
                    <w:textAlignment w:val="auto"/>
                    <w:rPr>
                      <w:rFonts w:hint="default"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pPr>
                  <w:r>
                    <w:rPr>
                      <w:rFonts w:hint="eastAsia" w:cs="Times New Roman"/>
                      <w:b w:val="0"/>
                      <w:bCs w:val="0"/>
                      <w:i w:val="0"/>
                      <w:caps w:val="0"/>
                      <w:color w:val="auto"/>
                      <w:spacing w:val="0"/>
                      <w:sz w:val="21"/>
                      <w:szCs w:val="21"/>
                      <w:highlight w:val="none"/>
                      <w:shd w:val="clear" w:color="auto" w:fill="FFFFFF"/>
                      <w:vertAlign w:val="baseline"/>
                      <w:lang w:val="en-US" w:eastAsia="zh-CN"/>
                    </w:rPr>
                    <w:t>DA003</w:t>
                  </w:r>
                </w:p>
              </w:tc>
              <w:tc>
                <w:tcPr>
                  <w:tcW w:w="735" w:type="dxa"/>
                  <w:noWrap w:val="0"/>
                  <w:vAlign w:val="center"/>
                </w:tcPr>
                <w:p w14:paraId="52BE9F41">
                  <w:pPr>
                    <w:keepNext w:val="0"/>
                    <w:keepLines w:val="0"/>
                    <w:pageBreakBefore w:val="0"/>
                    <w:widowControl w:val="0"/>
                    <w:kinsoku/>
                    <w:wordWrap/>
                    <w:overflowPunct/>
                    <w:topLinePunct w:val="0"/>
                    <w:autoSpaceDE/>
                    <w:autoSpaceDN/>
                    <w:bidi w:val="0"/>
                    <w:adjustRightInd/>
                    <w:snapToGrid/>
                    <w:spacing w:before="0" w:after="0" w:line="280" w:lineRule="exact"/>
                    <w:jc w:val="center"/>
                    <w:textAlignment w:val="auto"/>
                    <w:rPr>
                      <w:rFonts w:hint="default"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pPr>
                  <w:r>
                    <w:rPr>
                      <w:rFonts w:hint="eastAsia" w:cs="Times New Roman"/>
                      <w:b w:val="0"/>
                      <w:bCs w:val="0"/>
                      <w:i w:val="0"/>
                      <w:caps w:val="0"/>
                      <w:color w:val="auto"/>
                      <w:spacing w:val="0"/>
                      <w:sz w:val="21"/>
                      <w:szCs w:val="21"/>
                      <w:highlight w:val="none"/>
                      <w:shd w:val="clear" w:color="auto" w:fill="FFFFFF"/>
                      <w:vertAlign w:val="baseline"/>
                      <w:lang w:val="en-US" w:eastAsia="zh-CN"/>
                    </w:rPr>
                    <w:t>15m</w:t>
                  </w:r>
                </w:p>
              </w:tc>
              <w:tc>
                <w:tcPr>
                  <w:tcW w:w="765" w:type="dxa"/>
                  <w:noWrap w:val="0"/>
                  <w:vAlign w:val="center"/>
                </w:tcPr>
                <w:p w14:paraId="0CB506C5">
                  <w:pPr>
                    <w:keepNext w:val="0"/>
                    <w:keepLines w:val="0"/>
                    <w:pageBreakBefore w:val="0"/>
                    <w:widowControl w:val="0"/>
                    <w:kinsoku/>
                    <w:wordWrap/>
                    <w:overflowPunct/>
                    <w:topLinePunct w:val="0"/>
                    <w:autoSpaceDE/>
                    <w:autoSpaceDN/>
                    <w:bidi w:val="0"/>
                    <w:adjustRightInd/>
                    <w:snapToGrid/>
                    <w:spacing w:before="0" w:after="0" w:line="280" w:lineRule="exact"/>
                    <w:jc w:val="center"/>
                    <w:textAlignment w:val="auto"/>
                    <w:rPr>
                      <w:rFonts w:hint="default"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pPr>
                  <w:r>
                    <w:rPr>
                      <w:rFonts w:hint="eastAsia" w:cs="Times New Roman"/>
                      <w:b w:val="0"/>
                      <w:bCs w:val="0"/>
                      <w:i w:val="0"/>
                      <w:caps w:val="0"/>
                      <w:color w:val="auto"/>
                      <w:spacing w:val="0"/>
                      <w:sz w:val="21"/>
                      <w:szCs w:val="21"/>
                      <w:highlight w:val="none"/>
                      <w:shd w:val="clear" w:color="auto" w:fill="FFFFFF"/>
                      <w:vertAlign w:val="baseline"/>
                      <w:lang w:val="en-US" w:eastAsia="zh-CN"/>
                    </w:rPr>
                    <w:t>0.5</w:t>
                  </w:r>
                </w:p>
              </w:tc>
              <w:tc>
                <w:tcPr>
                  <w:tcW w:w="765" w:type="dxa"/>
                  <w:noWrap w:val="0"/>
                  <w:vAlign w:val="center"/>
                </w:tcPr>
                <w:p w14:paraId="7199CCDF">
                  <w:pPr>
                    <w:keepNext w:val="0"/>
                    <w:keepLines w:val="0"/>
                    <w:pageBreakBefore w:val="0"/>
                    <w:widowControl w:val="0"/>
                    <w:kinsoku/>
                    <w:wordWrap/>
                    <w:overflowPunct/>
                    <w:topLinePunct w:val="0"/>
                    <w:autoSpaceDE/>
                    <w:autoSpaceDN/>
                    <w:bidi w:val="0"/>
                    <w:adjustRightInd/>
                    <w:snapToGrid/>
                    <w:spacing w:before="0" w:after="0" w:line="280" w:lineRule="exact"/>
                    <w:jc w:val="center"/>
                    <w:textAlignment w:val="auto"/>
                    <w:rPr>
                      <w:rFonts w:hint="eastAsia"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pPr>
                  <w:r>
                    <w:rPr>
                      <w:rFonts w:hint="eastAsia"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t>25</w:t>
                  </w:r>
                  <w:r>
                    <w:rPr>
                      <w:rFonts w:hint="default"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t>℃</w:t>
                  </w:r>
                </w:p>
              </w:tc>
              <w:tc>
                <w:tcPr>
                  <w:tcW w:w="690" w:type="dxa"/>
                  <w:shd w:val="clear" w:color="auto" w:fill="auto"/>
                  <w:noWrap w:val="0"/>
                  <w:vAlign w:val="center"/>
                </w:tcPr>
                <w:p w14:paraId="1A9A079A">
                  <w:pPr>
                    <w:keepNext w:val="0"/>
                    <w:keepLines w:val="0"/>
                    <w:pageBreakBefore w:val="0"/>
                    <w:widowControl w:val="0"/>
                    <w:kinsoku/>
                    <w:wordWrap/>
                    <w:overflowPunct/>
                    <w:topLinePunct w:val="0"/>
                    <w:autoSpaceDE/>
                    <w:autoSpaceDN/>
                    <w:bidi w:val="0"/>
                    <w:adjustRightInd/>
                    <w:snapToGrid/>
                    <w:spacing w:before="0" w:after="0" w:line="280" w:lineRule="exact"/>
                    <w:jc w:val="center"/>
                    <w:textAlignment w:val="auto"/>
                    <w:rPr>
                      <w:rFonts w:hint="eastAsia"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pPr>
                  <w:r>
                    <w:rPr>
                      <w:rFonts w:hint="eastAsia"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t>一般排放口</w:t>
                  </w:r>
                </w:p>
              </w:tc>
              <w:tc>
                <w:tcPr>
                  <w:tcW w:w="780" w:type="dxa"/>
                  <w:shd w:val="clear" w:color="auto" w:fill="auto"/>
                  <w:noWrap w:val="0"/>
                  <w:vAlign w:val="center"/>
                </w:tcPr>
                <w:p w14:paraId="2AFA2DA5">
                  <w:pPr>
                    <w:keepNext w:val="0"/>
                    <w:keepLines w:val="0"/>
                    <w:pageBreakBefore w:val="0"/>
                    <w:widowControl w:val="0"/>
                    <w:kinsoku/>
                    <w:wordWrap/>
                    <w:overflowPunct/>
                    <w:topLinePunct w:val="0"/>
                    <w:autoSpaceDE/>
                    <w:autoSpaceDN/>
                    <w:bidi w:val="0"/>
                    <w:adjustRightInd/>
                    <w:snapToGrid/>
                    <w:spacing w:before="0" w:after="0" w:line="280" w:lineRule="exact"/>
                    <w:jc w:val="center"/>
                    <w:textAlignment w:val="auto"/>
                    <w:rPr>
                      <w:rFonts w:hint="eastAsia"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pPr>
                  <w:r>
                    <w:rPr>
                      <w:rFonts w:hint="eastAsia"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t>106.896103</w:t>
                  </w:r>
                </w:p>
              </w:tc>
              <w:tc>
                <w:tcPr>
                  <w:tcW w:w="795" w:type="dxa"/>
                  <w:shd w:val="clear" w:color="auto" w:fill="auto"/>
                  <w:noWrap w:val="0"/>
                  <w:vAlign w:val="center"/>
                </w:tcPr>
                <w:p w14:paraId="2CCE9194">
                  <w:pPr>
                    <w:keepNext w:val="0"/>
                    <w:keepLines w:val="0"/>
                    <w:pageBreakBefore w:val="0"/>
                    <w:widowControl w:val="0"/>
                    <w:kinsoku/>
                    <w:wordWrap/>
                    <w:overflowPunct/>
                    <w:topLinePunct w:val="0"/>
                    <w:autoSpaceDE/>
                    <w:autoSpaceDN/>
                    <w:bidi w:val="0"/>
                    <w:adjustRightInd/>
                    <w:snapToGrid/>
                    <w:spacing w:before="0" w:after="0" w:line="280" w:lineRule="exact"/>
                    <w:jc w:val="center"/>
                    <w:textAlignment w:val="auto"/>
                    <w:rPr>
                      <w:rFonts w:hint="eastAsia"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pPr>
                  <w:r>
                    <w:rPr>
                      <w:rFonts w:hint="eastAsia"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t>31.856099</w:t>
                  </w:r>
                </w:p>
              </w:tc>
              <w:tc>
                <w:tcPr>
                  <w:tcW w:w="2404" w:type="dxa"/>
                  <w:noWrap w:val="0"/>
                  <w:vAlign w:val="center"/>
                </w:tcPr>
                <w:p w14:paraId="476AD7A2">
                  <w:pPr>
                    <w:keepNext w:val="0"/>
                    <w:keepLines w:val="0"/>
                    <w:pageBreakBefore w:val="0"/>
                    <w:widowControl w:val="0"/>
                    <w:kinsoku/>
                    <w:wordWrap/>
                    <w:overflowPunct/>
                    <w:topLinePunct w:val="0"/>
                    <w:autoSpaceDE/>
                    <w:autoSpaceDN/>
                    <w:bidi w:val="0"/>
                    <w:adjustRightInd/>
                    <w:snapToGrid/>
                    <w:spacing w:before="0" w:after="0" w:line="280" w:lineRule="exact"/>
                    <w:jc w:val="center"/>
                    <w:textAlignment w:val="auto"/>
                    <w:rPr>
                      <w:rFonts w:hint="eastAsia"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pPr>
                  <w:r>
                    <w:rPr>
                      <w:rFonts w:hint="eastAsia"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t>《四川省固定污染源大气挥发性有机物排放标准》（DB51/2377-2017）</w:t>
                  </w:r>
                </w:p>
              </w:tc>
            </w:tr>
          </w:tbl>
          <w:p w14:paraId="16CA911D">
            <w:pPr>
              <w:adjustRightInd w:val="0"/>
              <w:snapToGrid w:val="0"/>
              <w:spacing w:line="360" w:lineRule="auto"/>
              <w:ind w:firstLine="482" w:firstLineChars="200"/>
              <w:rPr>
                <w:rFonts w:ascii="Times New Roman" w:hAnsi="Times New Roman"/>
                <w:b/>
                <w:bCs/>
                <w:color w:val="auto"/>
                <w:kern w:val="0"/>
                <w:sz w:val="24"/>
                <w:highlight w:val="none"/>
              </w:rPr>
            </w:pPr>
            <w:r>
              <w:rPr>
                <w:rFonts w:hint="eastAsia" w:ascii="Times New Roman" w:hAnsi="Times New Roman"/>
                <w:b/>
                <w:bCs/>
                <w:color w:val="auto"/>
                <w:sz w:val="24"/>
                <w:highlight w:val="none"/>
                <w:lang w:val="en-US" w:eastAsia="zh-CN"/>
              </w:rPr>
              <w:t>（3）</w:t>
            </w:r>
            <w:r>
              <w:rPr>
                <w:rFonts w:hint="eastAsia" w:ascii="Times New Roman" w:hAnsi="Times New Roman"/>
                <w:b/>
                <w:bCs/>
                <w:color w:val="auto"/>
                <w:sz w:val="24"/>
                <w:highlight w:val="none"/>
              </w:rPr>
              <w:t>治理措施可行性</w:t>
            </w:r>
          </w:p>
          <w:p w14:paraId="380AE4A9">
            <w:pPr>
              <w:pStyle w:val="208"/>
              <w:shd w:val="clear"/>
              <w:ind w:firstLine="480" w:firstLineChars="200"/>
              <w:rPr>
                <w:rFonts w:hint="default" w:ascii="Times New Roman" w:hAnsi="Times New Roman" w:eastAsia="宋体" w:cs="Times New Roman"/>
                <w:color w:val="auto"/>
                <w:kern w:val="0"/>
                <w:sz w:val="24"/>
                <w:szCs w:val="24"/>
                <w:shd w:val="clear"/>
                <w:lang w:val="en-US" w:eastAsia="zh-CN" w:bidi="ar"/>
              </w:rPr>
            </w:pPr>
            <w:r>
              <w:rPr>
                <w:rFonts w:hint="eastAsia" w:ascii="Times New Roman" w:hAnsi="Times New Roman"/>
                <w:color w:val="auto"/>
                <w:highlight w:val="none"/>
                <w:shd w:val="clear"/>
              </w:rPr>
              <w:t>参照《</w:t>
            </w:r>
            <w:r>
              <w:rPr>
                <w:rFonts w:hint="default" w:ascii="Times New Roman" w:hAnsi="Times New Roman" w:eastAsia="宋体" w:cs="Times New Roman"/>
                <w:color w:val="auto"/>
                <w:kern w:val="0"/>
                <w:sz w:val="24"/>
                <w:szCs w:val="24"/>
                <w:shd w:val="clear"/>
                <w:lang w:val="en-US" w:eastAsia="zh-CN" w:bidi="ar"/>
              </w:rPr>
              <w:t>排污许可证申请与核发技术规范</w:t>
            </w:r>
            <w:r>
              <w:rPr>
                <w:rFonts w:hint="eastAsia" w:cs="Times New Roman"/>
                <w:color w:val="auto"/>
                <w:kern w:val="0"/>
                <w:sz w:val="24"/>
                <w:szCs w:val="24"/>
                <w:shd w:val="clear"/>
                <w:lang w:val="en-US" w:eastAsia="zh-CN" w:bidi="ar"/>
              </w:rPr>
              <w:t xml:space="preserve"> </w:t>
            </w:r>
            <w:r>
              <w:rPr>
                <w:rFonts w:hint="default" w:ascii="Times New Roman" w:hAnsi="Times New Roman" w:eastAsia="宋体" w:cs="Times New Roman"/>
                <w:color w:val="auto"/>
                <w:kern w:val="0"/>
                <w:sz w:val="24"/>
                <w:szCs w:val="24"/>
                <w:shd w:val="clear"/>
                <w:lang w:val="en-US" w:eastAsia="zh-CN" w:bidi="ar"/>
              </w:rPr>
              <w:t>电池工业》（HJ967-2018）</w:t>
            </w:r>
            <w:r>
              <w:rPr>
                <w:rFonts w:hint="eastAsia" w:ascii="Times New Roman" w:eastAsia="宋体" w:cs="Times New Roman"/>
                <w:color w:val="auto"/>
                <w:kern w:val="0"/>
                <w:sz w:val="24"/>
                <w:szCs w:val="24"/>
                <w:shd w:val="clear"/>
                <w:lang w:val="en-US" w:eastAsia="zh-CN" w:bidi="ar"/>
              </w:rPr>
              <w:t>“表11 锂电池/锂离子电池排污单位废气产污环节名称、污染物种类、排放形式及污染治理设施一览表”，原料系统产生的颗粒物污染治理设施为加强密闭；收集送除尘处理装置处理（旋风除尘、袋式除尘、旋风+袋式除尘）；涂布、烘烤产生的NMP挥发废气污染治理设施为NMP回收设备；注液过程中产生的注液废气污染治理设施为废气集中收集+活性炭吸附等。</w:t>
            </w:r>
          </w:p>
          <w:p w14:paraId="4B304EF5">
            <w:pPr>
              <w:pStyle w:val="208"/>
              <w:shd w:val="clear"/>
              <w:ind w:left="0" w:leftChars="0" w:firstLine="0" w:firstLineChars="0"/>
              <w:rPr>
                <w:rFonts w:hint="eastAsia" w:ascii="Times New Roman" w:hAnsi="Times New Roman" w:eastAsia="宋体" w:cs="Times New Roman"/>
                <w:color w:val="auto"/>
                <w:highlight w:val="none"/>
                <w:lang w:val="en-US" w:eastAsia="zh-CN"/>
              </w:rPr>
            </w:pPr>
            <w:r>
              <w:rPr>
                <w:color w:val="auto"/>
              </w:rPr>
              <w:drawing>
                <wp:inline distT="0" distB="0" distL="114300" distR="114300">
                  <wp:extent cx="5021580" cy="1795780"/>
                  <wp:effectExtent l="0" t="0" r="7620" b="1397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r:embed="rId29"/>
                          <a:stretch>
                            <a:fillRect/>
                          </a:stretch>
                        </pic:blipFill>
                        <pic:spPr>
                          <a:xfrm>
                            <a:off x="0" y="0"/>
                            <a:ext cx="5021580" cy="1795780"/>
                          </a:xfrm>
                          <a:prstGeom prst="rect">
                            <a:avLst/>
                          </a:prstGeom>
                          <a:noFill/>
                          <a:ln>
                            <a:noFill/>
                          </a:ln>
                        </pic:spPr>
                      </pic:pic>
                    </a:graphicData>
                  </a:graphic>
                </wp:inline>
              </w:drawing>
            </w:r>
          </w:p>
          <w:p w14:paraId="52B8866F">
            <w:pPr>
              <w:pStyle w:val="208"/>
              <w:shd w:val="clear"/>
              <w:ind w:left="0" w:leftChars="0" w:firstLine="0" w:firstLineChars="0"/>
              <w:rPr>
                <w:rFonts w:hint="eastAsia" w:ascii="Times New Roman" w:hAnsi="Times New Roman" w:eastAsia="宋体" w:cs="Times New Roman"/>
                <w:color w:val="auto"/>
                <w:highlight w:val="none"/>
                <w:lang w:val="en-US" w:eastAsia="zh-CN"/>
              </w:rPr>
            </w:pPr>
            <w:r>
              <w:rPr>
                <w:color w:val="auto"/>
              </w:rPr>
              <w:drawing>
                <wp:inline distT="0" distB="0" distL="114300" distR="114300">
                  <wp:extent cx="5019040" cy="1147445"/>
                  <wp:effectExtent l="0" t="0" r="10160" b="14605"/>
                  <wp:docPr id="21"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9"/>
                          <pic:cNvPicPr>
                            <a:picLocks noChangeAspect="1"/>
                          </pic:cNvPicPr>
                        </pic:nvPicPr>
                        <pic:blipFill>
                          <a:blip r:embed="rId30"/>
                          <a:stretch>
                            <a:fillRect/>
                          </a:stretch>
                        </pic:blipFill>
                        <pic:spPr>
                          <a:xfrm>
                            <a:off x="0" y="0"/>
                            <a:ext cx="5019040" cy="1147445"/>
                          </a:xfrm>
                          <a:prstGeom prst="rect">
                            <a:avLst/>
                          </a:prstGeom>
                          <a:noFill/>
                          <a:ln>
                            <a:noFill/>
                          </a:ln>
                        </pic:spPr>
                      </pic:pic>
                    </a:graphicData>
                  </a:graphic>
                </wp:inline>
              </w:drawing>
            </w:r>
          </w:p>
          <w:p w14:paraId="4A5C0A38">
            <w:pPr>
              <w:pStyle w:val="208"/>
              <w:shd w:val="clear"/>
              <w:ind w:firstLine="480" w:firstLineChars="200"/>
              <w:rPr>
                <w:rFonts w:hint="eastAsia" w:ascii="宋体" w:hAnsi="宋体"/>
                <w:color w:val="auto"/>
                <w:spacing w:val="2"/>
                <w:sz w:val="24"/>
                <w:szCs w:val="24"/>
                <w:lang w:val="en-US" w:eastAsia="zh-CN"/>
              </w:rPr>
            </w:pPr>
            <w:r>
              <w:rPr>
                <w:rFonts w:hint="eastAsia" w:ascii="Times New Roman" w:hAnsi="Times New Roman" w:eastAsia="宋体" w:cs="Times New Roman"/>
                <w:color w:val="auto"/>
                <w:highlight w:val="none"/>
                <w:lang w:val="en-US" w:eastAsia="zh-CN"/>
              </w:rPr>
              <w:t>本项目</w:t>
            </w:r>
            <w:r>
              <w:rPr>
                <w:rFonts w:hint="eastAsia" w:ascii="宋体" w:hAnsi="宋体"/>
                <w:color w:val="auto"/>
                <w:spacing w:val="2"/>
                <w:sz w:val="24"/>
                <w:szCs w:val="24"/>
              </w:rPr>
              <w:t>正极、负极</w:t>
            </w:r>
            <w:r>
              <w:rPr>
                <w:rFonts w:hint="eastAsia" w:ascii="宋体" w:hAnsi="宋体"/>
                <w:color w:val="auto"/>
                <w:spacing w:val="2"/>
                <w:sz w:val="24"/>
                <w:szCs w:val="24"/>
                <w:lang w:val="en-US" w:eastAsia="zh-CN"/>
              </w:rPr>
              <w:t>投料时，投料间密闭，少量粉尘经设备上方自带滤芯除尘器处理，涂布烘干废气</w:t>
            </w:r>
            <w:r>
              <w:rPr>
                <w:rFonts w:hint="default" w:ascii="Times New Roman" w:hAnsi="Times New Roman" w:cs="Times New Roman"/>
                <w:color w:val="auto"/>
                <w:spacing w:val="2"/>
                <w:sz w:val="24"/>
                <w:szCs w:val="24"/>
                <w:lang w:val="en-US" w:eastAsia="zh-CN"/>
              </w:rPr>
              <w:t>采用NMP回</w:t>
            </w:r>
            <w:r>
              <w:rPr>
                <w:rFonts w:hint="eastAsia" w:ascii="宋体" w:hAnsi="宋体"/>
                <w:color w:val="auto"/>
                <w:spacing w:val="2"/>
                <w:sz w:val="24"/>
                <w:szCs w:val="24"/>
                <w:lang w:val="en-US" w:eastAsia="zh-CN"/>
              </w:rPr>
              <w:t>收装置，电解液注液过程中产生的废气经密闭管道收集后通过二级活性炭处理。</w:t>
            </w:r>
          </w:p>
          <w:p w14:paraId="5BC9FC91">
            <w:pPr>
              <w:pStyle w:val="208"/>
              <w:shd w:val="clear"/>
              <w:ind w:firstLine="480" w:firstLineChars="200"/>
              <w:rPr>
                <w:rFonts w:hint="eastAsia" w:ascii="Times New Roman" w:hAnsi="Times New Roman" w:eastAsia="宋体" w:cs="Times New Roman"/>
                <w:color w:val="auto"/>
                <w:kern w:val="0"/>
                <w:sz w:val="24"/>
                <w:szCs w:val="24"/>
                <w:shd w:val="clear"/>
                <w:lang w:val="en-US" w:eastAsia="zh-CN" w:bidi="ar"/>
              </w:rPr>
            </w:pPr>
            <w:r>
              <w:rPr>
                <w:rFonts w:hint="eastAsia" w:ascii="Times New Roman" w:hAnsi="Times New Roman" w:eastAsia="宋体" w:cs="Times New Roman"/>
                <w:color w:val="auto"/>
                <w:highlight w:val="none"/>
                <w:lang w:val="en-US" w:eastAsia="zh-CN"/>
              </w:rPr>
              <w:t>综上，本项目</w:t>
            </w:r>
            <w:r>
              <w:rPr>
                <w:rFonts w:ascii="宋体" w:hAnsi="宋体" w:eastAsia="宋体" w:cs="宋体"/>
                <w:color w:val="auto"/>
                <w:sz w:val="24"/>
                <w:szCs w:val="24"/>
              </w:rPr>
              <w:t>各项废气治理措施</w:t>
            </w:r>
            <w:r>
              <w:rPr>
                <w:rFonts w:hint="eastAsia" w:ascii="宋体" w:hAnsi="宋体" w:eastAsia="宋体" w:cs="宋体"/>
                <w:color w:val="auto"/>
                <w:sz w:val="24"/>
                <w:szCs w:val="24"/>
                <w:lang w:val="en-US" w:eastAsia="zh-CN"/>
              </w:rPr>
              <w:t>符合</w:t>
            </w:r>
            <w:r>
              <w:rPr>
                <w:rFonts w:hint="eastAsia" w:ascii="Times New Roman" w:hAnsi="Times New Roman"/>
                <w:color w:val="auto"/>
                <w:highlight w:val="none"/>
                <w:shd w:val="clear"/>
              </w:rPr>
              <w:t>《</w:t>
            </w:r>
            <w:r>
              <w:rPr>
                <w:rFonts w:hint="default" w:ascii="Times New Roman" w:hAnsi="Times New Roman" w:eastAsia="宋体" w:cs="Times New Roman"/>
                <w:color w:val="auto"/>
                <w:kern w:val="0"/>
                <w:sz w:val="24"/>
                <w:szCs w:val="24"/>
                <w:shd w:val="clear"/>
                <w:lang w:val="en-US" w:eastAsia="zh-CN" w:bidi="ar"/>
              </w:rPr>
              <w:t>排污许可证申请与核发技术规范</w:t>
            </w:r>
            <w:r>
              <w:rPr>
                <w:rFonts w:hint="eastAsia" w:cs="Times New Roman"/>
                <w:color w:val="auto"/>
                <w:kern w:val="0"/>
                <w:sz w:val="24"/>
                <w:szCs w:val="24"/>
                <w:shd w:val="clear"/>
                <w:lang w:val="en-US" w:eastAsia="zh-CN" w:bidi="ar"/>
              </w:rPr>
              <w:t xml:space="preserve"> </w:t>
            </w:r>
            <w:r>
              <w:rPr>
                <w:rFonts w:hint="default" w:ascii="Times New Roman" w:hAnsi="Times New Roman" w:eastAsia="宋体" w:cs="Times New Roman"/>
                <w:color w:val="auto"/>
                <w:kern w:val="0"/>
                <w:sz w:val="24"/>
                <w:szCs w:val="24"/>
                <w:shd w:val="clear"/>
                <w:lang w:val="en-US" w:eastAsia="zh-CN" w:bidi="ar"/>
              </w:rPr>
              <w:t>电池工业》（HJ967-2018）</w:t>
            </w:r>
            <w:r>
              <w:rPr>
                <w:rFonts w:hint="eastAsia" w:ascii="Times New Roman" w:hAnsi="Times New Roman" w:eastAsia="宋体" w:cs="Times New Roman"/>
                <w:color w:val="auto"/>
                <w:kern w:val="0"/>
                <w:sz w:val="24"/>
                <w:szCs w:val="24"/>
                <w:shd w:val="clear"/>
                <w:lang w:val="en-US" w:eastAsia="zh-CN" w:bidi="ar"/>
              </w:rPr>
              <w:t>相关要求，故废气治理措施可行。</w:t>
            </w:r>
          </w:p>
          <w:p w14:paraId="04C4F468">
            <w:pPr>
              <w:pStyle w:val="208"/>
              <w:shd w:val="clear"/>
              <w:ind w:firstLine="480" w:firstLineChars="200"/>
              <w:rPr>
                <w:rFonts w:hint="eastAsia" w:ascii="Times New Roman" w:hAnsi="Times New Roman" w:eastAsia="宋体" w:cs="Times New Roman"/>
                <w:color w:val="auto"/>
                <w:kern w:val="0"/>
                <w:sz w:val="24"/>
                <w:szCs w:val="24"/>
                <w:shd w:val="clear"/>
                <w:lang w:val="en-US" w:eastAsia="zh-CN" w:bidi="ar"/>
              </w:rPr>
            </w:pPr>
            <w:r>
              <w:rPr>
                <w:rFonts w:hint="eastAsia" w:ascii="Times New Roman" w:hAnsi="Times New Roman" w:eastAsia="宋体" w:cs="Times New Roman"/>
                <w:color w:val="auto"/>
                <w:kern w:val="0"/>
                <w:sz w:val="24"/>
                <w:szCs w:val="24"/>
                <w:shd w:val="clear"/>
                <w:lang w:val="en-US" w:eastAsia="zh-CN" w:bidi="ar"/>
              </w:rPr>
              <w:t>滤芯除尘器原理：含尘气流在风机负压作用下进入设备，粉尘被滤芯拦截附着，洁净气体穿透滤芯排出；积累粉尘通过脉冲气流反向吹扫脱落回落收集。</w:t>
            </w:r>
          </w:p>
          <w:p w14:paraId="62085DC3">
            <w:pPr>
              <w:snapToGrid w:val="0"/>
              <w:spacing w:line="360" w:lineRule="auto"/>
              <w:ind w:firstLine="482" w:firstLineChars="200"/>
              <w:rPr>
                <w:rFonts w:hint="eastAsia" w:ascii="Times New Roman" w:hAnsi="Times New Roman" w:eastAsia="宋体" w:cs="Times New Roman"/>
                <w:snapToGrid w:val="0"/>
                <w:color w:val="auto"/>
                <w:kern w:val="0"/>
                <w:sz w:val="24"/>
                <w:highlight w:val="none"/>
                <w:lang w:val="en-US" w:eastAsia="zh-CN"/>
              </w:rPr>
            </w:pPr>
            <w:r>
              <w:rPr>
                <w:rFonts w:hint="eastAsia" w:ascii="Times New Roman" w:hAnsi="Times New Roman" w:eastAsia="宋体" w:cs="Times New Roman"/>
                <w:b/>
                <w:bCs/>
                <w:snapToGrid w:val="0"/>
                <w:color w:val="auto"/>
                <w:kern w:val="0"/>
                <w:sz w:val="24"/>
                <w:highlight w:val="none"/>
                <w:lang w:val="en-US" w:eastAsia="zh-CN"/>
              </w:rPr>
              <w:t>活性炭吸附原理</w:t>
            </w:r>
            <w:r>
              <w:rPr>
                <w:rFonts w:hint="eastAsia" w:ascii="Times New Roman" w:hAnsi="Times New Roman" w:eastAsia="宋体" w:cs="Times New Roman"/>
                <w:snapToGrid w:val="0"/>
                <w:color w:val="auto"/>
                <w:kern w:val="0"/>
                <w:sz w:val="24"/>
                <w:highlight w:val="none"/>
                <w:lang w:val="en-US" w:eastAsia="zh-CN"/>
              </w:rPr>
              <w:t>：活性炭吸附是一种对有机废气较为成熟的处理工艺，由于活性炭固体表面上存在着未平衡和未饱和的分子引力或化学键力，因此当固体表面与气体接触时，就能吸引气体分子，使其凝聚并保持在固体表面，利用固体表面的吸附能力，使废气与大表面的多孔性固体物质相接触，废气中的污染物被吸附在固体表面上，使其与气体混合物分离，达到净化目的。</w:t>
            </w:r>
          </w:p>
          <w:p w14:paraId="6D16B918">
            <w:pPr>
              <w:snapToGrid w:val="0"/>
              <w:spacing w:line="360" w:lineRule="auto"/>
              <w:jc w:val="center"/>
              <w:rPr>
                <w:color w:val="auto"/>
              </w:rPr>
            </w:pPr>
            <w:r>
              <w:rPr>
                <w:color w:val="auto"/>
              </w:rPr>
              <w:drawing>
                <wp:inline distT="0" distB="0" distL="114300" distR="114300">
                  <wp:extent cx="3610610" cy="1834515"/>
                  <wp:effectExtent l="0" t="0" r="8890" b="13335"/>
                  <wp:docPr id="25"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10"/>
                          <pic:cNvPicPr>
                            <a:picLocks noChangeAspect="1"/>
                          </pic:cNvPicPr>
                        </pic:nvPicPr>
                        <pic:blipFill>
                          <a:blip r:embed="rId31"/>
                          <a:stretch>
                            <a:fillRect/>
                          </a:stretch>
                        </pic:blipFill>
                        <pic:spPr>
                          <a:xfrm>
                            <a:off x="0" y="0"/>
                            <a:ext cx="3610610" cy="1834515"/>
                          </a:xfrm>
                          <a:prstGeom prst="rect">
                            <a:avLst/>
                          </a:prstGeom>
                          <a:noFill/>
                          <a:ln>
                            <a:noFill/>
                          </a:ln>
                        </pic:spPr>
                      </pic:pic>
                    </a:graphicData>
                  </a:graphic>
                </wp:inline>
              </w:drawing>
            </w:r>
          </w:p>
          <w:p w14:paraId="59776476">
            <w:pPr>
              <w:jc w:val="center"/>
              <w:rPr>
                <w:rFonts w:hint="default" w:eastAsia="宋体"/>
                <w:b/>
                <w:bCs/>
                <w:color w:val="auto"/>
                <w:highlight w:val="none"/>
                <w:lang w:val="en-US" w:eastAsia="zh-CN"/>
              </w:rPr>
            </w:pPr>
            <w:r>
              <w:rPr>
                <w:rFonts w:hint="eastAsia"/>
                <w:b/>
                <w:bCs/>
                <w:color w:val="auto"/>
                <w:highlight w:val="none"/>
                <w:lang w:val="en-US" w:eastAsia="zh-CN"/>
              </w:rPr>
              <w:t>图4-1 活性炭吸附装置示意图</w:t>
            </w:r>
          </w:p>
          <w:p w14:paraId="1E47097E">
            <w:pPr>
              <w:snapToGrid w:val="0"/>
              <w:spacing w:line="360" w:lineRule="auto"/>
              <w:ind w:firstLine="480" w:firstLineChars="200"/>
              <w:rPr>
                <w:rFonts w:hint="default" w:ascii="Times New Roman" w:hAnsi="Times New Roman" w:eastAsia="宋体" w:cs="Times New Roman"/>
                <w:snapToGrid w:val="0"/>
                <w:color w:val="auto"/>
                <w:kern w:val="0"/>
                <w:sz w:val="24"/>
                <w:highlight w:val="none"/>
                <w:lang w:val="en-US" w:eastAsia="zh-CN"/>
              </w:rPr>
            </w:pPr>
            <w:r>
              <w:rPr>
                <w:rFonts w:hint="eastAsia" w:ascii="Times New Roman" w:hAnsi="Times New Roman" w:eastAsia="宋体" w:cs="Times New Roman"/>
                <w:snapToGrid w:val="0"/>
                <w:color w:val="auto"/>
                <w:kern w:val="0"/>
                <w:sz w:val="24"/>
                <w:highlight w:val="none"/>
                <w:lang w:val="en-US" w:eastAsia="zh-CN"/>
              </w:rPr>
              <w:t>①吸附装置横截面积及吸附风速</w:t>
            </w:r>
          </w:p>
          <w:p w14:paraId="1146D3F5">
            <w:pPr>
              <w:snapToGrid w:val="0"/>
              <w:spacing w:line="360" w:lineRule="auto"/>
              <w:ind w:firstLine="480" w:firstLineChars="200"/>
              <w:rPr>
                <w:rFonts w:hint="eastAsia" w:ascii="Times New Roman" w:hAnsi="Times New Roman" w:eastAsia="宋体" w:cs="Times New Roman"/>
                <w:b/>
                <w:bCs/>
                <w:snapToGrid w:val="0"/>
                <w:color w:val="auto"/>
                <w:kern w:val="0"/>
                <w:sz w:val="24"/>
                <w:highlight w:val="none"/>
                <w:lang w:val="en-US" w:eastAsia="zh-CN"/>
              </w:rPr>
            </w:pPr>
            <w:r>
              <w:rPr>
                <w:rFonts w:hint="eastAsia" w:ascii="Times New Roman" w:hAnsi="Times New Roman" w:eastAsia="宋体" w:cs="Times New Roman"/>
                <w:snapToGrid w:val="0"/>
                <w:color w:val="auto"/>
                <w:kern w:val="0"/>
                <w:sz w:val="24"/>
                <w:highlight w:val="none"/>
                <w:lang w:val="en-US" w:eastAsia="zh-CN"/>
              </w:rPr>
              <w:t>本次评价建议建设单位选用碘值不低于800mg/g的颗粒状活性炭，参考《四川省挥发性有机物治理之活性炭使用管理常见问题工具书》，采用颗粒状活性炭吸附剂时，气体流速宜低于0.6m/s，根据本项目</w:t>
            </w:r>
            <w:r>
              <w:rPr>
                <w:rFonts w:hint="eastAsia" w:cs="Times New Roman"/>
                <w:snapToGrid w:val="0"/>
                <w:color w:val="auto"/>
                <w:kern w:val="0"/>
                <w:sz w:val="24"/>
                <w:highlight w:val="none"/>
                <w:lang w:val="en-US" w:eastAsia="zh-CN"/>
              </w:rPr>
              <w:t>二级活性炭吸附装置</w:t>
            </w:r>
            <w:r>
              <w:rPr>
                <w:rFonts w:hint="eastAsia" w:ascii="Times New Roman" w:hAnsi="Times New Roman" w:eastAsia="宋体" w:cs="Times New Roman"/>
                <w:snapToGrid w:val="0"/>
                <w:color w:val="auto"/>
                <w:kern w:val="0"/>
                <w:sz w:val="24"/>
                <w:highlight w:val="none"/>
                <w:lang w:val="en-US" w:eastAsia="zh-CN"/>
              </w:rPr>
              <w:t>风量（</w:t>
            </w:r>
            <w:r>
              <w:rPr>
                <w:rFonts w:hint="eastAsia" w:cs="Times New Roman"/>
                <w:snapToGrid w:val="0"/>
                <w:color w:val="auto"/>
                <w:kern w:val="0"/>
                <w:sz w:val="24"/>
                <w:highlight w:val="none"/>
                <w:lang w:val="en-US" w:eastAsia="zh-CN"/>
              </w:rPr>
              <w:t>6</w:t>
            </w:r>
            <w:r>
              <w:rPr>
                <w:rFonts w:hint="eastAsia" w:ascii="Times New Roman" w:hAnsi="Times New Roman" w:eastAsia="宋体" w:cs="Times New Roman"/>
                <w:snapToGrid w:val="0"/>
                <w:color w:val="auto"/>
                <w:kern w:val="0"/>
                <w:sz w:val="24"/>
                <w:highlight w:val="none"/>
                <w:lang w:val="en-US" w:eastAsia="zh-CN"/>
              </w:rPr>
              <w:t>000m</w:t>
            </w:r>
            <w:r>
              <w:rPr>
                <w:rFonts w:hint="eastAsia" w:ascii="Times New Roman" w:hAnsi="Times New Roman" w:eastAsia="宋体" w:cs="Times New Roman"/>
                <w:snapToGrid w:val="0"/>
                <w:color w:val="auto"/>
                <w:kern w:val="0"/>
                <w:sz w:val="24"/>
                <w:highlight w:val="none"/>
                <w:vertAlign w:val="superscript"/>
                <w:lang w:val="en-US" w:eastAsia="zh-CN"/>
              </w:rPr>
              <w:t>3</w:t>
            </w:r>
            <w:r>
              <w:rPr>
                <w:rFonts w:hint="eastAsia" w:ascii="Times New Roman" w:hAnsi="Times New Roman" w:eastAsia="宋体" w:cs="Times New Roman"/>
                <w:snapToGrid w:val="0"/>
                <w:color w:val="auto"/>
                <w:kern w:val="0"/>
                <w:sz w:val="24"/>
                <w:highlight w:val="none"/>
                <w:lang w:val="en-US" w:eastAsia="zh-CN"/>
              </w:rPr>
              <w:t>/h），核算出活性炭吸附装置横截面积需不低于</w:t>
            </w:r>
            <w:r>
              <w:rPr>
                <w:rFonts w:hint="eastAsia" w:cs="Times New Roman"/>
                <w:snapToGrid w:val="0"/>
                <w:color w:val="auto"/>
                <w:kern w:val="0"/>
                <w:sz w:val="24"/>
                <w:highlight w:val="none"/>
                <w:lang w:val="en-US" w:eastAsia="zh-CN"/>
              </w:rPr>
              <w:t>6</w:t>
            </w:r>
            <w:r>
              <w:rPr>
                <w:rFonts w:hint="eastAsia" w:ascii="Times New Roman" w:hAnsi="Times New Roman" w:eastAsia="宋体" w:cs="Times New Roman"/>
                <w:snapToGrid w:val="0"/>
                <w:color w:val="auto"/>
                <w:kern w:val="0"/>
                <w:sz w:val="24"/>
                <w:highlight w:val="none"/>
                <w:lang w:val="en-US" w:eastAsia="zh-CN"/>
              </w:rPr>
              <w:t>000m</w:t>
            </w:r>
            <w:r>
              <w:rPr>
                <w:rFonts w:hint="eastAsia" w:ascii="Times New Roman" w:hAnsi="Times New Roman" w:eastAsia="宋体" w:cs="Times New Roman"/>
                <w:snapToGrid w:val="0"/>
                <w:color w:val="auto"/>
                <w:kern w:val="0"/>
                <w:sz w:val="24"/>
                <w:highlight w:val="none"/>
                <w:vertAlign w:val="superscript"/>
                <w:lang w:val="en-US" w:eastAsia="zh-CN"/>
              </w:rPr>
              <w:t>3</w:t>
            </w:r>
            <w:r>
              <w:rPr>
                <w:rFonts w:hint="eastAsia" w:ascii="Times New Roman" w:hAnsi="Times New Roman" w:eastAsia="宋体" w:cs="Times New Roman"/>
                <w:snapToGrid w:val="0"/>
                <w:color w:val="auto"/>
                <w:kern w:val="0"/>
                <w:sz w:val="24"/>
                <w:highlight w:val="none"/>
                <w:lang w:val="en-US" w:eastAsia="zh-CN"/>
              </w:rPr>
              <w:t>/h/3600s/0.6m/s≈</w:t>
            </w:r>
            <w:r>
              <w:rPr>
                <w:rFonts w:hint="eastAsia" w:cs="Times New Roman"/>
                <w:snapToGrid w:val="0"/>
                <w:color w:val="auto"/>
                <w:kern w:val="0"/>
                <w:sz w:val="24"/>
                <w:highlight w:val="none"/>
                <w:lang w:val="en-US" w:eastAsia="zh-CN"/>
              </w:rPr>
              <w:t>2.78</w:t>
            </w:r>
            <w:r>
              <w:rPr>
                <w:rFonts w:hint="eastAsia" w:ascii="Times New Roman" w:hAnsi="Times New Roman" w:eastAsia="宋体" w:cs="Times New Roman"/>
                <w:snapToGrid w:val="0"/>
                <w:color w:val="auto"/>
                <w:kern w:val="0"/>
                <w:sz w:val="24"/>
                <w:highlight w:val="none"/>
                <w:lang w:val="en-US" w:eastAsia="zh-CN"/>
              </w:rPr>
              <w:t>m</w:t>
            </w:r>
            <w:r>
              <w:rPr>
                <w:rFonts w:hint="eastAsia" w:ascii="Times New Roman" w:hAnsi="Times New Roman" w:eastAsia="宋体" w:cs="Times New Roman"/>
                <w:snapToGrid w:val="0"/>
                <w:color w:val="auto"/>
                <w:kern w:val="0"/>
                <w:sz w:val="24"/>
                <w:highlight w:val="none"/>
                <w:vertAlign w:val="superscript"/>
                <w:lang w:val="en-US" w:eastAsia="zh-CN"/>
              </w:rPr>
              <w:t>2</w:t>
            </w:r>
            <w:r>
              <w:rPr>
                <w:rFonts w:hint="eastAsia" w:cs="Times New Roman"/>
                <w:snapToGrid w:val="0"/>
                <w:color w:val="auto"/>
                <w:kern w:val="0"/>
                <w:sz w:val="24"/>
                <w:highlight w:val="none"/>
                <w:vertAlign w:val="baseline"/>
                <w:lang w:val="en-US" w:eastAsia="zh-CN"/>
              </w:rPr>
              <w:t>，活性炭吸附装置风量（</w:t>
            </w:r>
            <w:r>
              <w:rPr>
                <w:rFonts w:hint="eastAsia" w:cs="Times New Roman"/>
                <w:snapToGrid w:val="0"/>
                <w:color w:val="auto"/>
                <w:kern w:val="0"/>
                <w:sz w:val="24"/>
                <w:highlight w:val="none"/>
                <w:lang w:val="en-US" w:eastAsia="zh-CN"/>
              </w:rPr>
              <w:t>11</w:t>
            </w:r>
            <w:r>
              <w:rPr>
                <w:rFonts w:hint="eastAsia" w:ascii="Times New Roman" w:hAnsi="Times New Roman" w:eastAsia="宋体" w:cs="Times New Roman"/>
                <w:snapToGrid w:val="0"/>
                <w:color w:val="auto"/>
                <w:kern w:val="0"/>
                <w:sz w:val="24"/>
                <w:highlight w:val="none"/>
                <w:lang w:val="en-US" w:eastAsia="zh-CN"/>
              </w:rPr>
              <w:t>000m</w:t>
            </w:r>
            <w:r>
              <w:rPr>
                <w:rFonts w:hint="eastAsia" w:ascii="Times New Roman" w:hAnsi="Times New Roman" w:eastAsia="宋体" w:cs="Times New Roman"/>
                <w:snapToGrid w:val="0"/>
                <w:color w:val="auto"/>
                <w:kern w:val="0"/>
                <w:sz w:val="24"/>
                <w:highlight w:val="none"/>
                <w:vertAlign w:val="superscript"/>
                <w:lang w:val="en-US" w:eastAsia="zh-CN"/>
              </w:rPr>
              <w:t>3</w:t>
            </w:r>
            <w:r>
              <w:rPr>
                <w:rFonts w:hint="eastAsia" w:ascii="Times New Roman" w:hAnsi="Times New Roman" w:eastAsia="宋体" w:cs="Times New Roman"/>
                <w:snapToGrid w:val="0"/>
                <w:color w:val="auto"/>
                <w:kern w:val="0"/>
                <w:sz w:val="24"/>
                <w:highlight w:val="none"/>
                <w:lang w:val="en-US" w:eastAsia="zh-CN"/>
              </w:rPr>
              <w:t>/h</w:t>
            </w:r>
            <w:r>
              <w:rPr>
                <w:rFonts w:hint="eastAsia" w:cs="Times New Roman"/>
                <w:snapToGrid w:val="0"/>
                <w:color w:val="auto"/>
                <w:kern w:val="0"/>
                <w:sz w:val="24"/>
                <w:highlight w:val="none"/>
                <w:vertAlign w:val="baseline"/>
                <w:lang w:val="en-US" w:eastAsia="zh-CN"/>
              </w:rPr>
              <w:t>）</w:t>
            </w:r>
            <w:r>
              <w:rPr>
                <w:rFonts w:hint="eastAsia" w:ascii="Times New Roman" w:hAnsi="Times New Roman" w:eastAsia="宋体" w:cs="Times New Roman"/>
                <w:snapToGrid w:val="0"/>
                <w:color w:val="auto"/>
                <w:kern w:val="0"/>
                <w:sz w:val="24"/>
                <w:highlight w:val="none"/>
                <w:lang w:val="en-US" w:eastAsia="zh-CN"/>
              </w:rPr>
              <w:t>核算出活性炭吸附装置横截面积需不低于</w:t>
            </w:r>
            <w:r>
              <w:rPr>
                <w:rFonts w:hint="eastAsia" w:cs="Times New Roman"/>
                <w:snapToGrid w:val="0"/>
                <w:color w:val="auto"/>
                <w:kern w:val="0"/>
                <w:sz w:val="24"/>
                <w:highlight w:val="none"/>
                <w:lang w:val="en-US" w:eastAsia="zh-CN"/>
              </w:rPr>
              <w:t>11</w:t>
            </w:r>
            <w:r>
              <w:rPr>
                <w:rFonts w:hint="eastAsia" w:ascii="Times New Roman" w:hAnsi="Times New Roman" w:eastAsia="宋体" w:cs="Times New Roman"/>
                <w:snapToGrid w:val="0"/>
                <w:color w:val="auto"/>
                <w:kern w:val="0"/>
                <w:sz w:val="24"/>
                <w:highlight w:val="none"/>
                <w:lang w:val="en-US" w:eastAsia="zh-CN"/>
              </w:rPr>
              <w:t>000m</w:t>
            </w:r>
            <w:r>
              <w:rPr>
                <w:rFonts w:hint="eastAsia" w:ascii="Times New Roman" w:hAnsi="Times New Roman" w:eastAsia="宋体" w:cs="Times New Roman"/>
                <w:snapToGrid w:val="0"/>
                <w:color w:val="auto"/>
                <w:kern w:val="0"/>
                <w:sz w:val="24"/>
                <w:highlight w:val="none"/>
                <w:vertAlign w:val="superscript"/>
                <w:lang w:val="en-US" w:eastAsia="zh-CN"/>
              </w:rPr>
              <w:t>3</w:t>
            </w:r>
            <w:r>
              <w:rPr>
                <w:rFonts w:hint="eastAsia" w:ascii="Times New Roman" w:hAnsi="Times New Roman" w:eastAsia="宋体" w:cs="Times New Roman"/>
                <w:snapToGrid w:val="0"/>
                <w:color w:val="auto"/>
                <w:kern w:val="0"/>
                <w:sz w:val="24"/>
                <w:highlight w:val="none"/>
                <w:lang w:val="en-US" w:eastAsia="zh-CN"/>
              </w:rPr>
              <w:t>/h/3600s/0.6m/s≈</w:t>
            </w:r>
            <w:r>
              <w:rPr>
                <w:rFonts w:hint="eastAsia" w:cs="Times New Roman"/>
                <w:snapToGrid w:val="0"/>
                <w:color w:val="auto"/>
                <w:kern w:val="0"/>
                <w:sz w:val="24"/>
                <w:highlight w:val="none"/>
                <w:lang w:val="en-US" w:eastAsia="zh-CN"/>
              </w:rPr>
              <w:t>5.093</w:t>
            </w:r>
            <w:r>
              <w:rPr>
                <w:rFonts w:hint="eastAsia" w:ascii="Times New Roman" w:hAnsi="Times New Roman" w:eastAsia="宋体" w:cs="Times New Roman"/>
                <w:snapToGrid w:val="0"/>
                <w:color w:val="auto"/>
                <w:kern w:val="0"/>
                <w:sz w:val="24"/>
                <w:highlight w:val="none"/>
                <w:lang w:val="en-US" w:eastAsia="zh-CN"/>
              </w:rPr>
              <w:t>m</w:t>
            </w:r>
            <w:r>
              <w:rPr>
                <w:rFonts w:hint="eastAsia" w:ascii="Times New Roman" w:hAnsi="Times New Roman" w:eastAsia="宋体" w:cs="Times New Roman"/>
                <w:snapToGrid w:val="0"/>
                <w:color w:val="auto"/>
                <w:kern w:val="0"/>
                <w:sz w:val="24"/>
                <w:highlight w:val="none"/>
                <w:vertAlign w:val="superscript"/>
                <w:lang w:val="en-US" w:eastAsia="zh-CN"/>
              </w:rPr>
              <w:t>2</w:t>
            </w:r>
            <w:r>
              <w:rPr>
                <w:rFonts w:hint="eastAsia" w:ascii="Times New Roman" w:hAnsi="Times New Roman" w:eastAsia="宋体" w:cs="Times New Roman"/>
                <w:snapToGrid w:val="0"/>
                <w:color w:val="auto"/>
                <w:kern w:val="0"/>
                <w:sz w:val="24"/>
                <w:highlight w:val="none"/>
                <w:lang w:val="en-US" w:eastAsia="zh-CN"/>
              </w:rPr>
              <w:t>。</w:t>
            </w:r>
          </w:p>
          <w:p w14:paraId="40AD751D">
            <w:pPr>
              <w:snapToGrid w:val="0"/>
              <w:spacing w:line="360" w:lineRule="auto"/>
              <w:ind w:firstLine="480" w:firstLineChars="200"/>
              <w:rPr>
                <w:rFonts w:hint="eastAsia" w:ascii="Times New Roman" w:hAnsi="Times New Roman" w:eastAsia="宋体" w:cs="Times New Roman"/>
                <w:snapToGrid w:val="0"/>
                <w:color w:val="auto"/>
                <w:kern w:val="0"/>
                <w:sz w:val="24"/>
                <w:highlight w:val="none"/>
                <w:lang w:val="en-US" w:eastAsia="zh-CN"/>
              </w:rPr>
            </w:pPr>
            <w:r>
              <w:rPr>
                <w:rFonts w:hint="eastAsia" w:ascii="Times New Roman" w:hAnsi="Times New Roman" w:eastAsia="宋体" w:cs="Times New Roman"/>
                <w:snapToGrid w:val="0"/>
                <w:color w:val="auto"/>
                <w:kern w:val="0"/>
                <w:sz w:val="24"/>
                <w:highlight w:val="none"/>
                <w:lang w:val="en-US" w:eastAsia="zh-CN"/>
              </w:rPr>
              <w:t>②活性炭装填量</w:t>
            </w:r>
          </w:p>
          <w:p w14:paraId="4CCF7696">
            <w:pPr>
              <w:snapToGrid w:val="0"/>
              <w:spacing w:line="360" w:lineRule="auto"/>
              <w:ind w:firstLine="480" w:firstLineChars="200"/>
              <w:rPr>
                <w:rFonts w:hint="eastAsia" w:ascii="Times New Roman" w:hAnsi="Times New Roman" w:eastAsia="宋体" w:cs="Times New Roman"/>
                <w:snapToGrid w:val="0"/>
                <w:color w:val="auto"/>
                <w:kern w:val="0"/>
                <w:sz w:val="24"/>
                <w:highlight w:val="none"/>
                <w:lang w:val="en-US" w:eastAsia="zh-CN"/>
              </w:rPr>
            </w:pPr>
            <w:r>
              <w:rPr>
                <w:rFonts w:hint="eastAsia" w:ascii="Times New Roman" w:hAnsi="Times New Roman" w:eastAsia="宋体" w:cs="Times New Roman"/>
                <w:snapToGrid w:val="0"/>
                <w:color w:val="auto"/>
                <w:kern w:val="0"/>
                <w:sz w:val="24"/>
                <w:highlight w:val="none"/>
                <w:lang w:val="en-US" w:eastAsia="zh-CN"/>
              </w:rPr>
              <w:t>根据《四川省挥发性有机物治理之活性炭使用管理常见问题工具书》本项目VOCs产生量为1.1224t/a，</w:t>
            </w:r>
            <w:r>
              <w:rPr>
                <w:rFonts w:hint="eastAsia" w:cs="Times New Roman"/>
                <w:snapToGrid w:val="0"/>
                <w:color w:val="auto"/>
                <w:kern w:val="0"/>
                <w:sz w:val="24"/>
                <w:highlight w:val="none"/>
                <w:lang w:val="en-US" w:eastAsia="zh-CN"/>
              </w:rPr>
              <w:t>产生浓度为31.2mg/m</w:t>
            </w:r>
            <w:r>
              <w:rPr>
                <w:rFonts w:hint="eastAsia" w:cs="Times New Roman"/>
                <w:snapToGrid w:val="0"/>
                <w:color w:val="auto"/>
                <w:kern w:val="0"/>
                <w:sz w:val="24"/>
                <w:highlight w:val="none"/>
                <w:vertAlign w:val="superscript"/>
                <w:lang w:val="en-US" w:eastAsia="zh-CN"/>
              </w:rPr>
              <w:t>3</w:t>
            </w:r>
            <w:r>
              <w:rPr>
                <w:rFonts w:hint="eastAsia" w:cs="Times New Roman"/>
                <w:snapToGrid w:val="0"/>
                <w:color w:val="auto"/>
                <w:kern w:val="0"/>
                <w:sz w:val="24"/>
                <w:highlight w:val="none"/>
                <w:lang w:val="en-US" w:eastAsia="zh-CN"/>
              </w:rPr>
              <w:t>；另参考表1 废气收集参数和最少活性炭装填量参考表，活性炭吸附装置需活性炭14t</w:t>
            </w:r>
            <w:r>
              <w:rPr>
                <w:rFonts w:hint="eastAsia" w:ascii="Times New Roman" w:hAnsi="Times New Roman" w:eastAsia="宋体" w:cs="Times New Roman"/>
                <w:snapToGrid w:val="0"/>
                <w:color w:val="auto"/>
                <w:kern w:val="0"/>
                <w:sz w:val="24"/>
                <w:highlight w:val="none"/>
                <w:lang w:val="en-US" w:eastAsia="zh-CN"/>
              </w:rPr>
              <w:t>。本次评价要求建设单位活性炭累计使用</w:t>
            </w:r>
            <w:r>
              <w:rPr>
                <w:rFonts w:hint="eastAsia" w:cs="Times New Roman"/>
                <w:snapToGrid w:val="0"/>
                <w:color w:val="auto"/>
                <w:kern w:val="0"/>
                <w:sz w:val="24"/>
                <w:highlight w:val="none"/>
                <w:lang w:val="en-US" w:eastAsia="zh-CN"/>
              </w:rPr>
              <w:t>3个月</w:t>
            </w:r>
            <w:r>
              <w:rPr>
                <w:rFonts w:hint="eastAsia" w:ascii="Times New Roman" w:hAnsi="Times New Roman" w:eastAsia="宋体" w:cs="Times New Roman"/>
                <w:snapToGrid w:val="0"/>
                <w:color w:val="auto"/>
                <w:kern w:val="0"/>
                <w:sz w:val="24"/>
                <w:highlight w:val="none"/>
                <w:lang w:val="en-US" w:eastAsia="zh-CN"/>
              </w:rPr>
              <w:t>后更换1次</w:t>
            </w:r>
            <w:r>
              <w:rPr>
                <w:rFonts w:hint="eastAsia" w:cs="Times New Roman"/>
                <w:snapToGrid w:val="0"/>
                <w:color w:val="auto"/>
                <w:kern w:val="0"/>
                <w:sz w:val="24"/>
                <w:highlight w:val="none"/>
                <w:lang w:val="en-US" w:eastAsia="zh-CN"/>
              </w:rPr>
              <w:t>，一年更换4次</w:t>
            </w:r>
            <w:r>
              <w:rPr>
                <w:rFonts w:hint="eastAsia" w:ascii="Times New Roman" w:hAnsi="Times New Roman" w:eastAsia="宋体" w:cs="Times New Roman"/>
                <w:snapToGrid w:val="0"/>
                <w:color w:val="auto"/>
                <w:kern w:val="0"/>
                <w:sz w:val="24"/>
                <w:highlight w:val="none"/>
                <w:lang w:val="en-US" w:eastAsia="zh-CN"/>
              </w:rPr>
              <w:t>。</w:t>
            </w:r>
          </w:p>
          <w:p w14:paraId="749A4DCC">
            <w:pPr>
              <w:snapToGrid w:val="0"/>
              <w:spacing w:line="360" w:lineRule="auto"/>
              <w:ind w:firstLine="480" w:firstLineChars="200"/>
              <w:rPr>
                <w:rFonts w:hint="default" w:ascii="Times New Roman" w:hAnsi="Times New Roman" w:eastAsia="宋体" w:cs="Times New Roman"/>
                <w:snapToGrid w:val="0"/>
                <w:color w:val="auto"/>
                <w:kern w:val="0"/>
                <w:sz w:val="24"/>
                <w:highlight w:val="none"/>
                <w:lang w:val="en-US" w:eastAsia="zh-CN"/>
              </w:rPr>
            </w:pPr>
            <w:r>
              <w:rPr>
                <w:rFonts w:hint="eastAsia" w:ascii="Times New Roman" w:hAnsi="Times New Roman" w:eastAsia="宋体" w:cs="Times New Roman"/>
                <w:snapToGrid w:val="0"/>
                <w:color w:val="auto"/>
                <w:kern w:val="0"/>
                <w:sz w:val="24"/>
                <w:highlight w:val="none"/>
                <w:lang w:val="en-US" w:eastAsia="zh-CN"/>
              </w:rPr>
              <w:t>③活性炭吸附装置主要设计参数</w:t>
            </w:r>
          </w:p>
          <w:p w14:paraId="74268238">
            <w:pPr>
              <w:snapToGrid w:val="0"/>
              <w:spacing w:line="360" w:lineRule="auto"/>
              <w:ind w:firstLine="480" w:firstLineChars="200"/>
              <w:rPr>
                <w:rFonts w:hint="eastAsia" w:ascii="Times New Roman" w:hAnsi="Times New Roman" w:eastAsia="宋体" w:cs="Times New Roman"/>
                <w:snapToGrid w:val="0"/>
                <w:color w:val="auto"/>
                <w:kern w:val="0"/>
                <w:sz w:val="24"/>
                <w:highlight w:val="none"/>
                <w:lang w:val="en-US" w:eastAsia="zh-CN"/>
              </w:rPr>
            </w:pPr>
            <w:r>
              <w:rPr>
                <w:rFonts w:hint="eastAsia" w:ascii="Times New Roman" w:hAnsi="Times New Roman" w:eastAsia="宋体" w:cs="Times New Roman"/>
                <w:snapToGrid w:val="0"/>
                <w:color w:val="auto"/>
                <w:kern w:val="0"/>
                <w:sz w:val="24"/>
                <w:highlight w:val="none"/>
                <w:lang w:val="en-US" w:eastAsia="zh-CN"/>
              </w:rPr>
              <w:t>二级活性炭吸附装置设计参数下表。</w:t>
            </w:r>
          </w:p>
          <w:p w14:paraId="4113913B">
            <w:pPr>
              <w:pStyle w:val="27"/>
              <w:keepNext w:val="0"/>
              <w:keepLines w:val="0"/>
              <w:pageBreakBefore w:val="0"/>
              <w:widowControl w:val="0"/>
              <w:kinsoku/>
              <w:wordWrap/>
              <w:overflowPunct/>
              <w:topLinePunct w:val="0"/>
              <w:autoSpaceDE/>
              <w:autoSpaceDN/>
              <w:bidi w:val="0"/>
              <w:adjustRightInd w:val="0"/>
              <w:snapToGrid w:val="0"/>
              <w:spacing w:after="0" w:line="240" w:lineRule="auto"/>
              <w:ind w:left="0" w:leftChars="0" w:firstLine="422" w:firstLineChars="200"/>
              <w:jc w:val="center"/>
              <w:textAlignment w:val="center"/>
              <w:rPr>
                <w:rFonts w:hint="eastAsia" w:ascii="Times New Roman" w:hAnsi="Times New Roman" w:eastAsia="宋体" w:cs="Times New Roman"/>
                <w:b/>
                <w:bCs w:val="0"/>
                <w:snapToGrid w:val="0"/>
                <w:color w:val="auto"/>
                <w:kern w:val="0"/>
                <w:sz w:val="21"/>
                <w:szCs w:val="21"/>
                <w:highlight w:val="none"/>
                <w:lang w:val="en-US" w:eastAsia="zh-CN"/>
              </w:rPr>
            </w:pPr>
            <w:r>
              <w:rPr>
                <w:rFonts w:hint="eastAsia" w:ascii="Times New Roman" w:hAnsi="Times New Roman" w:eastAsia="宋体" w:cs="Times New Roman"/>
                <w:b/>
                <w:bCs w:val="0"/>
                <w:snapToGrid w:val="0"/>
                <w:color w:val="auto"/>
                <w:kern w:val="0"/>
                <w:sz w:val="21"/>
                <w:szCs w:val="21"/>
                <w:highlight w:val="none"/>
                <w:lang w:val="en-US" w:eastAsia="zh-CN"/>
              </w:rPr>
              <w:t>表4-</w:t>
            </w:r>
            <w:r>
              <w:rPr>
                <w:rFonts w:hint="eastAsia" w:cs="Times New Roman"/>
                <w:b/>
                <w:bCs w:val="0"/>
                <w:snapToGrid w:val="0"/>
                <w:color w:val="auto"/>
                <w:kern w:val="0"/>
                <w:sz w:val="21"/>
                <w:szCs w:val="21"/>
                <w:highlight w:val="none"/>
                <w:lang w:val="en-US" w:eastAsia="zh-CN"/>
              </w:rPr>
              <w:t>6</w:t>
            </w:r>
            <w:r>
              <w:rPr>
                <w:rFonts w:hint="eastAsia" w:ascii="Times New Roman" w:hAnsi="Times New Roman" w:eastAsia="宋体" w:cs="Times New Roman"/>
                <w:b/>
                <w:bCs w:val="0"/>
                <w:snapToGrid w:val="0"/>
                <w:color w:val="auto"/>
                <w:kern w:val="0"/>
                <w:sz w:val="21"/>
                <w:szCs w:val="21"/>
                <w:highlight w:val="none"/>
                <w:lang w:val="en-US" w:eastAsia="zh-CN"/>
              </w:rPr>
              <w:t xml:space="preserve"> 活性炭吸附装置设计参数表</w:t>
            </w:r>
          </w:p>
          <w:tbl>
            <w:tblPr>
              <w:tblStyle w:val="42"/>
              <w:tblW w:w="7892" w:type="dxa"/>
              <w:tblInd w:w="5"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2177"/>
              <w:gridCol w:w="1995"/>
              <w:gridCol w:w="1860"/>
              <w:gridCol w:w="1860"/>
            </w:tblGrid>
            <w:tr w14:paraId="793A0EA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6" w:hRule="atLeast"/>
              </w:trPr>
              <w:tc>
                <w:tcPr>
                  <w:tcW w:w="2177" w:type="dxa"/>
                  <w:vMerge w:val="restart"/>
                  <w:noWrap w:val="0"/>
                  <w:vAlign w:val="center"/>
                </w:tcPr>
                <w:p w14:paraId="1D73DAA3">
                  <w:pPr>
                    <w:jc w:val="center"/>
                    <w:rPr>
                      <w:rFonts w:hint="default" w:ascii="Times New Roman" w:hAnsi="Times New Roman" w:eastAsia="宋体" w:cs="Times New Roman"/>
                      <w:b/>
                      <w:bCs w:val="0"/>
                      <w:color w:val="auto"/>
                      <w:sz w:val="21"/>
                      <w:szCs w:val="21"/>
                      <w:highlight w:val="none"/>
                      <w:vertAlign w:val="baseline"/>
                      <w:lang w:val="en-US" w:eastAsia="zh-CN"/>
                    </w:rPr>
                  </w:pPr>
                  <w:r>
                    <w:rPr>
                      <w:rFonts w:hint="eastAsia" w:ascii="Times New Roman" w:hAnsi="Times New Roman" w:eastAsia="宋体" w:cs="Times New Roman"/>
                      <w:b/>
                      <w:bCs w:val="0"/>
                      <w:color w:val="auto"/>
                      <w:sz w:val="21"/>
                      <w:szCs w:val="21"/>
                      <w:highlight w:val="none"/>
                      <w:vertAlign w:val="baseline"/>
                      <w:lang w:val="en-US" w:eastAsia="zh-CN"/>
                    </w:rPr>
                    <w:t>指标</w:t>
                  </w:r>
                </w:p>
              </w:tc>
              <w:tc>
                <w:tcPr>
                  <w:tcW w:w="3855" w:type="dxa"/>
                  <w:gridSpan w:val="2"/>
                  <w:noWrap w:val="0"/>
                  <w:vAlign w:val="center"/>
                </w:tcPr>
                <w:p w14:paraId="0F6BBF83">
                  <w:pPr>
                    <w:jc w:val="center"/>
                    <w:rPr>
                      <w:rFonts w:hint="default" w:ascii="Times New Roman" w:hAnsi="Times New Roman" w:eastAsia="宋体" w:cs="Times New Roman"/>
                      <w:b/>
                      <w:bCs w:val="0"/>
                      <w:color w:val="auto"/>
                      <w:sz w:val="21"/>
                      <w:szCs w:val="21"/>
                      <w:highlight w:val="none"/>
                      <w:vertAlign w:val="baseline"/>
                      <w:lang w:val="en-US" w:eastAsia="zh-CN"/>
                    </w:rPr>
                  </w:pPr>
                  <w:r>
                    <w:rPr>
                      <w:rFonts w:hint="eastAsia" w:ascii="Times New Roman" w:hAnsi="Times New Roman" w:eastAsia="宋体" w:cs="Times New Roman"/>
                      <w:b/>
                      <w:bCs w:val="0"/>
                      <w:color w:val="auto"/>
                      <w:sz w:val="21"/>
                      <w:szCs w:val="21"/>
                      <w:highlight w:val="none"/>
                      <w:vertAlign w:val="baseline"/>
                      <w:lang w:val="en-US" w:eastAsia="zh-CN"/>
                    </w:rPr>
                    <w:t>二级活性炭</w:t>
                  </w:r>
                </w:p>
              </w:tc>
              <w:tc>
                <w:tcPr>
                  <w:tcW w:w="1860" w:type="dxa"/>
                  <w:noWrap w:val="0"/>
                  <w:vAlign w:val="center"/>
                </w:tcPr>
                <w:p w14:paraId="11F2B33F">
                  <w:pPr>
                    <w:jc w:val="center"/>
                    <w:rPr>
                      <w:rFonts w:hint="default" w:ascii="Times New Roman" w:hAnsi="Times New Roman" w:eastAsia="宋体" w:cs="Times New Roman"/>
                      <w:b/>
                      <w:bCs w:val="0"/>
                      <w:color w:val="auto"/>
                      <w:sz w:val="21"/>
                      <w:szCs w:val="21"/>
                      <w:highlight w:val="none"/>
                      <w:vertAlign w:val="baseline"/>
                      <w:lang w:val="en-US" w:eastAsia="zh-CN"/>
                    </w:rPr>
                  </w:pPr>
                  <w:r>
                    <w:rPr>
                      <w:rFonts w:hint="eastAsia" w:cs="Times New Roman"/>
                      <w:b/>
                      <w:bCs w:val="0"/>
                      <w:color w:val="auto"/>
                      <w:sz w:val="21"/>
                      <w:szCs w:val="21"/>
                      <w:highlight w:val="none"/>
                      <w:vertAlign w:val="baseline"/>
                      <w:lang w:val="en-US" w:eastAsia="zh-CN"/>
                    </w:rPr>
                    <w:t>单级活性炭</w:t>
                  </w:r>
                </w:p>
              </w:tc>
            </w:tr>
            <w:tr w14:paraId="6B777C7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6" w:hRule="atLeast"/>
              </w:trPr>
              <w:tc>
                <w:tcPr>
                  <w:tcW w:w="2177" w:type="dxa"/>
                  <w:vMerge w:val="continue"/>
                  <w:noWrap w:val="0"/>
                  <w:vAlign w:val="center"/>
                </w:tcPr>
                <w:p w14:paraId="17A4869B">
                  <w:pPr>
                    <w:jc w:val="center"/>
                    <w:rPr>
                      <w:rFonts w:hint="default" w:ascii="Times New Roman" w:hAnsi="Times New Roman" w:eastAsia="宋体" w:cs="Times New Roman"/>
                      <w:b/>
                      <w:bCs w:val="0"/>
                      <w:color w:val="auto"/>
                      <w:sz w:val="21"/>
                      <w:szCs w:val="21"/>
                      <w:highlight w:val="none"/>
                      <w:vertAlign w:val="baseline"/>
                      <w:lang w:val="en-US" w:eastAsia="zh-CN"/>
                    </w:rPr>
                  </w:pPr>
                </w:p>
              </w:tc>
              <w:tc>
                <w:tcPr>
                  <w:tcW w:w="1995" w:type="dxa"/>
                  <w:noWrap w:val="0"/>
                  <w:vAlign w:val="center"/>
                </w:tcPr>
                <w:p w14:paraId="5640F343">
                  <w:pPr>
                    <w:jc w:val="center"/>
                    <w:rPr>
                      <w:rFonts w:hint="default" w:ascii="Times New Roman" w:hAnsi="Times New Roman" w:eastAsia="宋体" w:cs="Times New Roman"/>
                      <w:b/>
                      <w:bCs w:val="0"/>
                      <w:color w:val="auto"/>
                      <w:sz w:val="21"/>
                      <w:szCs w:val="21"/>
                      <w:highlight w:val="none"/>
                      <w:vertAlign w:val="baseline"/>
                      <w:lang w:val="en-US" w:eastAsia="zh-CN"/>
                    </w:rPr>
                  </w:pPr>
                  <w:r>
                    <w:rPr>
                      <w:rFonts w:hint="eastAsia" w:ascii="Times New Roman" w:hAnsi="Times New Roman" w:eastAsia="宋体" w:cs="Times New Roman"/>
                      <w:b/>
                      <w:bCs w:val="0"/>
                      <w:color w:val="auto"/>
                      <w:sz w:val="21"/>
                      <w:szCs w:val="21"/>
                      <w:highlight w:val="none"/>
                      <w:vertAlign w:val="baseline"/>
                      <w:lang w:val="en-US" w:eastAsia="zh-CN"/>
                    </w:rPr>
                    <w:t>炭箱1</w:t>
                  </w:r>
                </w:p>
              </w:tc>
              <w:tc>
                <w:tcPr>
                  <w:tcW w:w="1860" w:type="dxa"/>
                  <w:noWrap w:val="0"/>
                  <w:vAlign w:val="center"/>
                </w:tcPr>
                <w:p w14:paraId="6DCCAB3E">
                  <w:pPr>
                    <w:jc w:val="center"/>
                    <w:rPr>
                      <w:rFonts w:hint="default" w:ascii="Times New Roman" w:hAnsi="Times New Roman" w:eastAsia="宋体" w:cs="Times New Roman"/>
                      <w:b/>
                      <w:bCs w:val="0"/>
                      <w:color w:val="auto"/>
                      <w:sz w:val="21"/>
                      <w:szCs w:val="21"/>
                      <w:highlight w:val="none"/>
                      <w:vertAlign w:val="baseline"/>
                      <w:lang w:val="en-US" w:eastAsia="zh-CN"/>
                    </w:rPr>
                  </w:pPr>
                  <w:r>
                    <w:rPr>
                      <w:rFonts w:hint="eastAsia" w:ascii="Times New Roman" w:hAnsi="Times New Roman" w:eastAsia="宋体" w:cs="Times New Roman"/>
                      <w:b/>
                      <w:bCs w:val="0"/>
                      <w:color w:val="auto"/>
                      <w:sz w:val="21"/>
                      <w:szCs w:val="21"/>
                      <w:highlight w:val="none"/>
                      <w:vertAlign w:val="baseline"/>
                      <w:lang w:val="en-US" w:eastAsia="zh-CN"/>
                    </w:rPr>
                    <w:t>炭箱2</w:t>
                  </w:r>
                </w:p>
              </w:tc>
              <w:tc>
                <w:tcPr>
                  <w:tcW w:w="1860" w:type="dxa"/>
                  <w:noWrap w:val="0"/>
                  <w:vAlign w:val="center"/>
                </w:tcPr>
                <w:p w14:paraId="4F3191ED">
                  <w:pPr>
                    <w:jc w:val="center"/>
                    <w:rPr>
                      <w:rFonts w:hint="default" w:ascii="Times New Roman" w:hAnsi="Times New Roman" w:eastAsia="宋体" w:cs="Times New Roman"/>
                      <w:b/>
                      <w:bCs w:val="0"/>
                      <w:color w:val="auto"/>
                      <w:sz w:val="21"/>
                      <w:szCs w:val="21"/>
                      <w:highlight w:val="none"/>
                      <w:vertAlign w:val="baseline"/>
                      <w:lang w:val="en-US" w:eastAsia="zh-CN"/>
                    </w:rPr>
                  </w:pPr>
                  <w:r>
                    <w:rPr>
                      <w:rFonts w:hint="eastAsia" w:cs="Times New Roman"/>
                      <w:b/>
                      <w:bCs w:val="0"/>
                      <w:color w:val="auto"/>
                      <w:sz w:val="21"/>
                      <w:szCs w:val="21"/>
                      <w:highlight w:val="none"/>
                      <w:vertAlign w:val="baseline"/>
                      <w:lang w:val="en-US" w:eastAsia="zh-CN"/>
                    </w:rPr>
                    <w:t>炭箱</w:t>
                  </w:r>
                </w:p>
              </w:tc>
            </w:tr>
            <w:tr w14:paraId="29BCF9A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6" w:hRule="atLeast"/>
              </w:trPr>
              <w:tc>
                <w:tcPr>
                  <w:tcW w:w="2177" w:type="dxa"/>
                  <w:noWrap w:val="0"/>
                  <w:vAlign w:val="center"/>
                </w:tcPr>
                <w:p w14:paraId="2409A80F">
                  <w:pPr>
                    <w:jc w:val="center"/>
                    <w:rPr>
                      <w:rFonts w:hint="default" w:ascii="Times New Roman" w:hAnsi="Times New Roman" w:eastAsia="宋体" w:cs="Times New Roman"/>
                      <w:b w:val="0"/>
                      <w:bCs/>
                      <w:color w:val="auto"/>
                      <w:sz w:val="21"/>
                      <w:szCs w:val="21"/>
                      <w:highlight w:val="none"/>
                      <w:vertAlign w:val="baseline"/>
                      <w:lang w:val="en-US" w:eastAsia="zh-CN"/>
                    </w:rPr>
                  </w:pPr>
                  <w:r>
                    <w:rPr>
                      <w:rFonts w:hint="eastAsia" w:ascii="Times New Roman" w:hAnsi="Times New Roman" w:eastAsia="宋体" w:cs="Times New Roman"/>
                      <w:b w:val="0"/>
                      <w:bCs/>
                      <w:color w:val="auto"/>
                      <w:sz w:val="21"/>
                      <w:szCs w:val="21"/>
                      <w:highlight w:val="none"/>
                      <w:vertAlign w:val="baseline"/>
                      <w:lang w:val="en-US" w:eastAsia="zh-CN"/>
                    </w:rPr>
                    <w:t>风量</w:t>
                  </w:r>
                </w:p>
              </w:tc>
              <w:tc>
                <w:tcPr>
                  <w:tcW w:w="3855" w:type="dxa"/>
                  <w:gridSpan w:val="2"/>
                  <w:noWrap w:val="0"/>
                  <w:vAlign w:val="center"/>
                </w:tcPr>
                <w:p w14:paraId="65DC16CF">
                  <w:pPr>
                    <w:jc w:val="center"/>
                    <w:rPr>
                      <w:rFonts w:hint="default" w:ascii="Times New Roman" w:hAnsi="Times New Roman" w:eastAsia="宋体" w:cs="Times New Roman"/>
                      <w:b/>
                      <w:bCs w:val="0"/>
                      <w:color w:val="auto"/>
                      <w:sz w:val="21"/>
                      <w:szCs w:val="21"/>
                      <w:highlight w:val="none"/>
                      <w:vertAlign w:val="baseline"/>
                      <w:lang w:val="en-US" w:eastAsia="zh-CN"/>
                    </w:rPr>
                  </w:pPr>
                  <w:r>
                    <w:rPr>
                      <w:rFonts w:hint="eastAsia" w:cs="Times New Roman"/>
                      <w:b w:val="0"/>
                      <w:bCs/>
                      <w:color w:val="auto"/>
                      <w:sz w:val="21"/>
                      <w:szCs w:val="21"/>
                      <w:highlight w:val="none"/>
                      <w:vertAlign w:val="baseline"/>
                      <w:lang w:val="en-US" w:eastAsia="zh-CN"/>
                    </w:rPr>
                    <w:t>6</w:t>
                  </w:r>
                  <w:r>
                    <w:rPr>
                      <w:rFonts w:hint="eastAsia" w:ascii="Times New Roman" w:hAnsi="Times New Roman" w:eastAsia="宋体" w:cs="Times New Roman"/>
                      <w:b w:val="0"/>
                      <w:bCs/>
                      <w:color w:val="auto"/>
                      <w:sz w:val="21"/>
                      <w:szCs w:val="21"/>
                      <w:highlight w:val="none"/>
                      <w:vertAlign w:val="baseline"/>
                      <w:lang w:val="en-US" w:eastAsia="zh-CN"/>
                    </w:rPr>
                    <w:t>000m</w:t>
                  </w:r>
                  <w:r>
                    <w:rPr>
                      <w:rFonts w:hint="eastAsia" w:ascii="Times New Roman" w:hAnsi="Times New Roman" w:eastAsia="宋体" w:cs="Times New Roman"/>
                      <w:b w:val="0"/>
                      <w:bCs/>
                      <w:color w:val="auto"/>
                      <w:sz w:val="21"/>
                      <w:szCs w:val="21"/>
                      <w:highlight w:val="none"/>
                      <w:vertAlign w:val="superscript"/>
                      <w:lang w:val="en-US" w:eastAsia="zh-CN"/>
                    </w:rPr>
                    <w:t>3</w:t>
                  </w:r>
                  <w:r>
                    <w:rPr>
                      <w:rFonts w:hint="eastAsia" w:ascii="Times New Roman" w:hAnsi="Times New Roman" w:eastAsia="宋体" w:cs="Times New Roman"/>
                      <w:b w:val="0"/>
                      <w:bCs/>
                      <w:color w:val="auto"/>
                      <w:sz w:val="21"/>
                      <w:szCs w:val="21"/>
                      <w:highlight w:val="none"/>
                      <w:vertAlign w:val="baseline"/>
                      <w:lang w:val="en-US" w:eastAsia="zh-CN"/>
                    </w:rPr>
                    <w:t>/h</w:t>
                  </w:r>
                </w:p>
              </w:tc>
              <w:tc>
                <w:tcPr>
                  <w:tcW w:w="1860" w:type="dxa"/>
                  <w:noWrap w:val="0"/>
                  <w:vAlign w:val="center"/>
                </w:tcPr>
                <w:p w14:paraId="6CAA0F08">
                  <w:pPr>
                    <w:jc w:val="center"/>
                    <w:rPr>
                      <w:rFonts w:hint="eastAsia" w:ascii="Times New Roman" w:hAnsi="Times New Roman" w:eastAsia="宋体" w:cs="Times New Roman"/>
                      <w:b w:val="0"/>
                      <w:bCs/>
                      <w:color w:val="auto"/>
                      <w:sz w:val="21"/>
                      <w:szCs w:val="21"/>
                      <w:highlight w:val="none"/>
                      <w:vertAlign w:val="baseline"/>
                      <w:lang w:val="en-US" w:eastAsia="zh-CN"/>
                    </w:rPr>
                  </w:pPr>
                  <w:r>
                    <w:rPr>
                      <w:rFonts w:hint="eastAsia" w:cs="Times New Roman"/>
                      <w:b w:val="0"/>
                      <w:bCs/>
                      <w:color w:val="auto"/>
                      <w:sz w:val="21"/>
                      <w:szCs w:val="21"/>
                      <w:highlight w:val="none"/>
                      <w:vertAlign w:val="baseline"/>
                      <w:lang w:val="en-US" w:eastAsia="zh-CN"/>
                    </w:rPr>
                    <w:t>11</w:t>
                  </w:r>
                  <w:r>
                    <w:rPr>
                      <w:rFonts w:hint="eastAsia" w:ascii="Times New Roman" w:hAnsi="Times New Roman" w:eastAsia="宋体" w:cs="Times New Roman"/>
                      <w:b w:val="0"/>
                      <w:bCs/>
                      <w:color w:val="auto"/>
                      <w:sz w:val="21"/>
                      <w:szCs w:val="21"/>
                      <w:highlight w:val="none"/>
                      <w:vertAlign w:val="baseline"/>
                      <w:lang w:val="en-US" w:eastAsia="zh-CN"/>
                    </w:rPr>
                    <w:t>000m</w:t>
                  </w:r>
                  <w:r>
                    <w:rPr>
                      <w:rFonts w:hint="eastAsia" w:ascii="Times New Roman" w:hAnsi="Times New Roman" w:eastAsia="宋体" w:cs="Times New Roman"/>
                      <w:b w:val="0"/>
                      <w:bCs/>
                      <w:color w:val="auto"/>
                      <w:sz w:val="21"/>
                      <w:szCs w:val="21"/>
                      <w:highlight w:val="none"/>
                      <w:vertAlign w:val="superscript"/>
                      <w:lang w:val="en-US" w:eastAsia="zh-CN"/>
                    </w:rPr>
                    <w:t>3</w:t>
                  </w:r>
                  <w:r>
                    <w:rPr>
                      <w:rFonts w:hint="eastAsia" w:ascii="Times New Roman" w:hAnsi="Times New Roman" w:eastAsia="宋体" w:cs="Times New Roman"/>
                      <w:b w:val="0"/>
                      <w:bCs/>
                      <w:color w:val="auto"/>
                      <w:sz w:val="21"/>
                      <w:szCs w:val="21"/>
                      <w:highlight w:val="none"/>
                      <w:vertAlign w:val="baseline"/>
                      <w:lang w:val="en-US" w:eastAsia="zh-CN"/>
                    </w:rPr>
                    <w:t>/h</w:t>
                  </w:r>
                </w:p>
              </w:tc>
            </w:tr>
            <w:tr w14:paraId="1CBE717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6" w:hRule="atLeast"/>
              </w:trPr>
              <w:tc>
                <w:tcPr>
                  <w:tcW w:w="2177" w:type="dxa"/>
                  <w:noWrap w:val="0"/>
                  <w:vAlign w:val="center"/>
                </w:tcPr>
                <w:p w14:paraId="68DE98BE">
                  <w:pPr>
                    <w:jc w:val="center"/>
                    <w:rPr>
                      <w:rFonts w:hint="default" w:ascii="Times New Roman" w:hAnsi="Times New Roman" w:eastAsia="宋体" w:cs="Times New Roman"/>
                      <w:b w:val="0"/>
                      <w:bCs/>
                      <w:color w:val="auto"/>
                      <w:sz w:val="21"/>
                      <w:szCs w:val="21"/>
                      <w:highlight w:val="none"/>
                      <w:vertAlign w:val="baseline"/>
                      <w:lang w:val="en-US" w:eastAsia="zh-CN"/>
                    </w:rPr>
                  </w:pPr>
                  <w:r>
                    <w:rPr>
                      <w:rFonts w:hint="eastAsia" w:ascii="Times New Roman" w:hAnsi="Times New Roman" w:eastAsia="宋体" w:cs="Times New Roman"/>
                      <w:b w:val="0"/>
                      <w:bCs/>
                      <w:color w:val="auto"/>
                      <w:sz w:val="21"/>
                      <w:szCs w:val="21"/>
                      <w:highlight w:val="none"/>
                      <w:vertAlign w:val="baseline"/>
                      <w:lang w:val="en-US" w:eastAsia="zh-CN"/>
                    </w:rPr>
                    <w:t>活性炭类型</w:t>
                  </w:r>
                </w:p>
              </w:tc>
              <w:tc>
                <w:tcPr>
                  <w:tcW w:w="1995" w:type="dxa"/>
                  <w:noWrap w:val="0"/>
                  <w:vAlign w:val="center"/>
                </w:tcPr>
                <w:p w14:paraId="710B2F5E">
                  <w:pPr>
                    <w:jc w:val="center"/>
                    <w:rPr>
                      <w:rFonts w:hint="default" w:ascii="Times New Roman" w:hAnsi="Times New Roman" w:eastAsia="宋体" w:cs="Times New Roman"/>
                      <w:b w:val="0"/>
                      <w:bCs/>
                      <w:color w:val="auto"/>
                      <w:sz w:val="21"/>
                      <w:szCs w:val="21"/>
                      <w:highlight w:val="none"/>
                      <w:vertAlign w:val="baseline"/>
                      <w:lang w:val="en-US" w:eastAsia="zh-CN"/>
                    </w:rPr>
                  </w:pPr>
                  <w:r>
                    <w:rPr>
                      <w:rFonts w:hint="eastAsia" w:ascii="Times New Roman" w:hAnsi="Times New Roman" w:eastAsia="宋体" w:cs="Times New Roman"/>
                      <w:b w:val="0"/>
                      <w:bCs/>
                      <w:color w:val="auto"/>
                      <w:sz w:val="21"/>
                      <w:szCs w:val="21"/>
                      <w:highlight w:val="none"/>
                      <w:vertAlign w:val="baseline"/>
                      <w:lang w:val="en-US" w:eastAsia="zh-CN"/>
                    </w:rPr>
                    <w:t>颗粒状</w:t>
                  </w:r>
                </w:p>
              </w:tc>
              <w:tc>
                <w:tcPr>
                  <w:tcW w:w="1860" w:type="dxa"/>
                  <w:noWrap w:val="0"/>
                  <w:vAlign w:val="center"/>
                </w:tcPr>
                <w:p w14:paraId="1F9CEEF1">
                  <w:pPr>
                    <w:jc w:val="center"/>
                    <w:rPr>
                      <w:rFonts w:hint="default" w:ascii="Times New Roman" w:hAnsi="Times New Roman" w:eastAsia="宋体" w:cs="Times New Roman"/>
                      <w:b w:val="0"/>
                      <w:bCs/>
                      <w:color w:val="auto"/>
                      <w:sz w:val="21"/>
                      <w:szCs w:val="21"/>
                      <w:highlight w:val="none"/>
                      <w:vertAlign w:val="baseline"/>
                      <w:lang w:val="en-US" w:eastAsia="zh-CN"/>
                    </w:rPr>
                  </w:pPr>
                  <w:r>
                    <w:rPr>
                      <w:rFonts w:hint="eastAsia" w:ascii="Times New Roman" w:hAnsi="Times New Roman" w:eastAsia="宋体" w:cs="Times New Roman"/>
                      <w:b w:val="0"/>
                      <w:bCs/>
                      <w:color w:val="auto"/>
                      <w:sz w:val="21"/>
                      <w:szCs w:val="21"/>
                      <w:highlight w:val="none"/>
                      <w:vertAlign w:val="baseline"/>
                      <w:lang w:val="en-US" w:eastAsia="zh-CN"/>
                    </w:rPr>
                    <w:t>颗粒状</w:t>
                  </w:r>
                </w:p>
              </w:tc>
              <w:tc>
                <w:tcPr>
                  <w:tcW w:w="1860" w:type="dxa"/>
                  <w:noWrap w:val="0"/>
                  <w:vAlign w:val="center"/>
                </w:tcPr>
                <w:p w14:paraId="70DD4E10">
                  <w:pPr>
                    <w:jc w:val="center"/>
                    <w:rPr>
                      <w:rFonts w:hint="eastAsia" w:ascii="Times New Roman" w:hAnsi="Times New Roman" w:eastAsia="宋体" w:cs="Times New Roman"/>
                      <w:b w:val="0"/>
                      <w:bCs/>
                      <w:color w:val="auto"/>
                      <w:sz w:val="21"/>
                      <w:szCs w:val="21"/>
                      <w:highlight w:val="none"/>
                      <w:vertAlign w:val="baseline"/>
                      <w:lang w:val="en-US" w:eastAsia="zh-CN"/>
                    </w:rPr>
                  </w:pPr>
                  <w:r>
                    <w:rPr>
                      <w:rFonts w:hint="eastAsia" w:ascii="Times New Roman" w:hAnsi="Times New Roman" w:eastAsia="宋体" w:cs="Times New Roman"/>
                      <w:b w:val="0"/>
                      <w:bCs/>
                      <w:color w:val="auto"/>
                      <w:sz w:val="21"/>
                      <w:szCs w:val="21"/>
                      <w:highlight w:val="none"/>
                      <w:vertAlign w:val="baseline"/>
                      <w:lang w:val="en-US" w:eastAsia="zh-CN"/>
                    </w:rPr>
                    <w:t>颗粒状</w:t>
                  </w:r>
                </w:p>
              </w:tc>
            </w:tr>
            <w:tr w14:paraId="38B7936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1" w:hRule="atLeast"/>
              </w:trPr>
              <w:tc>
                <w:tcPr>
                  <w:tcW w:w="2177" w:type="dxa"/>
                  <w:noWrap w:val="0"/>
                  <w:vAlign w:val="center"/>
                </w:tcPr>
                <w:p w14:paraId="3C201BA4">
                  <w:pPr>
                    <w:jc w:val="center"/>
                    <w:rPr>
                      <w:rFonts w:hint="default" w:ascii="Times New Roman" w:hAnsi="Times New Roman" w:eastAsia="宋体" w:cs="Times New Roman"/>
                      <w:b w:val="0"/>
                      <w:bCs/>
                      <w:color w:val="auto"/>
                      <w:sz w:val="21"/>
                      <w:szCs w:val="21"/>
                      <w:highlight w:val="none"/>
                      <w:vertAlign w:val="baseline"/>
                      <w:lang w:val="en-US" w:eastAsia="zh-CN"/>
                    </w:rPr>
                  </w:pPr>
                  <w:r>
                    <w:rPr>
                      <w:rFonts w:hint="eastAsia" w:ascii="Times New Roman" w:hAnsi="Times New Roman" w:eastAsia="宋体" w:cs="Times New Roman"/>
                      <w:b w:val="0"/>
                      <w:bCs/>
                      <w:color w:val="auto"/>
                      <w:sz w:val="21"/>
                      <w:szCs w:val="21"/>
                      <w:highlight w:val="none"/>
                      <w:vertAlign w:val="baseline"/>
                      <w:lang w:val="en-US" w:eastAsia="zh-CN"/>
                    </w:rPr>
                    <w:t>活性炭填充量（t）</w:t>
                  </w:r>
                </w:p>
              </w:tc>
              <w:tc>
                <w:tcPr>
                  <w:tcW w:w="1995" w:type="dxa"/>
                  <w:noWrap w:val="0"/>
                  <w:vAlign w:val="center"/>
                </w:tcPr>
                <w:p w14:paraId="431E2524">
                  <w:pPr>
                    <w:jc w:val="center"/>
                    <w:rPr>
                      <w:rFonts w:hint="default" w:ascii="Times New Roman" w:hAnsi="Times New Roman" w:eastAsia="宋体" w:cs="Times New Roman"/>
                      <w:b w:val="0"/>
                      <w:bCs/>
                      <w:color w:val="auto"/>
                      <w:sz w:val="21"/>
                      <w:szCs w:val="21"/>
                      <w:highlight w:val="none"/>
                      <w:vertAlign w:val="baseline"/>
                      <w:lang w:val="en-US" w:eastAsia="zh-CN"/>
                    </w:rPr>
                  </w:pPr>
                  <w:r>
                    <w:rPr>
                      <w:rFonts w:hint="eastAsia" w:cs="Times New Roman"/>
                      <w:b w:val="0"/>
                      <w:bCs/>
                      <w:color w:val="auto"/>
                      <w:sz w:val="21"/>
                      <w:szCs w:val="21"/>
                      <w:highlight w:val="none"/>
                      <w:vertAlign w:val="baseline"/>
                      <w:lang w:val="en-US" w:eastAsia="zh-CN"/>
                    </w:rPr>
                    <w:t>1</w:t>
                  </w:r>
                </w:p>
              </w:tc>
              <w:tc>
                <w:tcPr>
                  <w:tcW w:w="1860" w:type="dxa"/>
                  <w:noWrap w:val="0"/>
                  <w:vAlign w:val="center"/>
                </w:tcPr>
                <w:p w14:paraId="3C6ADD2C">
                  <w:pPr>
                    <w:jc w:val="center"/>
                    <w:rPr>
                      <w:rFonts w:hint="default" w:ascii="Times New Roman" w:hAnsi="Times New Roman" w:eastAsia="宋体" w:cs="Times New Roman"/>
                      <w:b w:val="0"/>
                      <w:bCs/>
                      <w:color w:val="auto"/>
                      <w:sz w:val="21"/>
                      <w:szCs w:val="21"/>
                      <w:highlight w:val="none"/>
                      <w:vertAlign w:val="baseline"/>
                      <w:lang w:val="en-US" w:eastAsia="zh-CN"/>
                    </w:rPr>
                  </w:pPr>
                  <w:r>
                    <w:rPr>
                      <w:rFonts w:hint="eastAsia" w:cs="Times New Roman"/>
                      <w:b w:val="0"/>
                      <w:bCs/>
                      <w:color w:val="auto"/>
                      <w:sz w:val="21"/>
                      <w:szCs w:val="21"/>
                      <w:highlight w:val="none"/>
                      <w:vertAlign w:val="baseline"/>
                      <w:lang w:val="en-US" w:eastAsia="zh-CN"/>
                    </w:rPr>
                    <w:t>1</w:t>
                  </w:r>
                </w:p>
              </w:tc>
              <w:tc>
                <w:tcPr>
                  <w:tcW w:w="1860" w:type="dxa"/>
                  <w:noWrap w:val="0"/>
                  <w:vAlign w:val="center"/>
                </w:tcPr>
                <w:p w14:paraId="429C9617">
                  <w:pPr>
                    <w:jc w:val="center"/>
                    <w:rPr>
                      <w:rFonts w:hint="default" w:ascii="Times New Roman" w:hAnsi="Times New Roman" w:eastAsia="宋体" w:cs="Times New Roman"/>
                      <w:b w:val="0"/>
                      <w:bCs/>
                      <w:color w:val="auto"/>
                      <w:sz w:val="21"/>
                      <w:szCs w:val="21"/>
                      <w:highlight w:val="none"/>
                      <w:vertAlign w:val="baseline"/>
                      <w:lang w:val="en-US" w:eastAsia="zh-CN"/>
                    </w:rPr>
                  </w:pPr>
                  <w:r>
                    <w:rPr>
                      <w:rFonts w:hint="eastAsia" w:cs="Times New Roman"/>
                      <w:b w:val="0"/>
                      <w:bCs/>
                      <w:color w:val="auto"/>
                      <w:sz w:val="21"/>
                      <w:szCs w:val="21"/>
                      <w:highlight w:val="none"/>
                      <w:vertAlign w:val="baseline"/>
                      <w:lang w:val="en-US" w:eastAsia="zh-CN"/>
                    </w:rPr>
                    <w:t>1.5</w:t>
                  </w:r>
                </w:p>
              </w:tc>
            </w:tr>
            <w:tr w14:paraId="461E9C5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6" w:hRule="atLeast"/>
              </w:trPr>
              <w:tc>
                <w:tcPr>
                  <w:tcW w:w="2177" w:type="dxa"/>
                  <w:noWrap w:val="0"/>
                  <w:vAlign w:val="center"/>
                </w:tcPr>
                <w:p w14:paraId="0769EB0A">
                  <w:pPr>
                    <w:jc w:val="center"/>
                    <w:rPr>
                      <w:rFonts w:hint="default" w:ascii="Times New Roman" w:hAnsi="Times New Roman" w:eastAsia="宋体" w:cs="Times New Roman"/>
                      <w:b w:val="0"/>
                      <w:bCs/>
                      <w:color w:val="auto"/>
                      <w:sz w:val="21"/>
                      <w:szCs w:val="21"/>
                      <w:highlight w:val="none"/>
                      <w:vertAlign w:val="baseline"/>
                      <w:lang w:val="en-US" w:eastAsia="zh-CN"/>
                    </w:rPr>
                  </w:pPr>
                  <w:r>
                    <w:rPr>
                      <w:rFonts w:hint="eastAsia" w:ascii="Times New Roman" w:hAnsi="Times New Roman" w:eastAsia="宋体" w:cs="Times New Roman"/>
                      <w:b w:val="0"/>
                      <w:bCs/>
                      <w:color w:val="auto"/>
                      <w:sz w:val="21"/>
                      <w:szCs w:val="21"/>
                      <w:highlight w:val="none"/>
                      <w:vertAlign w:val="baseline"/>
                      <w:lang w:val="en-US" w:eastAsia="zh-CN"/>
                    </w:rPr>
                    <w:t>活性炭层数</w:t>
                  </w:r>
                </w:p>
              </w:tc>
              <w:tc>
                <w:tcPr>
                  <w:tcW w:w="1995" w:type="dxa"/>
                  <w:noWrap w:val="0"/>
                  <w:vAlign w:val="center"/>
                </w:tcPr>
                <w:p w14:paraId="3577294B">
                  <w:pPr>
                    <w:jc w:val="center"/>
                    <w:rPr>
                      <w:rFonts w:hint="default" w:ascii="Times New Roman" w:hAnsi="Times New Roman" w:eastAsia="宋体" w:cs="Times New Roman"/>
                      <w:b w:val="0"/>
                      <w:bCs/>
                      <w:color w:val="auto"/>
                      <w:sz w:val="21"/>
                      <w:szCs w:val="21"/>
                      <w:highlight w:val="none"/>
                      <w:vertAlign w:val="baseline"/>
                      <w:lang w:val="en-US" w:eastAsia="zh-CN"/>
                    </w:rPr>
                  </w:pPr>
                  <w:r>
                    <w:rPr>
                      <w:rFonts w:hint="eastAsia" w:ascii="Times New Roman" w:hAnsi="Times New Roman" w:eastAsia="宋体" w:cs="Times New Roman"/>
                      <w:b w:val="0"/>
                      <w:bCs/>
                      <w:color w:val="auto"/>
                      <w:sz w:val="21"/>
                      <w:szCs w:val="21"/>
                      <w:highlight w:val="none"/>
                      <w:vertAlign w:val="baseline"/>
                      <w:lang w:val="en-US" w:eastAsia="zh-CN"/>
                    </w:rPr>
                    <w:t>2</w:t>
                  </w:r>
                </w:p>
              </w:tc>
              <w:tc>
                <w:tcPr>
                  <w:tcW w:w="1860" w:type="dxa"/>
                  <w:noWrap w:val="0"/>
                  <w:vAlign w:val="center"/>
                </w:tcPr>
                <w:p w14:paraId="6B5D80C4">
                  <w:pPr>
                    <w:jc w:val="center"/>
                    <w:rPr>
                      <w:rFonts w:hint="default" w:ascii="Times New Roman" w:hAnsi="Times New Roman" w:eastAsia="宋体" w:cs="Times New Roman"/>
                      <w:b w:val="0"/>
                      <w:bCs/>
                      <w:color w:val="auto"/>
                      <w:sz w:val="21"/>
                      <w:szCs w:val="21"/>
                      <w:highlight w:val="none"/>
                      <w:vertAlign w:val="baseline"/>
                      <w:lang w:val="en-US" w:eastAsia="zh-CN"/>
                    </w:rPr>
                  </w:pPr>
                  <w:r>
                    <w:rPr>
                      <w:rFonts w:hint="eastAsia" w:ascii="Times New Roman" w:hAnsi="Times New Roman" w:eastAsia="宋体" w:cs="Times New Roman"/>
                      <w:b w:val="0"/>
                      <w:bCs/>
                      <w:color w:val="auto"/>
                      <w:sz w:val="21"/>
                      <w:szCs w:val="21"/>
                      <w:highlight w:val="none"/>
                      <w:vertAlign w:val="baseline"/>
                      <w:lang w:val="en-US" w:eastAsia="zh-CN"/>
                    </w:rPr>
                    <w:t>2</w:t>
                  </w:r>
                </w:p>
              </w:tc>
              <w:tc>
                <w:tcPr>
                  <w:tcW w:w="1860" w:type="dxa"/>
                  <w:noWrap w:val="0"/>
                  <w:vAlign w:val="center"/>
                </w:tcPr>
                <w:p w14:paraId="4376AB15">
                  <w:pPr>
                    <w:jc w:val="center"/>
                    <w:rPr>
                      <w:rFonts w:hint="default" w:ascii="Times New Roman" w:hAnsi="Times New Roman" w:eastAsia="宋体" w:cs="Times New Roman"/>
                      <w:b w:val="0"/>
                      <w:bCs/>
                      <w:color w:val="auto"/>
                      <w:sz w:val="21"/>
                      <w:szCs w:val="21"/>
                      <w:highlight w:val="none"/>
                      <w:vertAlign w:val="baseline"/>
                      <w:lang w:val="en-US" w:eastAsia="zh-CN"/>
                    </w:rPr>
                  </w:pPr>
                  <w:r>
                    <w:rPr>
                      <w:rFonts w:hint="eastAsia" w:cs="Times New Roman"/>
                      <w:b w:val="0"/>
                      <w:bCs/>
                      <w:color w:val="auto"/>
                      <w:sz w:val="21"/>
                      <w:szCs w:val="21"/>
                      <w:highlight w:val="none"/>
                      <w:vertAlign w:val="baseline"/>
                      <w:lang w:val="en-US" w:eastAsia="zh-CN"/>
                    </w:rPr>
                    <w:t>1</w:t>
                  </w:r>
                </w:p>
              </w:tc>
            </w:tr>
            <w:tr w14:paraId="71952B8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6" w:hRule="atLeast"/>
              </w:trPr>
              <w:tc>
                <w:tcPr>
                  <w:tcW w:w="2177" w:type="dxa"/>
                  <w:noWrap w:val="0"/>
                  <w:vAlign w:val="center"/>
                </w:tcPr>
                <w:p w14:paraId="55184D69">
                  <w:pPr>
                    <w:jc w:val="center"/>
                    <w:rPr>
                      <w:rFonts w:hint="default" w:ascii="Times New Roman" w:hAnsi="Times New Roman" w:eastAsia="宋体" w:cs="Times New Roman"/>
                      <w:b w:val="0"/>
                      <w:bCs/>
                      <w:color w:val="auto"/>
                      <w:sz w:val="21"/>
                      <w:szCs w:val="21"/>
                      <w:highlight w:val="none"/>
                      <w:vertAlign w:val="baseline"/>
                      <w:lang w:val="en-US" w:eastAsia="zh-CN"/>
                    </w:rPr>
                  </w:pPr>
                  <w:r>
                    <w:rPr>
                      <w:rFonts w:hint="eastAsia" w:ascii="Times New Roman" w:hAnsi="Times New Roman" w:eastAsia="宋体" w:cs="Times New Roman"/>
                      <w:b w:val="0"/>
                      <w:bCs/>
                      <w:color w:val="auto"/>
                      <w:sz w:val="21"/>
                      <w:szCs w:val="21"/>
                      <w:highlight w:val="none"/>
                      <w:vertAlign w:val="baseline"/>
                      <w:lang w:val="en-US" w:eastAsia="zh-CN"/>
                    </w:rPr>
                    <w:t>碘值（mg/g）</w:t>
                  </w:r>
                </w:p>
              </w:tc>
              <w:tc>
                <w:tcPr>
                  <w:tcW w:w="1995" w:type="dxa"/>
                  <w:noWrap w:val="0"/>
                  <w:vAlign w:val="center"/>
                </w:tcPr>
                <w:p w14:paraId="08DB145A">
                  <w:pPr>
                    <w:jc w:val="center"/>
                    <w:rPr>
                      <w:rFonts w:hint="default" w:ascii="Times New Roman" w:hAnsi="Times New Roman" w:eastAsia="宋体" w:cs="Times New Roman"/>
                      <w:b w:val="0"/>
                      <w:bCs/>
                      <w:color w:val="auto"/>
                      <w:sz w:val="21"/>
                      <w:szCs w:val="21"/>
                      <w:highlight w:val="none"/>
                      <w:vertAlign w:val="baseline"/>
                      <w:lang w:val="en-US" w:eastAsia="zh-CN"/>
                    </w:rPr>
                  </w:pPr>
                  <w:r>
                    <w:rPr>
                      <w:rFonts w:hint="eastAsia" w:ascii="Times New Roman" w:hAnsi="Times New Roman" w:eastAsia="宋体" w:cs="Times New Roman"/>
                      <w:b w:val="0"/>
                      <w:bCs/>
                      <w:color w:val="auto"/>
                      <w:sz w:val="21"/>
                      <w:szCs w:val="21"/>
                      <w:highlight w:val="none"/>
                      <w:vertAlign w:val="baseline"/>
                      <w:lang w:val="en-US" w:eastAsia="zh-CN"/>
                    </w:rPr>
                    <w:t>800</w:t>
                  </w:r>
                </w:p>
              </w:tc>
              <w:tc>
                <w:tcPr>
                  <w:tcW w:w="1860" w:type="dxa"/>
                  <w:noWrap w:val="0"/>
                  <w:vAlign w:val="center"/>
                </w:tcPr>
                <w:p w14:paraId="710397E3">
                  <w:pPr>
                    <w:jc w:val="center"/>
                    <w:rPr>
                      <w:rFonts w:hint="default" w:ascii="Times New Roman" w:hAnsi="Times New Roman" w:eastAsia="宋体" w:cs="Times New Roman"/>
                      <w:b w:val="0"/>
                      <w:bCs/>
                      <w:color w:val="auto"/>
                      <w:sz w:val="21"/>
                      <w:szCs w:val="21"/>
                      <w:highlight w:val="none"/>
                      <w:vertAlign w:val="baseline"/>
                      <w:lang w:val="en-US" w:eastAsia="zh-CN"/>
                    </w:rPr>
                  </w:pPr>
                  <w:r>
                    <w:rPr>
                      <w:rFonts w:hint="eastAsia" w:ascii="Times New Roman" w:hAnsi="Times New Roman" w:eastAsia="宋体" w:cs="Times New Roman"/>
                      <w:b w:val="0"/>
                      <w:bCs/>
                      <w:color w:val="auto"/>
                      <w:sz w:val="21"/>
                      <w:szCs w:val="21"/>
                      <w:highlight w:val="none"/>
                      <w:vertAlign w:val="baseline"/>
                      <w:lang w:val="en-US" w:eastAsia="zh-CN"/>
                    </w:rPr>
                    <w:t>800</w:t>
                  </w:r>
                </w:p>
              </w:tc>
              <w:tc>
                <w:tcPr>
                  <w:tcW w:w="1860" w:type="dxa"/>
                  <w:noWrap w:val="0"/>
                  <w:vAlign w:val="center"/>
                </w:tcPr>
                <w:p w14:paraId="1ECB1110">
                  <w:pPr>
                    <w:jc w:val="center"/>
                    <w:rPr>
                      <w:rFonts w:hint="default" w:ascii="Times New Roman" w:hAnsi="Times New Roman" w:eastAsia="宋体" w:cs="Times New Roman"/>
                      <w:b w:val="0"/>
                      <w:bCs/>
                      <w:color w:val="auto"/>
                      <w:sz w:val="21"/>
                      <w:szCs w:val="21"/>
                      <w:highlight w:val="none"/>
                      <w:vertAlign w:val="baseline"/>
                      <w:lang w:val="en-US" w:eastAsia="zh-CN"/>
                    </w:rPr>
                  </w:pPr>
                  <w:r>
                    <w:rPr>
                      <w:rFonts w:hint="eastAsia" w:cs="Times New Roman"/>
                      <w:b w:val="0"/>
                      <w:bCs/>
                      <w:color w:val="auto"/>
                      <w:sz w:val="21"/>
                      <w:szCs w:val="21"/>
                      <w:highlight w:val="none"/>
                      <w:vertAlign w:val="baseline"/>
                      <w:lang w:val="en-US" w:eastAsia="zh-CN"/>
                    </w:rPr>
                    <w:t>800</w:t>
                  </w:r>
                </w:p>
              </w:tc>
            </w:tr>
            <w:tr w14:paraId="3F70B48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6" w:hRule="atLeast"/>
              </w:trPr>
              <w:tc>
                <w:tcPr>
                  <w:tcW w:w="2177" w:type="dxa"/>
                  <w:noWrap w:val="0"/>
                  <w:vAlign w:val="center"/>
                </w:tcPr>
                <w:p w14:paraId="793E4F3D">
                  <w:pPr>
                    <w:jc w:val="center"/>
                    <w:rPr>
                      <w:rFonts w:hint="default" w:ascii="Times New Roman" w:hAnsi="Times New Roman" w:eastAsia="宋体" w:cs="Times New Roman"/>
                      <w:b w:val="0"/>
                      <w:bCs/>
                      <w:color w:val="auto"/>
                      <w:sz w:val="21"/>
                      <w:szCs w:val="21"/>
                      <w:highlight w:val="none"/>
                      <w:vertAlign w:val="baseline"/>
                      <w:lang w:val="en-US" w:eastAsia="zh-CN"/>
                    </w:rPr>
                  </w:pPr>
                  <w:r>
                    <w:rPr>
                      <w:rFonts w:hint="eastAsia" w:ascii="Times New Roman" w:hAnsi="Times New Roman" w:eastAsia="宋体" w:cs="Times New Roman"/>
                      <w:b w:val="0"/>
                      <w:bCs/>
                      <w:color w:val="auto"/>
                      <w:sz w:val="21"/>
                      <w:szCs w:val="21"/>
                      <w:highlight w:val="none"/>
                      <w:vertAlign w:val="baseline"/>
                      <w:lang w:val="en-US" w:eastAsia="zh-CN"/>
                    </w:rPr>
                    <w:t>吸入温度</w:t>
                  </w:r>
                </w:p>
              </w:tc>
              <w:tc>
                <w:tcPr>
                  <w:tcW w:w="1995" w:type="dxa"/>
                  <w:noWrap w:val="0"/>
                  <w:vAlign w:val="center"/>
                </w:tcPr>
                <w:p w14:paraId="6C7F706E">
                  <w:pPr>
                    <w:jc w:val="center"/>
                    <w:rPr>
                      <w:rFonts w:hint="default" w:ascii="Times New Roman" w:hAnsi="Times New Roman" w:eastAsia="宋体" w:cs="Times New Roman"/>
                      <w:b w:val="0"/>
                      <w:bCs/>
                      <w:color w:val="auto"/>
                      <w:sz w:val="21"/>
                      <w:szCs w:val="21"/>
                      <w:highlight w:val="none"/>
                      <w:vertAlign w:val="baseline"/>
                      <w:lang w:val="en-US" w:eastAsia="zh-CN"/>
                    </w:rPr>
                  </w:pPr>
                  <w:r>
                    <w:rPr>
                      <w:rFonts w:hint="default" w:ascii="Times New Roman" w:hAnsi="Times New Roman" w:eastAsia="宋体" w:cs="Times New Roman"/>
                      <w:b w:val="0"/>
                      <w:bCs/>
                      <w:color w:val="auto"/>
                      <w:sz w:val="21"/>
                      <w:szCs w:val="21"/>
                      <w:highlight w:val="none"/>
                      <w:vertAlign w:val="baseline"/>
                      <w:lang w:val="en-US" w:eastAsia="zh-CN"/>
                    </w:rPr>
                    <w:t>＜40℃</w:t>
                  </w:r>
                </w:p>
              </w:tc>
              <w:tc>
                <w:tcPr>
                  <w:tcW w:w="1860" w:type="dxa"/>
                  <w:noWrap w:val="0"/>
                  <w:vAlign w:val="center"/>
                </w:tcPr>
                <w:p w14:paraId="702223F4">
                  <w:pPr>
                    <w:jc w:val="center"/>
                    <w:rPr>
                      <w:rFonts w:hint="default" w:ascii="Times New Roman" w:hAnsi="Times New Roman" w:eastAsia="宋体" w:cs="Times New Roman"/>
                      <w:b w:val="0"/>
                      <w:bCs/>
                      <w:color w:val="auto"/>
                      <w:sz w:val="21"/>
                      <w:szCs w:val="21"/>
                      <w:highlight w:val="none"/>
                      <w:vertAlign w:val="baseline"/>
                      <w:lang w:val="en-US" w:eastAsia="zh-CN"/>
                    </w:rPr>
                  </w:pPr>
                  <w:r>
                    <w:rPr>
                      <w:rFonts w:hint="default" w:ascii="Times New Roman" w:hAnsi="Times New Roman" w:eastAsia="宋体" w:cs="Times New Roman"/>
                      <w:b w:val="0"/>
                      <w:bCs/>
                      <w:color w:val="auto"/>
                      <w:sz w:val="21"/>
                      <w:szCs w:val="21"/>
                      <w:highlight w:val="none"/>
                      <w:vertAlign w:val="baseline"/>
                      <w:lang w:val="en-US" w:eastAsia="zh-CN"/>
                    </w:rPr>
                    <w:t>＜40℃</w:t>
                  </w:r>
                </w:p>
              </w:tc>
              <w:tc>
                <w:tcPr>
                  <w:tcW w:w="1860" w:type="dxa"/>
                  <w:noWrap w:val="0"/>
                  <w:vAlign w:val="center"/>
                </w:tcPr>
                <w:p w14:paraId="649D00F0">
                  <w:pPr>
                    <w:jc w:val="center"/>
                    <w:rPr>
                      <w:rFonts w:hint="default" w:ascii="Times New Roman" w:hAnsi="Times New Roman" w:eastAsia="宋体" w:cs="Times New Roman"/>
                      <w:b w:val="0"/>
                      <w:bCs/>
                      <w:color w:val="auto"/>
                      <w:sz w:val="21"/>
                      <w:szCs w:val="21"/>
                      <w:highlight w:val="none"/>
                      <w:vertAlign w:val="baseline"/>
                      <w:lang w:val="en-US" w:eastAsia="zh-CN"/>
                    </w:rPr>
                  </w:pPr>
                  <w:r>
                    <w:rPr>
                      <w:rFonts w:hint="default" w:ascii="Times New Roman" w:hAnsi="Times New Roman" w:eastAsia="宋体" w:cs="Times New Roman"/>
                      <w:b w:val="0"/>
                      <w:bCs/>
                      <w:color w:val="auto"/>
                      <w:sz w:val="21"/>
                      <w:szCs w:val="21"/>
                      <w:highlight w:val="none"/>
                      <w:vertAlign w:val="baseline"/>
                      <w:lang w:val="en-US" w:eastAsia="zh-CN"/>
                    </w:rPr>
                    <w:t>＜40℃</w:t>
                  </w:r>
                </w:p>
              </w:tc>
            </w:tr>
            <w:tr w14:paraId="2C3A30A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81" w:hRule="atLeast"/>
              </w:trPr>
              <w:tc>
                <w:tcPr>
                  <w:tcW w:w="2177" w:type="dxa"/>
                  <w:noWrap w:val="0"/>
                  <w:vAlign w:val="center"/>
                </w:tcPr>
                <w:p w14:paraId="4859C177">
                  <w:pPr>
                    <w:jc w:val="center"/>
                    <w:rPr>
                      <w:rFonts w:hint="default" w:ascii="Times New Roman" w:hAnsi="Times New Roman" w:eastAsia="宋体" w:cs="Times New Roman"/>
                      <w:b w:val="0"/>
                      <w:bCs/>
                      <w:color w:val="auto"/>
                      <w:sz w:val="21"/>
                      <w:szCs w:val="21"/>
                      <w:highlight w:val="none"/>
                      <w:vertAlign w:val="baseline"/>
                      <w:lang w:val="en-US" w:eastAsia="zh-CN"/>
                    </w:rPr>
                  </w:pPr>
                  <w:r>
                    <w:rPr>
                      <w:rFonts w:hint="eastAsia" w:ascii="Times New Roman" w:hAnsi="Times New Roman" w:eastAsia="宋体" w:cs="Times New Roman"/>
                      <w:b w:val="0"/>
                      <w:bCs/>
                      <w:color w:val="auto"/>
                      <w:sz w:val="21"/>
                      <w:szCs w:val="21"/>
                      <w:highlight w:val="none"/>
                      <w:vertAlign w:val="baseline"/>
                      <w:lang w:val="en-US" w:eastAsia="zh-CN"/>
                    </w:rPr>
                    <w:t>气体流速（m/s）</w:t>
                  </w:r>
                </w:p>
              </w:tc>
              <w:tc>
                <w:tcPr>
                  <w:tcW w:w="1995" w:type="dxa"/>
                  <w:noWrap w:val="0"/>
                  <w:vAlign w:val="center"/>
                </w:tcPr>
                <w:p w14:paraId="5472A9C1">
                  <w:pPr>
                    <w:jc w:val="center"/>
                    <w:rPr>
                      <w:rFonts w:hint="default" w:ascii="Times New Roman" w:hAnsi="Times New Roman" w:eastAsia="宋体" w:cs="Times New Roman"/>
                      <w:b w:val="0"/>
                      <w:bCs/>
                      <w:color w:val="auto"/>
                      <w:sz w:val="21"/>
                      <w:szCs w:val="21"/>
                      <w:highlight w:val="none"/>
                      <w:vertAlign w:val="baseline"/>
                      <w:lang w:val="en-US" w:eastAsia="zh-CN"/>
                    </w:rPr>
                  </w:pPr>
                  <w:r>
                    <w:rPr>
                      <w:rFonts w:hint="eastAsia" w:ascii="Times New Roman" w:hAnsi="Times New Roman" w:eastAsia="宋体" w:cs="Times New Roman"/>
                      <w:b w:val="0"/>
                      <w:bCs/>
                      <w:color w:val="auto"/>
                      <w:sz w:val="21"/>
                      <w:szCs w:val="21"/>
                      <w:highlight w:val="none"/>
                      <w:vertAlign w:val="baseline"/>
                      <w:lang w:val="en-US" w:eastAsia="zh-CN"/>
                    </w:rPr>
                    <w:t>0.6</w:t>
                  </w:r>
                </w:p>
              </w:tc>
              <w:tc>
                <w:tcPr>
                  <w:tcW w:w="1860" w:type="dxa"/>
                  <w:noWrap w:val="0"/>
                  <w:vAlign w:val="center"/>
                </w:tcPr>
                <w:p w14:paraId="2E65AAA6">
                  <w:pPr>
                    <w:jc w:val="center"/>
                    <w:rPr>
                      <w:rFonts w:hint="default" w:ascii="Times New Roman" w:hAnsi="Times New Roman" w:eastAsia="宋体" w:cs="Times New Roman"/>
                      <w:b w:val="0"/>
                      <w:bCs/>
                      <w:color w:val="auto"/>
                      <w:sz w:val="21"/>
                      <w:szCs w:val="21"/>
                      <w:highlight w:val="none"/>
                      <w:vertAlign w:val="baseline"/>
                      <w:lang w:val="en-US" w:eastAsia="zh-CN"/>
                    </w:rPr>
                  </w:pPr>
                  <w:r>
                    <w:rPr>
                      <w:rFonts w:hint="eastAsia" w:ascii="Times New Roman" w:hAnsi="Times New Roman" w:eastAsia="宋体" w:cs="Times New Roman"/>
                      <w:b w:val="0"/>
                      <w:bCs/>
                      <w:color w:val="auto"/>
                      <w:sz w:val="21"/>
                      <w:szCs w:val="21"/>
                      <w:highlight w:val="none"/>
                      <w:vertAlign w:val="baseline"/>
                      <w:lang w:val="en-US" w:eastAsia="zh-CN"/>
                    </w:rPr>
                    <w:t>0.6</w:t>
                  </w:r>
                </w:p>
              </w:tc>
              <w:tc>
                <w:tcPr>
                  <w:tcW w:w="1860" w:type="dxa"/>
                  <w:noWrap w:val="0"/>
                  <w:vAlign w:val="center"/>
                </w:tcPr>
                <w:p w14:paraId="600A867D">
                  <w:pPr>
                    <w:jc w:val="center"/>
                    <w:rPr>
                      <w:rFonts w:hint="eastAsia" w:ascii="Times New Roman" w:hAnsi="Times New Roman" w:eastAsia="宋体" w:cs="Times New Roman"/>
                      <w:b w:val="0"/>
                      <w:bCs/>
                      <w:color w:val="auto"/>
                      <w:sz w:val="21"/>
                      <w:szCs w:val="21"/>
                      <w:highlight w:val="none"/>
                      <w:vertAlign w:val="baseline"/>
                      <w:lang w:val="en-US" w:eastAsia="zh-CN"/>
                    </w:rPr>
                  </w:pPr>
                  <w:r>
                    <w:rPr>
                      <w:rFonts w:hint="eastAsia" w:ascii="Times New Roman" w:hAnsi="Times New Roman" w:eastAsia="宋体" w:cs="Times New Roman"/>
                      <w:b w:val="0"/>
                      <w:bCs/>
                      <w:color w:val="auto"/>
                      <w:sz w:val="21"/>
                      <w:szCs w:val="21"/>
                      <w:highlight w:val="none"/>
                      <w:vertAlign w:val="baseline"/>
                      <w:lang w:val="en-US" w:eastAsia="zh-CN"/>
                    </w:rPr>
                    <w:t>0.6</w:t>
                  </w:r>
                </w:p>
              </w:tc>
            </w:tr>
            <w:tr w14:paraId="7859EDA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41" w:hRule="atLeast"/>
              </w:trPr>
              <w:tc>
                <w:tcPr>
                  <w:tcW w:w="2177" w:type="dxa"/>
                  <w:noWrap w:val="0"/>
                  <w:vAlign w:val="center"/>
                </w:tcPr>
                <w:p w14:paraId="37AD1FE9">
                  <w:pPr>
                    <w:jc w:val="center"/>
                    <w:rPr>
                      <w:rFonts w:hint="default" w:ascii="Times New Roman" w:hAnsi="Times New Roman" w:eastAsia="宋体" w:cs="Times New Roman"/>
                      <w:b w:val="0"/>
                      <w:bCs/>
                      <w:color w:val="auto"/>
                      <w:sz w:val="21"/>
                      <w:szCs w:val="21"/>
                      <w:highlight w:val="none"/>
                      <w:vertAlign w:val="baseline"/>
                      <w:lang w:val="en-US" w:eastAsia="zh-CN"/>
                    </w:rPr>
                  </w:pPr>
                  <w:r>
                    <w:rPr>
                      <w:rFonts w:hint="eastAsia" w:ascii="Times New Roman" w:hAnsi="Times New Roman" w:eastAsia="宋体" w:cs="Times New Roman"/>
                      <w:b w:val="0"/>
                      <w:bCs/>
                      <w:color w:val="auto"/>
                      <w:sz w:val="21"/>
                      <w:szCs w:val="21"/>
                      <w:highlight w:val="none"/>
                      <w:vertAlign w:val="baseline"/>
                      <w:lang w:val="en-US" w:eastAsia="zh-CN"/>
                    </w:rPr>
                    <w:t>活性炭更换周期</w:t>
                  </w:r>
                </w:p>
              </w:tc>
              <w:tc>
                <w:tcPr>
                  <w:tcW w:w="1995" w:type="dxa"/>
                  <w:noWrap w:val="0"/>
                  <w:vAlign w:val="center"/>
                </w:tcPr>
                <w:p w14:paraId="55B1AC26">
                  <w:pPr>
                    <w:jc w:val="center"/>
                    <w:rPr>
                      <w:rFonts w:hint="default" w:ascii="Times New Roman" w:hAnsi="Times New Roman" w:eastAsia="宋体" w:cs="Times New Roman"/>
                      <w:b w:val="0"/>
                      <w:bCs/>
                      <w:color w:val="auto"/>
                      <w:sz w:val="21"/>
                      <w:szCs w:val="21"/>
                      <w:highlight w:val="none"/>
                      <w:vertAlign w:val="baseline"/>
                      <w:lang w:val="en-US" w:eastAsia="zh-CN"/>
                    </w:rPr>
                  </w:pPr>
                  <w:r>
                    <w:rPr>
                      <w:rFonts w:hint="eastAsia" w:ascii="Times New Roman" w:hAnsi="Times New Roman" w:eastAsia="宋体" w:cs="Times New Roman"/>
                      <w:b w:val="0"/>
                      <w:bCs/>
                      <w:color w:val="auto"/>
                      <w:sz w:val="21"/>
                      <w:szCs w:val="21"/>
                      <w:highlight w:val="none"/>
                      <w:vertAlign w:val="baseline"/>
                      <w:lang w:val="en-US" w:eastAsia="zh-CN"/>
                    </w:rPr>
                    <w:t>500h更换1次</w:t>
                  </w:r>
                </w:p>
              </w:tc>
              <w:tc>
                <w:tcPr>
                  <w:tcW w:w="1860" w:type="dxa"/>
                  <w:noWrap w:val="0"/>
                  <w:vAlign w:val="center"/>
                </w:tcPr>
                <w:p w14:paraId="49C3F1DB">
                  <w:pPr>
                    <w:jc w:val="center"/>
                    <w:rPr>
                      <w:rFonts w:hint="default" w:ascii="Times New Roman" w:hAnsi="Times New Roman" w:eastAsia="宋体" w:cs="Times New Roman"/>
                      <w:b w:val="0"/>
                      <w:bCs/>
                      <w:color w:val="auto"/>
                      <w:sz w:val="21"/>
                      <w:szCs w:val="21"/>
                      <w:highlight w:val="none"/>
                      <w:vertAlign w:val="baseline"/>
                      <w:lang w:val="en-US" w:eastAsia="zh-CN"/>
                    </w:rPr>
                  </w:pPr>
                  <w:r>
                    <w:rPr>
                      <w:rFonts w:hint="eastAsia" w:ascii="Times New Roman" w:hAnsi="Times New Roman" w:eastAsia="宋体" w:cs="Times New Roman"/>
                      <w:b w:val="0"/>
                      <w:bCs/>
                      <w:color w:val="auto"/>
                      <w:sz w:val="21"/>
                      <w:szCs w:val="21"/>
                      <w:highlight w:val="none"/>
                      <w:vertAlign w:val="baseline"/>
                      <w:lang w:val="en-US" w:eastAsia="zh-CN"/>
                    </w:rPr>
                    <w:t>500h更换1次</w:t>
                  </w:r>
                </w:p>
              </w:tc>
              <w:tc>
                <w:tcPr>
                  <w:tcW w:w="1860" w:type="dxa"/>
                  <w:noWrap w:val="0"/>
                  <w:vAlign w:val="center"/>
                </w:tcPr>
                <w:p w14:paraId="6AB94F0A">
                  <w:pPr>
                    <w:jc w:val="center"/>
                    <w:rPr>
                      <w:rFonts w:hint="eastAsia" w:ascii="Times New Roman" w:hAnsi="Times New Roman" w:eastAsia="宋体" w:cs="Times New Roman"/>
                      <w:b w:val="0"/>
                      <w:bCs/>
                      <w:color w:val="auto"/>
                      <w:sz w:val="21"/>
                      <w:szCs w:val="21"/>
                      <w:highlight w:val="none"/>
                      <w:vertAlign w:val="baseline"/>
                      <w:lang w:val="en-US" w:eastAsia="zh-CN"/>
                    </w:rPr>
                  </w:pPr>
                  <w:r>
                    <w:rPr>
                      <w:rFonts w:hint="eastAsia" w:ascii="Times New Roman" w:hAnsi="Times New Roman" w:eastAsia="宋体" w:cs="Times New Roman"/>
                      <w:b w:val="0"/>
                      <w:bCs/>
                      <w:color w:val="auto"/>
                      <w:sz w:val="21"/>
                      <w:szCs w:val="21"/>
                      <w:highlight w:val="none"/>
                      <w:vertAlign w:val="baseline"/>
                      <w:lang w:val="en-US" w:eastAsia="zh-CN"/>
                    </w:rPr>
                    <w:t>500h更换1次</w:t>
                  </w:r>
                </w:p>
              </w:tc>
            </w:tr>
            <w:tr w14:paraId="288315E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6" w:hRule="atLeast"/>
              </w:trPr>
              <w:tc>
                <w:tcPr>
                  <w:tcW w:w="7892" w:type="dxa"/>
                  <w:gridSpan w:val="4"/>
                  <w:noWrap w:val="0"/>
                  <w:vAlign w:val="center"/>
                </w:tcPr>
                <w:p w14:paraId="507FC102">
                  <w:pPr>
                    <w:jc w:val="both"/>
                    <w:rPr>
                      <w:rFonts w:hint="eastAsia" w:ascii="Times New Roman" w:hAnsi="Times New Roman" w:eastAsia="宋体" w:cs="Times New Roman"/>
                      <w:b w:val="0"/>
                      <w:bCs/>
                      <w:color w:val="auto"/>
                      <w:sz w:val="21"/>
                      <w:szCs w:val="21"/>
                      <w:highlight w:val="none"/>
                      <w:vertAlign w:val="baseline"/>
                      <w:lang w:val="en-US" w:eastAsia="zh-CN"/>
                    </w:rPr>
                  </w:pPr>
                  <w:r>
                    <w:rPr>
                      <w:rFonts w:hint="eastAsia" w:ascii="Times New Roman" w:hAnsi="Times New Roman" w:eastAsia="宋体" w:cs="Times New Roman"/>
                      <w:b w:val="0"/>
                      <w:bCs/>
                      <w:color w:val="auto"/>
                      <w:sz w:val="21"/>
                      <w:szCs w:val="21"/>
                      <w:highlight w:val="none"/>
                      <w:vertAlign w:val="baseline"/>
                      <w:lang w:val="en-US" w:eastAsia="zh-CN"/>
                    </w:rPr>
                    <w:t>注：活性炭装置具体参数以实际为准。</w:t>
                  </w:r>
                </w:p>
              </w:tc>
            </w:tr>
          </w:tbl>
          <w:p w14:paraId="324E3A27">
            <w:pPr>
              <w:keepNext w:val="0"/>
              <w:keepLines w:val="0"/>
              <w:pageBreakBefore w:val="0"/>
              <w:widowControl w:val="0"/>
              <w:shd w:val="clear"/>
              <w:kinsoku/>
              <w:wordWrap/>
              <w:overflowPunct/>
              <w:topLinePunct w:val="0"/>
              <w:autoSpaceDE/>
              <w:autoSpaceDN/>
              <w:bidi w:val="0"/>
              <w:adjustRightInd w:val="0"/>
              <w:snapToGrid/>
              <w:spacing w:afterLines="0" w:line="360" w:lineRule="auto"/>
              <w:ind w:firstLine="482" w:firstLineChars="200"/>
              <w:textAlignment w:val="bottom"/>
              <w:rPr>
                <w:rFonts w:hint="eastAsia" w:ascii="宋体" w:hAnsi="宋体" w:eastAsia="宋体" w:cs="宋体"/>
                <w:color w:val="auto"/>
                <w:sz w:val="24"/>
                <w:szCs w:val="24"/>
                <w:highlight w:val="none"/>
                <w:shd w:val="clear"/>
                <w:lang w:eastAsia="zh-CN"/>
              </w:rPr>
            </w:pPr>
            <w:r>
              <w:rPr>
                <w:rFonts w:hint="eastAsia"/>
                <w:b/>
                <w:bCs/>
                <w:color w:val="auto"/>
                <w:sz w:val="24"/>
                <w:szCs w:val="24"/>
                <w:highlight w:val="none"/>
                <w:shd w:val="clear"/>
                <w:lang w:val="en-US" w:eastAsia="zh-CN"/>
              </w:rPr>
              <w:t>NMP回收装置</w:t>
            </w:r>
            <w:r>
              <w:rPr>
                <w:rFonts w:hint="eastAsia"/>
                <w:color w:val="auto"/>
                <w:sz w:val="24"/>
                <w:szCs w:val="24"/>
                <w:highlight w:val="none"/>
                <w:lang w:val="en-US" w:eastAsia="zh-CN"/>
              </w:rPr>
              <w:t>：</w:t>
            </w:r>
            <w:r>
              <w:rPr>
                <w:rFonts w:ascii="宋体" w:hAnsi="宋体" w:eastAsia="宋体" w:cs="宋体"/>
                <w:color w:val="auto"/>
                <w:sz w:val="24"/>
                <w:szCs w:val="24"/>
                <w:highlight w:val="none"/>
                <w:shd w:val="clear"/>
              </w:rPr>
              <w:t>机组由</w:t>
            </w:r>
            <w:r>
              <w:rPr>
                <w:rFonts w:hint="default" w:ascii="宋体" w:hAnsi="宋体" w:eastAsia="宋体" w:cs="宋体"/>
                <w:color w:val="auto"/>
                <w:sz w:val="24"/>
                <w:szCs w:val="24"/>
                <w:highlight w:val="none"/>
                <w:shd w:val="clear"/>
              </w:rPr>
              <w:fldChar w:fldCharType="begin"/>
            </w:r>
            <w:r>
              <w:rPr>
                <w:rFonts w:hint="default" w:ascii="宋体" w:hAnsi="宋体" w:eastAsia="宋体" w:cs="宋体"/>
                <w:color w:val="auto"/>
                <w:sz w:val="24"/>
                <w:szCs w:val="24"/>
                <w:highlight w:val="none"/>
                <w:shd w:val="clear"/>
              </w:rPr>
              <w:instrText xml:space="preserve"> HYPERLINK "https://www.air36.com/tag/yurehuishou/" \o "余热回收" \t "https://www.air36.com/shou/_blank" </w:instrText>
            </w:r>
            <w:r>
              <w:rPr>
                <w:rFonts w:hint="default" w:ascii="宋体" w:hAnsi="宋体" w:eastAsia="宋体" w:cs="宋体"/>
                <w:color w:val="auto"/>
                <w:sz w:val="24"/>
                <w:szCs w:val="24"/>
                <w:highlight w:val="none"/>
                <w:shd w:val="clear"/>
              </w:rPr>
              <w:fldChar w:fldCharType="separate"/>
            </w:r>
            <w:r>
              <w:rPr>
                <w:rFonts w:hint="default" w:ascii="宋体" w:hAnsi="宋体" w:eastAsia="宋体" w:cs="宋体"/>
                <w:color w:val="auto"/>
                <w:sz w:val="24"/>
                <w:szCs w:val="24"/>
                <w:highlight w:val="none"/>
                <w:shd w:val="clear"/>
              </w:rPr>
              <w:t>余热回收</w:t>
            </w:r>
            <w:r>
              <w:rPr>
                <w:rFonts w:hint="default" w:ascii="宋体" w:hAnsi="宋体" w:eastAsia="宋体" w:cs="宋体"/>
                <w:color w:val="auto"/>
                <w:sz w:val="24"/>
                <w:szCs w:val="24"/>
                <w:highlight w:val="none"/>
                <w:shd w:val="clear"/>
              </w:rPr>
              <w:fldChar w:fldCharType="end"/>
            </w:r>
            <w:r>
              <w:rPr>
                <w:rFonts w:hint="default" w:ascii="宋体" w:hAnsi="宋体" w:eastAsia="宋体" w:cs="宋体"/>
                <w:color w:val="auto"/>
                <w:sz w:val="24"/>
                <w:szCs w:val="24"/>
                <w:highlight w:val="none"/>
                <w:shd w:val="clear"/>
              </w:rPr>
              <w:t>器、冷却器、</w:t>
            </w:r>
            <w:r>
              <w:rPr>
                <w:rFonts w:hint="default" w:ascii="宋体" w:hAnsi="宋体" w:eastAsia="宋体" w:cs="宋体"/>
                <w:color w:val="auto"/>
                <w:sz w:val="24"/>
                <w:szCs w:val="24"/>
                <w:highlight w:val="none"/>
                <w:shd w:val="clear"/>
              </w:rPr>
              <w:fldChar w:fldCharType="begin"/>
            </w:r>
            <w:r>
              <w:rPr>
                <w:rFonts w:hint="default" w:ascii="宋体" w:hAnsi="宋体" w:eastAsia="宋体" w:cs="宋体"/>
                <w:color w:val="auto"/>
                <w:sz w:val="24"/>
                <w:szCs w:val="24"/>
                <w:highlight w:val="none"/>
                <w:shd w:val="clear"/>
              </w:rPr>
              <w:instrText xml:space="preserve"> HYPERLINK "https://www.air36.com/tag/biaolengqi/" \o "表冷器" \t "https://www.air36.com/shou/_blank" </w:instrText>
            </w:r>
            <w:r>
              <w:rPr>
                <w:rFonts w:hint="default" w:ascii="宋体" w:hAnsi="宋体" w:eastAsia="宋体" w:cs="宋体"/>
                <w:color w:val="auto"/>
                <w:sz w:val="24"/>
                <w:szCs w:val="24"/>
                <w:highlight w:val="none"/>
                <w:shd w:val="clear"/>
              </w:rPr>
              <w:fldChar w:fldCharType="separate"/>
            </w:r>
            <w:r>
              <w:rPr>
                <w:rFonts w:hint="default" w:ascii="宋体" w:hAnsi="宋体" w:eastAsia="宋体" w:cs="宋体"/>
                <w:color w:val="auto"/>
                <w:sz w:val="24"/>
                <w:szCs w:val="24"/>
                <w:highlight w:val="none"/>
                <w:shd w:val="clear"/>
              </w:rPr>
              <w:t>表冷器</w:t>
            </w:r>
            <w:r>
              <w:rPr>
                <w:rFonts w:hint="default" w:ascii="宋体" w:hAnsi="宋体" w:eastAsia="宋体" w:cs="宋体"/>
                <w:color w:val="auto"/>
                <w:sz w:val="24"/>
                <w:szCs w:val="24"/>
                <w:highlight w:val="none"/>
                <w:shd w:val="clear"/>
              </w:rPr>
              <w:fldChar w:fldCharType="end"/>
            </w:r>
            <w:r>
              <w:rPr>
                <w:rFonts w:hint="default" w:ascii="宋体" w:hAnsi="宋体" w:eastAsia="宋体" w:cs="宋体"/>
                <w:color w:val="auto"/>
                <w:sz w:val="24"/>
                <w:szCs w:val="24"/>
                <w:highlight w:val="none"/>
                <w:shd w:val="clear"/>
              </w:rPr>
              <w:t>、风机、吸附转轮与转轮再生系统</w:t>
            </w:r>
            <w:r>
              <w:rPr>
                <w:rFonts w:hint="default" w:ascii="Times New Roman" w:hAnsi="Times New Roman" w:eastAsia="宋体" w:cs="Times New Roman"/>
                <w:color w:val="auto"/>
                <w:sz w:val="24"/>
                <w:szCs w:val="24"/>
                <w:highlight w:val="none"/>
                <w:shd w:val="clear"/>
              </w:rPr>
              <w:t>组成</w:t>
            </w:r>
            <w:r>
              <w:rPr>
                <w:rFonts w:hint="default" w:ascii="Times New Roman" w:hAnsi="Times New Roman" w:eastAsia="宋体" w:cs="Times New Roman"/>
                <w:i w:val="0"/>
                <w:iCs w:val="0"/>
                <w:caps w:val="0"/>
                <w:color w:val="auto"/>
                <w:spacing w:val="0"/>
                <w:sz w:val="24"/>
                <w:szCs w:val="24"/>
                <w:highlight w:val="none"/>
                <w:shd w:val="clear" w:fill="FFFFFF"/>
                <w:lang w:eastAsia="zh-CN"/>
              </w:rPr>
              <w:t>，</w:t>
            </w:r>
            <w:r>
              <w:rPr>
                <w:rFonts w:hint="default" w:ascii="Times New Roman" w:hAnsi="Times New Roman" w:eastAsia="宋体" w:cs="Times New Roman"/>
                <w:color w:val="auto"/>
                <w:sz w:val="24"/>
                <w:szCs w:val="24"/>
                <w:highlight w:val="none"/>
                <w:shd w:val="clear"/>
                <w:lang w:val="en-US" w:eastAsia="zh-CN"/>
              </w:rPr>
              <w:t>主要</w:t>
            </w:r>
            <w:r>
              <w:rPr>
                <w:rFonts w:hint="default" w:ascii="Times New Roman" w:hAnsi="Times New Roman" w:eastAsia="宋体" w:cs="Times New Roman"/>
                <w:color w:val="auto"/>
                <w:sz w:val="24"/>
                <w:szCs w:val="24"/>
                <w:highlight w:val="none"/>
                <w:shd w:val="clear"/>
              </w:rPr>
              <w:t>利用一级冷却回收装置（余</w:t>
            </w:r>
            <w:r>
              <w:rPr>
                <w:rFonts w:hint="default" w:ascii="Times New Roman" w:hAnsi="Times New Roman" w:eastAsia="宋体" w:cs="Times New Roman"/>
                <w:color w:val="auto"/>
                <w:sz w:val="24"/>
                <w:szCs w:val="24"/>
                <w:highlight w:val="none"/>
                <w:shd w:val="clear"/>
              </w:rPr>
              <w:fldChar w:fldCharType="begin"/>
            </w:r>
            <w:r>
              <w:rPr>
                <w:rFonts w:hint="default" w:ascii="Times New Roman" w:hAnsi="Times New Roman" w:eastAsia="宋体" w:cs="Times New Roman"/>
                <w:color w:val="auto"/>
                <w:sz w:val="24"/>
                <w:szCs w:val="24"/>
                <w:highlight w:val="none"/>
                <w:shd w:val="clear"/>
              </w:rPr>
              <w:instrText xml:space="preserve"> HYPERLINK "https://www.air36.com/tag/rehuishou/" \o "热回收" \t "https://www.air36.com/shou/_blank" </w:instrText>
            </w:r>
            <w:r>
              <w:rPr>
                <w:rFonts w:hint="default" w:ascii="Times New Roman" w:hAnsi="Times New Roman" w:eastAsia="宋体" w:cs="Times New Roman"/>
                <w:color w:val="auto"/>
                <w:sz w:val="24"/>
                <w:szCs w:val="24"/>
                <w:highlight w:val="none"/>
                <w:shd w:val="clear"/>
              </w:rPr>
              <w:fldChar w:fldCharType="separate"/>
            </w:r>
            <w:r>
              <w:rPr>
                <w:rFonts w:hint="default" w:ascii="Times New Roman" w:hAnsi="Times New Roman" w:eastAsia="宋体" w:cs="Times New Roman"/>
                <w:color w:val="auto"/>
                <w:sz w:val="24"/>
                <w:szCs w:val="24"/>
                <w:highlight w:val="none"/>
                <w:shd w:val="clear"/>
              </w:rPr>
              <w:t>热回收</w:t>
            </w:r>
            <w:r>
              <w:rPr>
                <w:rFonts w:hint="default" w:ascii="Times New Roman" w:hAnsi="Times New Roman" w:eastAsia="宋体" w:cs="Times New Roman"/>
                <w:color w:val="auto"/>
                <w:sz w:val="24"/>
                <w:szCs w:val="24"/>
                <w:highlight w:val="none"/>
                <w:shd w:val="clear"/>
              </w:rPr>
              <w:fldChar w:fldCharType="end"/>
            </w:r>
            <w:r>
              <w:rPr>
                <w:rFonts w:hint="default" w:ascii="Times New Roman" w:hAnsi="Times New Roman" w:eastAsia="宋体" w:cs="Times New Roman"/>
                <w:color w:val="auto"/>
                <w:sz w:val="24"/>
                <w:szCs w:val="24"/>
                <w:highlight w:val="none"/>
                <w:shd w:val="clear"/>
              </w:rPr>
              <w:t>器、冷却水冷却器、冷冻水冷却器）使得部分NMP</w:t>
            </w:r>
            <w:r>
              <w:rPr>
                <w:rFonts w:hint="default" w:ascii="Times New Roman" w:hAnsi="Times New Roman" w:eastAsia="宋体" w:cs="Times New Roman"/>
                <w:color w:val="auto"/>
                <w:sz w:val="24"/>
                <w:szCs w:val="24"/>
                <w:highlight w:val="none"/>
                <w:shd w:val="clear"/>
              </w:rPr>
              <w:fldChar w:fldCharType="begin"/>
            </w:r>
            <w:r>
              <w:rPr>
                <w:rFonts w:hint="default" w:ascii="Times New Roman" w:hAnsi="Times New Roman" w:eastAsia="宋体" w:cs="Times New Roman"/>
                <w:color w:val="auto"/>
                <w:sz w:val="24"/>
                <w:szCs w:val="24"/>
                <w:highlight w:val="none"/>
                <w:shd w:val="clear"/>
              </w:rPr>
              <w:instrText xml:space="preserve"> HYPERLINK "https://www.air36.com/tag/congkong/" \o "从空" \t "https://www.air36.com/shou/_blank" </w:instrText>
            </w:r>
            <w:r>
              <w:rPr>
                <w:rFonts w:hint="default" w:ascii="Times New Roman" w:hAnsi="Times New Roman" w:eastAsia="宋体" w:cs="Times New Roman"/>
                <w:color w:val="auto"/>
                <w:sz w:val="24"/>
                <w:szCs w:val="24"/>
                <w:highlight w:val="none"/>
                <w:shd w:val="clear"/>
              </w:rPr>
              <w:fldChar w:fldCharType="separate"/>
            </w:r>
            <w:r>
              <w:rPr>
                <w:rFonts w:hint="default" w:ascii="Times New Roman" w:hAnsi="Times New Roman" w:eastAsia="宋体" w:cs="Times New Roman"/>
                <w:color w:val="auto"/>
                <w:sz w:val="24"/>
                <w:szCs w:val="24"/>
                <w:highlight w:val="none"/>
                <w:shd w:val="clear"/>
              </w:rPr>
              <w:t>从空</w:t>
            </w:r>
            <w:r>
              <w:rPr>
                <w:rFonts w:hint="default" w:ascii="Times New Roman" w:hAnsi="Times New Roman" w:eastAsia="宋体" w:cs="Times New Roman"/>
                <w:color w:val="auto"/>
                <w:sz w:val="24"/>
                <w:szCs w:val="24"/>
                <w:highlight w:val="none"/>
                <w:shd w:val="clear"/>
              </w:rPr>
              <w:fldChar w:fldCharType="end"/>
            </w:r>
            <w:r>
              <w:rPr>
                <w:rFonts w:hint="default" w:ascii="Times New Roman" w:hAnsi="Times New Roman" w:eastAsia="宋体" w:cs="Times New Roman"/>
                <w:color w:val="auto"/>
                <w:sz w:val="24"/>
                <w:szCs w:val="24"/>
                <w:highlight w:val="none"/>
                <w:shd w:val="clear"/>
              </w:rPr>
              <w:t>气中冷凝出来，经过单级NMP吸附</w:t>
            </w:r>
            <w:r>
              <w:rPr>
                <w:rFonts w:hint="default" w:ascii="Times New Roman" w:hAnsi="Times New Roman" w:eastAsia="宋体" w:cs="Times New Roman"/>
                <w:color w:val="auto"/>
                <w:sz w:val="24"/>
                <w:szCs w:val="24"/>
                <w:highlight w:val="none"/>
                <w:shd w:val="clear"/>
              </w:rPr>
              <w:fldChar w:fldCharType="begin"/>
            </w:r>
            <w:r>
              <w:rPr>
                <w:rFonts w:hint="default" w:ascii="Times New Roman" w:hAnsi="Times New Roman" w:eastAsia="宋体" w:cs="Times New Roman"/>
                <w:color w:val="auto"/>
                <w:sz w:val="24"/>
                <w:szCs w:val="24"/>
                <w:highlight w:val="none"/>
                <w:shd w:val="clear"/>
              </w:rPr>
              <w:instrText xml:space="preserve"> HYPERLINK "https://www.air36.com/tag/zhuanlun/" \o "转轮" \t "https://www.air36.com/shou/_blank" </w:instrText>
            </w:r>
            <w:r>
              <w:rPr>
                <w:rFonts w:hint="default" w:ascii="Times New Roman" w:hAnsi="Times New Roman" w:eastAsia="宋体" w:cs="Times New Roman"/>
                <w:color w:val="auto"/>
                <w:sz w:val="24"/>
                <w:szCs w:val="24"/>
                <w:highlight w:val="none"/>
                <w:shd w:val="clear"/>
              </w:rPr>
              <w:fldChar w:fldCharType="separate"/>
            </w:r>
            <w:r>
              <w:rPr>
                <w:rFonts w:hint="default" w:ascii="Times New Roman" w:hAnsi="Times New Roman" w:eastAsia="宋体" w:cs="Times New Roman"/>
                <w:color w:val="auto"/>
                <w:sz w:val="24"/>
                <w:szCs w:val="24"/>
                <w:highlight w:val="none"/>
                <w:shd w:val="clear"/>
              </w:rPr>
              <w:t>转轮</w:t>
            </w:r>
            <w:r>
              <w:rPr>
                <w:rFonts w:hint="default" w:ascii="Times New Roman" w:hAnsi="Times New Roman" w:eastAsia="宋体" w:cs="Times New Roman"/>
                <w:color w:val="auto"/>
                <w:sz w:val="24"/>
                <w:szCs w:val="24"/>
                <w:highlight w:val="none"/>
                <w:shd w:val="clear"/>
              </w:rPr>
              <w:fldChar w:fldCharType="end"/>
            </w:r>
            <w:r>
              <w:rPr>
                <w:rFonts w:hint="default" w:ascii="Times New Roman" w:hAnsi="Times New Roman" w:eastAsia="宋体" w:cs="Times New Roman"/>
                <w:color w:val="auto"/>
                <w:sz w:val="24"/>
                <w:szCs w:val="24"/>
                <w:highlight w:val="none"/>
                <w:shd w:val="clear"/>
              </w:rPr>
              <w:t>处理后，净化排放废气</w:t>
            </w:r>
            <w:r>
              <w:rPr>
                <w:rFonts w:hint="eastAsia" w:cs="Times New Roman"/>
                <w:color w:val="auto"/>
                <w:sz w:val="24"/>
                <w:szCs w:val="24"/>
                <w:highlight w:val="none"/>
                <w:shd w:val="clear"/>
                <w:lang w:val="en-US" w:eastAsia="zh-CN"/>
              </w:rPr>
              <w:t>通过排气筒排放</w:t>
            </w:r>
            <w:r>
              <w:rPr>
                <w:rFonts w:hint="eastAsia" w:ascii="宋体" w:hAnsi="宋体" w:eastAsia="宋体" w:cs="宋体"/>
                <w:color w:val="auto"/>
                <w:sz w:val="24"/>
                <w:szCs w:val="24"/>
                <w:highlight w:val="none"/>
                <w:shd w:val="clear"/>
                <w:lang w:eastAsia="zh-CN"/>
              </w:rPr>
              <w:t>。</w:t>
            </w:r>
          </w:p>
          <w:p w14:paraId="31FE77E5">
            <w:pPr>
              <w:pStyle w:val="34"/>
              <w:rPr>
                <w:rFonts w:hint="eastAsia" w:ascii="宋体" w:hAnsi="宋体" w:eastAsia="宋体" w:cs="宋体"/>
                <w:color w:val="auto"/>
                <w:sz w:val="24"/>
                <w:szCs w:val="24"/>
                <w:highlight w:val="yellow"/>
                <w:shd w:val="clear"/>
                <w:lang w:eastAsia="zh-CN"/>
              </w:rPr>
            </w:pPr>
          </w:p>
          <w:p w14:paraId="5063420B">
            <w:pPr>
              <w:rPr>
                <w:rFonts w:hint="eastAsia" w:ascii="宋体" w:hAnsi="宋体" w:eastAsia="宋体" w:cs="宋体"/>
                <w:color w:val="auto"/>
                <w:sz w:val="24"/>
                <w:szCs w:val="24"/>
                <w:highlight w:val="yellow"/>
                <w:shd w:val="clear"/>
                <w:lang w:eastAsia="zh-CN"/>
              </w:rPr>
            </w:pPr>
          </w:p>
          <w:p w14:paraId="0AB13850">
            <w:pPr>
              <w:pStyle w:val="34"/>
              <w:rPr>
                <w:rFonts w:hint="eastAsia" w:ascii="宋体" w:hAnsi="宋体" w:eastAsia="宋体" w:cs="宋体"/>
                <w:color w:val="auto"/>
                <w:sz w:val="24"/>
                <w:szCs w:val="24"/>
                <w:highlight w:val="yellow"/>
                <w:shd w:val="clear"/>
                <w:lang w:eastAsia="zh-CN"/>
              </w:rPr>
            </w:pPr>
          </w:p>
          <w:p w14:paraId="421FA746">
            <w:pPr>
              <w:rPr>
                <w:rFonts w:hint="eastAsia" w:ascii="宋体" w:hAnsi="宋体" w:eastAsia="宋体" w:cs="宋体"/>
                <w:color w:val="auto"/>
                <w:sz w:val="24"/>
                <w:szCs w:val="24"/>
                <w:highlight w:val="yellow"/>
                <w:shd w:val="clear"/>
                <w:lang w:eastAsia="zh-CN"/>
              </w:rPr>
            </w:pPr>
          </w:p>
          <w:p w14:paraId="31E63BEF">
            <w:pPr>
              <w:pStyle w:val="34"/>
              <w:rPr>
                <w:rFonts w:hint="eastAsia" w:ascii="宋体" w:hAnsi="宋体" w:eastAsia="宋体" w:cs="宋体"/>
                <w:color w:val="auto"/>
                <w:sz w:val="24"/>
                <w:szCs w:val="24"/>
                <w:highlight w:val="yellow"/>
                <w:shd w:val="clear"/>
                <w:lang w:eastAsia="zh-CN"/>
              </w:rPr>
            </w:pPr>
          </w:p>
          <w:p w14:paraId="16B606BC">
            <w:pPr>
              <w:rPr>
                <w:rFonts w:hint="eastAsia" w:ascii="宋体" w:hAnsi="宋体" w:eastAsia="宋体" w:cs="宋体"/>
                <w:color w:val="auto"/>
                <w:sz w:val="24"/>
                <w:szCs w:val="24"/>
                <w:highlight w:val="yellow"/>
                <w:shd w:val="clear"/>
                <w:lang w:eastAsia="zh-CN"/>
              </w:rPr>
            </w:pPr>
          </w:p>
          <w:p w14:paraId="6C243657">
            <w:pPr>
              <w:pStyle w:val="34"/>
              <w:rPr>
                <w:rFonts w:hint="eastAsia" w:ascii="宋体" w:hAnsi="宋体" w:eastAsia="宋体" w:cs="宋体"/>
                <w:color w:val="auto"/>
                <w:sz w:val="24"/>
                <w:szCs w:val="24"/>
                <w:highlight w:val="yellow"/>
                <w:shd w:val="clear"/>
                <w:lang w:eastAsia="zh-CN"/>
              </w:rPr>
            </w:pPr>
          </w:p>
          <w:p w14:paraId="3A6291CF">
            <w:pPr>
              <w:rPr>
                <w:rFonts w:hint="eastAsia" w:ascii="宋体" w:hAnsi="宋体" w:eastAsia="宋体" w:cs="宋体"/>
                <w:color w:val="auto"/>
                <w:sz w:val="24"/>
                <w:szCs w:val="24"/>
                <w:highlight w:val="yellow"/>
                <w:shd w:val="clear"/>
                <w:lang w:eastAsia="zh-CN"/>
              </w:rPr>
            </w:pPr>
          </w:p>
          <w:p w14:paraId="0FBA69E3">
            <w:pPr>
              <w:pStyle w:val="34"/>
              <w:rPr>
                <w:rFonts w:hint="eastAsia" w:ascii="宋体" w:hAnsi="宋体" w:eastAsia="宋体" w:cs="宋体"/>
                <w:color w:val="auto"/>
                <w:sz w:val="24"/>
                <w:szCs w:val="24"/>
                <w:highlight w:val="yellow"/>
                <w:shd w:val="clear"/>
                <w:lang w:eastAsia="zh-CN"/>
              </w:rPr>
            </w:pPr>
          </w:p>
          <w:p w14:paraId="0B67A7B9">
            <w:pPr>
              <w:rPr>
                <w:rFonts w:hint="eastAsia" w:ascii="宋体" w:hAnsi="宋体" w:eastAsia="宋体" w:cs="宋体"/>
                <w:color w:val="auto"/>
                <w:sz w:val="24"/>
                <w:szCs w:val="24"/>
                <w:highlight w:val="yellow"/>
                <w:shd w:val="clear"/>
                <w:lang w:eastAsia="zh-CN"/>
              </w:rPr>
            </w:pPr>
          </w:p>
          <w:p w14:paraId="1D9735F5">
            <w:pPr>
              <w:pStyle w:val="34"/>
              <w:rPr>
                <w:rFonts w:hint="eastAsia"/>
                <w:color w:val="auto"/>
                <w:lang w:eastAsia="zh-CN"/>
              </w:rPr>
            </w:pPr>
          </w:p>
          <w:p w14:paraId="60531B6C">
            <w:pPr>
              <w:keepNext w:val="0"/>
              <w:keepLines w:val="0"/>
              <w:pageBreakBefore w:val="0"/>
              <w:widowControl w:val="0"/>
              <w:shd w:val="clear"/>
              <w:kinsoku/>
              <w:wordWrap/>
              <w:overflowPunct/>
              <w:topLinePunct w:val="0"/>
              <w:autoSpaceDE/>
              <w:autoSpaceDN/>
              <w:bidi w:val="0"/>
              <w:adjustRightInd w:val="0"/>
              <w:snapToGrid/>
              <w:spacing w:afterLines="0" w:line="360" w:lineRule="auto"/>
              <w:jc w:val="center"/>
              <w:textAlignment w:val="bottom"/>
              <w:rPr>
                <w:rFonts w:hint="eastAsia"/>
                <w:b/>
                <w:bCs/>
                <w:color w:val="auto"/>
                <w:sz w:val="24"/>
                <w:szCs w:val="24"/>
                <w:highlight w:val="none"/>
                <w:shd w:val="clear"/>
                <w:lang w:val="en-US" w:eastAsia="zh-CN"/>
              </w:rPr>
            </w:pPr>
            <w:r>
              <w:rPr>
                <w:color w:val="auto"/>
              </w:rPr>
              <w:drawing>
                <wp:inline distT="0" distB="0" distL="114300" distR="114300">
                  <wp:extent cx="4364355" cy="2395220"/>
                  <wp:effectExtent l="0" t="0" r="17145" b="5080"/>
                  <wp:docPr id="2"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3"/>
                          <pic:cNvPicPr>
                            <a:picLocks noChangeAspect="1"/>
                          </pic:cNvPicPr>
                        </pic:nvPicPr>
                        <pic:blipFill>
                          <a:blip r:embed="rId32"/>
                          <a:stretch>
                            <a:fillRect/>
                          </a:stretch>
                        </pic:blipFill>
                        <pic:spPr>
                          <a:xfrm>
                            <a:off x="0" y="0"/>
                            <a:ext cx="4364355" cy="2395220"/>
                          </a:xfrm>
                          <a:prstGeom prst="rect">
                            <a:avLst/>
                          </a:prstGeom>
                          <a:noFill/>
                          <a:ln>
                            <a:noFill/>
                          </a:ln>
                        </pic:spPr>
                      </pic:pic>
                    </a:graphicData>
                  </a:graphic>
                </wp:inline>
              </w:drawing>
            </w:r>
          </w:p>
          <w:p w14:paraId="04A64C03">
            <w:pPr>
              <w:shd w:val="clear"/>
              <w:adjustRightInd w:val="0"/>
              <w:snapToGrid w:val="0"/>
              <w:spacing w:line="360" w:lineRule="auto"/>
              <w:ind w:firstLine="480" w:firstLineChars="200"/>
              <w:rPr>
                <w:rFonts w:ascii="Times New Roman" w:hAnsi="Times New Roman"/>
                <w:b w:val="0"/>
                <w:bCs w:val="0"/>
                <w:color w:val="auto"/>
                <w:kern w:val="0"/>
                <w:sz w:val="24"/>
                <w:highlight w:val="none"/>
              </w:rPr>
            </w:pPr>
            <w:r>
              <w:rPr>
                <w:rFonts w:hint="eastAsia" w:ascii="Times New Roman" w:hAnsi="Times New Roman"/>
                <w:b w:val="0"/>
                <w:bCs w:val="0"/>
                <w:color w:val="auto"/>
                <w:sz w:val="24"/>
                <w:highlight w:val="none"/>
                <w:lang w:val="en-US" w:eastAsia="zh-CN"/>
              </w:rPr>
              <w:t>（4）</w:t>
            </w:r>
            <w:r>
              <w:rPr>
                <w:rFonts w:hint="eastAsia" w:ascii="Times New Roman" w:hAnsi="Times New Roman"/>
                <w:b w:val="0"/>
                <w:bCs w:val="0"/>
                <w:color w:val="auto"/>
                <w:sz w:val="24"/>
                <w:highlight w:val="none"/>
              </w:rPr>
              <w:t>非正常工况下污染物的排放情况</w:t>
            </w:r>
          </w:p>
          <w:p w14:paraId="60D6CC0B">
            <w:pPr>
              <w:shd w:val="clear"/>
              <w:autoSpaceDE w:val="0"/>
              <w:autoSpaceDN w:val="0"/>
              <w:adjustRightInd w:val="0"/>
              <w:spacing w:line="360" w:lineRule="auto"/>
              <w:ind w:firstLine="480" w:firstLineChars="200"/>
              <w:rPr>
                <w:rFonts w:ascii="Times New Roman" w:hAnsi="Times New Roman"/>
                <w:snapToGrid w:val="0"/>
                <w:color w:val="auto"/>
                <w:sz w:val="24"/>
                <w:highlight w:val="none"/>
              </w:rPr>
            </w:pPr>
            <w:r>
              <w:rPr>
                <w:rFonts w:hint="eastAsia" w:ascii="Times New Roman" w:hAnsi="Times New Roman"/>
                <w:snapToGrid w:val="0"/>
                <w:color w:val="auto"/>
                <w:sz w:val="24"/>
                <w:highlight w:val="none"/>
              </w:rPr>
              <w:t>非正常工况下污染物的排放情况详见下表。</w:t>
            </w:r>
          </w:p>
          <w:p w14:paraId="5279DF76">
            <w:pPr>
              <w:pStyle w:val="208"/>
              <w:shd w:val="clear"/>
              <w:spacing w:line="240" w:lineRule="auto"/>
              <w:ind w:firstLine="0"/>
              <w:jc w:val="center"/>
              <w:rPr>
                <w:rFonts w:hint="eastAsia" w:ascii="Times New Roman" w:hAnsi="Times New Roman" w:eastAsia="宋体" w:cs="Times New Roman"/>
                <w:b/>
                <w:bCs/>
                <w:color w:val="auto"/>
                <w:kern w:val="0"/>
                <w:sz w:val="21"/>
                <w:szCs w:val="21"/>
                <w:highlight w:val="none"/>
                <w:lang w:val="en-US" w:eastAsia="zh-CN"/>
              </w:rPr>
            </w:pPr>
            <w:r>
              <w:rPr>
                <w:rFonts w:hint="eastAsia" w:ascii="Times New Roman" w:hAnsi="Times New Roman" w:eastAsia="宋体" w:cs="Times New Roman"/>
                <w:b/>
                <w:bCs/>
                <w:color w:val="auto"/>
                <w:kern w:val="0"/>
                <w:sz w:val="21"/>
                <w:szCs w:val="21"/>
                <w:highlight w:val="none"/>
                <w:lang w:val="en-US" w:eastAsia="zh-CN"/>
              </w:rPr>
              <w:t>表4-</w:t>
            </w:r>
            <w:r>
              <w:rPr>
                <w:rFonts w:hint="eastAsia" w:ascii="Times New Roman" w:cs="Times New Roman"/>
                <w:b/>
                <w:bCs/>
                <w:color w:val="auto"/>
                <w:kern w:val="0"/>
                <w:sz w:val="21"/>
                <w:szCs w:val="21"/>
                <w:highlight w:val="none"/>
                <w:lang w:val="en-US" w:eastAsia="zh-CN"/>
              </w:rPr>
              <w:t>7</w:t>
            </w:r>
            <w:r>
              <w:rPr>
                <w:rFonts w:hint="eastAsia" w:ascii="Times New Roman" w:hAnsi="Times New Roman" w:eastAsia="宋体" w:cs="Times New Roman"/>
                <w:b/>
                <w:bCs/>
                <w:color w:val="auto"/>
                <w:kern w:val="0"/>
                <w:sz w:val="21"/>
                <w:szCs w:val="21"/>
                <w:highlight w:val="none"/>
                <w:lang w:val="en-US" w:eastAsia="zh-CN"/>
              </w:rPr>
              <w:t xml:space="preserve"> 污染物非正常情况排放核算表</w:t>
            </w:r>
          </w:p>
          <w:tbl>
            <w:tblPr>
              <w:tblStyle w:val="41"/>
              <w:tblW w:w="7962"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962"/>
              <w:gridCol w:w="983"/>
              <w:gridCol w:w="633"/>
              <w:gridCol w:w="817"/>
              <w:gridCol w:w="917"/>
              <w:gridCol w:w="867"/>
              <w:gridCol w:w="788"/>
              <w:gridCol w:w="838"/>
              <w:gridCol w:w="1157"/>
            </w:tblGrid>
            <w:tr w14:paraId="6858E40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jc w:val="center"/>
              </w:trPr>
              <w:tc>
                <w:tcPr>
                  <w:tcW w:w="962" w:type="dxa"/>
                  <w:shd w:val="clear" w:color="auto" w:fill="auto"/>
                  <w:noWrap w:val="0"/>
                  <w:vAlign w:val="center"/>
                </w:tcPr>
                <w:p w14:paraId="4510C163">
                  <w:pPr>
                    <w:pStyle w:val="208"/>
                    <w:shd w:val="clear"/>
                    <w:spacing w:line="280" w:lineRule="exact"/>
                    <w:ind w:firstLine="0"/>
                    <w:jc w:val="center"/>
                    <w:rPr>
                      <w:rFonts w:ascii="Times New Roman" w:hAnsi="Times New Roman"/>
                      <w:b/>
                      <w:bCs/>
                      <w:color w:val="auto"/>
                      <w:sz w:val="21"/>
                      <w:szCs w:val="21"/>
                      <w:highlight w:val="none"/>
                    </w:rPr>
                  </w:pPr>
                  <w:r>
                    <w:rPr>
                      <w:rFonts w:hint="eastAsia" w:ascii="Times New Roman" w:hAnsi="Times New Roman"/>
                      <w:b/>
                      <w:bCs/>
                      <w:color w:val="auto"/>
                      <w:sz w:val="21"/>
                      <w:szCs w:val="21"/>
                      <w:highlight w:val="none"/>
                    </w:rPr>
                    <w:t>非正常排放源</w:t>
                  </w:r>
                </w:p>
              </w:tc>
              <w:tc>
                <w:tcPr>
                  <w:tcW w:w="983" w:type="dxa"/>
                  <w:shd w:val="clear" w:color="auto" w:fill="auto"/>
                  <w:noWrap w:val="0"/>
                  <w:vAlign w:val="center"/>
                </w:tcPr>
                <w:p w14:paraId="1B22A280">
                  <w:pPr>
                    <w:pStyle w:val="208"/>
                    <w:shd w:val="clear"/>
                    <w:spacing w:line="280" w:lineRule="exact"/>
                    <w:ind w:firstLine="0"/>
                    <w:jc w:val="center"/>
                    <w:rPr>
                      <w:rFonts w:ascii="Times New Roman" w:hAnsi="Times New Roman"/>
                      <w:b/>
                      <w:bCs/>
                      <w:color w:val="auto"/>
                      <w:sz w:val="21"/>
                      <w:szCs w:val="21"/>
                      <w:highlight w:val="none"/>
                    </w:rPr>
                  </w:pPr>
                  <w:r>
                    <w:rPr>
                      <w:rFonts w:hint="eastAsia" w:ascii="Times New Roman" w:hAnsi="Times New Roman"/>
                      <w:b/>
                      <w:bCs/>
                      <w:color w:val="auto"/>
                      <w:sz w:val="21"/>
                      <w:szCs w:val="21"/>
                      <w:highlight w:val="none"/>
                    </w:rPr>
                    <w:t>排放情景</w:t>
                  </w:r>
                </w:p>
              </w:tc>
              <w:tc>
                <w:tcPr>
                  <w:tcW w:w="1450" w:type="dxa"/>
                  <w:gridSpan w:val="2"/>
                  <w:shd w:val="clear" w:color="auto" w:fill="auto"/>
                  <w:noWrap w:val="0"/>
                  <w:vAlign w:val="center"/>
                </w:tcPr>
                <w:p w14:paraId="13E50A73">
                  <w:pPr>
                    <w:pStyle w:val="208"/>
                    <w:shd w:val="clear"/>
                    <w:spacing w:line="280" w:lineRule="exact"/>
                    <w:ind w:firstLine="0"/>
                    <w:jc w:val="center"/>
                    <w:rPr>
                      <w:rFonts w:ascii="Times New Roman" w:hAnsi="Times New Roman"/>
                      <w:b/>
                      <w:bCs/>
                      <w:color w:val="auto"/>
                      <w:sz w:val="21"/>
                      <w:szCs w:val="21"/>
                      <w:highlight w:val="none"/>
                    </w:rPr>
                  </w:pPr>
                  <w:r>
                    <w:rPr>
                      <w:rFonts w:hint="eastAsia" w:ascii="Times New Roman" w:hAnsi="Times New Roman"/>
                      <w:b/>
                      <w:bCs/>
                      <w:color w:val="auto"/>
                      <w:sz w:val="21"/>
                      <w:szCs w:val="21"/>
                      <w:highlight w:val="none"/>
                    </w:rPr>
                    <w:t>污染物</w:t>
                  </w:r>
                </w:p>
              </w:tc>
              <w:tc>
                <w:tcPr>
                  <w:tcW w:w="917" w:type="dxa"/>
                  <w:shd w:val="clear" w:color="auto" w:fill="auto"/>
                  <w:noWrap w:val="0"/>
                  <w:vAlign w:val="center"/>
                </w:tcPr>
                <w:p w14:paraId="761542BF">
                  <w:pPr>
                    <w:pStyle w:val="208"/>
                    <w:shd w:val="clear"/>
                    <w:spacing w:line="280" w:lineRule="exact"/>
                    <w:ind w:firstLine="0"/>
                    <w:jc w:val="center"/>
                    <w:rPr>
                      <w:rFonts w:ascii="Times New Roman" w:hAnsi="Times New Roman"/>
                      <w:b/>
                      <w:bCs/>
                      <w:color w:val="auto"/>
                      <w:sz w:val="21"/>
                      <w:szCs w:val="21"/>
                      <w:highlight w:val="none"/>
                    </w:rPr>
                  </w:pPr>
                  <w:r>
                    <w:rPr>
                      <w:rFonts w:hint="eastAsia" w:ascii="Times New Roman" w:hAnsi="Times New Roman"/>
                      <w:b/>
                      <w:bCs/>
                      <w:color w:val="auto"/>
                      <w:sz w:val="21"/>
                      <w:szCs w:val="21"/>
                      <w:highlight w:val="none"/>
                    </w:rPr>
                    <w:t>排放速率（kg/h）</w:t>
                  </w:r>
                </w:p>
              </w:tc>
              <w:tc>
                <w:tcPr>
                  <w:tcW w:w="867" w:type="dxa"/>
                  <w:shd w:val="clear" w:color="auto" w:fill="auto"/>
                  <w:noWrap w:val="0"/>
                  <w:vAlign w:val="center"/>
                </w:tcPr>
                <w:p w14:paraId="3C83B420">
                  <w:pPr>
                    <w:pStyle w:val="208"/>
                    <w:shd w:val="clear"/>
                    <w:spacing w:line="280" w:lineRule="exact"/>
                    <w:ind w:firstLine="0"/>
                    <w:jc w:val="center"/>
                    <w:rPr>
                      <w:rFonts w:ascii="Times New Roman" w:hAnsi="Times New Roman"/>
                      <w:b/>
                      <w:bCs/>
                      <w:color w:val="auto"/>
                      <w:sz w:val="21"/>
                      <w:szCs w:val="21"/>
                      <w:highlight w:val="none"/>
                    </w:rPr>
                  </w:pPr>
                  <w:r>
                    <w:rPr>
                      <w:rFonts w:hint="eastAsia" w:ascii="Times New Roman" w:hAnsi="Times New Roman"/>
                      <w:b/>
                      <w:bCs/>
                      <w:color w:val="auto"/>
                      <w:sz w:val="21"/>
                      <w:szCs w:val="21"/>
                      <w:highlight w:val="none"/>
                    </w:rPr>
                    <w:t>排放浓度（mg/m</w:t>
                  </w:r>
                  <w:r>
                    <w:rPr>
                      <w:rFonts w:hint="eastAsia" w:ascii="Times New Roman" w:hAnsi="Times New Roman"/>
                      <w:b/>
                      <w:bCs/>
                      <w:color w:val="auto"/>
                      <w:sz w:val="21"/>
                      <w:szCs w:val="21"/>
                      <w:highlight w:val="none"/>
                      <w:vertAlign w:val="superscript"/>
                    </w:rPr>
                    <w:t>3</w:t>
                  </w:r>
                  <w:r>
                    <w:rPr>
                      <w:rFonts w:hint="eastAsia" w:ascii="Times New Roman" w:hAnsi="Times New Roman"/>
                      <w:b/>
                      <w:bCs/>
                      <w:color w:val="auto"/>
                      <w:sz w:val="21"/>
                      <w:szCs w:val="21"/>
                      <w:highlight w:val="none"/>
                    </w:rPr>
                    <w:t>）</w:t>
                  </w:r>
                </w:p>
              </w:tc>
              <w:tc>
                <w:tcPr>
                  <w:tcW w:w="788" w:type="dxa"/>
                  <w:shd w:val="clear" w:color="auto" w:fill="auto"/>
                  <w:noWrap w:val="0"/>
                  <w:vAlign w:val="center"/>
                </w:tcPr>
                <w:p w14:paraId="01A1037A">
                  <w:pPr>
                    <w:pStyle w:val="208"/>
                    <w:shd w:val="clear"/>
                    <w:spacing w:line="280" w:lineRule="exact"/>
                    <w:ind w:firstLine="0"/>
                    <w:jc w:val="center"/>
                    <w:rPr>
                      <w:rFonts w:ascii="Times New Roman" w:hAnsi="Times New Roman"/>
                      <w:b/>
                      <w:bCs/>
                      <w:color w:val="auto"/>
                      <w:sz w:val="21"/>
                      <w:szCs w:val="21"/>
                      <w:highlight w:val="none"/>
                    </w:rPr>
                  </w:pPr>
                  <w:r>
                    <w:rPr>
                      <w:rFonts w:hint="eastAsia" w:ascii="Times New Roman" w:hAnsi="Times New Roman"/>
                      <w:b/>
                      <w:bCs/>
                      <w:color w:val="auto"/>
                      <w:sz w:val="21"/>
                      <w:szCs w:val="21"/>
                      <w:highlight w:val="none"/>
                    </w:rPr>
                    <w:t>年发生频次/次</w:t>
                  </w:r>
                </w:p>
              </w:tc>
              <w:tc>
                <w:tcPr>
                  <w:tcW w:w="838" w:type="dxa"/>
                  <w:shd w:val="clear" w:color="auto" w:fill="auto"/>
                  <w:noWrap w:val="0"/>
                  <w:vAlign w:val="center"/>
                </w:tcPr>
                <w:p w14:paraId="3FA81C6C">
                  <w:pPr>
                    <w:pStyle w:val="208"/>
                    <w:shd w:val="clear"/>
                    <w:spacing w:line="280" w:lineRule="exact"/>
                    <w:ind w:firstLine="0"/>
                    <w:jc w:val="center"/>
                    <w:rPr>
                      <w:rFonts w:ascii="Times New Roman" w:hAnsi="Times New Roman"/>
                      <w:b/>
                      <w:bCs/>
                      <w:color w:val="auto"/>
                      <w:sz w:val="21"/>
                      <w:szCs w:val="21"/>
                      <w:highlight w:val="none"/>
                    </w:rPr>
                  </w:pPr>
                  <w:r>
                    <w:rPr>
                      <w:rFonts w:hint="eastAsia" w:ascii="Times New Roman" w:hAnsi="Times New Roman"/>
                      <w:b/>
                      <w:bCs/>
                      <w:color w:val="auto"/>
                      <w:sz w:val="21"/>
                      <w:szCs w:val="21"/>
                      <w:highlight w:val="none"/>
                    </w:rPr>
                    <w:t>持续时间（min）</w:t>
                  </w:r>
                </w:p>
              </w:tc>
              <w:tc>
                <w:tcPr>
                  <w:tcW w:w="1157" w:type="dxa"/>
                  <w:shd w:val="clear" w:color="auto" w:fill="auto"/>
                  <w:noWrap w:val="0"/>
                  <w:vAlign w:val="center"/>
                </w:tcPr>
                <w:p w14:paraId="2455D89A">
                  <w:pPr>
                    <w:pStyle w:val="208"/>
                    <w:shd w:val="clear"/>
                    <w:spacing w:line="280" w:lineRule="exact"/>
                    <w:ind w:firstLine="0"/>
                    <w:jc w:val="center"/>
                    <w:rPr>
                      <w:rFonts w:ascii="Times New Roman" w:hAnsi="Times New Roman"/>
                      <w:b/>
                      <w:bCs/>
                      <w:color w:val="auto"/>
                      <w:sz w:val="21"/>
                      <w:szCs w:val="21"/>
                      <w:highlight w:val="none"/>
                    </w:rPr>
                  </w:pPr>
                  <w:r>
                    <w:rPr>
                      <w:rFonts w:hint="eastAsia" w:ascii="Times New Roman" w:hAnsi="Times New Roman"/>
                      <w:b/>
                      <w:bCs/>
                      <w:color w:val="auto"/>
                      <w:sz w:val="21"/>
                      <w:szCs w:val="21"/>
                      <w:highlight w:val="none"/>
                    </w:rPr>
                    <w:t>应对措施</w:t>
                  </w:r>
                </w:p>
              </w:tc>
            </w:tr>
            <w:tr w14:paraId="2A4EB99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60" w:hRule="atLeast"/>
                <w:jc w:val="center"/>
              </w:trPr>
              <w:tc>
                <w:tcPr>
                  <w:tcW w:w="962" w:type="dxa"/>
                  <w:vMerge w:val="restart"/>
                  <w:shd w:val="clear" w:color="auto" w:fill="auto"/>
                  <w:noWrap w:val="0"/>
                  <w:vAlign w:val="center"/>
                </w:tcPr>
                <w:p w14:paraId="425FB051">
                  <w:pPr>
                    <w:pStyle w:val="208"/>
                    <w:shd w:val="clear"/>
                    <w:spacing w:line="280" w:lineRule="exact"/>
                    <w:ind w:firstLine="0"/>
                    <w:jc w:val="center"/>
                    <w:rPr>
                      <w:rFonts w:hint="default" w:eastAsia="宋体"/>
                      <w:color w:val="auto"/>
                      <w:sz w:val="21"/>
                      <w:szCs w:val="21"/>
                      <w:highlight w:val="none"/>
                      <w:lang w:val="en-US" w:eastAsia="zh-CN"/>
                    </w:rPr>
                  </w:pPr>
                  <w:r>
                    <w:rPr>
                      <w:rFonts w:hint="eastAsia" w:ascii="Times New Roman" w:hAnsi="Times New Roman"/>
                      <w:color w:val="auto"/>
                      <w:sz w:val="21"/>
                      <w:szCs w:val="21"/>
                      <w:highlight w:val="none"/>
                      <w:lang w:val="en-US" w:eastAsia="zh-CN"/>
                    </w:rPr>
                    <w:t>涂布烘干、电解液注液等</w:t>
                  </w:r>
                </w:p>
              </w:tc>
              <w:tc>
                <w:tcPr>
                  <w:tcW w:w="983" w:type="dxa"/>
                  <w:vMerge w:val="restart"/>
                  <w:shd w:val="clear" w:color="auto" w:fill="auto"/>
                  <w:noWrap w:val="0"/>
                  <w:vAlign w:val="center"/>
                </w:tcPr>
                <w:p w14:paraId="64D1294F">
                  <w:pPr>
                    <w:pStyle w:val="208"/>
                    <w:shd w:val="clear"/>
                    <w:spacing w:line="280" w:lineRule="exact"/>
                    <w:ind w:firstLine="0"/>
                    <w:jc w:val="center"/>
                    <w:rPr>
                      <w:rFonts w:hint="eastAsia" w:ascii="Times New Roman" w:hAnsi="Times New Roman" w:eastAsia="宋体"/>
                      <w:color w:val="auto"/>
                      <w:sz w:val="21"/>
                      <w:szCs w:val="21"/>
                      <w:highlight w:val="none"/>
                      <w:lang w:val="en-US" w:eastAsia="zh-CN"/>
                    </w:rPr>
                  </w:pPr>
                  <w:r>
                    <w:rPr>
                      <w:rFonts w:hint="eastAsia" w:ascii="Times New Roman" w:hAnsi="Times New Roman" w:eastAsia="宋体"/>
                      <w:color w:val="auto"/>
                      <w:kern w:val="2"/>
                      <w:sz w:val="21"/>
                      <w:szCs w:val="21"/>
                      <w:highlight w:val="none"/>
                      <w:lang w:val="en-US" w:eastAsia="zh-CN" w:bidi="ar-SA"/>
                    </w:rPr>
                    <w:t>废气处理装置出现故障</w:t>
                  </w:r>
                  <w:r>
                    <w:rPr>
                      <w:rFonts w:hint="eastAsia" w:ascii="Times New Roman" w:hAnsi="Times New Roman"/>
                      <w:color w:val="auto"/>
                      <w:sz w:val="21"/>
                      <w:szCs w:val="21"/>
                      <w:highlight w:val="none"/>
                    </w:rPr>
                    <w:t>，处理效率0</w:t>
                  </w:r>
                  <w:r>
                    <w:rPr>
                      <w:rFonts w:hint="eastAsia" w:ascii="Times New Roman" w:hAnsi="Times New Roman"/>
                      <w:color w:val="auto"/>
                      <w:sz w:val="21"/>
                      <w:szCs w:val="21"/>
                      <w:highlight w:val="none"/>
                      <w:lang w:val="en-US" w:eastAsia="zh-CN"/>
                    </w:rPr>
                    <w:t>%</w:t>
                  </w:r>
                </w:p>
              </w:tc>
              <w:tc>
                <w:tcPr>
                  <w:tcW w:w="633" w:type="dxa"/>
                  <w:shd w:val="clear" w:color="auto" w:fill="auto"/>
                  <w:noWrap w:val="0"/>
                  <w:vAlign w:val="center"/>
                </w:tcPr>
                <w:p w14:paraId="601993E4">
                  <w:pPr>
                    <w:pStyle w:val="208"/>
                    <w:shd w:val="clear"/>
                    <w:spacing w:line="280" w:lineRule="exact"/>
                    <w:ind w:left="0" w:leftChars="0" w:firstLine="0" w:firstLineChars="0"/>
                    <w:jc w:val="center"/>
                    <w:rPr>
                      <w:rFonts w:hint="default" w:ascii="Times New Roman" w:hAnsi="Times New Roman"/>
                      <w:color w:val="auto"/>
                      <w:sz w:val="21"/>
                      <w:szCs w:val="21"/>
                      <w:highlight w:val="none"/>
                      <w:lang w:val="en-US" w:eastAsia="zh-CN"/>
                    </w:rPr>
                  </w:pPr>
                  <w:r>
                    <w:rPr>
                      <w:rFonts w:hint="eastAsia" w:ascii="Times New Roman" w:hAnsi="Times New Roman"/>
                      <w:color w:val="auto"/>
                      <w:sz w:val="21"/>
                      <w:szCs w:val="21"/>
                      <w:highlight w:val="none"/>
                      <w:lang w:val="en-US" w:eastAsia="zh-CN"/>
                    </w:rPr>
                    <w:t>DA001</w:t>
                  </w:r>
                </w:p>
              </w:tc>
              <w:tc>
                <w:tcPr>
                  <w:tcW w:w="817" w:type="dxa"/>
                  <w:shd w:val="clear" w:color="auto" w:fill="auto"/>
                  <w:noWrap w:val="0"/>
                  <w:vAlign w:val="center"/>
                </w:tcPr>
                <w:p w14:paraId="3DFB1955">
                  <w:pPr>
                    <w:pStyle w:val="208"/>
                    <w:shd w:val="clear"/>
                    <w:spacing w:line="280" w:lineRule="exact"/>
                    <w:ind w:left="0" w:leftChars="0" w:firstLine="0" w:firstLineChars="0"/>
                    <w:jc w:val="center"/>
                    <w:rPr>
                      <w:rFonts w:hint="default" w:ascii="Times New Roman" w:hAnsi="Times New Roman"/>
                      <w:color w:val="auto"/>
                      <w:sz w:val="21"/>
                      <w:szCs w:val="21"/>
                      <w:highlight w:val="none"/>
                      <w:lang w:val="en-US" w:eastAsia="zh-CN"/>
                    </w:rPr>
                  </w:pPr>
                  <w:r>
                    <w:rPr>
                      <w:rFonts w:hint="eastAsia" w:ascii="Times New Roman" w:hAnsi="Times New Roman"/>
                      <w:color w:val="auto"/>
                      <w:sz w:val="21"/>
                      <w:szCs w:val="21"/>
                      <w:highlight w:val="none"/>
                      <w:lang w:val="en-US" w:eastAsia="zh-CN"/>
                    </w:rPr>
                    <w:t>非甲烷总烃</w:t>
                  </w:r>
                </w:p>
              </w:tc>
              <w:tc>
                <w:tcPr>
                  <w:tcW w:w="917" w:type="dxa"/>
                  <w:shd w:val="clear" w:color="auto" w:fill="auto"/>
                  <w:noWrap w:val="0"/>
                  <w:vAlign w:val="center"/>
                </w:tcPr>
                <w:p w14:paraId="7F02E41F">
                  <w:pPr>
                    <w:pStyle w:val="208"/>
                    <w:shd w:val="clear"/>
                    <w:spacing w:line="280" w:lineRule="exact"/>
                    <w:ind w:left="0" w:leftChars="0" w:firstLine="0" w:firstLineChars="0"/>
                    <w:jc w:val="center"/>
                    <w:rPr>
                      <w:rFonts w:hint="default" w:ascii="Times New Roman" w:hAnsi="Times New Roman"/>
                      <w:color w:val="auto"/>
                      <w:sz w:val="21"/>
                      <w:szCs w:val="21"/>
                      <w:highlight w:val="none"/>
                      <w:lang w:val="en-US" w:eastAsia="zh-CN"/>
                    </w:rPr>
                  </w:pPr>
                  <w:r>
                    <w:rPr>
                      <w:rFonts w:hint="eastAsia" w:ascii="Times New Roman"/>
                      <w:color w:val="auto"/>
                      <w:sz w:val="21"/>
                      <w:szCs w:val="21"/>
                      <w:highlight w:val="none"/>
                      <w:lang w:val="en-US" w:eastAsia="zh-CN"/>
                    </w:rPr>
                    <w:t>221.5</w:t>
                  </w:r>
                </w:p>
              </w:tc>
              <w:tc>
                <w:tcPr>
                  <w:tcW w:w="867" w:type="dxa"/>
                  <w:shd w:val="clear" w:color="auto" w:fill="auto"/>
                  <w:noWrap w:val="0"/>
                  <w:vAlign w:val="center"/>
                </w:tcPr>
                <w:p w14:paraId="6964893C">
                  <w:pPr>
                    <w:pStyle w:val="208"/>
                    <w:shd w:val="clear"/>
                    <w:spacing w:line="280" w:lineRule="exact"/>
                    <w:ind w:left="0" w:leftChars="0" w:firstLine="0" w:firstLineChars="0"/>
                    <w:jc w:val="center"/>
                    <w:rPr>
                      <w:rFonts w:hint="default" w:ascii="Times New Roman" w:hAnsi="Times New Roman"/>
                      <w:color w:val="auto"/>
                      <w:sz w:val="21"/>
                      <w:szCs w:val="21"/>
                      <w:highlight w:val="none"/>
                      <w:lang w:val="en-US" w:eastAsia="zh-CN"/>
                    </w:rPr>
                  </w:pPr>
                  <w:r>
                    <w:rPr>
                      <w:rFonts w:hint="eastAsia" w:ascii="Times New Roman"/>
                      <w:color w:val="auto"/>
                      <w:sz w:val="21"/>
                      <w:szCs w:val="21"/>
                      <w:highlight w:val="none"/>
                      <w:lang w:val="en-US" w:eastAsia="zh-CN"/>
                    </w:rPr>
                    <w:t>6382.6</w:t>
                  </w:r>
                </w:p>
              </w:tc>
              <w:tc>
                <w:tcPr>
                  <w:tcW w:w="788" w:type="dxa"/>
                  <w:vMerge w:val="restart"/>
                  <w:shd w:val="clear" w:color="auto" w:fill="auto"/>
                  <w:noWrap w:val="0"/>
                  <w:vAlign w:val="center"/>
                </w:tcPr>
                <w:p w14:paraId="6D2059D0">
                  <w:pPr>
                    <w:pStyle w:val="208"/>
                    <w:shd w:val="clear"/>
                    <w:spacing w:line="280" w:lineRule="exact"/>
                    <w:ind w:firstLine="0"/>
                    <w:jc w:val="center"/>
                    <w:rPr>
                      <w:rFonts w:ascii="Times New Roman" w:hAnsi="Times New Roman"/>
                      <w:color w:val="auto"/>
                      <w:sz w:val="21"/>
                      <w:szCs w:val="21"/>
                      <w:highlight w:val="none"/>
                    </w:rPr>
                  </w:pPr>
                  <w:r>
                    <w:rPr>
                      <w:rFonts w:hint="eastAsia" w:ascii="Times New Roman" w:hAnsi="Times New Roman"/>
                      <w:color w:val="auto"/>
                      <w:sz w:val="21"/>
                      <w:szCs w:val="21"/>
                      <w:highlight w:val="none"/>
                    </w:rPr>
                    <w:t>1</w:t>
                  </w:r>
                </w:p>
              </w:tc>
              <w:tc>
                <w:tcPr>
                  <w:tcW w:w="838" w:type="dxa"/>
                  <w:vMerge w:val="restart"/>
                  <w:shd w:val="clear" w:color="auto" w:fill="auto"/>
                  <w:noWrap w:val="0"/>
                  <w:vAlign w:val="center"/>
                </w:tcPr>
                <w:p w14:paraId="1E633974">
                  <w:pPr>
                    <w:pStyle w:val="208"/>
                    <w:shd w:val="clear"/>
                    <w:spacing w:line="280" w:lineRule="exact"/>
                    <w:ind w:firstLine="0"/>
                    <w:jc w:val="center"/>
                    <w:rPr>
                      <w:rFonts w:hint="default" w:ascii="Times New Roman" w:hAnsi="Times New Roman" w:eastAsia="宋体"/>
                      <w:color w:val="auto"/>
                      <w:sz w:val="21"/>
                      <w:szCs w:val="21"/>
                      <w:highlight w:val="none"/>
                      <w:lang w:val="en-US" w:eastAsia="zh-CN"/>
                    </w:rPr>
                  </w:pPr>
                  <w:r>
                    <w:rPr>
                      <w:rFonts w:hint="eastAsia" w:ascii="Times New Roman" w:hAnsi="Times New Roman"/>
                      <w:color w:val="auto"/>
                      <w:sz w:val="21"/>
                      <w:szCs w:val="21"/>
                      <w:highlight w:val="none"/>
                      <w:lang w:val="en-US" w:eastAsia="zh-CN"/>
                    </w:rPr>
                    <w:t>60</w:t>
                  </w:r>
                </w:p>
              </w:tc>
              <w:tc>
                <w:tcPr>
                  <w:tcW w:w="1157" w:type="dxa"/>
                  <w:vMerge w:val="restart"/>
                  <w:shd w:val="clear" w:color="auto" w:fill="auto"/>
                  <w:noWrap w:val="0"/>
                  <w:vAlign w:val="center"/>
                </w:tcPr>
                <w:p w14:paraId="2D342F59">
                  <w:pPr>
                    <w:pStyle w:val="208"/>
                    <w:shd w:val="clear"/>
                    <w:spacing w:line="280" w:lineRule="exact"/>
                    <w:ind w:firstLine="0"/>
                    <w:jc w:val="center"/>
                    <w:rPr>
                      <w:rFonts w:ascii="Times New Roman" w:hAnsi="Times New Roman"/>
                      <w:color w:val="auto"/>
                      <w:sz w:val="21"/>
                      <w:szCs w:val="21"/>
                      <w:highlight w:val="none"/>
                    </w:rPr>
                  </w:pPr>
                  <w:r>
                    <w:rPr>
                      <w:rFonts w:ascii="Times New Roman"/>
                      <w:color w:val="auto"/>
                      <w:sz w:val="21"/>
                      <w:szCs w:val="21"/>
                      <w:highlight w:val="none"/>
                    </w:rPr>
                    <w:t>平时加强检查和维护，如发现环保设施或集气系统故障时，立即停机检查</w:t>
                  </w:r>
                </w:p>
              </w:tc>
            </w:tr>
            <w:tr w14:paraId="1D297F2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50" w:hRule="atLeast"/>
                <w:jc w:val="center"/>
              </w:trPr>
              <w:tc>
                <w:tcPr>
                  <w:tcW w:w="962" w:type="dxa"/>
                  <w:vMerge w:val="continue"/>
                  <w:shd w:val="clear" w:color="auto" w:fill="auto"/>
                  <w:noWrap w:val="0"/>
                  <w:vAlign w:val="center"/>
                </w:tcPr>
                <w:p w14:paraId="198D94D6">
                  <w:pPr>
                    <w:pStyle w:val="208"/>
                    <w:shd w:val="clear"/>
                    <w:spacing w:line="280" w:lineRule="exact"/>
                    <w:ind w:left="0" w:leftChars="0" w:firstLine="0" w:firstLineChars="0"/>
                    <w:jc w:val="center"/>
                    <w:rPr>
                      <w:color w:val="auto"/>
                    </w:rPr>
                  </w:pPr>
                </w:p>
              </w:tc>
              <w:tc>
                <w:tcPr>
                  <w:tcW w:w="983" w:type="dxa"/>
                  <w:vMerge w:val="continue"/>
                  <w:shd w:val="clear" w:color="auto" w:fill="auto"/>
                  <w:noWrap w:val="0"/>
                  <w:vAlign w:val="center"/>
                </w:tcPr>
                <w:p w14:paraId="2C81AC5A">
                  <w:pPr>
                    <w:pStyle w:val="208"/>
                    <w:shd w:val="clear"/>
                    <w:spacing w:line="280" w:lineRule="exact"/>
                    <w:ind w:left="0" w:leftChars="0" w:firstLine="0" w:firstLineChars="0"/>
                    <w:jc w:val="center"/>
                    <w:rPr>
                      <w:color w:val="auto"/>
                    </w:rPr>
                  </w:pPr>
                </w:p>
              </w:tc>
              <w:tc>
                <w:tcPr>
                  <w:tcW w:w="633" w:type="dxa"/>
                  <w:shd w:val="clear" w:color="auto" w:fill="auto"/>
                  <w:noWrap w:val="0"/>
                  <w:vAlign w:val="center"/>
                </w:tcPr>
                <w:p w14:paraId="57A80AB6">
                  <w:pPr>
                    <w:pStyle w:val="208"/>
                    <w:shd w:val="clear"/>
                    <w:spacing w:line="280" w:lineRule="exact"/>
                    <w:ind w:left="0" w:leftChars="0" w:firstLine="0" w:firstLineChars="0"/>
                    <w:jc w:val="center"/>
                    <w:rPr>
                      <w:rFonts w:hint="default" w:ascii="Times New Roman" w:hAnsi="Times New Roman"/>
                      <w:color w:val="auto"/>
                      <w:sz w:val="21"/>
                      <w:szCs w:val="21"/>
                      <w:highlight w:val="none"/>
                      <w:lang w:val="en-US" w:eastAsia="zh-CN"/>
                    </w:rPr>
                  </w:pPr>
                  <w:r>
                    <w:rPr>
                      <w:rFonts w:hint="eastAsia" w:ascii="Times New Roman" w:hAnsi="Times New Roman"/>
                      <w:color w:val="auto"/>
                      <w:sz w:val="21"/>
                      <w:szCs w:val="21"/>
                      <w:highlight w:val="none"/>
                      <w:lang w:val="en-US" w:eastAsia="zh-CN"/>
                    </w:rPr>
                    <w:t>DA002</w:t>
                  </w:r>
                </w:p>
              </w:tc>
              <w:tc>
                <w:tcPr>
                  <w:tcW w:w="817" w:type="dxa"/>
                  <w:shd w:val="clear" w:color="auto" w:fill="auto"/>
                  <w:noWrap w:val="0"/>
                  <w:vAlign w:val="center"/>
                </w:tcPr>
                <w:p w14:paraId="74BD12A9">
                  <w:pPr>
                    <w:pStyle w:val="208"/>
                    <w:shd w:val="clear"/>
                    <w:spacing w:line="280" w:lineRule="exact"/>
                    <w:ind w:left="0" w:leftChars="0" w:firstLine="0" w:firstLineChars="0"/>
                    <w:jc w:val="center"/>
                    <w:rPr>
                      <w:rFonts w:hint="default" w:ascii="Times New Roman" w:hAnsi="Times New Roman"/>
                      <w:color w:val="auto"/>
                      <w:sz w:val="21"/>
                      <w:szCs w:val="21"/>
                      <w:highlight w:val="none"/>
                      <w:lang w:val="en-US" w:eastAsia="zh-CN"/>
                    </w:rPr>
                  </w:pPr>
                  <w:r>
                    <w:rPr>
                      <w:rFonts w:hint="eastAsia" w:ascii="Times New Roman" w:hAnsi="Times New Roman"/>
                      <w:color w:val="auto"/>
                      <w:sz w:val="21"/>
                      <w:szCs w:val="21"/>
                      <w:highlight w:val="none"/>
                      <w:lang w:val="en-US" w:eastAsia="zh-CN"/>
                    </w:rPr>
                    <w:t>非甲烷总烃</w:t>
                  </w:r>
                </w:p>
              </w:tc>
              <w:tc>
                <w:tcPr>
                  <w:tcW w:w="917" w:type="dxa"/>
                  <w:shd w:val="clear" w:color="auto" w:fill="auto"/>
                  <w:noWrap w:val="0"/>
                  <w:vAlign w:val="center"/>
                </w:tcPr>
                <w:p w14:paraId="140392DC">
                  <w:pPr>
                    <w:pStyle w:val="208"/>
                    <w:shd w:val="clear"/>
                    <w:spacing w:line="280" w:lineRule="exact"/>
                    <w:ind w:left="0" w:leftChars="0" w:firstLine="0" w:firstLineChars="0"/>
                    <w:jc w:val="center"/>
                    <w:rPr>
                      <w:rFonts w:hint="default" w:ascii="Times New Roman" w:hAnsi="Times New Roman"/>
                      <w:color w:val="auto"/>
                      <w:sz w:val="21"/>
                      <w:szCs w:val="21"/>
                      <w:highlight w:val="none"/>
                      <w:lang w:val="en-US" w:eastAsia="zh-CN"/>
                    </w:rPr>
                  </w:pPr>
                  <w:r>
                    <w:rPr>
                      <w:rFonts w:hint="eastAsia" w:ascii="Times New Roman"/>
                      <w:color w:val="auto"/>
                      <w:sz w:val="21"/>
                      <w:szCs w:val="21"/>
                      <w:highlight w:val="none"/>
                      <w:lang w:val="en-US" w:eastAsia="zh-CN"/>
                    </w:rPr>
                    <w:t>0.18</w:t>
                  </w:r>
                </w:p>
              </w:tc>
              <w:tc>
                <w:tcPr>
                  <w:tcW w:w="867" w:type="dxa"/>
                  <w:shd w:val="clear" w:color="auto" w:fill="auto"/>
                  <w:noWrap w:val="0"/>
                  <w:vAlign w:val="center"/>
                </w:tcPr>
                <w:p w14:paraId="4AC93A2A">
                  <w:pPr>
                    <w:pStyle w:val="208"/>
                    <w:shd w:val="clear"/>
                    <w:spacing w:line="280" w:lineRule="exact"/>
                    <w:ind w:left="0" w:leftChars="0" w:firstLine="0" w:firstLineChars="0"/>
                    <w:jc w:val="center"/>
                    <w:rPr>
                      <w:rFonts w:hint="default" w:ascii="Times New Roman" w:hAnsi="Times New Roman"/>
                      <w:color w:val="auto"/>
                      <w:sz w:val="21"/>
                      <w:szCs w:val="21"/>
                      <w:highlight w:val="none"/>
                      <w:lang w:val="en-US" w:eastAsia="zh-CN"/>
                    </w:rPr>
                  </w:pPr>
                  <w:r>
                    <w:rPr>
                      <w:rFonts w:hint="eastAsia" w:ascii="Times New Roman"/>
                      <w:color w:val="auto"/>
                      <w:sz w:val="21"/>
                      <w:szCs w:val="21"/>
                      <w:highlight w:val="none"/>
                      <w:lang w:val="en-US" w:eastAsia="zh-CN"/>
                    </w:rPr>
                    <w:t>30</w:t>
                  </w:r>
                </w:p>
              </w:tc>
              <w:tc>
                <w:tcPr>
                  <w:tcW w:w="788" w:type="dxa"/>
                  <w:vMerge w:val="continue"/>
                  <w:shd w:val="clear" w:color="auto" w:fill="auto"/>
                  <w:noWrap w:val="0"/>
                  <w:vAlign w:val="center"/>
                </w:tcPr>
                <w:p w14:paraId="35F52814">
                  <w:pPr>
                    <w:pStyle w:val="208"/>
                    <w:shd w:val="clear"/>
                    <w:spacing w:line="280" w:lineRule="exact"/>
                    <w:ind w:left="0" w:leftChars="0" w:firstLine="0" w:firstLineChars="0"/>
                    <w:jc w:val="center"/>
                    <w:rPr>
                      <w:rFonts w:hint="eastAsia" w:ascii="Times New Roman" w:hAnsi="Times New Roman"/>
                      <w:color w:val="auto"/>
                      <w:sz w:val="21"/>
                      <w:szCs w:val="21"/>
                      <w:highlight w:val="none"/>
                      <w:lang w:val="en-US" w:eastAsia="zh-CN"/>
                    </w:rPr>
                  </w:pPr>
                </w:p>
              </w:tc>
              <w:tc>
                <w:tcPr>
                  <w:tcW w:w="838" w:type="dxa"/>
                  <w:vMerge w:val="continue"/>
                  <w:shd w:val="clear" w:color="auto" w:fill="auto"/>
                  <w:noWrap w:val="0"/>
                  <w:vAlign w:val="center"/>
                </w:tcPr>
                <w:p w14:paraId="52DE8B9D">
                  <w:pPr>
                    <w:pStyle w:val="208"/>
                    <w:shd w:val="clear"/>
                    <w:spacing w:line="280" w:lineRule="exact"/>
                    <w:ind w:left="0" w:leftChars="0" w:firstLine="0" w:firstLineChars="0"/>
                    <w:jc w:val="center"/>
                    <w:rPr>
                      <w:rFonts w:hint="eastAsia" w:ascii="Times New Roman" w:hAnsi="Times New Roman"/>
                      <w:color w:val="auto"/>
                      <w:sz w:val="21"/>
                      <w:szCs w:val="21"/>
                      <w:highlight w:val="none"/>
                      <w:lang w:val="en-US" w:eastAsia="zh-CN"/>
                    </w:rPr>
                  </w:pPr>
                </w:p>
              </w:tc>
              <w:tc>
                <w:tcPr>
                  <w:tcW w:w="1157" w:type="dxa"/>
                  <w:vMerge w:val="continue"/>
                  <w:shd w:val="clear" w:color="auto" w:fill="auto"/>
                  <w:noWrap w:val="0"/>
                  <w:vAlign w:val="center"/>
                </w:tcPr>
                <w:p w14:paraId="1F9F6237">
                  <w:pPr>
                    <w:pStyle w:val="208"/>
                    <w:shd w:val="clear"/>
                    <w:spacing w:line="280" w:lineRule="exact"/>
                    <w:ind w:left="0" w:leftChars="0" w:firstLine="0" w:firstLineChars="0"/>
                    <w:jc w:val="center"/>
                    <w:rPr>
                      <w:rFonts w:hint="eastAsia" w:ascii="Times New Roman" w:hAnsi="Times New Roman"/>
                      <w:color w:val="auto"/>
                      <w:sz w:val="21"/>
                      <w:szCs w:val="21"/>
                      <w:highlight w:val="none"/>
                      <w:lang w:val="en-US" w:eastAsia="zh-CN"/>
                    </w:rPr>
                  </w:pPr>
                </w:p>
              </w:tc>
            </w:tr>
            <w:tr w14:paraId="7432405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865" w:hRule="atLeast"/>
                <w:jc w:val="center"/>
              </w:trPr>
              <w:tc>
                <w:tcPr>
                  <w:tcW w:w="962" w:type="dxa"/>
                  <w:vMerge w:val="continue"/>
                  <w:shd w:val="clear" w:color="auto" w:fill="auto"/>
                  <w:noWrap w:val="0"/>
                  <w:vAlign w:val="center"/>
                </w:tcPr>
                <w:p w14:paraId="05519ECD">
                  <w:pPr>
                    <w:pStyle w:val="208"/>
                    <w:shd w:val="clear"/>
                    <w:spacing w:line="280" w:lineRule="exact"/>
                    <w:ind w:left="0" w:leftChars="0" w:firstLine="0" w:firstLineChars="0"/>
                    <w:jc w:val="center"/>
                    <w:rPr>
                      <w:color w:val="auto"/>
                    </w:rPr>
                  </w:pPr>
                </w:p>
              </w:tc>
              <w:tc>
                <w:tcPr>
                  <w:tcW w:w="983" w:type="dxa"/>
                  <w:vMerge w:val="continue"/>
                  <w:shd w:val="clear" w:color="auto" w:fill="auto"/>
                  <w:noWrap w:val="0"/>
                  <w:vAlign w:val="center"/>
                </w:tcPr>
                <w:p w14:paraId="2B240F6B">
                  <w:pPr>
                    <w:pStyle w:val="208"/>
                    <w:shd w:val="clear"/>
                    <w:spacing w:line="280" w:lineRule="exact"/>
                    <w:ind w:left="0" w:leftChars="0" w:firstLine="0" w:firstLineChars="0"/>
                    <w:jc w:val="center"/>
                    <w:rPr>
                      <w:color w:val="auto"/>
                    </w:rPr>
                  </w:pPr>
                </w:p>
              </w:tc>
              <w:tc>
                <w:tcPr>
                  <w:tcW w:w="633" w:type="dxa"/>
                  <w:shd w:val="clear" w:color="auto" w:fill="auto"/>
                  <w:noWrap w:val="0"/>
                  <w:vAlign w:val="center"/>
                </w:tcPr>
                <w:p w14:paraId="653413F4">
                  <w:pPr>
                    <w:pStyle w:val="208"/>
                    <w:shd w:val="clear"/>
                    <w:spacing w:line="280" w:lineRule="exact"/>
                    <w:ind w:left="0" w:leftChars="0" w:firstLine="0" w:firstLineChars="0"/>
                    <w:jc w:val="center"/>
                    <w:rPr>
                      <w:rFonts w:hint="default" w:ascii="Times New Roman" w:hAnsi="Times New Roman"/>
                      <w:color w:val="auto"/>
                      <w:sz w:val="21"/>
                      <w:szCs w:val="21"/>
                      <w:highlight w:val="none"/>
                      <w:lang w:val="en-US" w:eastAsia="zh-CN"/>
                    </w:rPr>
                  </w:pPr>
                  <w:r>
                    <w:rPr>
                      <w:rFonts w:hint="eastAsia" w:ascii="Times New Roman" w:hAnsi="Times New Roman"/>
                      <w:color w:val="auto"/>
                      <w:sz w:val="21"/>
                      <w:szCs w:val="21"/>
                      <w:highlight w:val="none"/>
                      <w:lang w:val="en-US" w:eastAsia="zh-CN"/>
                    </w:rPr>
                    <w:t>DA003</w:t>
                  </w:r>
                </w:p>
              </w:tc>
              <w:tc>
                <w:tcPr>
                  <w:tcW w:w="817" w:type="dxa"/>
                  <w:shd w:val="clear" w:color="auto" w:fill="auto"/>
                  <w:noWrap w:val="0"/>
                  <w:vAlign w:val="center"/>
                </w:tcPr>
                <w:p w14:paraId="73536475">
                  <w:pPr>
                    <w:pStyle w:val="208"/>
                    <w:shd w:val="clear"/>
                    <w:spacing w:line="280" w:lineRule="exact"/>
                    <w:ind w:left="0" w:leftChars="0" w:firstLine="0" w:firstLineChars="0"/>
                    <w:jc w:val="center"/>
                    <w:rPr>
                      <w:rFonts w:hint="eastAsia" w:ascii="Times New Roman" w:hAnsi="Times New Roman"/>
                      <w:color w:val="auto"/>
                      <w:sz w:val="21"/>
                      <w:szCs w:val="21"/>
                      <w:highlight w:val="none"/>
                      <w:lang w:val="en-US" w:eastAsia="zh-CN"/>
                    </w:rPr>
                  </w:pPr>
                  <w:r>
                    <w:rPr>
                      <w:rFonts w:hint="eastAsia" w:ascii="Times New Roman" w:hAnsi="Times New Roman"/>
                      <w:color w:val="auto"/>
                      <w:sz w:val="21"/>
                      <w:szCs w:val="21"/>
                      <w:highlight w:val="none"/>
                      <w:lang w:val="en-US" w:eastAsia="zh-CN"/>
                    </w:rPr>
                    <w:t>非甲烷总烃</w:t>
                  </w:r>
                </w:p>
              </w:tc>
              <w:tc>
                <w:tcPr>
                  <w:tcW w:w="917" w:type="dxa"/>
                  <w:shd w:val="clear" w:color="auto" w:fill="auto"/>
                  <w:noWrap w:val="0"/>
                  <w:vAlign w:val="center"/>
                </w:tcPr>
                <w:p w14:paraId="06BE334F">
                  <w:pPr>
                    <w:pStyle w:val="208"/>
                    <w:shd w:val="clear"/>
                    <w:spacing w:line="280" w:lineRule="exact"/>
                    <w:ind w:left="0" w:leftChars="0" w:firstLine="0" w:firstLineChars="0"/>
                    <w:jc w:val="center"/>
                    <w:rPr>
                      <w:rFonts w:hint="default" w:ascii="Times New Roman" w:hAnsi="Times New Roman"/>
                      <w:color w:val="auto"/>
                      <w:sz w:val="21"/>
                      <w:szCs w:val="21"/>
                      <w:highlight w:val="none"/>
                      <w:lang w:val="en-US" w:eastAsia="zh-CN"/>
                    </w:rPr>
                  </w:pPr>
                  <w:r>
                    <w:rPr>
                      <w:rFonts w:hint="eastAsia" w:ascii="Times New Roman"/>
                      <w:color w:val="auto"/>
                      <w:sz w:val="21"/>
                      <w:szCs w:val="21"/>
                      <w:highlight w:val="none"/>
                      <w:lang w:val="en-US" w:eastAsia="zh-CN"/>
                    </w:rPr>
                    <w:t>/</w:t>
                  </w:r>
                </w:p>
              </w:tc>
              <w:tc>
                <w:tcPr>
                  <w:tcW w:w="867" w:type="dxa"/>
                  <w:shd w:val="clear" w:color="auto" w:fill="auto"/>
                  <w:noWrap w:val="0"/>
                  <w:vAlign w:val="center"/>
                </w:tcPr>
                <w:p w14:paraId="000EBF21">
                  <w:pPr>
                    <w:pStyle w:val="208"/>
                    <w:shd w:val="clear"/>
                    <w:spacing w:line="280" w:lineRule="exact"/>
                    <w:ind w:left="0" w:leftChars="0" w:firstLine="0" w:firstLineChars="0"/>
                    <w:jc w:val="center"/>
                    <w:rPr>
                      <w:rFonts w:hint="default" w:ascii="Times New Roman" w:hAnsi="Times New Roman"/>
                      <w:color w:val="auto"/>
                      <w:sz w:val="21"/>
                      <w:szCs w:val="21"/>
                      <w:highlight w:val="none"/>
                      <w:lang w:val="en-US" w:eastAsia="zh-CN"/>
                    </w:rPr>
                  </w:pPr>
                  <w:r>
                    <w:rPr>
                      <w:rFonts w:hint="eastAsia" w:ascii="Times New Roman"/>
                      <w:color w:val="auto"/>
                      <w:sz w:val="21"/>
                      <w:szCs w:val="21"/>
                      <w:highlight w:val="none"/>
                      <w:lang w:val="en-US" w:eastAsia="zh-CN"/>
                    </w:rPr>
                    <w:t>/</w:t>
                  </w:r>
                </w:p>
              </w:tc>
              <w:tc>
                <w:tcPr>
                  <w:tcW w:w="788" w:type="dxa"/>
                  <w:vMerge w:val="continue"/>
                  <w:shd w:val="clear" w:color="auto" w:fill="auto"/>
                  <w:noWrap w:val="0"/>
                  <w:vAlign w:val="center"/>
                </w:tcPr>
                <w:p w14:paraId="735600EE">
                  <w:pPr>
                    <w:pStyle w:val="208"/>
                    <w:shd w:val="clear"/>
                    <w:spacing w:line="280" w:lineRule="exact"/>
                    <w:ind w:left="0" w:leftChars="0" w:firstLine="0" w:firstLineChars="0"/>
                    <w:jc w:val="center"/>
                    <w:rPr>
                      <w:rFonts w:hint="eastAsia" w:ascii="Times New Roman" w:hAnsi="Times New Roman"/>
                      <w:color w:val="auto"/>
                      <w:sz w:val="21"/>
                      <w:szCs w:val="21"/>
                      <w:highlight w:val="none"/>
                      <w:lang w:val="en-US" w:eastAsia="zh-CN"/>
                    </w:rPr>
                  </w:pPr>
                </w:p>
              </w:tc>
              <w:tc>
                <w:tcPr>
                  <w:tcW w:w="838" w:type="dxa"/>
                  <w:vMerge w:val="continue"/>
                  <w:shd w:val="clear" w:color="auto" w:fill="auto"/>
                  <w:noWrap w:val="0"/>
                  <w:vAlign w:val="center"/>
                </w:tcPr>
                <w:p w14:paraId="21FE0D7B">
                  <w:pPr>
                    <w:pStyle w:val="208"/>
                    <w:shd w:val="clear"/>
                    <w:spacing w:line="280" w:lineRule="exact"/>
                    <w:ind w:left="0" w:leftChars="0" w:firstLine="0" w:firstLineChars="0"/>
                    <w:jc w:val="center"/>
                    <w:rPr>
                      <w:rFonts w:hint="eastAsia" w:ascii="Times New Roman" w:hAnsi="Times New Roman"/>
                      <w:color w:val="auto"/>
                      <w:sz w:val="21"/>
                      <w:szCs w:val="21"/>
                      <w:highlight w:val="none"/>
                      <w:lang w:val="en-US" w:eastAsia="zh-CN"/>
                    </w:rPr>
                  </w:pPr>
                </w:p>
              </w:tc>
              <w:tc>
                <w:tcPr>
                  <w:tcW w:w="1157" w:type="dxa"/>
                  <w:vMerge w:val="continue"/>
                  <w:shd w:val="clear" w:color="auto" w:fill="auto"/>
                  <w:noWrap w:val="0"/>
                  <w:vAlign w:val="center"/>
                </w:tcPr>
                <w:p w14:paraId="057450A8">
                  <w:pPr>
                    <w:pStyle w:val="208"/>
                    <w:shd w:val="clear"/>
                    <w:spacing w:line="280" w:lineRule="exact"/>
                    <w:ind w:left="0" w:leftChars="0" w:firstLine="0" w:firstLineChars="0"/>
                    <w:jc w:val="center"/>
                    <w:rPr>
                      <w:rFonts w:hint="eastAsia" w:ascii="Times New Roman" w:hAnsi="Times New Roman"/>
                      <w:color w:val="auto"/>
                      <w:sz w:val="21"/>
                      <w:szCs w:val="21"/>
                      <w:highlight w:val="none"/>
                      <w:lang w:val="en-US" w:eastAsia="zh-CN"/>
                    </w:rPr>
                  </w:pPr>
                </w:p>
              </w:tc>
            </w:tr>
          </w:tbl>
          <w:p w14:paraId="69B8A326">
            <w:pPr>
              <w:shd w:val="clear"/>
              <w:adjustRightInd w:val="0"/>
              <w:snapToGrid w:val="0"/>
              <w:spacing w:line="360" w:lineRule="auto"/>
              <w:ind w:firstLine="482" w:firstLineChars="200"/>
              <w:rPr>
                <w:rFonts w:ascii="Times New Roman" w:hAnsi="Times New Roman"/>
                <w:color w:val="auto"/>
                <w:kern w:val="0"/>
                <w:sz w:val="24"/>
                <w:highlight w:val="none"/>
              </w:rPr>
            </w:pPr>
            <w:r>
              <w:rPr>
                <w:rFonts w:hint="eastAsia" w:ascii="Times New Roman" w:hAnsi="Times New Roman"/>
                <w:b/>
                <w:bCs/>
                <w:color w:val="auto"/>
                <w:sz w:val="24"/>
                <w:highlight w:val="none"/>
                <w:lang w:val="en-US" w:eastAsia="zh-CN"/>
              </w:rPr>
              <w:t>5</w:t>
            </w:r>
            <w:r>
              <w:rPr>
                <w:rFonts w:hint="eastAsia" w:ascii="Times New Roman" w:hAnsi="Times New Roman"/>
                <w:b/>
                <w:bCs/>
                <w:color w:val="auto"/>
                <w:sz w:val="24"/>
                <w:highlight w:val="none"/>
              </w:rPr>
              <w:t>、监测要求</w:t>
            </w:r>
          </w:p>
          <w:p w14:paraId="362D8025">
            <w:pPr>
              <w:shd w:val="clear"/>
              <w:spacing w:line="360" w:lineRule="auto"/>
              <w:ind w:firstLine="480" w:firstLineChars="200"/>
              <w:jc w:val="left"/>
              <w:rPr>
                <w:rFonts w:ascii="Times New Roman" w:hAnsi="Times New Roman"/>
                <w:color w:val="auto"/>
                <w:sz w:val="24"/>
                <w:highlight w:val="none"/>
              </w:rPr>
            </w:pPr>
            <w:r>
              <w:rPr>
                <w:rFonts w:hint="eastAsia" w:ascii="Times New Roman" w:hAnsi="Times New Roman" w:eastAsia="宋体" w:cs="Times New Roman"/>
                <w:color w:val="auto"/>
                <w:sz w:val="24"/>
                <w:highlight w:val="none"/>
                <w:lang w:val="en-US" w:eastAsia="zh-CN"/>
              </w:rPr>
              <w:t>参照</w:t>
            </w:r>
            <w:r>
              <w:rPr>
                <w:rFonts w:hint="eastAsia" w:ascii="Times New Roman" w:hAnsi="Times New Roman" w:eastAsia="宋体" w:cs="Times New Roman"/>
                <w:color w:val="auto"/>
                <w:sz w:val="24"/>
                <w:highlight w:val="none"/>
                <w:lang w:eastAsia="zh-CN"/>
              </w:rPr>
              <w:t>《</w:t>
            </w:r>
            <w:r>
              <w:rPr>
                <w:rFonts w:hint="eastAsia" w:ascii="Times New Roman" w:hAnsi="Times New Roman" w:eastAsia="宋体" w:cs="Times New Roman"/>
                <w:color w:val="auto"/>
                <w:sz w:val="24"/>
                <w:highlight w:val="none"/>
                <w:lang w:val="en-US" w:eastAsia="zh-CN"/>
              </w:rPr>
              <w:t>排污许可</w:t>
            </w:r>
            <w:r>
              <w:rPr>
                <w:rFonts w:hint="eastAsia" w:cs="Times New Roman"/>
                <w:color w:val="auto"/>
                <w:sz w:val="24"/>
                <w:highlight w:val="none"/>
                <w:lang w:val="en-US" w:eastAsia="zh-CN"/>
              </w:rPr>
              <w:t>申请与核发技术规范 电池工业</w:t>
            </w:r>
            <w:r>
              <w:rPr>
                <w:rFonts w:hint="eastAsia" w:ascii="Times New Roman" w:hAnsi="Times New Roman" w:eastAsia="宋体" w:cs="Times New Roman"/>
                <w:color w:val="auto"/>
                <w:sz w:val="24"/>
                <w:highlight w:val="none"/>
                <w:lang w:eastAsia="zh-CN"/>
              </w:rPr>
              <w:t>》</w:t>
            </w:r>
            <w:r>
              <w:rPr>
                <w:rFonts w:hint="eastAsia" w:cs="Times New Roman"/>
                <w:color w:val="auto"/>
                <w:sz w:val="24"/>
                <w:highlight w:val="none"/>
                <w:lang w:eastAsia="zh-CN"/>
              </w:rPr>
              <w:t>（</w:t>
            </w:r>
            <w:r>
              <w:rPr>
                <w:rFonts w:hint="eastAsia" w:cs="Times New Roman"/>
                <w:color w:val="auto"/>
                <w:sz w:val="24"/>
                <w:highlight w:val="none"/>
                <w:lang w:val="en-US" w:eastAsia="zh-CN"/>
              </w:rPr>
              <w:t>HJ 967-2018</w:t>
            </w:r>
            <w:r>
              <w:rPr>
                <w:rFonts w:hint="eastAsia" w:cs="Times New Roman"/>
                <w:color w:val="auto"/>
                <w:sz w:val="24"/>
                <w:highlight w:val="none"/>
                <w:lang w:eastAsia="zh-CN"/>
              </w:rPr>
              <w:t>）</w:t>
            </w:r>
            <w:r>
              <w:rPr>
                <w:rFonts w:hint="eastAsia" w:cs="Times New Roman"/>
                <w:color w:val="auto"/>
                <w:sz w:val="24"/>
                <w:highlight w:val="none"/>
                <w:lang w:val="en-US" w:eastAsia="zh-CN"/>
              </w:rPr>
              <w:t>与《排污单位自行监测技术指南 电池工业》（HJ 1204-2021）</w:t>
            </w:r>
            <w:r>
              <w:rPr>
                <w:rFonts w:hint="eastAsia" w:ascii="宋体" w:hAnsi="宋体" w:eastAsia="宋体" w:cs="宋体"/>
                <w:color w:val="auto"/>
                <w:sz w:val="24"/>
                <w:highlight w:val="none"/>
              </w:rPr>
              <w:t>，</w:t>
            </w:r>
            <w:r>
              <w:rPr>
                <w:rFonts w:hint="eastAsia" w:ascii="Times New Roman" w:hAnsi="Times New Roman"/>
                <w:color w:val="auto"/>
                <w:sz w:val="24"/>
                <w:highlight w:val="none"/>
              </w:rPr>
              <w:t>本项目废气自行监测要求如下。</w:t>
            </w:r>
          </w:p>
          <w:p w14:paraId="6A168FF0">
            <w:pPr>
              <w:pStyle w:val="208"/>
              <w:shd w:val="clear"/>
              <w:spacing w:line="240" w:lineRule="auto"/>
              <w:ind w:firstLine="0"/>
              <w:jc w:val="center"/>
              <w:rPr>
                <w:rFonts w:hint="eastAsia" w:ascii="Times New Roman" w:hAnsi="Times New Roman" w:eastAsia="宋体" w:cs="Times New Roman"/>
                <w:b/>
                <w:bCs/>
                <w:color w:val="auto"/>
                <w:kern w:val="0"/>
                <w:sz w:val="21"/>
                <w:szCs w:val="21"/>
                <w:highlight w:val="none"/>
                <w:lang w:val="en-US" w:eastAsia="zh-CN"/>
              </w:rPr>
            </w:pPr>
            <w:r>
              <w:rPr>
                <w:rFonts w:hint="eastAsia" w:ascii="Times New Roman" w:hAnsi="Times New Roman" w:eastAsia="宋体" w:cs="Times New Roman"/>
                <w:b/>
                <w:bCs/>
                <w:color w:val="auto"/>
                <w:kern w:val="0"/>
                <w:sz w:val="21"/>
                <w:szCs w:val="21"/>
                <w:highlight w:val="none"/>
                <w:lang w:val="en-US" w:eastAsia="zh-CN"/>
              </w:rPr>
              <w:t>表4-</w:t>
            </w:r>
            <w:r>
              <w:rPr>
                <w:rFonts w:hint="eastAsia" w:ascii="Times New Roman" w:cs="Times New Roman"/>
                <w:b/>
                <w:bCs/>
                <w:color w:val="auto"/>
                <w:kern w:val="0"/>
                <w:sz w:val="21"/>
                <w:szCs w:val="21"/>
                <w:highlight w:val="none"/>
                <w:lang w:val="en-US" w:eastAsia="zh-CN"/>
              </w:rPr>
              <w:t>8</w:t>
            </w:r>
            <w:r>
              <w:rPr>
                <w:rFonts w:hint="eastAsia" w:ascii="Times New Roman" w:hAnsi="Times New Roman" w:eastAsia="宋体" w:cs="Times New Roman"/>
                <w:b/>
                <w:bCs/>
                <w:color w:val="auto"/>
                <w:kern w:val="0"/>
                <w:sz w:val="21"/>
                <w:szCs w:val="21"/>
                <w:highlight w:val="none"/>
                <w:lang w:val="en-US" w:eastAsia="zh-CN"/>
              </w:rPr>
              <w:t xml:space="preserve"> 废气污染物排放标准及自行监测要求</w:t>
            </w:r>
          </w:p>
          <w:tbl>
            <w:tblPr>
              <w:tblStyle w:val="41"/>
              <w:tblW w:w="7818"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445"/>
              <w:gridCol w:w="829"/>
              <w:gridCol w:w="956"/>
              <w:gridCol w:w="1815"/>
              <w:gridCol w:w="1245"/>
              <w:gridCol w:w="2528"/>
            </w:tblGrid>
            <w:tr w14:paraId="5F22704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445" w:type="dxa"/>
                  <w:shd w:val="clear" w:color="auto" w:fill="auto"/>
                  <w:noWrap w:val="0"/>
                  <w:vAlign w:val="center"/>
                </w:tcPr>
                <w:p w14:paraId="1EDDAFB0">
                  <w:pPr>
                    <w:pStyle w:val="208"/>
                    <w:shd w:val="clear"/>
                    <w:spacing w:line="280" w:lineRule="exact"/>
                    <w:ind w:firstLine="0"/>
                    <w:jc w:val="center"/>
                    <w:rPr>
                      <w:rFonts w:ascii="Times New Roman" w:hAnsi="Times New Roman"/>
                      <w:b/>
                      <w:bCs/>
                      <w:color w:val="auto"/>
                      <w:sz w:val="21"/>
                      <w:szCs w:val="21"/>
                      <w:highlight w:val="none"/>
                    </w:rPr>
                  </w:pPr>
                  <w:r>
                    <w:rPr>
                      <w:rFonts w:hint="eastAsia" w:ascii="Times New Roman" w:hAnsi="Times New Roman"/>
                      <w:b/>
                      <w:bCs/>
                      <w:color w:val="auto"/>
                      <w:sz w:val="21"/>
                      <w:szCs w:val="21"/>
                      <w:highlight w:val="none"/>
                    </w:rPr>
                    <w:t>序号</w:t>
                  </w:r>
                </w:p>
              </w:tc>
              <w:tc>
                <w:tcPr>
                  <w:tcW w:w="1785" w:type="dxa"/>
                  <w:gridSpan w:val="2"/>
                  <w:shd w:val="clear" w:color="auto" w:fill="auto"/>
                  <w:noWrap w:val="0"/>
                  <w:vAlign w:val="center"/>
                </w:tcPr>
                <w:p w14:paraId="763A62FE">
                  <w:pPr>
                    <w:pStyle w:val="208"/>
                    <w:shd w:val="clear"/>
                    <w:spacing w:line="280" w:lineRule="exact"/>
                    <w:ind w:firstLine="0"/>
                    <w:jc w:val="center"/>
                    <w:rPr>
                      <w:rFonts w:ascii="Times New Roman" w:hAnsi="Times New Roman"/>
                      <w:b/>
                      <w:bCs/>
                      <w:color w:val="auto"/>
                      <w:sz w:val="21"/>
                      <w:szCs w:val="21"/>
                      <w:highlight w:val="none"/>
                    </w:rPr>
                  </w:pPr>
                  <w:r>
                    <w:rPr>
                      <w:rFonts w:hint="eastAsia" w:ascii="Times New Roman" w:hAnsi="Times New Roman"/>
                      <w:b/>
                      <w:bCs/>
                      <w:color w:val="auto"/>
                      <w:sz w:val="21"/>
                      <w:szCs w:val="21"/>
                      <w:highlight w:val="none"/>
                    </w:rPr>
                    <w:t>监测点位</w:t>
                  </w:r>
                </w:p>
              </w:tc>
              <w:tc>
                <w:tcPr>
                  <w:tcW w:w="1815" w:type="dxa"/>
                  <w:shd w:val="clear" w:color="auto" w:fill="auto"/>
                  <w:noWrap w:val="0"/>
                  <w:vAlign w:val="center"/>
                </w:tcPr>
                <w:p w14:paraId="25109E5C">
                  <w:pPr>
                    <w:pStyle w:val="208"/>
                    <w:shd w:val="clear"/>
                    <w:spacing w:line="280" w:lineRule="exact"/>
                    <w:ind w:firstLine="0"/>
                    <w:jc w:val="center"/>
                    <w:rPr>
                      <w:rFonts w:ascii="Times New Roman" w:hAnsi="Times New Roman"/>
                      <w:b/>
                      <w:bCs/>
                      <w:color w:val="auto"/>
                      <w:sz w:val="21"/>
                      <w:szCs w:val="21"/>
                      <w:highlight w:val="none"/>
                    </w:rPr>
                  </w:pPr>
                  <w:r>
                    <w:rPr>
                      <w:rFonts w:hint="eastAsia" w:ascii="Times New Roman" w:hAnsi="Times New Roman"/>
                      <w:b/>
                      <w:bCs/>
                      <w:color w:val="auto"/>
                      <w:sz w:val="21"/>
                      <w:szCs w:val="21"/>
                      <w:highlight w:val="none"/>
                    </w:rPr>
                    <w:t>监测因子</w:t>
                  </w:r>
                </w:p>
              </w:tc>
              <w:tc>
                <w:tcPr>
                  <w:tcW w:w="1245" w:type="dxa"/>
                  <w:shd w:val="clear" w:color="auto" w:fill="auto"/>
                  <w:noWrap w:val="0"/>
                  <w:vAlign w:val="center"/>
                </w:tcPr>
                <w:p w14:paraId="5299DABB">
                  <w:pPr>
                    <w:pStyle w:val="208"/>
                    <w:shd w:val="clear"/>
                    <w:spacing w:line="280" w:lineRule="exact"/>
                    <w:ind w:firstLine="0"/>
                    <w:jc w:val="center"/>
                    <w:rPr>
                      <w:rFonts w:ascii="Times New Roman" w:hAnsi="Times New Roman"/>
                      <w:b/>
                      <w:bCs/>
                      <w:color w:val="auto"/>
                      <w:sz w:val="21"/>
                      <w:szCs w:val="21"/>
                      <w:highlight w:val="none"/>
                    </w:rPr>
                  </w:pPr>
                  <w:r>
                    <w:rPr>
                      <w:rFonts w:hint="eastAsia" w:ascii="Times New Roman" w:hAnsi="Times New Roman"/>
                      <w:b/>
                      <w:bCs/>
                      <w:color w:val="auto"/>
                      <w:sz w:val="21"/>
                      <w:szCs w:val="21"/>
                      <w:highlight w:val="none"/>
                    </w:rPr>
                    <w:t>监测频次</w:t>
                  </w:r>
                </w:p>
              </w:tc>
              <w:tc>
                <w:tcPr>
                  <w:tcW w:w="2528" w:type="dxa"/>
                  <w:shd w:val="clear" w:color="auto" w:fill="auto"/>
                  <w:noWrap w:val="0"/>
                  <w:vAlign w:val="center"/>
                </w:tcPr>
                <w:p w14:paraId="3E5428FC">
                  <w:pPr>
                    <w:pStyle w:val="208"/>
                    <w:shd w:val="clear"/>
                    <w:spacing w:line="280" w:lineRule="exact"/>
                    <w:ind w:firstLine="0"/>
                    <w:jc w:val="center"/>
                    <w:rPr>
                      <w:rFonts w:ascii="Times New Roman" w:hAnsi="Times New Roman"/>
                      <w:b/>
                      <w:bCs/>
                      <w:color w:val="auto"/>
                      <w:sz w:val="21"/>
                      <w:szCs w:val="21"/>
                      <w:highlight w:val="none"/>
                    </w:rPr>
                  </w:pPr>
                  <w:r>
                    <w:rPr>
                      <w:rFonts w:hint="eastAsia" w:ascii="Times New Roman" w:hAnsi="Times New Roman"/>
                      <w:b/>
                      <w:bCs/>
                      <w:color w:val="auto"/>
                      <w:sz w:val="21"/>
                      <w:szCs w:val="21"/>
                      <w:highlight w:val="none"/>
                    </w:rPr>
                    <w:t>执行排放标准</w:t>
                  </w:r>
                </w:p>
              </w:tc>
            </w:tr>
            <w:tr w14:paraId="788CC63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445" w:type="dxa"/>
                  <w:vMerge w:val="restart"/>
                  <w:shd w:val="clear" w:color="auto" w:fill="auto"/>
                  <w:noWrap w:val="0"/>
                  <w:vAlign w:val="center"/>
                </w:tcPr>
                <w:p w14:paraId="26E786C9">
                  <w:pPr>
                    <w:pStyle w:val="208"/>
                    <w:shd w:val="clear"/>
                    <w:spacing w:line="280" w:lineRule="exact"/>
                    <w:ind w:firstLine="0"/>
                    <w:jc w:val="center"/>
                    <w:rPr>
                      <w:rFonts w:hint="eastAsia" w:ascii="Times New Roman" w:hAnsi="Times New Roman" w:eastAsia="宋体"/>
                      <w:color w:val="auto"/>
                      <w:sz w:val="21"/>
                      <w:szCs w:val="21"/>
                      <w:highlight w:val="none"/>
                      <w:lang w:val="en-US" w:eastAsia="zh-CN"/>
                    </w:rPr>
                  </w:pPr>
                  <w:r>
                    <w:rPr>
                      <w:rFonts w:hint="eastAsia" w:ascii="Times New Roman" w:hAnsi="Times New Roman"/>
                      <w:color w:val="auto"/>
                      <w:sz w:val="21"/>
                      <w:szCs w:val="21"/>
                      <w:highlight w:val="none"/>
                      <w:lang w:val="en-US" w:eastAsia="zh-CN"/>
                    </w:rPr>
                    <w:t>1</w:t>
                  </w:r>
                </w:p>
              </w:tc>
              <w:tc>
                <w:tcPr>
                  <w:tcW w:w="829" w:type="dxa"/>
                  <w:vMerge w:val="restart"/>
                  <w:shd w:val="clear" w:color="auto" w:fill="auto"/>
                  <w:noWrap w:val="0"/>
                  <w:vAlign w:val="center"/>
                </w:tcPr>
                <w:p w14:paraId="5607DF9D">
                  <w:pPr>
                    <w:pStyle w:val="208"/>
                    <w:shd w:val="clear"/>
                    <w:spacing w:line="280" w:lineRule="exact"/>
                    <w:ind w:firstLine="0"/>
                    <w:jc w:val="center"/>
                    <w:rPr>
                      <w:rFonts w:hint="default" w:ascii="Times New Roman" w:hAnsi="Times New Roman"/>
                      <w:color w:val="auto"/>
                      <w:sz w:val="21"/>
                      <w:szCs w:val="21"/>
                      <w:highlight w:val="none"/>
                      <w:lang w:val="en-US" w:eastAsia="zh-CN"/>
                    </w:rPr>
                  </w:pPr>
                  <w:r>
                    <w:rPr>
                      <w:rFonts w:hint="eastAsia" w:ascii="Times New Roman" w:hAnsi="Times New Roman"/>
                      <w:color w:val="auto"/>
                      <w:sz w:val="21"/>
                      <w:szCs w:val="21"/>
                      <w:highlight w:val="none"/>
                      <w:lang w:val="en-US" w:eastAsia="zh-CN"/>
                    </w:rPr>
                    <w:t>有组织排放监测</w:t>
                  </w:r>
                </w:p>
              </w:tc>
              <w:tc>
                <w:tcPr>
                  <w:tcW w:w="956" w:type="dxa"/>
                  <w:shd w:val="clear" w:color="auto" w:fill="auto"/>
                  <w:noWrap w:val="0"/>
                  <w:vAlign w:val="center"/>
                </w:tcPr>
                <w:p w14:paraId="70DD6FCF">
                  <w:pPr>
                    <w:pStyle w:val="208"/>
                    <w:shd w:val="clear"/>
                    <w:spacing w:line="280" w:lineRule="exact"/>
                    <w:ind w:firstLine="0"/>
                    <w:jc w:val="center"/>
                    <w:rPr>
                      <w:rFonts w:hint="default" w:ascii="Times New Roman" w:hAnsi="Times New Roman"/>
                      <w:color w:val="auto"/>
                      <w:sz w:val="21"/>
                      <w:szCs w:val="21"/>
                      <w:highlight w:val="none"/>
                      <w:lang w:val="en-US" w:eastAsia="zh-CN"/>
                    </w:rPr>
                  </w:pPr>
                  <w:r>
                    <w:rPr>
                      <w:rFonts w:hint="eastAsia" w:ascii="Times New Roman" w:hAnsi="Times New Roman"/>
                      <w:color w:val="auto"/>
                      <w:sz w:val="21"/>
                      <w:szCs w:val="21"/>
                      <w:highlight w:val="none"/>
                      <w:lang w:val="en-US" w:eastAsia="zh-CN"/>
                    </w:rPr>
                    <w:t>DA001</w:t>
                  </w:r>
                </w:p>
              </w:tc>
              <w:tc>
                <w:tcPr>
                  <w:tcW w:w="1815" w:type="dxa"/>
                  <w:shd w:val="clear" w:color="auto" w:fill="auto"/>
                  <w:noWrap w:val="0"/>
                  <w:vAlign w:val="center"/>
                </w:tcPr>
                <w:p w14:paraId="133F41D4">
                  <w:pPr>
                    <w:pStyle w:val="208"/>
                    <w:shd w:val="clear"/>
                    <w:spacing w:line="280" w:lineRule="exact"/>
                    <w:ind w:firstLine="0"/>
                    <w:jc w:val="center"/>
                    <w:rPr>
                      <w:rFonts w:hint="default" w:ascii="Times New Roman" w:hAnsi="Times New Roman" w:eastAsia="宋体" w:cs="Times New Roman"/>
                      <w:b w:val="0"/>
                      <w:bCs w:val="0"/>
                      <w:i w:val="0"/>
                      <w:caps w:val="0"/>
                      <w:color w:val="auto"/>
                      <w:spacing w:val="0"/>
                      <w:kern w:val="2"/>
                      <w:sz w:val="21"/>
                      <w:szCs w:val="21"/>
                      <w:highlight w:val="none"/>
                      <w:shd w:val="clear" w:color="auto" w:fill="FFFFFF"/>
                      <w:vertAlign w:val="baseline"/>
                      <w:lang w:val="en-US" w:eastAsia="zh-CN" w:bidi="ar-SA"/>
                    </w:rPr>
                  </w:pPr>
                  <w:r>
                    <w:rPr>
                      <w:rFonts w:hint="eastAsia" w:ascii="Times New Roman" w:hAnsi="Times New Roman" w:eastAsia="宋体" w:cs="Times New Roman"/>
                      <w:b w:val="0"/>
                      <w:bCs w:val="0"/>
                      <w:i w:val="0"/>
                      <w:caps w:val="0"/>
                      <w:color w:val="auto"/>
                      <w:spacing w:val="0"/>
                      <w:kern w:val="2"/>
                      <w:sz w:val="21"/>
                      <w:szCs w:val="21"/>
                      <w:highlight w:val="none"/>
                      <w:shd w:val="clear" w:color="auto" w:fill="FFFFFF"/>
                      <w:vertAlign w:val="baseline"/>
                      <w:lang w:val="en-US" w:eastAsia="zh-CN" w:bidi="ar-SA"/>
                    </w:rPr>
                    <w:t>挥发性有机物（以非甲烷总烃计）</w:t>
                  </w:r>
                </w:p>
              </w:tc>
              <w:tc>
                <w:tcPr>
                  <w:tcW w:w="1245" w:type="dxa"/>
                  <w:shd w:val="clear" w:color="auto" w:fill="auto"/>
                  <w:noWrap w:val="0"/>
                  <w:vAlign w:val="center"/>
                </w:tcPr>
                <w:p w14:paraId="7BB1BD7F">
                  <w:pPr>
                    <w:pStyle w:val="208"/>
                    <w:shd w:val="clear"/>
                    <w:spacing w:line="280" w:lineRule="exact"/>
                    <w:ind w:firstLine="0"/>
                    <w:jc w:val="center"/>
                    <w:rPr>
                      <w:rFonts w:hint="default" w:ascii="Times New Roman" w:hAnsi="Times New Roman" w:eastAsia="宋体" w:cs="Times New Roman"/>
                      <w:b w:val="0"/>
                      <w:bCs w:val="0"/>
                      <w:i w:val="0"/>
                      <w:caps w:val="0"/>
                      <w:color w:val="auto"/>
                      <w:spacing w:val="0"/>
                      <w:kern w:val="2"/>
                      <w:sz w:val="21"/>
                      <w:szCs w:val="21"/>
                      <w:highlight w:val="none"/>
                      <w:shd w:val="clear" w:color="auto" w:fill="FFFFFF"/>
                      <w:vertAlign w:val="baseline"/>
                      <w:lang w:val="en-US" w:eastAsia="zh-CN" w:bidi="ar-SA"/>
                    </w:rPr>
                  </w:pPr>
                  <w:r>
                    <w:rPr>
                      <w:rFonts w:hint="default" w:ascii="Times New Roman" w:hAnsi="Times New Roman" w:eastAsia="宋体" w:cs="Times New Roman"/>
                      <w:b w:val="0"/>
                      <w:bCs w:val="0"/>
                      <w:i w:val="0"/>
                      <w:caps w:val="0"/>
                      <w:color w:val="auto"/>
                      <w:spacing w:val="0"/>
                      <w:kern w:val="2"/>
                      <w:sz w:val="21"/>
                      <w:szCs w:val="21"/>
                      <w:highlight w:val="none"/>
                      <w:shd w:val="clear" w:color="auto" w:fill="FFFFFF"/>
                      <w:vertAlign w:val="baseline"/>
                      <w:lang w:val="en-US" w:eastAsia="zh-CN" w:bidi="ar-SA"/>
                    </w:rPr>
                    <w:t>1次/半年</w:t>
                  </w:r>
                </w:p>
              </w:tc>
              <w:tc>
                <w:tcPr>
                  <w:tcW w:w="2528" w:type="dxa"/>
                  <w:vMerge w:val="restart"/>
                  <w:shd w:val="clear" w:color="auto" w:fill="auto"/>
                  <w:noWrap w:val="0"/>
                  <w:vAlign w:val="center"/>
                </w:tcPr>
                <w:p w14:paraId="398330E4">
                  <w:pPr>
                    <w:pStyle w:val="208"/>
                    <w:shd w:val="clear"/>
                    <w:spacing w:line="280" w:lineRule="exact"/>
                    <w:ind w:firstLine="0"/>
                    <w:jc w:val="center"/>
                    <w:rPr>
                      <w:rFonts w:hint="eastAsia" w:ascii="Times New Roman" w:hAnsi="Times New Roman" w:eastAsia="宋体" w:cs="Times New Roman"/>
                      <w:b w:val="0"/>
                      <w:bCs w:val="0"/>
                      <w:i w:val="0"/>
                      <w:caps w:val="0"/>
                      <w:color w:val="auto"/>
                      <w:spacing w:val="0"/>
                      <w:kern w:val="2"/>
                      <w:sz w:val="21"/>
                      <w:szCs w:val="21"/>
                      <w:highlight w:val="none"/>
                      <w:shd w:val="clear" w:color="auto" w:fill="FFFFFF"/>
                      <w:vertAlign w:val="baseline"/>
                      <w:lang w:val="en-US" w:eastAsia="zh-CN" w:bidi="ar-SA"/>
                    </w:rPr>
                  </w:pPr>
                  <w:r>
                    <w:rPr>
                      <w:rFonts w:hint="eastAsia" w:ascii="Times New Roman" w:hAnsi="Times New Roman" w:eastAsia="宋体" w:cs="Times New Roman"/>
                      <w:b w:val="0"/>
                      <w:bCs w:val="0"/>
                      <w:i w:val="0"/>
                      <w:caps w:val="0"/>
                      <w:color w:val="auto"/>
                      <w:spacing w:val="0"/>
                      <w:kern w:val="2"/>
                      <w:sz w:val="21"/>
                      <w:szCs w:val="21"/>
                      <w:highlight w:val="none"/>
                      <w:shd w:val="clear" w:color="auto" w:fill="FFFFFF"/>
                      <w:vertAlign w:val="baseline"/>
                      <w:lang w:val="en-US" w:eastAsia="zh-CN" w:bidi="ar-SA"/>
                    </w:rPr>
                    <w:t>《电池工业污染物排放标准》（GB30484-2013）</w:t>
                  </w:r>
                </w:p>
              </w:tc>
            </w:tr>
            <w:tr w14:paraId="1441EF9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63" w:hRule="atLeast"/>
                <w:jc w:val="center"/>
              </w:trPr>
              <w:tc>
                <w:tcPr>
                  <w:tcW w:w="445" w:type="dxa"/>
                  <w:vMerge w:val="continue"/>
                  <w:shd w:val="clear" w:color="auto" w:fill="auto"/>
                  <w:noWrap w:val="0"/>
                  <w:vAlign w:val="center"/>
                </w:tcPr>
                <w:p w14:paraId="53B801AF">
                  <w:pPr>
                    <w:pStyle w:val="208"/>
                    <w:shd w:val="clear"/>
                    <w:spacing w:line="280" w:lineRule="exact"/>
                    <w:ind w:firstLine="0"/>
                    <w:jc w:val="center"/>
                    <w:rPr>
                      <w:rFonts w:hint="eastAsia" w:ascii="Times New Roman" w:hAnsi="Times New Roman" w:eastAsia="宋体"/>
                      <w:color w:val="auto"/>
                      <w:sz w:val="21"/>
                      <w:szCs w:val="21"/>
                      <w:highlight w:val="none"/>
                      <w:lang w:val="en-US" w:eastAsia="zh-CN"/>
                    </w:rPr>
                  </w:pPr>
                </w:p>
              </w:tc>
              <w:tc>
                <w:tcPr>
                  <w:tcW w:w="829" w:type="dxa"/>
                  <w:vMerge w:val="continue"/>
                  <w:shd w:val="clear" w:color="auto" w:fill="auto"/>
                  <w:noWrap w:val="0"/>
                  <w:vAlign w:val="center"/>
                </w:tcPr>
                <w:p w14:paraId="2FD5B952">
                  <w:pPr>
                    <w:pStyle w:val="208"/>
                    <w:shd w:val="clear"/>
                    <w:spacing w:line="280" w:lineRule="exact"/>
                    <w:ind w:firstLine="0"/>
                    <w:jc w:val="center"/>
                    <w:rPr>
                      <w:rFonts w:hint="default" w:ascii="Times New Roman" w:hAnsi="Times New Roman" w:eastAsia="宋体"/>
                      <w:color w:val="auto"/>
                      <w:sz w:val="21"/>
                      <w:szCs w:val="21"/>
                      <w:highlight w:val="none"/>
                      <w:lang w:val="en-US" w:eastAsia="zh-CN"/>
                    </w:rPr>
                  </w:pPr>
                </w:p>
              </w:tc>
              <w:tc>
                <w:tcPr>
                  <w:tcW w:w="956" w:type="dxa"/>
                  <w:shd w:val="clear" w:color="auto" w:fill="auto"/>
                  <w:noWrap w:val="0"/>
                  <w:vAlign w:val="center"/>
                </w:tcPr>
                <w:p w14:paraId="3ADB7766">
                  <w:pPr>
                    <w:pStyle w:val="208"/>
                    <w:shd w:val="clear"/>
                    <w:spacing w:line="280" w:lineRule="exact"/>
                    <w:ind w:firstLine="0"/>
                    <w:jc w:val="center"/>
                    <w:rPr>
                      <w:rFonts w:hint="default" w:ascii="Times New Roman" w:hAnsi="Times New Roman"/>
                      <w:color w:val="auto"/>
                      <w:sz w:val="21"/>
                      <w:szCs w:val="21"/>
                      <w:highlight w:val="none"/>
                      <w:lang w:val="en-US" w:eastAsia="zh-CN"/>
                    </w:rPr>
                  </w:pPr>
                  <w:r>
                    <w:rPr>
                      <w:rFonts w:hint="eastAsia" w:ascii="Times New Roman"/>
                      <w:color w:val="auto"/>
                      <w:sz w:val="21"/>
                      <w:szCs w:val="21"/>
                      <w:highlight w:val="none"/>
                      <w:lang w:val="en-US" w:eastAsia="zh-CN"/>
                    </w:rPr>
                    <w:t>DA002</w:t>
                  </w:r>
                </w:p>
              </w:tc>
              <w:tc>
                <w:tcPr>
                  <w:tcW w:w="1815" w:type="dxa"/>
                  <w:shd w:val="clear" w:color="auto" w:fill="auto"/>
                  <w:noWrap w:val="0"/>
                  <w:vAlign w:val="center"/>
                </w:tcPr>
                <w:p w14:paraId="3956CE5D">
                  <w:pPr>
                    <w:pStyle w:val="208"/>
                    <w:shd w:val="clear"/>
                    <w:spacing w:line="280" w:lineRule="exact"/>
                    <w:ind w:firstLine="0"/>
                    <w:jc w:val="center"/>
                    <w:rPr>
                      <w:rFonts w:hint="default" w:ascii="Times New Roman" w:hAnsi="Times New Roman" w:eastAsia="宋体" w:cs="Times New Roman"/>
                      <w:b w:val="0"/>
                      <w:bCs w:val="0"/>
                      <w:i w:val="0"/>
                      <w:caps w:val="0"/>
                      <w:color w:val="auto"/>
                      <w:spacing w:val="0"/>
                      <w:kern w:val="2"/>
                      <w:sz w:val="21"/>
                      <w:szCs w:val="21"/>
                      <w:highlight w:val="none"/>
                      <w:shd w:val="clear" w:color="auto" w:fill="FFFFFF"/>
                      <w:vertAlign w:val="baseline"/>
                      <w:lang w:val="en-US" w:eastAsia="zh-CN" w:bidi="ar-SA"/>
                    </w:rPr>
                  </w:pPr>
                  <w:r>
                    <w:rPr>
                      <w:rFonts w:hint="eastAsia" w:ascii="Times New Roman" w:hAnsi="Times New Roman" w:eastAsia="宋体" w:cs="Times New Roman"/>
                      <w:b w:val="0"/>
                      <w:bCs w:val="0"/>
                      <w:i w:val="0"/>
                      <w:caps w:val="0"/>
                      <w:color w:val="auto"/>
                      <w:spacing w:val="0"/>
                      <w:kern w:val="2"/>
                      <w:sz w:val="21"/>
                      <w:szCs w:val="21"/>
                      <w:highlight w:val="none"/>
                      <w:shd w:val="clear" w:color="auto" w:fill="FFFFFF"/>
                      <w:vertAlign w:val="baseline"/>
                      <w:lang w:val="en-US" w:eastAsia="zh-CN" w:bidi="ar-SA"/>
                    </w:rPr>
                    <w:t>挥发性有机物（以非甲烷总烃计）</w:t>
                  </w:r>
                </w:p>
              </w:tc>
              <w:tc>
                <w:tcPr>
                  <w:tcW w:w="1245" w:type="dxa"/>
                  <w:shd w:val="clear" w:color="auto" w:fill="auto"/>
                  <w:noWrap w:val="0"/>
                  <w:vAlign w:val="center"/>
                </w:tcPr>
                <w:p w14:paraId="74849EE4">
                  <w:pPr>
                    <w:pStyle w:val="208"/>
                    <w:shd w:val="clear"/>
                    <w:spacing w:line="280" w:lineRule="exact"/>
                    <w:ind w:firstLine="0"/>
                    <w:jc w:val="center"/>
                    <w:rPr>
                      <w:rFonts w:hint="eastAsia" w:ascii="Times New Roman" w:hAnsi="Times New Roman" w:eastAsia="宋体" w:cs="Times New Roman"/>
                      <w:b w:val="0"/>
                      <w:bCs w:val="0"/>
                      <w:i w:val="0"/>
                      <w:caps w:val="0"/>
                      <w:color w:val="auto"/>
                      <w:spacing w:val="0"/>
                      <w:kern w:val="2"/>
                      <w:sz w:val="21"/>
                      <w:szCs w:val="21"/>
                      <w:highlight w:val="none"/>
                      <w:shd w:val="clear" w:color="auto" w:fill="FFFFFF"/>
                      <w:vertAlign w:val="baseline"/>
                      <w:lang w:val="en-US" w:eastAsia="zh-CN" w:bidi="ar-SA"/>
                    </w:rPr>
                  </w:pPr>
                  <w:r>
                    <w:rPr>
                      <w:rFonts w:hint="default" w:ascii="Times New Roman" w:hAnsi="Times New Roman" w:eastAsia="宋体" w:cs="Times New Roman"/>
                      <w:b w:val="0"/>
                      <w:bCs w:val="0"/>
                      <w:i w:val="0"/>
                      <w:caps w:val="0"/>
                      <w:color w:val="auto"/>
                      <w:spacing w:val="0"/>
                      <w:kern w:val="2"/>
                      <w:sz w:val="21"/>
                      <w:szCs w:val="21"/>
                      <w:highlight w:val="none"/>
                      <w:shd w:val="clear" w:color="auto" w:fill="FFFFFF"/>
                      <w:vertAlign w:val="baseline"/>
                      <w:lang w:val="en-US" w:eastAsia="zh-CN" w:bidi="ar-SA"/>
                    </w:rPr>
                    <w:t>1次/半年</w:t>
                  </w:r>
                </w:p>
              </w:tc>
              <w:tc>
                <w:tcPr>
                  <w:tcW w:w="2528" w:type="dxa"/>
                  <w:vMerge w:val="continue"/>
                  <w:shd w:val="clear" w:color="auto" w:fill="auto"/>
                  <w:noWrap w:val="0"/>
                  <w:vAlign w:val="center"/>
                </w:tcPr>
                <w:p w14:paraId="4CD62AA3">
                  <w:pPr>
                    <w:pStyle w:val="208"/>
                    <w:shd w:val="clear"/>
                    <w:spacing w:line="280" w:lineRule="exact"/>
                    <w:ind w:firstLine="0"/>
                    <w:jc w:val="center"/>
                    <w:rPr>
                      <w:rFonts w:hint="eastAsia" w:ascii="Times New Roman" w:hAnsi="Times New Roman" w:eastAsia="宋体" w:cs="Times New Roman"/>
                      <w:b w:val="0"/>
                      <w:bCs w:val="0"/>
                      <w:i w:val="0"/>
                      <w:caps w:val="0"/>
                      <w:color w:val="auto"/>
                      <w:spacing w:val="0"/>
                      <w:kern w:val="2"/>
                      <w:sz w:val="21"/>
                      <w:szCs w:val="21"/>
                      <w:highlight w:val="none"/>
                      <w:shd w:val="clear" w:color="auto" w:fill="FFFFFF"/>
                      <w:vertAlign w:val="baseline"/>
                      <w:lang w:val="en-US" w:eastAsia="zh-CN" w:bidi="ar-SA"/>
                    </w:rPr>
                  </w:pPr>
                </w:p>
              </w:tc>
            </w:tr>
            <w:tr w14:paraId="5430F9D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445" w:type="dxa"/>
                  <w:vMerge w:val="continue"/>
                  <w:shd w:val="clear" w:color="auto" w:fill="auto"/>
                  <w:noWrap w:val="0"/>
                  <w:vAlign w:val="center"/>
                </w:tcPr>
                <w:p w14:paraId="0710C988">
                  <w:pPr>
                    <w:pStyle w:val="208"/>
                    <w:shd w:val="clear"/>
                    <w:spacing w:line="280" w:lineRule="exact"/>
                    <w:ind w:firstLine="0"/>
                    <w:jc w:val="center"/>
                    <w:rPr>
                      <w:rFonts w:hint="eastAsia" w:ascii="Times New Roman" w:hAnsi="Times New Roman" w:eastAsia="宋体"/>
                      <w:color w:val="auto"/>
                      <w:sz w:val="21"/>
                      <w:szCs w:val="21"/>
                      <w:highlight w:val="none"/>
                      <w:lang w:val="en-US" w:eastAsia="zh-CN"/>
                    </w:rPr>
                  </w:pPr>
                </w:p>
              </w:tc>
              <w:tc>
                <w:tcPr>
                  <w:tcW w:w="829" w:type="dxa"/>
                  <w:vMerge w:val="continue"/>
                  <w:shd w:val="clear" w:color="auto" w:fill="auto"/>
                  <w:noWrap w:val="0"/>
                  <w:vAlign w:val="center"/>
                </w:tcPr>
                <w:p w14:paraId="13A25385">
                  <w:pPr>
                    <w:pStyle w:val="208"/>
                    <w:shd w:val="clear"/>
                    <w:spacing w:line="280" w:lineRule="exact"/>
                    <w:ind w:firstLine="0"/>
                    <w:jc w:val="center"/>
                    <w:rPr>
                      <w:rFonts w:hint="default" w:ascii="Times New Roman" w:hAnsi="Times New Roman" w:eastAsia="宋体"/>
                      <w:color w:val="auto"/>
                      <w:sz w:val="21"/>
                      <w:szCs w:val="21"/>
                      <w:highlight w:val="none"/>
                      <w:lang w:val="en-US" w:eastAsia="zh-CN"/>
                    </w:rPr>
                  </w:pPr>
                </w:p>
              </w:tc>
              <w:tc>
                <w:tcPr>
                  <w:tcW w:w="956" w:type="dxa"/>
                  <w:shd w:val="clear" w:color="auto" w:fill="auto"/>
                  <w:noWrap w:val="0"/>
                  <w:vAlign w:val="center"/>
                </w:tcPr>
                <w:p w14:paraId="63C13E5C">
                  <w:pPr>
                    <w:pStyle w:val="208"/>
                    <w:shd w:val="clear"/>
                    <w:spacing w:line="280" w:lineRule="exact"/>
                    <w:ind w:firstLine="0"/>
                    <w:jc w:val="center"/>
                    <w:rPr>
                      <w:rFonts w:hint="eastAsia" w:ascii="Times New Roman"/>
                      <w:color w:val="auto"/>
                      <w:sz w:val="21"/>
                      <w:szCs w:val="21"/>
                      <w:highlight w:val="none"/>
                      <w:lang w:val="en-US" w:eastAsia="zh-CN"/>
                    </w:rPr>
                  </w:pPr>
                  <w:r>
                    <w:rPr>
                      <w:rFonts w:hint="eastAsia" w:ascii="Times New Roman"/>
                      <w:color w:val="auto"/>
                      <w:sz w:val="21"/>
                      <w:szCs w:val="21"/>
                      <w:highlight w:val="none"/>
                      <w:lang w:val="en-US" w:eastAsia="zh-CN"/>
                    </w:rPr>
                    <w:t>DA003</w:t>
                  </w:r>
                </w:p>
              </w:tc>
              <w:tc>
                <w:tcPr>
                  <w:tcW w:w="1815" w:type="dxa"/>
                  <w:shd w:val="clear" w:color="auto" w:fill="auto"/>
                  <w:noWrap w:val="0"/>
                  <w:vAlign w:val="center"/>
                </w:tcPr>
                <w:p w14:paraId="71C451CA">
                  <w:pPr>
                    <w:pStyle w:val="208"/>
                    <w:shd w:val="clear"/>
                    <w:spacing w:line="280" w:lineRule="exact"/>
                    <w:ind w:firstLine="0"/>
                    <w:jc w:val="center"/>
                    <w:rPr>
                      <w:rFonts w:hint="eastAsia" w:ascii="Times New Roman" w:hAnsi="Times New Roman" w:eastAsia="宋体" w:cs="Times New Roman"/>
                      <w:b w:val="0"/>
                      <w:bCs w:val="0"/>
                      <w:i w:val="0"/>
                      <w:caps w:val="0"/>
                      <w:color w:val="auto"/>
                      <w:spacing w:val="0"/>
                      <w:kern w:val="2"/>
                      <w:sz w:val="21"/>
                      <w:szCs w:val="21"/>
                      <w:highlight w:val="none"/>
                      <w:shd w:val="clear" w:color="auto" w:fill="FFFFFF"/>
                      <w:vertAlign w:val="baseline"/>
                      <w:lang w:val="en-US" w:eastAsia="zh-CN" w:bidi="ar-SA"/>
                    </w:rPr>
                  </w:pPr>
                  <w:r>
                    <w:rPr>
                      <w:rFonts w:hint="eastAsia" w:ascii="Times New Roman" w:hAnsi="Times New Roman" w:eastAsia="宋体" w:cs="Times New Roman"/>
                      <w:b w:val="0"/>
                      <w:bCs w:val="0"/>
                      <w:i w:val="0"/>
                      <w:caps w:val="0"/>
                      <w:color w:val="auto"/>
                      <w:spacing w:val="0"/>
                      <w:kern w:val="2"/>
                      <w:sz w:val="21"/>
                      <w:szCs w:val="21"/>
                      <w:highlight w:val="none"/>
                      <w:shd w:val="clear" w:color="auto" w:fill="FFFFFF"/>
                      <w:vertAlign w:val="baseline"/>
                      <w:lang w:val="en-US" w:eastAsia="zh-CN" w:bidi="ar-SA"/>
                    </w:rPr>
                    <w:t>挥发性有机物（以非甲烷总烃计）</w:t>
                  </w:r>
                </w:p>
              </w:tc>
              <w:tc>
                <w:tcPr>
                  <w:tcW w:w="1245" w:type="dxa"/>
                  <w:shd w:val="clear" w:color="auto" w:fill="auto"/>
                  <w:noWrap w:val="0"/>
                  <w:vAlign w:val="center"/>
                </w:tcPr>
                <w:p w14:paraId="748B817C">
                  <w:pPr>
                    <w:pStyle w:val="208"/>
                    <w:shd w:val="clear"/>
                    <w:spacing w:line="280" w:lineRule="exact"/>
                    <w:ind w:firstLine="0"/>
                    <w:jc w:val="center"/>
                    <w:rPr>
                      <w:rFonts w:hint="default" w:ascii="Times New Roman" w:hAnsi="Times New Roman" w:eastAsia="宋体" w:cs="Times New Roman"/>
                      <w:b w:val="0"/>
                      <w:bCs w:val="0"/>
                      <w:i w:val="0"/>
                      <w:caps w:val="0"/>
                      <w:color w:val="auto"/>
                      <w:spacing w:val="0"/>
                      <w:kern w:val="2"/>
                      <w:sz w:val="21"/>
                      <w:szCs w:val="21"/>
                      <w:highlight w:val="none"/>
                      <w:shd w:val="clear" w:color="auto" w:fill="FFFFFF"/>
                      <w:vertAlign w:val="baseline"/>
                      <w:lang w:val="en-US" w:eastAsia="zh-CN" w:bidi="ar-SA"/>
                    </w:rPr>
                  </w:pPr>
                  <w:r>
                    <w:rPr>
                      <w:rFonts w:hint="default" w:ascii="Times New Roman" w:hAnsi="Times New Roman" w:eastAsia="宋体" w:cs="Times New Roman"/>
                      <w:b w:val="0"/>
                      <w:bCs w:val="0"/>
                      <w:i w:val="0"/>
                      <w:caps w:val="0"/>
                      <w:color w:val="auto"/>
                      <w:spacing w:val="0"/>
                      <w:kern w:val="2"/>
                      <w:sz w:val="21"/>
                      <w:szCs w:val="21"/>
                      <w:highlight w:val="none"/>
                      <w:shd w:val="clear" w:color="auto" w:fill="FFFFFF"/>
                      <w:vertAlign w:val="baseline"/>
                      <w:lang w:val="en-US" w:eastAsia="zh-CN" w:bidi="ar-SA"/>
                    </w:rPr>
                    <w:t>1次/半年</w:t>
                  </w:r>
                </w:p>
              </w:tc>
              <w:tc>
                <w:tcPr>
                  <w:tcW w:w="2528" w:type="dxa"/>
                  <w:shd w:val="clear" w:color="auto" w:fill="auto"/>
                  <w:noWrap w:val="0"/>
                  <w:vAlign w:val="center"/>
                </w:tcPr>
                <w:p w14:paraId="216B4038">
                  <w:pPr>
                    <w:pStyle w:val="208"/>
                    <w:shd w:val="clear"/>
                    <w:spacing w:line="280" w:lineRule="exact"/>
                    <w:ind w:firstLine="0"/>
                    <w:jc w:val="center"/>
                    <w:rPr>
                      <w:rFonts w:hint="eastAsia" w:ascii="Times New Roman" w:hAnsi="Times New Roman" w:eastAsia="宋体" w:cs="Times New Roman"/>
                      <w:b w:val="0"/>
                      <w:bCs w:val="0"/>
                      <w:i w:val="0"/>
                      <w:caps w:val="0"/>
                      <w:color w:val="auto"/>
                      <w:spacing w:val="0"/>
                      <w:kern w:val="2"/>
                      <w:sz w:val="21"/>
                      <w:szCs w:val="21"/>
                      <w:highlight w:val="none"/>
                      <w:shd w:val="clear" w:color="auto" w:fill="FFFFFF"/>
                      <w:vertAlign w:val="baseline"/>
                      <w:lang w:val="en-US" w:eastAsia="zh-CN" w:bidi="ar-SA"/>
                    </w:rPr>
                  </w:pPr>
                  <w:r>
                    <w:rPr>
                      <w:rFonts w:hint="eastAsia"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t>《四川省固定污染源大气挥发性有机物排放标准》（DB51/2377-2017）</w:t>
                  </w:r>
                </w:p>
              </w:tc>
            </w:tr>
            <w:tr w14:paraId="7649715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26" w:hRule="atLeast"/>
                <w:jc w:val="center"/>
              </w:trPr>
              <w:tc>
                <w:tcPr>
                  <w:tcW w:w="445" w:type="dxa"/>
                  <w:vMerge w:val="continue"/>
                  <w:shd w:val="clear" w:color="auto" w:fill="auto"/>
                  <w:noWrap w:val="0"/>
                  <w:vAlign w:val="center"/>
                </w:tcPr>
                <w:p w14:paraId="39202B9B">
                  <w:pPr>
                    <w:pStyle w:val="208"/>
                    <w:shd w:val="clear"/>
                    <w:spacing w:line="280" w:lineRule="exact"/>
                    <w:ind w:firstLine="0"/>
                    <w:jc w:val="center"/>
                    <w:rPr>
                      <w:rFonts w:hint="eastAsia" w:ascii="Times New Roman" w:hAnsi="Times New Roman"/>
                      <w:color w:val="auto"/>
                      <w:sz w:val="21"/>
                      <w:szCs w:val="21"/>
                      <w:highlight w:val="none"/>
                    </w:rPr>
                  </w:pPr>
                </w:p>
              </w:tc>
              <w:tc>
                <w:tcPr>
                  <w:tcW w:w="1785" w:type="dxa"/>
                  <w:gridSpan w:val="2"/>
                  <w:vMerge w:val="restart"/>
                  <w:shd w:val="clear" w:color="auto" w:fill="auto"/>
                  <w:noWrap w:val="0"/>
                  <w:vAlign w:val="center"/>
                </w:tcPr>
                <w:p w14:paraId="76F77BBB">
                  <w:pPr>
                    <w:pStyle w:val="208"/>
                    <w:shd w:val="clear"/>
                    <w:spacing w:line="280" w:lineRule="exact"/>
                    <w:ind w:firstLine="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无组织排放监测（厂界上风向1处，下风向3处）</w:t>
                  </w:r>
                </w:p>
              </w:tc>
              <w:tc>
                <w:tcPr>
                  <w:tcW w:w="1815" w:type="dxa"/>
                  <w:shd w:val="clear" w:color="auto" w:fill="auto"/>
                  <w:noWrap w:val="0"/>
                  <w:vAlign w:val="center"/>
                </w:tcPr>
                <w:p w14:paraId="3F6E3CA9">
                  <w:pPr>
                    <w:pStyle w:val="208"/>
                    <w:shd w:val="clear"/>
                    <w:spacing w:line="280" w:lineRule="exact"/>
                    <w:ind w:firstLine="0"/>
                    <w:jc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挥发性有机物（以非甲烷总烃计）</w:t>
                  </w:r>
                  <w:r>
                    <w:rPr>
                      <w:rFonts w:hint="default" w:ascii="Times New Roman" w:hAnsi="Times New Roman" w:eastAsia="宋体" w:cs="Times New Roman"/>
                      <w:color w:val="auto"/>
                      <w:sz w:val="21"/>
                      <w:szCs w:val="21"/>
                      <w:highlight w:val="none"/>
                      <w:lang w:val="en-US" w:eastAsia="zh-CN"/>
                    </w:rPr>
                    <w:t>、颗粒物</w:t>
                  </w:r>
                </w:p>
              </w:tc>
              <w:tc>
                <w:tcPr>
                  <w:tcW w:w="1245" w:type="dxa"/>
                  <w:shd w:val="clear" w:color="auto" w:fill="auto"/>
                  <w:noWrap w:val="0"/>
                  <w:vAlign w:val="center"/>
                </w:tcPr>
                <w:p w14:paraId="26184822">
                  <w:pPr>
                    <w:pStyle w:val="208"/>
                    <w:shd w:val="clear"/>
                    <w:spacing w:line="280" w:lineRule="exact"/>
                    <w:ind w:firstLine="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1次/半年</w:t>
                  </w:r>
                </w:p>
              </w:tc>
              <w:tc>
                <w:tcPr>
                  <w:tcW w:w="2528" w:type="dxa"/>
                  <w:shd w:val="clear" w:color="auto" w:fill="auto"/>
                  <w:noWrap w:val="0"/>
                  <w:vAlign w:val="center"/>
                </w:tcPr>
                <w:p w14:paraId="3C5B6720">
                  <w:pPr>
                    <w:pStyle w:val="208"/>
                    <w:shd w:val="clear"/>
                    <w:spacing w:line="280" w:lineRule="exact"/>
                    <w:ind w:firstLine="0"/>
                    <w:jc w:val="center"/>
                    <w:rPr>
                      <w:rFonts w:hint="eastAsia"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《电池工业污染物排放标准》（GB30484-2013）</w:t>
                  </w:r>
                </w:p>
              </w:tc>
            </w:tr>
            <w:tr w14:paraId="722F630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45" w:type="dxa"/>
                  <w:vMerge w:val="continue"/>
                  <w:shd w:val="clear" w:color="auto" w:fill="auto"/>
                  <w:noWrap w:val="0"/>
                  <w:vAlign w:val="center"/>
                </w:tcPr>
                <w:p w14:paraId="17FBA5B0">
                  <w:pPr>
                    <w:pStyle w:val="208"/>
                    <w:shd w:val="clear"/>
                    <w:spacing w:line="280" w:lineRule="exact"/>
                    <w:ind w:firstLine="0"/>
                    <w:jc w:val="center"/>
                    <w:rPr>
                      <w:rFonts w:hint="eastAsia" w:ascii="Times New Roman" w:hAnsi="Times New Roman"/>
                      <w:color w:val="auto"/>
                      <w:sz w:val="21"/>
                      <w:szCs w:val="21"/>
                      <w:highlight w:val="none"/>
                    </w:rPr>
                  </w:pPr>
                </w:p>
              </w:tc>
              <w:tc>
                <w:tcPr>
                  <w:tcW w:w="1785" w:type="dxa"/>
                  <w:gridSpan w:val="2"/>
                  <w:vMerge w:val="continue"/>
                  <w:shd w:val="clear" w:color="auto" w:fill="auto"/>
                  <w:noWrap w:val="0"/>
                  <w:vAlign w:val="center"/>
                </w:tcPr>
                <w:p w14:paraId="3E2A69D0">
                  <w:pPr>
                    <w:pStyle w:val="208"/>
                    <w:shd w:val="clear"/>
                    <w:spacing w:line="280" w:lineRule="exact"/>
                    <w:ind w:firstLine="0"/>
                    <w:jc w:val="center"/>
                    <w:rPr>
                      <w:rFonts w:hint="default" w:ascii="Times New Roman" w:hAnsi="Times New Roman" w:eastAsia="宋体" w:cs="Times New Roman"/>
                      <w:color w:val="auto"/>
                      <w:sz w:val="21"/>
                      <w:szCs w:val="21"/>
                      <w:highlight w:val="none"/>
                      <w:lang w:val="en-US" w:eastAsia="zh-CN"/>
                    </w:rPr>
                  </w:pPr>
                </w:p>
              </w:tc>
              <w:tc>
                <w:tcPr>
                  <w:tcW w:w="1815" w:type="dxa"/>
                  <w:shd w:val="clear" w:color="auto" w:fill="auto"/>
                  <w:noWrap w:val="0"/>
                  <w:vAlign w:val="center"/>
                </w:tcPr>
                <w:p w14:paraId="14456AD1">
                  <w:pPr>
                    <w:pStyle w:val="208"/>
                    <w:shd w:val="clear"/>
                    <w:spacing w:line="280" w:lineRule="exact"/>
                    <w:ind w:firstLine="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氨、硫化氢、臭气浓度</w:t>
                  </w:r>
                </w:p>
              </w:tc>
              <w:tc>
                <w:tcPr>
                  <w:tcW w:w="1245" w:type="dxa"/>
                  <w:shd w:val="clear" w:color="auto" w:fill="auto"/>
                  <w:noWrap w:val="0"/>
                  <w:vAlign w:val="center"/>
                </w:tcPr>
                <w:p w14:paraId="5EFA4869">
                  <w:pPr>
                    <w:pStyle w:val="208"/>
                    <w:shd w:val="clear"/>
                    <w:spacing w:line="280" w:lineRule="exact"/>
                    <w:ind w:firstLine="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1次/年</w:t>
                  </w:r>
                </w:p>
              </w:tc>
              <w:tc>
                <w:tcPr>
                  <w:tcW w:w="2528" w:type="dxa"/>
                  <w:shd w:val="clear" w:color="auto" w:fill="auto"/>
                  <w:noWrap w:val="0"/>
                  <w:vAlign w:val="center"/>
                </w:tcPr>
                <w:p w14:paraId="749746F8">
                  <w:pPr>
                    <w:pStyle w:val="208"/>
                    <w:shd w:val="clear"/>
                    <w:spacing w:line="280" w:lineRule="exact"/>
                    <w:ind w:firstLine="0"/>
                    <w:jc w:val="center"/>
                    <w:rPr>
                      <w:rFonts w:hint="eastAsia"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《恶臭污染物排放标准》（GB14554-93）</w:t>
                  </w:r>
                </w:p>
              </w:tc>
            </w:tr>
            <w:tr w14:paraId="3EB43EB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45" w:type="dxa"/>
                  <w:vMerge w:val="continue"/>
                  <w:shd w:val="clear" w:color="auto" w:fill="auto"/>
                  <w:noWrap w:val="0"/>
                  <w:vAlign w:val="center"/>
                </w:tcPr>
                <w:p w14:paraId="19DA1D4B">
                  <w:pPr>
                    <w:pStyle w:val="208"/>
                    <w:shd w:val="clear"/>
                    <w:spacing w:line="280" w:lineRule="exact"/>
                    <w:ind w:firstLine="0"/>
                    <w:jc w:val="center"/>
                    <w:rPr>
                      <w:rFonts w:hint="eastAsia" w:ascii="Times New Roman" w:hAnsi="Times New Roman"/>
                      <w:color w:val="auto"/>
                      <w:sz w:val="21"/>
                      <w:szCs w:val="21"/>
                      <w:highlight w:val="none"/>
                    </w:rPr>
                  </w:pPr>
                </w:p>
              </w:tc>
              <w:tc>
                <w:tcPr>
                  <w:tcW w:w="1785" w:type="dxa"/>
                  <w:gridSpan w:val="2"/>
                  <w:shd w:val="clear" w:color="auto" w:fill="auto"/>
                  <w:noWrap w:val="0"/>
                  <w:vAlign w:val="center"/>
                </w:tcPr>
                <w:p w14:paraId="3408C27A">
                  <w:pPr>
                    <w:pStyle w:val="208"/>
                    <w:shd w:val="clear"/>
                    <w:spacing w:line="280" w:lineRule="exact"/>
                    <w:ind w:firstLine="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厂区内（在厂房外设置监控点）</w:t>
                  </w:r>
                </w:p>
              </w:tc>
              <w:tc>
                <w:tcPr>
                  <w:tcW w:w="1815" w:type="dxa"/>
                  <w:shd w:val="clear" w:color="auto" w:fill="auto"/>
                  <w:noWrap w:val="0"/>
                  <w:vAlign w:val="center"/>
                </w:tcPr>
                <w:p w14:paraId="493D9F61">
                  <w:pPr>
                    <w:pStyle w:val="208"/>
                    <w:shd w:val="clear"/>
                    <w:spacing w:line="280" w:lineRule="exact"/>
                    <w:ind w:firstLine="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NMHC</w:t>
                  </w:r>
                </w:p>
              </w:tc>
              <w:tc>
                <w:tcPr>
                  <w:tcW w:w="1245" w:type="dxa"/>
                  <w:shd w:val="clear" w:color="auto" w:fill="auto"/>
                  <w:noWrap w:val="0"/>
                  <w:vAlign w:val="center"/>
                </w:tcPr>
                <w:p w14:paraId="28E1BA9A">
                  <w:pPr>
                    <w:pStyle w:val="208"/>
                    <w:shd w:val="clear"/>
                    <w:spacing w:line="280" w:lineRule="exact"/>
                    <w:ind w:firstLine="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1次/年</w:t>
                  </w:r>
                </w:p>
              </w:tc>
              <w:tc>
                <w:tcPr>
                  <w:tcW w:w="2528" w:type="dxa"/>
                  <w:shd w:val="clear" w:color="auto" w:fill="auto"/>
                  <w:noWrap w:val="0"/>
                  <w:vAlign w:val="center"/>
                </w:tcPr>
                <w:p w14:paraId="463CA746">
                  <w:pPr>
                    <w:pStyle w:val="208"/>
                    <w:shd w:val="clear"/>
                    <w:spacing w:line="280" w:lineRule="exact"/>
                    <w:ind w:firstLine="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《挥发性有机物无组织排放控制标准》（GB37822-2019）</w:t>
                  </w:r>
                </w:p>
              </w:tc>
            </w:tr>
          </w:tbl>
          <w:p w14:paraId="34EC2F3E">
            <w:pPr>
              <w:keepNext w:val="0"/>
              <w:keepLines w:val="0"/>
              <w:pageBreakBefore w:val="0"/>
              <w:widowControl w:val="0"/>
              <w:shd w:val="clear"/>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lang w:val="en-US" w:eastAsia="zh-CN"/>
              </w:rPr>
              <w:t>2、</w:t>
            </w:r>
            <w:r>
              <w:rPr>
                <w:rFonts w:hint="default" w:ascii="Times New Roman" w:hAnsi="Times New Roman" w:eastAsia="宋体" w:cs="Times New Roman"/>
                <w:color w:val="auto"/>
                <w:sz w:val="24"/>
                <w:szCs w:val="24"/>
              </w:rPr>
              <w:t>废水</w:t>
            </w:r>
          </w:p>
          <w:p w14:paraId="7AEF24B5">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rPr>
              <w:t>（1）废水产生</w:t>
            </w:r>
            <w:r>
              <w:rPr>
                <w:rFonts w:hint="eastAsia" w:ascii="Times New Roman" w:hAnsi="Times New Roman" w:eastAsia="宋体" w:cs="Times New Roman"/>
                <w:color w:val="auto"/>
                <w:sz w:val="24"/>
                <w:szCs w:val="24"/>
                <w:lang w:val="en-US" w:eastAsia="zh-CN"/>
              </w:rPr>
              <w:t>及排放情况</w:t>
            </w:r>
          </w:p>
          <w:p w14:paraId="2B43C8D0">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default" w:ascii="宋体" w:hAnsi="宋体" w:eastAsia="宋体" w:cs="宋体"/>
                <w:color w:val="auto"/>
                <w:sz w:val="24"/>
                <w:szCs w:val="24"/>
                <w:lang w:val="en-US" w:eastAsia="zh-CN"/>
              </w:rPr>
            </w:pPr>
            <w:r>
              <w:rPr>
                <w:rFonts w:hint="eastAsia" w:ascii="Calibri" w:hAnsi="Calibri"/>
                <w:color w:val="auto"/>
                <w:sz w:val="24"/>
                <w:highlight w:val="none"/>
              </w:rPr>
              <w:t>本项目排水采取雨污分流，</w:t>
            </w:r>
            <w:r>
              <w:rPr>
                <w:rFonts w:hint="eastAsia" w:ascii="宋体" w:hAnsi="宋体" w:eastAsia="宋体" w:cs="宋体"/>
                <w:color w:val="auto"/>
                <w:sz w:val="24"/>
                <w:szCs w:val="24"/>
                <w:lang w:val="en-US" w:eastAsia="zh-CN"/>
              </w:rPr>
              <w:t>项目外排废水主要为纯水制备浓水、生活污水、设备清洗废水等，其中</w:t>
            </w:r>
            <w:r>
              <w:rPr>
                <w:rFonts w:hint="default" w:ascii="Times New Roman" w:hAnsi="Times New Roman" w:eastAsia="宋体" w:cs="Times New Roman"/>
                <w:color w:val="auto"/>
                <w:sz w:val="24"/>
              </w:rPr>
              <w:t>项目</w:t>
            </w:r>
            <w:r>
              <w:rPr>
                <w:rFonts w:hint="eastAsia" w:cs="Times New Roman"/>
                <w:color w:val="auto"/>
                <w:sz w:val="24"/>
                <w:lang w:val="en-US" w:eastAsia="zh-CN"/>
              </w:rPr>
              <w:t>生活污水、纯水制备浓水经厂区预处理池处理，设备清洗废水</w:t>
            </w:r>
            <w:r>
              <w:rPr>
                <w:rFonts w:hint="default" w:ascii="Times New Roman" w:hAnsi="Times New Roman" w:eastAsia="宋体" w:cs="Times New Roman"/>
                <w:color w:val="auto"/>
                <w:sz w:val="24"/>
              </w:rPr>
              <w:t>经</w:t>
            </w:r>
            <w:r>
              <w:rPr>
                <w:rFonts w:hint="default" w:ascii="Times New Roman" w:hAnsi="Times New Roman" w:eastAsia="瀹嬩綋" w:cs="Times New Roman"/>
                <w:color w:val="auto"/>
                <w:spacing w:val="-6"/>
                <w:sz w:val="24"/>
                <w:lang w:val="en-US" w:eastAsia="zh-CN"/>
              </w:rPr>
              <w:t>厂区废水处理站处理</w:t>
            </w:r>
            <w:r>
              <w:rPr>
                <w:rFonts w:hint="eastAsia" w:eastAsia="瀹嬩綋" w:cs="Times New Roman"/>
                <w:color w:val="auto"/>
                <w:spacing w:val="-6"/>
                <w:sz w:val="24"/>
                <w:lang w:val="en-US" w:eastAsia="zh-CN"/>
              </w:rPr>
              <w:t>，处理后的废水一同</w:t>
            </w:r>
            <w:r>
              <w:rPr>
                <w:rFonts w:hint="default" w:ascii="Times New Roman" w:hAnsi="Times New Roman" w:eastAsia="瀹嬩綋" w:cs="Times New Roman"/>
                <w:color w:val="auto"/>
                <w:spacing w:val="-6"/>
                <w:sz w:val="24"/>
                <w:lang w:val="en-US" w:eastAsia="zh-CN"/>
              </w:rPr>
              <w:t>经</w:t>
            </w:r>
            <w:r>
              <w:rPr>
                <w:rFonts w:hint="default" w:ascii="Times New Roman" w:hAnsi="Times New Roman" w:eastAsia="瀹嬩綋" w:cs="Times New Roman"/>
                <w:color w:val="auto"/>
                <w:spacing w:val="-6"/>
                <w:sz w:val="24"/>
              </w:rPr>
              <w:t>厂区总排放口排入园区市政污水管网，</w:t>
            </w:r>
            <w:r>
              <w:rPr>
                <w:rFonts w:hint="default" w:ascii="Times New Roman" w:hAnsi="Times New Roman" w:eastAsia="瀹嬩綋" w:cs="Times New Roman"/>
                <w:color w:val="auto"/>
                <w:spacing w:val="-6"/>
                <w:sz w:val="24"/>
                <w:lang w:eastAsia="zh-CN"/>
              </w:rPr>
              <w:t>最终进入园区污水处理厂处理达标后排入巴河</w:t>
            </w:r>
            <w:r>
              <w:rPr>
                <w:rFonts w:hint="eastAsia" w:ascii="Times New Roman" w:hAnsi="Times New Roman" w:eastAsia="瀹嬩綋" w:cs="Times New Roman"/>
                <w:color w:val="auto"/>
                <w:spacing w:val="-6"/>
                <w:sz w:val="24"/>
                <w:lang w:eastAsia="zh-CN"/>
              </w:rPr>
              <w:t>。</w:t>
            </w:r>
          </w:p>
          <w:p w14:paraId="7E8E3AF8">
            <w:pPr>
              <w:autoSpaceDE w:val="0"/>
              <w:autoSpaceDN w:val="0"/>
              <w:spacing w:line="360" w:lineRule="auto"/>
              <w:ind w:firstLine="480" w:firstLineChars="200"/>
              <w:rPr>
                <w:rFonts w:hint="default" w:ascii="Times New Roman" w:hAnsi="Times New Roman" w:eastAsia="瀹嬩綋" w:cs="Times New Roman"/>
                <w:b w:val="0"/>
                <w:bCs w:val="0"/>
                <w:color w:val="auto"/>
                <w:sz w:val="24"/>
                <w:szCs w:val="24"/>
                <w:lang w:val="en-US" w:eastAsia="zh-CN"/>
              </w:rPr>
            </w:pPr>
            <w:r>
              <w:rPr>
                <w:rFonts w:hint="eastAsia" w:cs="Times New Roman"/>
                <w:color w:val="auto"/>
                <w:spacing w:val="0"/>
                <w:sz w:val="24"/>
                <w:szCs w:val="24"/>
                <w:lang w:val="en-US" w:eastAsia="zh-CN"/>
              </w:rPr>
              <w:t>生活污水</w:t>
            </w:r>
            <w:r>
              <w:rPr>
                <w:rFonts w:hint="default" w:ascii="Times New Roman" w:hAnsi="Times New Roman" w:eastAsia="宋体" w:cs="Times New Roman"/>
                <w:color w:val="auto"/>
                <w:spacing w:val="0"/>
                <w:sz w:val="24"/>
                <w:szCs w:val="24"/>
                <w:lang w:val="en-US" w:eastAsia="zh-CN"/>
              </w:rPr>
              <w:t>：</w:t>
            </w:r>
            <w:r>
              <w:rPr>
                <w:rFonts w:hint="eastAsia"/>
                <w:color w:val="auto"/>
                <w:kern w:val="0"/>
                <w:sz w:val="24"/>
                <w:highlight w:val="none"/>
                <w:lang w:val="en-US" w:eastAsia="zh-CN"/>
              </w:rPr>
              <w:t>参照《排放源统计调查产排污核算方法和系数手册—生活污染源产排污系数手册》及类比项目所在区域的生活污水水质，其COD：325mg/L，BOD</w:t>
            </w:r>
            <w:r>
              <w:rPr>
                <w:rFonts w:hint="eastAsia"/>
                <w:color w:val="auto"/>
                <w:kern w:val="0"/>
                <w:sz w:val="24"/>
                <w:highlight w:val="none"/>
                <w:vertAlign w:val="subscript"/>
                <w:lang w:val="en-US" w:eastAsia="zh-CN"/>
              </w:rPr>
              <w:t>5</w:t>
            </w:r>
            <w:r>
              <w:rPr>
                <w:rFonts w:hint="eastAsia"/>
                <w:color w:val="auto"/>
                <w:kern w:val="0"/>
                <w:sz w:val="24"/>
                <w:highlight w:val="none"/>
                <w:lang w:val="en-US" w:eastAsia="zh-CN"/>
              </w:rPr>
              <w:t>：175mg/L，氨氮：37.7mg/L，总磷：4.28mg/L，SS：450mg/L，TN：40mg/L，根据水平衡可知，本项目生活污水排放量为7.68</w:t>
            </w:r>
            <w:r>
              <w:rPr>
                <w:rFonts w:hint="eastAsia" w:ascii="Times New Roman" w:hAnsi="Times New Roman" w:eastAsia="宋体" w:cs="Times New Roman"/>
                <w:b w:val="0"/>
                <w:bCs w:val="0"/>
                <w:color w:val="auto"/>
                <w:sz w:val="24"/>
                <w:szCs w:val="24"/>
                <w:lang w:val="en-US" w:eastAsia="zh-CN"/>
              </w:rPr>
              <w:t>m</w:t>
            </w:r>
            <w:r>
              <w:rPr>
                <w:rFonts w:hint="eastAsia" w:ascii="Times New Roman" w:hAnsi="Times New Roman" w:eastAsia="宋体" w:cs="Times New Roman"/>
                <w:b w:val="0"/>
                <w:bCs w:val="0"/>
                <w:color w:val="auto"/>
                <w:sz w:val="24"/>
                <w:szCs w:val="24"/>
                <w:vertAlign w:val="superscript"/>
                <w:lang w:val="en-US" w:eastAsia="zh-CN"/>
              </w:rPr>
              <w:t>3</w:t>
            </w:r>
            <w:r>
              <w:rPr>
                <w:rFonts w:hint="eastAsia" w:ascii="Times New Roman" w:hAnsi="Times New Roman" w:eastAsia="宋体" w:cs="Times New Roman"/>
                <w:b w:val="0"/>
                <w:bCs w:val="0"/>
                <w:color w:val="auto"/>
                <w:sz w:val="24"/>
                <w:szCs w:val="24"/>
                <w:lang w:val="en-US" w:eastAsia="zh-CN"/>
              </w:rPr>
              <w:t>/d</w:t>
            </w:r>
            <w:r>
              <w:rPr>
                <w:rFonts w:hint="eastAsia" w:cs="Times New Roman"/>
                <w:b w:val="0"/>
                <w:bCs w:val="0"/>
                <w:color w:val="auto"/>
                <w:sz w:val="24"/>
                <w:szCs w:val="24"/>
                <w:lang w:val="en-US" w:eastAsia="zh-CN"/>
              </w:rPr>
              <w:t>（2304</w:t>
            </w:r>
            <w:r>
              <w:rPr>
                <w:rFonts w:hint="eastAsia" w:ascii="Times New Roman" w:hAnsi="Times New Roman" w:eastAsia="宋体" w:cs="Times New Roman"/>
                <w:b w:val="0"/>
                <w:bCs w:val="0"/>
                <w:color w:val="auto"/>
                <w:sz w:val="24"/>
                <w:szCs w:val="24"/>
                <w:lang w:val="en-US" w:eastAsia="zh-CN"/>
              </w:rPr>
              <w:t>m</w:t>
            </w:r>
            <w:r>
              <w:rPr>
                <w:rFonts w:hint="eastAsia" w:ascii="Times New Roman" w:hAnsi="Times New Roman" w:eastAsia="宋体" w:cs="Times New Roman"/>
                <w:b w:val="0"/>
                <w:bCs w:val="0"/>
                <w:color w:val="auto"/>
                <w:sz w:val="24"/>
                <w:szCs w:val="24"/>
                <w:vertAlign w:val="superscript"/>
                <w:lang w:val="en-US" w:eastAsia="zh-CN"/>
              </w:rPr>
              <w:t>3</w:t>
            </w:r>
            <w:r>
              <w:rPr>
                <w:rFonts w:hint="eastAsia" w:ascii="Times New Roman" w:hAnsi="Times New Roman" w:eastAsia="宋体" w:cs="Times New Roman"/>
                <w:b w:val="0"/>
                <w:bCs w:val="0"/>
                <w:color w:val="auto"/>
                <w:sz w:val="24"/>
                <w:szCs w:val="24"/>
                <w:lang w:val="en-US" w:eastAsia="zh-CN"/>
              </w:rPr>
              <w:t>/a</w:t>
            </w:r>
            <w:r>
              <w:rPr>
                <w:rFonts w:hint="eastAsia" w:cs="Times New Roman"/>
                <w:b w:val="0"/>
                <w:bCs w:val="0"/>
                <w:color w:val="auto"/>
                <w:sz w:val="24"/>
                <w:szCs w:val="24"/>
                <w:lang w:val="en-US" w:eastAsia="zh-CN"/>
              </w:rPr>
              <w:t>）</w:t>
            </w:r>
            <w:r>
              <w:rPr>
                <w:rFonts w:hint="default" w:ascii="Times New Roman" w:hAnsi="Times New Roman" w:cs="Times New Roman"/>
                <w:color w:val="auto"/>
                <w:sz w:val="24"/>
                <w:szCs w:val="24"/>
                <w:lang w:eastAsia="zh-CN"/>
              </w:rPr>
              <w:t>，</w:t>
            </w:r>
            <w:r>
              <w:rPr>
                <w:rFonts w:hint="default" w:ascii="Times New Roman" w:hAnsi="Times New Roman" w:cs="Times New Roman"/>
                <w:color w:val="auto"/>
                <w:sz w:val="24"/>
                <w:szCs w:val="24"/>
              </w:rPr>
              <w:t>经</w:t>
            </w:r>
            <w:r>
              <w:rPr>
                <w:rFonts w:hint="default" w:ascii="Times New Roman" w:hAnsi="Times New Roman" w:cs="Times New Roman"/>
                <w:color w:val="auto"/>
                <w:sz w:val="24"/>
                <w:szCs w:val="24"/>
                <w:lang w:val="en-US" w:eastAsia="zh-CN"/>
              </w:rPr>
              <w:t>厂区预处理池</w:t>
            </w:r>
            <w:r>
              <w:rPr>
                <w:rFonts w:hint="default" w:ascii="Times New Roman" w:hAnsi="Times New Roman" w:cs="Times New Roman"/>
                <w:color w:val="auto"/>
                <w:sz w:val="24"/>
                <w:szCs w:val="24"/>
              </w:rPr>
              <w:t>处理后</w:t>
            </w:r>
            <w:r>
              <w:rPr>
                <w:rFonts w:hint="default" w:ascii="Times New Roman" w:hAnsi="Times New Roman" w:cs="Times New Roman"/>
                <w:color w:val="auto"/>
                <w:sz w:val="24"/>
                <w:szCs w:val="24"/>
                <w:lang w:eastAsia="zh-CN"/>
              </w:rPr>
              <w:t>，</w:t>
            </w:r>
            <w:r>
              <w:rPr>
                <w:rFonts w:hint="default" w:ascii="Times New Roman" w:hAnsi="Times New Roman" w:eastAsia="瀹嬩綋" w:cs="Times New Roman"/>
                <w:color w:val="auto"/>
                <w:spacing w:val="-6"/>
                <w:sz w:val="24"/>
                <w:szCs w:val="24"/>
              </w:rPr>
              <w:t>排入园区市政污水管网，</w:t>
            </w:r>
            <w:r>
              <w:rPr>
                <w:rFonts w:hint="eastAsia" w:ascii="Times New Roman" w:hAnsi="Times New Roman" w:eastAsia="瀹嬩綋" w:cs="Times New Roman"/>
                <w:color w:val="auto"/>
                <w:spacing w:val="-6"/>
                <w:sz w:val="24"/>
                <w:szCs w:val="24"/>
                <w:lang w:val="en-US" w:eastAsia="zh-CN"/>
              </w:rPr>
              <w:t>进入巴中经开区污水处理厂处理</w:t>
            </w:r>
            <w:r>
              <w:rPr>
                <w:rFonts w:hint="eastAsia"/>
                <w:color w:val="auto"/>
                <w:kern w:val="0"/>
                <w:sz w:val="24"/>
                <w:highlight w:val="none"/>
                <w:lang w:val="en-US" w:eastAsia="zh-CN"/>
              </w:rPr>
              <w:t>。</w:t>
            </w:r>
          </w:p>
          <w:p w14:paraId="60652C03">
            <w:pPr>
              <w:keepNext w:val="0"/>
              <w:keepLines w:val="0"/>
              <w:pageBreakBefore w:val="0"/>
              <w:widowControl w:val="0"/>
              <w:kinsoku/>
              <w:wordWrap/>
              <w:overflowPunct/>
              <w:topLinePunct w:val="0"/>
              <w:autoSpaceDE/>
              <w:autoSpaceDN/>
              <w:bidi w:val="0"/>
              <w:adjustRightInd/>
              <w:snapToGrid/>
              <w:spacing w:line="360" w:lineRule="auto"/>
              <w:ind w:firstLine="456" w:firstLineChars="200"/>
              <w:jc w:val="both"/>
              <w:textAlignment w:val="auto"/>
              <w:rPr>
                <w:rFonts w:hint="default" w:ascii="Times New Roman" w:hAnsi="Times New Roman" w:eastAsia="宋体" w:cs="Times New Roman"/>
                <w:color w:val="auto"/>
                <w:spacing w:val="-6"/>
                <w:sz w:val="24"/>
                <w:szCs w:val="24"/>
                <w:lang w:val="en-US" w:eastAsia="zh-CN"/>
              </w:rPr>
            </w:pPr>
            <w:r>
              <w:rPr>
                <w:rFonts w:hint="default" w:ascii="Times New Roman" w:hAnsi="Times New Roman" w:eastAsia="宋体" w:cs="Times New Roman"/>
                <w:color w:val="auto"/>
                <w:spacing w:val="-6"/>
                <w:sz w:val="24"/>
                <w:szCs w:val="24"/>
                <w:lang w:val="en-US" w:eastAsia="zh-CN"/>
              </w:rPr>
              <w:t>纯水制备浓水：</w:t>
            </w:r>
            <w:r>
              <w:rPr>
                <w:rFonts w:hint="eastAsia"/>
                <w:color w:val="auto"/>
                <w:sz w:val="24"/>
                <w:szCs w:val="24"/>
              </w:rPr>
              <w:t>参照文献《纯水制备过程中氨氮和总氮在制水废水中的富集》</w:t>
            </w:r>
            <w:r>
              <w:rPr>
                <w:color w:val="auto"/>
                <w:sz w:val="24"/>
                <w:szCs w:val="24"/>
              </w:rPr>
              <w:t>，山东化工，</w:t>
            </w:r>
            <w:r>
              <w:rPr>
                <w:rFonts w:hint="eastAsia"/>
                <w:color w:val="auto"/>
                <w:sz w:val="24"/>
                <w:szCs w:val="24"/>
              </w:rPr>
              <w:t>2020</w:t>
            </w:r>
            <w:r>
              <w:rPr>
                <w:color w:val="auto"/>
                <w:sz w:val="24"/>
                <w:szCs w:val="24"/>
              </w:rPr>
              <w:t>，</w:t>
            </w:r>
            <w:r>
              <w:rPr>
                <w:rFonts w:hint="eastAsia"/>
                <w:color w:val="auto"/>
                <w:sz w:val="24"/>
                <w:szCs w:val="24"/>
              </w:rPr>
              <w:t>49（7）</w:t>
            </w:r>
            <w:r>
              <w:rPr>
                <w:color w:val="auto"/>
                <w:sz w:val="24"/>
                <w:szCs w:val="24"/>
              </w:rPr>
              <w:t>：</w:t>
            </w:r>
            <w:r>
              <w:rPr>
                <w:rFonts w:hint="eastAsia"/>
                <w:color w:val="auto"/>
                <w:sz w:val="24"/>
                <w:szCs w:val="24"/>
              </w:rPr>
              <w:t>263-264，</w:t>
            </w:r>
            <w:r>
              <w:rPr>
                <w:rFonts w:hint="eastAsia"/>
                <w:color w:val="auto"/>
                <w:sz w:val="24"/>
                <w:szCs w:val="24"/>
                <w:lang w:eastAsia="zh-CN"/>
              </w:rPr>
              <w:t>纯水制备浓水</w:t>
            </w:r>
            <w:r>
              <w:rPr>
                <w:rFonts w:hint="eastAsia"/>
                <w:color w:val="auto"/>
                <w:sz w:val="24"/>
                <w:szCs w:val="24"/>
              </w:rPr>
              <w:t>污染物SS浓度为160mg/L，COD浓度为41mg/L</w:t>
            </w:r>
            <w:r>
              <w:rPr>
                <w:rFonts w:hint="eastAsia"/>
                <w:color w:val="auto"/>
                <w:sz w:val="24"/>
                <w:szCs w:val="24"/>
                <w:lang w:eastAsia="zh-CN"/>
              </w:rPr>
              <w:t>，</w:t>
            </w:r>
            <w:r>
              <w:rPr>
                <w:rFonts w:hint="default" w:ascii="Times New Roman" w:hAnsi="Times New Roman" w:cs="Times New Roman"/>
                <w:color w:val="auto"/>
                <w:sz w:val="24"/>
                <w:szCs w:val="24"/>
              </w:rPr>
              <w:t>经</w:t>
            </w:r>
            <w:r>
              <w:rPr>
                <w:rFonts w:hint="default" w:ascii="Times New Roman" w:hAnsi="Times New Roman" w:cs="Times New Roman"/>
                <w:color w:val="auto"/>
                <w:sz w:val="24"/>
                <w:szCs w:val="24"/>
                <w:lang w:val="en-US" w:eastAsia="zh-CN"/>
              </w:rPr>
              <w:t>厂区预处理池</w:t>
            </w:r>
            <w:r>
              <w:rPr>
                <w:rFonts w:hint="default" w:ascii="Times New Roman" w:hAnsi="Times New Roman" w:cs="Times New Roman"/>
                <w:color w:val="auto"/>
                <w:sz w:val="24"/>
                <w:szCs w:val="24"/>
              </w:rPr>
              <w:t>处理后</w:t>
            </w:r>
            <w:r>
              <w:rPr>
                <w:rFonts w:hint="default" w:ascii="Times New Roman" w:hAnsi="Times New Roman" w:cs="Times New Roman"/>
                <w:color w:val="auto"/>
                <w:sz w:val="24"/>
                <w:szCs w:val="24"/>
                <w:lang w:eastAsia="zh-CN"/>
              </w:rPr>
              <w:t>，</w:t>
            </w:r>
            <w:r>
              <w:rPr>
                <w:rFonts w:hint="default" w:ascii="Times New Roman" w:hAnsi="Times New Roman" w:eastAsia="瀹嬩綋" w:cs="Times New Roman"/>
                <w:color w:val="auto"/>
                <w:spacing w:val="-6"/>
                <w:sz w:val="24"/>
                <w:szCs w:val="24"/>
              </w:rPr>
              <w:t>排入园区市政污水管网，</w:t>
            </w:r>
            <w:r>
              <w:rPr>
                <w:rFonts w:hint="eastAsia" w:ascii="Times New Roman" w:hAnsi="Times New Roman" w:eastAsia="瀹嬩綋" w:cs="Times New Roman"/>
                <w:color w:val="auto"/>
                <w:spacing w:val="-6"/>
                <w:sz w:val="24"/>
                <w:szCs w:val="24"/>
                <w:lang w:val="en-US" w:eastAsia="zh-CN"/>
              </w:rPr>
              <w:t>进入巴中经开区污水处理厂处理</w:t>
            </w:r>
            <w:r>
              <w:rPr>
                <w:rFonts w:hint="eastAsia"/>
                <w:color w:val="auto"/>
                <w:sz w:val="24"/>
                <w:szCs w:val="24"/>
                <w:lang w:eastAsia="zh-CN"/>
              </w:rPr>
              <w:t>。</w:t>
            </w:r>
          </w:p>
          <w:p w14:paraId="7C040AE1">
            <w:pPr>
              <w:pStyle w:val="66"/>
              <w:keepNext w:val="0"/>
              <w:keepLines w:val="0"/>
              <w:pageBreakBefore w:val="0"/>
              <w:widowControl w:val="0"/>
              <w:kinsoku/>
              <w:wordWrap/>
              <w:overflowPunct/>
              <w:topLinePunct w:val="0"/>
              <w:bidi w:val="0"/>
              <w:spacing w:line="360" w:lineRule="auto"/>
              <w:ind w:firstLine="480" w:firstLineChars="200"/>
              <w:jc w:val="both"/>
              <w:textAlignment w:val="auto"/>
              <w:rPr>
                <w:rFonts w:hint="eastAsia"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设备清洗废水：</w:t>
            </w:r>
            <w:r>
              <w:rPr>
                <w:rFonts w:hint="eastAsia" w:cs="Times New Roman"/>
                <w:color w:val="auto"/>
                <w:sz w:val="24"/>
                <w:szCs w:val="24"/>
                <w:lang w:val="en-US" w:eastAsia="zh-CN"/>
              </w:rPr>
              <w:t>类比同类项目（南京欣旺达动力电池项目，该项目于2019年12月取得南京市生态环境局的批复，批文：宁环表〔2019〕17101号，该项目已于2021年9月通过自主竣工验收），本项目清洗废水源强见下表。</w:t>
            </w:r>
          </w:p>
          <w:p w14:paraId="4E91A264">
            <w:pPr>
              <w:pStyle w:val="66"/>
              <w:keepNext w:val="0"/>
              <w:keepLines w:val="0"/>
              <w:pageBreakBefore w:val="0"/>
              <w:widowControl w:val="0"/>
              <w:kinsoku/>
              <w:wordWrap/>
              <w:overflowPunct/>
              <w:topLinePunct w:val="0"/>
              <w:bidi w:val="0"/>
              <w:spacing w:line="240" w:lineRule="auto"/>
              <w:ind w:left="0" w:leftChars="0" w:firstLine="0" w:firstLineChars="0"/>
              <w:jc w:val="center"/>
              <w:textAlignment w:val="auto"/>
              <w:rPr>
                <w:rFonts w:hint="eastAsia" w:cs="Times New Roman"/>
                <w:b/>
                <w:bCs/>
                <w:color w:val="auto"/>
                <w:sz w:val="21"/>
                <w:szCs w:val="21"/>
                <w:lang w:val="en-US" w:eastAsia="zh-CN"/>
              </w:rPr>
            </w:pPr>
            <w:r>
              <w:rPr>
                <w:rFonts w:hint="eastAsia" w:cs="Times New Roman"/>
                <w:b/>
                <w:bCs/>
                <w:color w:val="auto"/>
                <w:sz w:val="21"/>
                <w:szCs w:val="21"/>
                <w:lang w:val="en-US" w:eastAsia="zh-CN"/>
              </w:rPr>
              <w:t>表4-9 类比清洗废水水质情况</w:t>
            </w:r>
          </w:p>
          <w:tbl>
            <w:tblPr>
              <w:tblStyle w:val="42"/>
              <w:tblW w:w="0" w:type="auto"/>
              <w:tblInd w:w="5"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960"/>
              <w:gridCol w:w="948"/>
              <w:gridCol w:w="950"/>
              <w:gridCol w:w="1007"/>
              <w:gridCol w:w="1007"/>
              <w:gridCol w:w="1007"/>
              <w:gridCol w:w="1007"/>
              <w:gridCol w:w="1011"/>
            </w:tblGrid>
            <w:tr w14:paraId="6B8198B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960" w:type="dxa"/>
                  <w:vMerge w:val="restart"/>
                  <w:vAlign w:val="center"/>
                </w:tcPr>
                <w:p w14:paraId="60467C1B">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bCs/>
                      <w:color w:val="auto"/>
                      <w:kern w:val="0"/>
                      <w:sz w:val="21"/>
                      <w:szCs w:val="21"/>
                      <w:lang w:val="en-US" w:eastAsia="zh-CN"/>
                    </w:rPr>
                  </w:pPr>
                  <w:r>
                    <w:rPr>
                      <w:rFonts w:hint="eastAsia" w:ascii="Times New Roman" w:hAnsi="Times New Roman" w:eastAsia="宋体" w:cs="Times New Roman"/>
                      <w:b/>
                      <w:bCs/>
                      <w:color w:val="auto"/>
                      <w:kern w:val="0"/>
                      <w:sz w:val="21"/>
                      <w:szCs w:val="21"/>
                      <w:lang w:val="en-US" w:eastAsia="zh-CN"/>
                    </w:rPr>
                    <w:t>监测日期</w:t>
                  </w:r>
                </w:p>
              </w:tc>
              <w:tc>
                <w:tcPr>
                  <w:tcW w:w="948" w:type="dxa"/>
                  <w:vMerge w:val="restart"/>
                  <w:vAlign w:val="center"/>
                </w:tcPr>
                <w:p w14:paraId="056F1F4D">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bCs/>
                      <w:color w:val="auto"/>
                      <w:kern w:val="0"/>
                      <w:sz w:val="21"/>
                      <w:szCs w:val="21"/>
                      <w:lang w:val="en-US" w:eastAsia="zh-CN"/>
                    </w:rPr>
                  </w:pPr>
                  <w:r>
                    <w:rPr>
                      <w:rFonts w:hint="eastAsia" w:ascii="Times New Roman" w:hAnsi="Times New Roman" w:eastAsia="宋体" w:cs="Times New Roman"/>
                      <w:b/>
                      <w:bCs/>
                      <w:color w:val="auto"/>
                      <w:kern w:val="0"/>
                      <w:sz w:val="21"/>
                      <w:szCs w:val="21"/>
                      <w:lang w:val="en-US" w:eastAsia="zh-CN"/>
                    </w:rPr>
                    <w:t>监测点位</w:t>
                  </w:r>
                </w:p>
              </w:tc>
              <w:tc>
                <w:tcPr>
                  <w:tcW w:w="950" w:type="dxa"/>
                  <w:vMerge w:val="restart"/>
                  <w:vAlign w:val="center"/>
                </w:tcPr>
                <w:p w14:paraId="21153E51">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bCs/>
                      <w:color w:val="auto"/>
                      <w:kern w:val="0"/>
                      <w:sz w:val="21"/>
                      <w:szCs w:val="21"/>
                      <w:lang w:val="en-US" w:eastAsia="zh-CN"/>
                    </w:rPr>
                  </w:pPr>
                  <w:r>
                    <w:rPr>
                      <w:rFonts w:hint="eastAsia" w:ascii="Times New Roman" w:hAnsi="Times New Roman" w:eastAsia="宋体" w:cs="Times New Roman"/>
                      <w:b/>
                      <w:bCs/>
                      <w:color w:val="auto"/>
                      <w:kern w:val="0"/>
                      <w:sz w:val="21"/>
                      <w:szCs w:val="21"/>
                      <w:lang w:val="en-US" w:eastAsia="zh-CN"/>
                    </w:rPr>
                    <w:t>监测项目</w:t>
                  </w:r>
                </w:p>
              </w:tc>
              <w:tc>
                <w:tcPr>
                  <w:tcW w:w="5039" w:type="dxa"/>
                  <w:gridSpan w:val="5"/>
                  <w:vAlign w:val="center"/>
                </w:tcPr>
                <w:p w14:paraId="014BEF2A">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bCs/>
                      <w:color w:val="auto"/>
                      <w:kern w:val="0"/>
                      <w:sz w:val="21"/>
                      <w:szCs w:val="21"/>
                      <w:lang w:val="en-US" w:eastAsia="zh-CN"/>
                    </w:rPr>
                  </w:pPr>
                  <w:r>
                    <w:rPr>
                      <w:rFonts w:hint="eastAsia" w:ascii="Times New Roman" w:hAnsi="Times New Roman" w:eastAsia="宋体" w:cs="Times New Roman"/>
                      <w:b/>
                      <w:bCs/>
                      <w:color w:val="auto"/>
                      <w:kern w:val="0"/>
                      <w:sz w:val="21"/>
                      <w:szCs w:val="21"/>
                      <w:lang w:val="en-US" w:eastAsia="zh-CN"/>
                    </w:rPr>
                    <w:t>监测结果（mg/L，pH值：无量纲）</w:t>
                  </w:r>
                </w:p>
              </w:tc>
            </w:tr>
            <w:tr w14:paraId="2B8E113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960" w:type="dxa"/>
                  <w:vMerge w:val="continue"/>
                  <w:vAlign w:val="center"/>
                </w:tcPr>
                <w:p w14:paraId="15795457">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bCs/>
                      <w:color w:val="auto"/>
                      <w:kern w:val="0"/>
                      <w:sz w:val="21"/>
                      <w:szCs w:val="21"/>
                      <w:lang w:val="en-US" w:eastAsia="zh-CN"/>
                    </w:rPr>
                  </w:pPr>
                </w:p>
              </w:tc>
              <w:tc>
                <w:tcPr>
                  <w:tcW w:w="948" w:type="dxa"/>
                  <w:vMerge w:val="continue"/>
                  <w:vAlign w:val="center"/>
                </w:tcPr>
                <w:p w14:paraId="58A2E0D6">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bCs/>
                      <w:color w:val="auto"/>
                      <w:kern w:val="0"/>
                      <w:sz w:val="21"/>
                      <w:szCs w:val="21"/>
                      <w:lang w:val="en-US" w:eastAsia="zh-CN"/>
                    </w:rPr>
                  </w:pPr>
                </w:p>
              </w:tc>
              <w:tc>
                <w:tcPr>
                  <w:tcW w:w="950" w:type="dxa"/>
                  <w:vMerge w:val="continue"/>
                  <w:vAlign w:val="center"/>
                </w:tcPr>
                <w:p w14:paraId="4FBB0ACF">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bCs/>
                      <w:color w:val="auto"/>
                      <w:kern w:val="0"/>
                      <w:sz w:val="21"/>
                      <w:szCs w:val="21"/>
                      <w:lang w:val="en-US" w:eastAsia="zh-CN"/>
                    </w:rPr>
                  </w:pPr>
                </w:p>
              </w:tc>
              <w:tc>
                <w:tcPr>
                  <w:tcW w:w="1007" w:type="dxa"/>
                  <w:vAlign w:val="center"/>
                </w:tcPr>
                <w:p w14:paraId="008602FC">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bCs/>
                      <w:color w:val="auto"/>
                      <w:kern w:val="0"/>
                      <w:sz w:val="21"/>
                      <w:szCs w:val="21"/>
                      <w:lang w:val="en-US" w:eastAsia="zh-CN"/>
                    </w:rPr>
                  </w:pPr>
                  <w:r>
                    <w:rPr>
                      <w:rFonts w:hint="eastAsia" w:ascii="Times New Roman" w:hAnsi="Times New Roman" w:eastAsia="宋体" w:cs="Times New Roman"/>
                      <w:b/>
                      <w:bCs/>
                      <w:color w:val="auto"/>
                      <w:kern w:val="0"/>
                      <w:sz w:val="21"/>
                      <w:szCs w:val="21"/>
                      <w:lang w:val="en-US" w:eastAsia="zh-CN"/>
                    </w:rPr>
                    <w:t>第一次</w:t>
                  </w:r>
                </w:p>
              </w:tc>
              <w:tc>
                <w:tcPr>
                  <w:tcW w:w="1007" w:type="dxa"/>
                  <w:vAlign w:val="center"/>
                </w:tcPr>
                <w:p w14:paraId="4E8FD024">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bCs/>
                      <w:color w:val="auto"/>
                      <w:kern w:val="0"/>
                      <w:sz w:val="21"/>
                      <w:szCs w:val="21"/>
                      <w:lang w:val="en-US" w:eastAsia="zh-CN"/>
                    </w:rPr>
                  </w:pPr>
                  <w:r>
                    <w:rPr>
                      <w:rFonts w:hint="eastAsia" w:ascii="Times New Roman" w:hAnsi="Times New Roman" w:eastAsia="宋体" w:cs="Times New Roman"/>
                      <w:b/>
                      <w:bCs/>
                      <w:color w:val="auto"/>
                      <w:kern w:val="0"/>
                      <w:sz w:val="21"/>
                      <w:szCs w:val="21"/>
                      <w:lang w:val="en-US" w:eastAsia="zh-CN"/>
                    </w:rPr>
                    <w:t>第二次</w:t>
                  </w:r>
                </w:p>
              </w:tc>
              <w:tc>
                <w:tcPr>
                  <w:tcW w:w="1007" w:type="dxa"/>
                  <w:vAlign w:val="center"/>
                </w:tcPr>
                <w:p w14:paraId="71B3CD06">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bCs/>
                      <w:color w:val="auto"/>
                      <w:kern w:val="0"/>
                      <w:sz w:val="21"/>
                      <w:szCs w:val="21"/>
                      <w:lang w:val="en-US" w:eastAsia="zh-CN"/>
                    </w:rPr>
                  </w:pPr>
                  <w:r>
                    <w:rPr>
                      <w:rFonts w:hint="eastAsia" w:ascii="Times New Roman" w:hAnsi="Times New Roman" w:eastAsia="宋体" w:cs="Times New Roman"/>
                      <w:b/>
                      <w:bCs/>
                      <w:color w:val="auto"/>
                      <w:kern w:val="0"/>
                      <w:sz w:val="21"/>
                      <w:szCs w:val="21"/>
                      <w:lang w:val="en-US" w:eastAsia="zh-CN"/>
                    </w:rPr>
                    <w:t>第三次</w:t>
                  </w:r>
                </w:p>
              </w:tc>
              <w:tc>
                <w:tcPr>
                  <w:tcW w:w="1007" w:type="dxa"/>
                  <w:vAlign w:val="center"/>
                </w:tcPr>
                <w:p w14:paraId="1A261509">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bCs/>
                      <w:color w:val="auto"/>
                      <w:kern w:val="0"/>
                      <w:sz w:val="21"/>
                      <w:szCs w:val="21"/>
                      <w:lang w:val="en-US" w:eastAsia="zh-CN"/>
                    </w:rPr>
                  </w:pPr>
                  <w:r>
                    <w:rPr>
                      <w:rFonts w:hint="eastAsia" w:ascii="Times New Roman" w:hAnsi="Times New Roman" w:eastAsia="宋体" w:cs="Times New Roman"/>
                      <w:b/>
                      <w:bCs/>
                      <w:color w:val="auto"/>
                      <w:kern w:val="0"/>
                      <w:sz w:val="21"/>
                      <w:szCs w:val="21"/>
                      <w:lang w:val="en-US" w:eastAsia="zh-CN"/>
                    </w:rPr>
                    <w:t>第四次</w:t>
                  </w:r>
                </w:p>
              </w:tc>
              <w:tc>
                <w:tcPr>
                  <w:tcW w:w="1011" w:type="dxa"/>
                  <w:vAlign w:val="center"/>
                </w:tcPr>
                <w:p w14:paraId="71E51CCC">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bCs/>
                      <w:color w:val="auto"/>
                      <w:kern w:val="0"/>
                      <w:sz w:val="21"/>
                      <w:szCs w:val="21"/>
                      <w:lang w:val="en-US" w:eastAsia="zh-CN"/>
                    </w:rPr>
                  </w:pPr>
                  <w:r>
                    <w:rPr>
                      <w:rFonts w:hint="eastAsia" w:ascii="Times New Roman" w:hAnsi="Times New Roman" w:eastAsia="宋体" w:cs="Times New Roman"/>
                      <w:b/>
                      <w:bCs/>
                      <w:color w:val="auto"/>
                      <w:kern w:val="0"/>
                      <w:sz w:val="21"/>
                      <w:szCs w:val="21"/>
                      <w:lang w:val="en-US" w:eastAsia="zh-CN"/>
                    </w:rPr>
                    <w:t>最大值</w:t>
                  </w:r>
                </w:p>
              </w:tc>
            </w:tr>
            <w:tr w14:paraId="27C8344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960" w:type="dxa"/>
                  <w:vMerge w:val="restart"/>
                  <w:vAlign w:val="center"/>
                </w:tcPr>
                <w:p w14:paraId="53BF0FDB">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2021年8月17日</w:t>
                  </w:r>
                </w:p>
              </w:tc>
              <w:tc>
                <w:tcPr>
                  <w:tcW w:w="948" w:type="dxa"/>
                  <w:vMerge w:val="restart"/>
                  <w:vAlign w:val="center"/>
                </w:tcPr>
                <w:p w14:paraId="1747698E">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正极清洗废水S1</w:t>
                  </w:r>
                </w:p>
              </w:tc>
              <w:tc>
                <w:tcPr>
                  <w:tcW w:w="950" w:type="dxa"/>
                  <w:vAlign w:val="center"/>
                </w:tcPr>
                <w:p w14:paraId="07DC2BCF">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pH</w:t>
                  </w:r>
                </w:p>
              </w:tc>
              <w:tc>
                <w:tcPr>
                  <w:tcW w:w="1007" w:type="dxa"/>
                  <w:vAlign w:val="center"/>
                </w:tcPr>
                <w:p w14:paraId="07BFFB5D">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7.8</w:t>
                  </w:r>
                </w:p>
              </w:tc>
              <w:tc>
                <w:tcPr>
                  <w:tcW w:w="1007" w:type="dxa"/>
                  <w:vAlign w:val="center"/>
                </w:tcPr>
                <w:p w14:paraId="2A69FFF9">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7.8</w:t>
                  </w:r>
                </w:p>
              </w:tc>
              <w:tc>
                <w:tcPr>
                  <w:tcW w:w="1007" w:type="dxa"/>
                  <w:vAlign w:val="center"/>
                </w:tcPr>
                <w:p w14:paraId="582C106E">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7.8</w:t>
                  </w:r>
                </w:p>
              </w:tc>
              <w:tc>
                <w:tcPr>
                  <w:tcW w:w="1007" w:type="dxa"/>
                  <w:vAlign w:val="center"/>
                </w:tcPr>
                <w:p w14:paraId="527C2C5D">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7.8</w:t>
                  </w:r>
                </w:p>
              </w:tc>
              <w:tc>
                <w:tcPr>
                  <w:tcW w:w="1011" w:type="dxa"/>
                  <w:vAlign w:val="center"/>
                </w:tcPr>
                <w:p w14:paraId="1A55F228">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7.8</w:t>
                  </w:r>
                </w:p>
              </w:tc>
            </w:tr>
            <w:tr w14:paraId="66A6DF3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960" w:type="dxa"/>
                  <w:vMerge w:val="continue"/>
                  <w:vAlign w:val="center"/>
                </w:tcPr>
                <w:p w14:paraId="634BA6B0">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0"/>
                      <w:sz w:val="21"/>
                      <w:szCs w:val="21"/>
                      <w:lang w:val="en-US" w:eastAsia="zh-CN"/>
                    </w:rPr>
                  </w:pPr>
                </w:p>
              </w:tc>
              <w:tc>
                <w:tcPr>
                  <w:tcW w:w="948" w:type="dxa"/>
                  <w:vMerge w:val="continue"/>
                  <w:vAlign w:val="center"/>
                </w:tcPr>
                <w:p w14:paraId="3F5AAFCF">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0"/>
                      <w:sz w:val="21"/>
                      <w:szCs w:val="21"/>
                      <w:lang w:val="en-US" w:eastAsia="zh-CN"/>
                    </w:rPr>
                  </w:pPr>
                </w:p>
              </w:tc>
              <w:tc>
                <w:tcPr>
                  <w:tcW w:w="950" w:type="dxa"/>
                  <w:vAlign w:val="center"/>
                </w:tcPr>
                <w:p w14:paraId="2616DC07">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化学需氧量</w:t>
                  </w:r>
                </w:p>
              </w:tc>
              <w:tc>
                <w:tcPr>
                  <w:tcW w:w="1007" w:type="dxa"/>
                  <w:vAlign w:val="center"/>
                </w:tcPr>
                <w:p w14:paraId="4DE43E3A">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8.44×10</w:t>
                  </w:r>
                  <w:r>
                    <w:rPr>
                      <w:rFonts w:hint="eastAsia" w:ascii="Times New Roman" w:hAnsi="Times New Roman" w:eastAsia="宋体" w:cs="Times New Roman"/>
                      <w:color w:val="auto"/>
                      <w:kern w:val="0"/>
                      <w:sz w:val="21"/>
                      <w:szCs w:val="21"/>
                      <w:vertAlign w:val="superscript"/>
                      <w:lang w:val="en-US" w:eastAsia="zh-CN"/>
                    </w:rPr>
                    <w:t>3</w:t>
                  </w:r>
                </w:p>
              </w:tc>
              <w:tc>
                <w:tcPr>
                  <w:tcW w:w="1007" w:type="dxa"/>
                  <w:vAlign w:val="center"/>
                </w:tcPr>
                <w:p w14:paraId="2DD6D129">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8.41×10</w:t>
                  </w:r>
                  <w:r>
                    <w:rPr>
                      <w:rFonts w:hint="eastAsia" w:ascii="Times New Roman" w:hAnsi="Times New Roman" w:eastAsia="宋体" w:cs="Times New Roman"/>
                      <w:color w:val="auto"/>
                      <w:kern w:val="0"/>
                      <w:sz w:val="21"/>
                      <w:szCs w:val="21"/>
                      <w:vertAlign w:val="superscript"/>
                      <w:lang w:val="en-US" w:eastAsia="zh-CN"/>
                    </w:rPr>
                    <w:t>3</w:t>
                  </w:r>
                </w:p>
              </w:tc>
              <w:tc>
                <w:tcPr>
                  <w:tcW w:w="1007" w:type="dxa"/>
                  <w:vAlign w:val="center"/>
                </w:tcPr>
                <w:p w14:paraId="0DD1A21A">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8.48×10</w:t>
                  </w:r>
                  <w:r>
                    <w:rPr>
                      <w:rFonts w:hint="eastAsia" w:ascii="Times New Roman" w:hAnsi="Times New Roman" w:eastAsia="宋体" w:cs="Times New Roman"/>
                      <w:color w:val="auto"/>
                      <w:kern w:val="0"/>
                      <w:sz w:val="21"/>
                      <w:szCs w:val="21"/>
                      <w:vertAlign w:val="superscript"/>
                      <w:lang w:val="en-US" w:eastAsia="zh-CN"/>
                    </w:rPr>
                    <w:t>3</w:t>
                  </w:r>
                </w:p>
              </w:tc>
              <w:tc>
                <w:tcPr>
                  <w:tcW w:w="1007" w:type="dxa"/>
                  <w:vAlign w:val="center"/>
                </w:tcPr>
                <w:p w14:paraId="2405102B">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8.44×10</w:t>
                  </w:r>
                  <w:r>
                    <w:rPr>
                      <w:rFonts w:hint="eastAsia" w:ascii="Times New Roman" w:hAnsi="Times New Roman" w:eastAsia="宋体" w:cs="Times New Roman"/>
                      <w:color w:val="auto"/>
                      <w:kern w:val="0"/>
                      <w:sz w:val="21"/>
                      <w:szCs w:val="21"/>
                      <w:vertAlign w:val="superscript"/>
                      <w:lang w:val="en-US" w:eastAsia="zh-CN"/>
                    </w:rPr>
                    <w:t>3</w:t>
                  </w:r>
                </w:p>
              </w:tc>
              <w:tc>
                <w:tcPr>
                  <w:tcW w:w="1011" w:type="dxa"/>
                  <w:vAlign w:val="center"/>
                </w:tcPr>
                <w:p w14:paraId="3E35CD00">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8.48×10</w:t>
                  </w:r>
                  <w:r>
                    <w:rPr>
                      <w:rFonts w:hint="eastAsia" w:ascii="Times New Roman" w:hAnsi="Times New Roman" w:eastAsia="宋体" w:cs="Times New Roman"/>
                      <w:color w:val="auto"/>
                      <w:kern w:val="0"/>
                      <w:sz w:val="21"/>
                      <w:szCs w:val="21"/>
                      <w:vertAlign w:val="superscript"/>
                      <w:lang w:val="en-US" w:eastAsia="zh-CN"/>
                    </w:rPr>
                    <w:t>3</w:t>
                  </w:r>
                </w:p>
              </w:tc>
            </w:tr>
            <w:tr w14:paraId="1FED012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960" w:type="dxa"/>
                  <w:vMerge w:val="continue"/>
                  <w:vAlign w:val="center"/>
                </w:tcPr>
                <w:p w14:paraId="44B8A84B">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0"/>
                      <w:sz w:val="21"/>
                      <w:szCs w:val="21"/>
                      <w:lang w:val="en-US" w:eastAsia="zh-CN"/>
                    </w:rPr>
                  </w:pPr>
                </w:p>
              </w:tc>
              <w:tc>
                <w:tcPr>
                  <w:tcW w:w="948" w:type="dxa"/>
                  <w:vMerge w:val="continue"/>
                  <w:vAlign w:val="center"/>
                </w:tcPr>
                <w:p w14:paraId="11D1D25C">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0"/>
                      <w:sz w:val="21"/>
                      <w:szCs w:val="21"/>
                      <w:lang w:val="en-US" w:eastAsia="zh-CN"/>
                    </w:rPr>
                  </w:pPr>
                </w:p>
              </w:tc>
              <w:tc>
                <w:tcPr>
                  <w:tcW w:w="950" w:type="dxa"/>
                  <w:vAlign w:val="center"/>
                </w:tcPr>
                <w:p w14:paraId="01CDF0D5">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悬浮物</w:t>
                  </w:r>
                </w:p>
              </w:tc>
              <w:tc>
                <w:tcPr>
                  <w:tcW w:w="1007" w:type="dxa"/>
                  <w:vAlign w:val="center"/>
                </w:tcPr>
                <w:p w14:paraId="2CDB6119">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40</w:t>
                  </w:r>
                </w:p>
              </w:tc>
              <w:tc>
                <w:tcPr>
                  <w:tcW w:w="1007" w:type="dxa"/>
                  <w:vAlign w:val="center"/>
                </w:tcPr>
                <w:p w14:paraId="04FED240">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41</w:t>
                  </w:r>
                </w:p>
              </w:tc>
              <w:tc>
                <w:tcPr>
                  <w:tcW w:w="1007" w:type="dxa"/>
                  <w:vAlign w:val="center"/>
                </w:tcPr>
                <w:p w14:paraId="32C4350F">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40</w:t>
                  </w:r>
                </w:p>
              </w:tc>
              <w:tc>
                <w:tcPr>
                  <w:tcW w:w="1007" w:type="dxa"/>
                  <w:vAlign w:val="center"/>
                </w:tcPr>
                <w:p w14:paraId="2E66F579">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43</w:t>
                  </w:r>
                </w:p>
              </w:tc>
              <w:tc>
                <w:tcPr>
                  <w:tcW w:w="1011" w:type="dxa"/>
                  <w:vAlign w:val="center"/>
                </w:tcPr>
                <w:p w14:paraId="758DCBCA">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43</w:t>
                  </w:r>
                </w:p>
              </w:tc>
            </w:tr>
            <w:tr w14:paraId="1040FBB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960" w:type="dxa"/>
                  <w:vMerge w:val="continue"/>
                  <w:vAlign w:val="center"/>
                </w:tcPr>
                <w:p w14:paraId="493F133E">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0"/>
                      <w:sz w:val="21"/>
                      <w:szCs w:val="21"/>
                      <w:lang w:val="en-US" w:eastAsia="zh-CN"/>
                    </w:rPr>
                  </w:pPr>
                </w:p>
              </w:tc>
              <w:tc>
                <w:tcPr>
                  <w:tcW w:w="948" w:type="dxa"/>
                  <w:vMerge w:val="continue"/>
                  <w:vAlign w:val="center"/>
                </w:tcPr>
                <w:p w14:paraId="5603EE32">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0"/>
                      <w:sz w:val="21"/>
                      <w:szCs w:val="21"/>
                      <w:lang w:val="en-US" w:eastAsia="zh-CN"/>
                    </w:rPr>
                  </w:pPr>
                </w:p>
              </w:tc>
              <w:tc>
                <w:tcPr>
                  <w:tcW w:w="950" w:type="dxa"/>
                  <w:vAlign w:val="center"/>
                </w:tcPr>
                <w:p w14:paraId="24E095C2">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氨氮</w:t>
                  </w:r>
                </w:p>
              </w:tc>
              <w:tc>
                <w:tcPr>
                  <w:tcW w:w="1007" w:type="dxa"/>
                  <w:vAlign w:val="center"/>
                </w:tcPr>
                <w:p w14:paraId="18BCFD0F">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4.88</w:t>
                  </w:r>
                </w:p>
              </w:tc>
              <w:tc>
                <w:tcPr>
                  <w:tcW w:w="1007" w:type="dxa"/>
                  <w:vAlign w:val="center"/>
                </w:tcPr>
                <w:p w14:paraId="2A8555BF">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5.06</w:t>
                  </w:r>
                </w:p>
              </w:tc>
              <w:tc>
                <w:tcPr>
                  <w:tcW w:w="1007" w:type="dxa"/>
                  <w:vAlign w:val="center"/>
                </w:tcPr>
                <w:p w14:paraId="35590191">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4.70</w:t>
                  </w:r>
                </w:p>
              </w:tc>
              <w:tc>
                <w:tcPr>
                  <w:tcW w:w="1007" w:type="dxa"/>
                  <w:vAlign w:val="center"/>
                </w:tcPr>
                <w:p w14:paraId="656525B9">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5.12</w:t>
                  </w:r>
                </w:p>
              </w:tc>
              <w:tc>
                <w:tcPr>
                  <w:tcW w:w="1011" w:type="dxa"/>
                  <w:vAlign w:val="center"/>
                </w:tcPr>
                <w:p w14:paraId="0792BEB6">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5.12</w:t>
                  </w:r>
                </w:p>
              </w:tc>
            </w:tr>
            <w:tr w14:paraId="3AC0FF4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960" w:type="dxa"/>
                  <w:vMerge w:val="continue"/>
                  <w:vAlign w:val="center"/>
                </w:tcPr>
                <w:p w14:paraId="6F31B1F6">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0"/>
                      <w:sz w:val="21"/>
                      <w:szCs w:val="21"/>
                      <w:lang w:val="en-US" w:eastAsia="zh-CN"/>
                    </w:rPr>
                  </w:pPr>
                </w:p>
              </w:tc>
              <w:tc>
                <w:tcPr>
                  <w:tcW w:w="948" w:type="dxa"/>
                  <w:vMerge w:val="continue"/>
                  <w:vAlign w:val="center"/>
                </w:tcPr>
                <w:p w14:paraId="0266EFC6">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0"/>
                      <w:sz w:val="21"/>
                      <w:szCs w:val="21"/>
                      <w:lang w:val="en-US" w:eastAsia="zh-CN"/>
                    </w:rPr>
                  </w:pPr>
                </w:p>
              </w:tc>
              <w:tc>
                <w:tcPr>
                  <w:tcW w:w="950" w:type="dxa"/>
                  <w:vAlign w:val="center"/>
                </w:tcPr>
                <w:p w14:paraId="7338BB44">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总磷</w:t>
                  </w:r>
                </w:p>
              </w:tc>
              <w:tc>
                <w:tcPr>
                  <w:tcW w:w="1007" w:type="dxa"/>
                  <w:vAlign w:val="center"/>
                </w:tcPr>
                <w:p w14:paraId="35A0AB91">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1.16</w:t>
                  </w:r>
                </w:p>
              </w:tc>
              <w:tc>
                <w:tcPr>
                  <w:tcW w:w="1007" w:type="dxa"/>
                  <w:vAlign w:val="center"/>
                </w:tcPr>
                <w:p w14:paraId="4ACE2C5E">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1.14</w:t>
                  </w:r>
                </w:p>
              </w:tc>
              <w:tc>
                <w:tcPr>
                  <w:tcW w:w="1007" w:type="dxa"/>
                  <w:vAlign w:val="center"/>
                </w:tcPr>
                <w:p w14:paraId="5BF8EE0E">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1.18</w:t>
                  </w:r>
                </w:p>
              </w:tc>
              <w:tc>
                <w:tcPr>
                  <w:tcW w:w="1007" w:type="dxa"/>
                  <w:vAlign w:val="center"/>
                </w:tcPr>
                <w:p w14:paraId="5364D107">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1.17</w:t>
                  </w:r>
                </w:p>
              </w:tc>
              <w:tc>
                <w:tcPr>
                  <w:tcW w:w="1011" w:type="dxa"/>
                  <w:vAlign w:val="center"/>
                </w:tcPr>
                <w:p w14:paraId="74B5E033">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1.18</w:t>
                  </w:r>
                </w:p>
              </w:tc>
            </w:tr>
            <w:tr w14:paraId="71322F3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960" w:type="dxa"/>
                  <w:vMerge w:val="continue"/>
                  <w:vAlign w:val="center"/>
                </w:tcPr>
                <w:p w14:paraId="75E11CE0">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0"/>
                      <w:sz w:val="21"/>
                      <w:szCs w:val="21"/>
                      <w:lang w:val="en-US" w:eastAsia="zh-CN"/>
                    </w:rPr>
                  </w:pPr>
                </w:p>
              </w:tc>
              <w:tc>
                <w:tcPr>
                  <w:tcW w:w="948" w:type="dxa"/>
                  <w:vMerge w:val="continue"/>
                  <w:vAlign w:val="center"/>
                </w:tcPr>
                <w:p w14:paraId="740E49FE">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0"/>
                      <w:sz w:val="21"/>
                      <w:szCs w:val="21"/>
                      <w:lang w:val="en-US" w:eastAsia="zh-CN"/>
                    </w:rPr>
                  </w:pPr>
                </w:p>
              </w:tc>
              <w:tc>
                <w:tcPr>
                  <w:tcW w:w="950" w:type="dxa"/>
                  <w:vAlign w:val="center"/>
                </w:tcPr>
                <w:p w14:paraId="486D0C26">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总氮</w:t>
                  </w:r>
                </w:p>
              </w:tc>
              <w:tc>
                <w:tcPr>
                  <w:tcW w:w="1007" w:type="dxa"/>
                  <w:vAlign w:val="center"/>
                </w:tcPr>
                <w:p w14:paraId="34ECB98A">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669</w:t>
                  </w:r>
                </w:p>
              </w:tc>
              <w:tc>
                <w:tcPr>
                  <w:tcW w:w="1007" w:type="dxa"/>
                  <w:vAlign w:val="center"/>
                </w:tcPr>
                <w:p w14:paraId="392F825E">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669</w:t>
                  </w:r>
                </w:p>
              </w:tc>
              <w:tc>
                <w:tcPr>
                  <w:tcW w:w="1007" w:type="dxa"/>
                  <w:vAlign w:val="center"/>
                </w:tcPr>
                <w:p w14:paraId="1DAFD66E">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671</w:t>
                  </w:r>
                </w:p>
              </w:tc>
              <w:tc>
                <w:tcPr>
                  <w:tcW w:w="1007" w:type="dxa"/>
                  <w:vAlign w:val="center"/>
                </w:tcPr>
                <w:p w14:paraId="05EC9B8C">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670</w:t>
                  </w:r>
                </w:p>
              </w:tc>
              <w:tc>
                <w:tcPr>
                  <w:tcW w:w="1011" w:type="dxa"/>
                  <w:vAlign w:val="center"/>
                </w:tcPr>
                <w:p w14:paraId="38661118">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671</w:t>
                  </w:r>
                </w:p>
              </w:tc>
            </w:tr>
            <w:tr w14:paraId="2E4BFFF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960" w:type="dxa"/>
                  <w:vMerge w:val="continue"/>
                  <w:vAlign w:val="center"/>
                </w:tcPr>
                <w:p w14:paraId="2A3CF30B">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0"/>
                      <w:sz w:val="21"/>
                      <w:szCs w:val="21"/>
                      <w:lang w:val="en-US" w:eastAsia="zh-CN"/>
                    </w:rPr>
                  </w:pPr>
                </w:p>
              </w:tc>
              <w:tc>
                <w:tcPr>
                  <w:tcW w:w="948" w:type="dxa"/>
                  <w:vMerge w:val="continue"/>
                  <w:vAlign w:val="center"/>
                </w:tcPr>
                <w:p w14:paraId="0978A0A4">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0"/>
                      <w:sz w:val="21"/>
                      <w:szCs w:val="21"/>
                      <w:lang w:val="en-US" w:eastAsia="zh-CN"/>
                    </w:rPr>
                  </w:pPr>
                </w:p>
              </w:tc>
              <w:tc>
                <w:tcPr>
                  <w:tcW w:w="950" w:type="dxa"/>
                  <w:vAlign w:val="center"/>
                </w:tcPr>
                <w:p w14:paraId="62AA9BC6">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五日生化需氧量</w:t>
                  </w:r>
                </w:p>
              </w:tc>
              <w:tc>
                <w:tcPr>
                  <w:tcW w:w="1007" w:type="dxa"/>
                  <w:vAlign w:val="center"/>
                </w:tcPr>
                <w:p w14:paraId="0530AFBE">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3.16×10</w:t>
                  </w:r>
                  <w:r>
                    <w:rPr>
                      <w:rFonts w:hint="eastAsia" w:ascii="Times New Roman" w:hAnsi="Times New Roman" w:eastAsia="宋体" w:cs="Times New Roman"/>
                      <w:color w:val="auto"/>
                      <w:kern w:val="0"/>
                      <w:sz w:val="21"/>
                      <w:szCs w:val="21"/>
                      <w:vertAlign w:val="superscript"/>
                      <w:lang w:val="en-US" w:eastAsia="zh-CN"/>
                    </w:rPr>
                    <w:t>3</w:t>
                  </w:r>
                </w:p>
              </w:tc>
              <w:tc>
                <w:tcPr>
                  <w:tcW w:w="1007" w:type="dxa"/>
                  <w:vAlign w:val="center"/>
                </w:tcPr>
                <w:p w14:paraId="152BA500">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3.10×10</w:t>
                  </w:r>
                  <w:r>
                    <w:rPr>
                      <w:rFonts w:hint="eastAsia" w:ascii="Times New Roman" w:hAnsi="Times New Roman" w:eastAsia="宋体" w:cs="Times New Roman"/>
                      <w:color w:val="auto"/>
                      <w:kern w:val="0"/>
                      <w:sz w:val="21"/>
                      <w:szCs w:val="21"/>
                      <w:vertAlign w:val="superscript"/>
                      <w:lang w:val="en-US" w:eastAsia="zh-CN"/>
                    </w:rPr>
                    <w:t>3</w:t>
                  </w:r>
                </w:p>
              </w:tc>
              <w:tc>
                <w:tcPr>
                  <w:tcW w:w="1007" w:type="dxa"/>
                  <w:vAlign w:val="center"/>
                </w:tcPr>
                <w:p w14:paraId="4A07930A">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3.12×10</w:t>
                  </w:r>
                  <w:r>
                    <w:rPr>
                      <w:rFonts w:hint="eastAsia" w:ascii="Times New Roman" w:hAnsi="Times New Roman" w:eastAsia="宋体" w:cs="Times New Roman"/>
                      <w:color w:val="auto"/>
                      <w:kern w:val="0"/>
                      <w:sz w:val="21"/>
                      <w:szCs w:val="21"/>
                      <w:vertAlign w:val="superscript"/>
                      <w:lang w:val="en-US" w:eastAsia="zh-CN"/>
                    </w:rPr>
                    <w:t>3</w:t>
                  </w:r>
                </w:p>
              </w:tc>
              <w:tc>
                <w:tcPr>
                  <w:tcW w:w="1007" w:type="dxa"/>
                  <w:vAlign w:val="center"/>
                </w:tcPr>
                <w:p w14:paraId="6B546FD3">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3.11×10</w:t>
                  </w:r>
                  <w:r>
                    <w:rPr>
                      <w:rFonts w:hint="eastAsia" w:ascii="Times New Roman" w:hAnsi="Times New Roman" w:eastAsia="宋体" w:cs="Times New Roman"/>
                      <w:color w:val="auto"/>
                      <w:kern w:val="0"/>
                      <w:sz w:val="21"/>
                      <w:szCs w:val="21"/>
                      <w:vertAlign w:val="superscript"/>
                      <w:lang w:val="en-US" w:eastAsia="zh-CN"/>
                    </w:rPr>
                    <w:t>3</w:t>
                  </w:r>
                </w:p>
              </w:tc>
              <w:tc>
                <w:tcPr>
                  <w:tcW w:w="1011" w:type="dxa"/>
                  <w:vAlign w:val="center"/>
                </w:tcPr>
                <w:p w14:paraId="2D3A4BAA">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3.16×10</w:t>
                  </w:r>
                  <w:r>
                    <w:rPr>
                      <w:rFonts w:hint="eastAsia" w:ascii="Times New Roman" w:hAnsi="Times New Roman" w:eastAsia="宋体" w:cs="Times New Roman"/>
                      <w:color w:val="auto"/>
                      <w:kern w:val="0"/>
                      <w:sz w:val="21"/>
                      <w:szCs w:val="21"/>
                      <w:vertAlign w:val="superscript"/>
                      <w:lang w:val="en-US" w:eastAsia="zh-CN"/>
                    </w:rPr>
                    <w:t>3</w:t>
                  </w:r>
                </w:p>
              </w:tc>
            </w:tr>
            <w:tr w14:paraId="39960B4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960" w:type="dxa"/>
                  <w:vMerge w:val="continue"/>
                  <w:vAlign w:val="center"/>
                </w:tcPr>
                <w:p w14:paraId="25C530D6">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0"/>
                      <w:sz w:val="21"/>
                      <w:szCs w:val="21"/>
                      <w:lang w:val="en-US" w:eastAsia="zh-CN"/>
                    </w:rPr>
                  </w:pPr>
                </w:p>
              </w:tc>
              <w:tc>
                <w:tcPr>
                  <w:tcW w:w="948" w:type="dxa"/>
                  <w:vMerge w:val="restart"/>
                  <w:vAlign w:val="center"/>
                </w:tcPr>
                <w:p w14:paraId="62815140">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负极</w:t>
                  </w:r>
                  <w:r>
                    <w:rPr>
                      <w:rFonts w:hint="default" w:ascii="Times New Roman" w:hAnsi="Times New Roman" w:eastAsia="宋体" w:cs="Times New Roman"/>
                      <w:color w:val="auto"/>
                      <w:kern w:val="0"/>
                      <w:sz w:val="21"/>
                      <w:szCs w:val="21"/>
                      <w:lang w:val="en-US" w:eastAsia="zh-CN"/>
                    </w:rPr>
                    <w:t>清洗废水S1</w:t>
                  </w:r>
                </w:p>
              </w:tc>
              <w:tc>
                <w:tcPr>
                  <w:tcW w:w="950" w:type="dxa"/>
                  <w:shd w:val="clear" w:color="auto" w:fill="auto"/>
                  <w:vAlign w:val="center"/>
                </w:tcPr>
                <w:p w14:paraId="4A9DCEEA">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0"/>
                      <w:sz w:val="21"/>
                      <w:szCs w:val="21"/>
                      <w:lang w:val="en-US" w:eastAsia="zh-CN"/>
                    </w:rPr>
                    <w:t>pH</w:t>
                  </w:r>
                </w:p>
              </w:tc>
              <w:tc>
                <w:tcPr>
                  <w:tcW w:w="1007" w:type="dxa"/>
                  <w:vAlign w:val="center"/>
                </w:tcPr>
                <w:p w14:paraId="6EA1444B">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7.4</w:t>
                  </w:r>
                </w:p>
              </w:tc>
              <w:tc>
                <w:tcPr>
                  <w:tcW w:w="1007" w:type="dxa"/>
                  <w:vAlign w:val="center"/>
                </w:tcPr>
                <w:p w14:paraId="5955D9E5">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7.4</w:t>
                  </w:r>
                </w:p>
              </w:tc>
              <w:tc>
                <w:tcPr>
                  <w:tcW w:w="1007" w:type="dxa"/>
                  <w:vAlign w:val="center"/>
                </w:tcPr>
                <w:p w14:paraId="030BFAE1">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7.4</w:t>
                  </w:r>
                </w:p>
              </w:tc>
              <w:tc>
                <w:tcPr>
                  <w:tcW w:w="1007" w:type="dxa"/>
                  <w:vAlign w:val="center"/>
                </w:tcPr>
                <w:p w14:paraId="7B882861">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7.4</w:t>
                  </w:r>
                </w:p>
              </w:tc>
              <w:tc>
                <w:tcPr>
                  <w:tcW w:w="1011" w:type="dxa"/>
                  <w:vAlign w:val="center"/>
                </w:tcPr>
                <w:p w14:paraId="296AEB5F">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7.4</w:t>
                  </w:r>
                </w:p>
              </w:tc>
            </w:tr>
            <w:tr w14:paraId="612F421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960" w:type="dxa"/>
                  <w:vMerge w:val="continue"/>
                  <w:vAlign w:val="center"/>
                </w:tcPr>
                <w:p w14:paraId="356E297C">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0"/>
                      <w:sz w:val="21"/>
                      <w:szCs w:val="21"/>
                      <w:lang w:val="en-US" w:eastAsia="zh-CN"/>
                    </w:rPr>
                  </w:pPr>
                </w:p>
              </w:tc>
              <w:tc>
                <w:tcPr>
                  <w:tcW w:w="948" w:type="dxa"/>
                  <w:vMerge w:val="continue"/>
                  <w:vAlign w:val="center"/>
                </w:tcPr>
                <w:p w14:paraId="32F06A26">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0"/>
                      <w:sz w:val="21"/>
                      <w:szCs w:val="21"/>
                      <w:lang w:val="en-US" w:eastAsia="zh-CN"/>
                    </w:rPr>
                  </w:pPr>
                </w:p>
              </w:tc>
              <w:tc>
                <w:tcPr>
                  <w:tcW w:w="950" w:type="dxa"/>
                  <w:shd w:val="clear" w:color="auto" w:fill="auto"/>
                  <w:vAlign w:val="center"/>
                </w:tcPr>
                <w:p w14:paraId="7F79649A">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0"/>
                      <w:sz w:val="21"/>
                      <w:szCs w:val="21"/>
                      <w:lang w:val="en-US" w:eastAsia="zh-CN"/>
                    </w:rPr>
                    <w:t>化学需氧量</w:t>
                  </w:r>
                </w:p>
              </w:tc>
              <w:tc>
                <w:tcPr>
                  <w:tcW w:w="1007" w:type="dxa"/>
                  <w:vAlign w:val="center"/>
                </w:tcPr>
                <w:p w14:paraId="360A09CF">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750</w:t>
                  </w:r>
                </w:p>
              </w:tc>
              <w:tc>
                <w:tcPr>
                  <w:tcW w:w="1007" w:type="dxa"/>
                  <w:vAlign w:val="center"/>
                </w:tcPr>
                <w:p w14:paraId="086D805B">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758</w:t>
                  </w:r>
                </w:p>
              </w:tc>
              <w:tc>
                <w:tcPr>
                  <w:tcW w:w="1007" w:type="dxa"/>
                  <w:vAlign w:val="center"/>
                </w:tcPr>
                <w:p w14:paraId="6C6CCA6C">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746</w:t>
                  </w:r>
                </w:p>
              </w:tc>
              <w:tc>
                <w:tcPr>
                  <w:tcW w:w="1007" w:type="dxa"/>
                  <w:vAlign w:val="center"/>
                </w:tcPr>
                <w:p w14:paraId="23173A84">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746</w:t>
                  </w:r>
                </w:p>
              </w:tc>
              <w:tc>
                <w:tcPr>
                  <w:tcW w:w="1011" w:type="dxa"/>
                  <w:vAlign w:val="center"/>
                </w:tcPr>
                <w:p w14:paraId="64E408CE">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758</w:t>
                  </w:r>
                </w:p>
              </w:tc>
            </w:tr>
            <w:tr w14:paraId="0D45970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960" w:type="dxa"/>
                  <w:vMerge w:val="continue"/>
                  <w:vAlign w:val="center"/>
                </w:tcPr>
                <w:p w14:paraId="4E14DB60">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0"/>
                      <w:sz w:val="21"/>
                      <w:szCs w:val="21"/>
                      <w:lang w:val="en-US" w:eastAsia="zh-CN"/>
                    </w:rPr>
                  </w:pPr>
                </w:p>
              </w:tc>
              <w:tc>
                <w:tcPr>
                  <w:tcW w:w="948" w:type="dxa"/>
                  <w:vMerge w:val="continue"/>
                  <w:vAlign w:val="center"/>
                </w:tcPr>
                <w:p w14:paraId="369F8353">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0"/>
                      <w:sz w:val="21"/>
                      <w:szCs w:val="21"/>
                      <w:lang w:val="en-US" w:eastAsia="zh-CN"/>
                    </w:rPr>
                  </w:pPr>
                </w:p>
              </w:tc>
              <w:tc>
                <w:tcPr>
                  <w:tcW w:w="950" w:type="dxa"/>
                  <w:shd w:val="clear" w:color="auto" w:fill="auto"/>
                  <w:vAlign w:val="center"/>
                </w:tcPr>
                <w:p w14:paraId="64F74CC1">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0"/>
                      <w:sz w:val="21"/>
                      <w:szCs w:val="21"/>
                      <w:lang w:val="en-US" w:eastAsia="zh-CN"/>
                    </w:rPr>
                    <w:t>悬浮物</w:t>
                  </w:r>
                </w:p>
              </w:tc>
              <w:tc>
                <w:tcPr>
                  <w:tcW w:w="1007" w:type="dxa"/>
                  <w:vAlign w:val="center"/>
                </w:tcPr>
                <w:p w14:paraId="6E19AA8D">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36</w:t>
                  </w:r>
                </w:p>
              </w:tc>
              <w:tc>
                <w:tcPr>
                  <w:tcW w:w="1007" w:type="dxa"/>
                  <w:vAlign w:val="center"/>
                </w:tcPr>
                <w:p w14:paraId="3F22A435">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37</w:t>
                  </w:r>
                </w:p>
              </w:tc>
              <w:tc>
                <w:tcPr>
                  <w:tcW w:w="1007" w:type="dxa"/>
                  <w:vAlign w:val="center"/>
                </w:tcPr>
                <w:p w14:paraId="1A4FAD82">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39</w:t>
                  </w:r>
                </w:p>
              </w:tc>
              <w:tc>
                <w:tcPr>
                  <w:tcW w:w="1007" w:type="dxa"/>
                  <w:vAlign w:val="center"/>
                </w:tcPr>
                <w:p w14:paraId="39DA1DD5">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36</w:t>
                  </w:r>
                </w:p>
              </w:tc>
              <w:tc>
                <w:tcPr>
                  <w:tcW w:w="1011" w:type="dxa"/>
                  <w:vAlign w:val="center"/>
                </w:tcPr>
                <w:p w14:paraId="225BFCFE">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39</w:t>
                  </w:r>
                </w:p>
              </w:tc>
            </w:tr>
            <w:tr w14:paraId="5044F1B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960" w:type="dxa"/>
                  <w:vMerge w:val="continue"/>
                  <w:vAlign w:val="center"/>
                </w:tcPr>
                <w:p w14:paraId="278E8A6A">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0"/>
                      <w:sz w:val="21"/>
                      <w:szCs w:val="21"/>
                      <w:lang w:val="en-US" w:eastAsia="zh-CN"/>
                    </w:rPr>
                  </w:pPr>
                </w:p>
              </w:tc>
              <w:tc>
                <w:tcPr>
                  <w:tcW w:w="948" w:type="dxa"/>
                  <w:vMerge w:val="continue"/>
                  <w:vAlign w:val="center"/>
                </w:tcPr>
                <w:p w14:paraId="79BDBD32">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0"/>
                      <w:sz w:val="21"/>
                      <w:szCs w:val="21"/>
                      <w:lang w:val="en-US" w:eastAsia="zh-CN"/>
                    </w:rPr>
                  </w:pPr>
                </w:p>
              </w:tc>
              <w:tc>
                <w:tcPr>
                  <w:tcW w:w="950" w:type="dxa"/>
                  <w:shd w:val="clear" w:color="auto" w:fill="auto"/>
                  <w:vAlign w:val="center"/>
                </w:tcPr>
                <w:p w14:paraId="5E96A2EE">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0"/>
                      <w:sz w:val="21"/>
                      <w:szCs w:val="21"/>
                      <w:lang w:val="en-US" w:eastAsia="zh-CN"/>
                    </w:rPr>
                    <w:t>氨氮</w:t>
                  </w:r>
                </w:p>
              </w:tc>
              <w:tc>
                <w:tcPr>
                  <w:tcW w:w="1007" w:type="dxa"/>
                  <w:vAlign w:val="center"/>
                </w:tcPr>
                <w:p w14:paraId="2CC48447">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0.161</w:t>
                  </w:r>
                </w:p>
              </w:tc>
              <w:tc>
                <w:tcPr>
                  <w:tcW w:w="1007" w:type="dxa"/>
                  <w:vAlign w:val="center"/>
                </w:tcPr>
                <w:p w14:paraId="375299BD">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0.152</w:t>
                  </w:r>
                </w:p>
              </w:tc>
              <w:tc>
                <w:tcPr>
                  <w:tcW w:w="1007" w:type="dxa"/>
                  <w:vAlign w:val="center"/>
                </w:tcPr>
                <w:p w14:paraId="644F9809">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0.170</w:t>
                  </w:r>
                </w:p>
              </w:tc>
              <w:tc>
                <w:tcPr>
                  <w:tcW w:w="1007" w:type="dxa"/>
                  <w:vAlign w:val="center"/>
                </w:tcPr>
                <w:p w14:paraId="14C71FC2">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0.161</w:t>
                  </w:r>
                </w:p>
              </w:tc>
              <w:tc>
                <w:tcPr>
                  <w:tcW w:w="1011" w:type="dxa"/>
                  <w:vAlign w:val="center"/>
                </w:tcPr>
                <w:p w14:paraId="2CF989DD">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0.170</w:t>
                  </w:r>
                </w:p>
              </w:tc>
            </w:tr>
            <w:tr w14:paraId="6AE6474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960" w:type="dxa"/>
                  <w:vMerge w:val="continue"/>
                  <w:vAlign w:val="center"/>
                </w:tcPr>
                <w:p w14:paraId="77EF8CDB">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0"/>
                      <w:sz w:val="21"/>
                      <w:szCs w:val="21"/>
                      <w:lang w:val="en-US" w:eastAsia="zh-CN"/>
                    </w:rPr>
                  </w:pPr>
                </w:p>
              </w:tc>
              <w:tc>
                <w:tcPr>
                  <w:tcW w:w="948" w:type="dxa"/>
                  <w:vMerge w:val="continue"/>
                  <w:vAlign w:val="center"/>
                </w:tcPr>
                <w:p w14:paraId="371EE82B">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0"/>
                      <w:sz w:val="21"/>
                      <w:szCs w:val="21"/>
                      <w:lang w:val="en-US" w:eastAsia="zh-CN"/>
                    </w:rPr>
                  </w:pPr>
                </w:p>
              </w:tc>
              <w:tc>
                <w:tcPr>
                  <w:tcW w:w="950" w:type="dxa"/>
                  <w:shd w:val="clear" w:color="auto" w:fill="auto"/>
                  <w:vAlign w:val="center"/>
                </w:tcPr>
                <w:p w14:paraId="2FD24955">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0"/>
                      <w:sz w:val="21"/>
                      <w:szCs w:val="21"/>
                      <w:lang w:val="en-US" w:eastAsia="zh-CN"/>
                    </w:rPr>
                    <w:t>总磷</w:t>
                  </w:r>
                </w:p>
              </w:tc>
              <w:tc>
                <w:tcPr>
                  <w:tcW w:w="1007" w:type="dxa"/>
                  <w:vAlign w:val="center"/>
                </w:tcPr>
                <w:p w14:paraId="2023712C">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1.32</w:t>
                  </w:r>
                </w:p>
              </w:tc>
              <w:tc>
                <w:tcPr>
                  <w:tcW w:w="1007" w:type="dxa"/>
                  <w:vAlign w:val="center"/>
                </w:tcPr>
                <w:p w14:paraId="1A35B5F8">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1.30</w:t>
                  </w:r>
                </w:p>
              </w:tc>
              <w:tc>
                <w:tcPr>
                  <w:tcW w:w="1007" w:type="dxa"/>
                  <w:vAlign w:val="center"/>
                </w:tcPr>
                <w:p w14:paraId="5F0B74C9">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1.35</w:t>
                  </w:r>
                </w:p>
              </w:tc>
              <w:tc>
                <w:tcPr>
                  <w:tcW w:w="1007" w:type="dxa"/>
                  <w:vAlign w:val="center"/>
                </w:tcPr>
                <w:p w14:paraId="7C4602B8">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1.34</w:t>
                  </w:r>
                </w:p>
              </w:tc>
              <w:tc>
                <w:tcPr>
                  <w:tcW w:w="1011" w:type="dxa"/>
                  <w:vAlign w:val="center"/>
                </w:tcPr>
                <w:p w14:paraId="5FA8CCA6">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1.35</w:t>
                  </w:r>
                </w:p>
              </w:tc>
            </w:tr>
            <w:tr w14:paraId="5AFA5B4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960" w:type="dxa"/>
                  <w:vMerge w:val="continue"/>
                  <w:vAlign w:val="center"/>
                </w:tcPr>
                <w:p w14:paraId="04F250EF">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0"/>
                      <w:sz w:val="21"/>
                      <w:szCs w:val="21"/>
                      <w:lang w:val="en-US" w:eastAsia="zh-CN"/>
                    </w:rPr>
                  </w:pPr>
                </w:p>
              </w:tc>
              <w:tc>
                <w:tcPr>
                  <w:tcW w:w="948" w:type="dxa"/>
                  <w:vMerge w:val="continue"/>
                  <w:vAlign w:val="center"/>
                </w:tcPr>
                <w:p w14:paraId="6A347CF7">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0"/>
                      <w:sz w:val="21"/>
                      <w:szCs w:val="21"/>
                      <w:lang w:val="en-US" w:eastAsia="zh-CN"/>
                    </w:rPr>
                  </w:pPr>
                </w:p>
              </w:tc>
              <w:tc>
                <w:tcPr>
                  <w:tcW w:w="950" w:type="dxa"/>
                  <w:shd w:val="clear" w:color="auto" w:fill="auto"/>
                  <w:vAlign w:val="center"/>
                </w:tcPr>
                <w:p w14:paraId="078C4167">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总氮</w:t>
                  </w:r>
                </w:p>
              </w:tc>
              <w:tc>
                <w:tcPr>
                  <w:tcW w:w="1007" w:type="dxa"/>
                  <w:vAlign w:val="center"/>
                </w:tcPr>
                <w:p w14:paraId="127B1F88">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15.7</w:t>
                  </w:r>
                </w:p>
              </w:tc>
              <w:tc>
                <w:tcPr>
                  <w:tcW w:w="1007" w:type="dxa"/>
                  <w:vAlign w:val="center"/>
                </w:tcPr>
                <w:p w14:paraId="31B23407">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16.7</w:t>
                  </w:r>
                </w:p>
              </w:tc>
              <w:tc>
                <w:tcPr>
                  <w:tcW w:w="1007" w:type="dxa"/>
                  <w:vAlign w:val="center"/>
                </w:tcPr>
                <w:p w14:paraId="622D2CC0">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17.6</w:t>
                  </w:r>
                </w:p>
              </w:tc>
              <w:tc>
                <w:tcPr>
                  <w:tcW w:w="1007" w:type="dxa"/>
                  <w:vAlign w:val="center"/>
                </w:tcPr>
                <w:p w14:paraId="4699D214">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16.7</w:t>
                  </w:r>
                </w:p>
              </w:tc>
              <w:tc>
                <w:tcPr>
                  <w:tcW w:w="1011" w:type="dxa"/>
                  <w:vAlign w:val="center"/>
                </w:tcPr>
                <w:p w14:paraId="5A9A8020">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17.6</w:t>
                  </w:r>
                </w:p>
              </w:tc>
            </w:tr>
            <w:tr w14:paraId="7291186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960" w:type="dxa"/>
                  <w:vMerge w:val="continue"/>
                  <w:vAlign w:val="center"/>
                </w:tcPr>
                <w:p w14:paraId="75024E0A">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0"/>
                      <w:sz w:val="21"/>
                      <w:szCs w:val="21"/>
                      <w:lang w:val="en-US" w:eastAsia="zh-CN"/>
                    </w:rPr>
                  </w:pPr>
                </w:p>
              </w:tc>
              <w:tc>
                <w:tcPr>
                  <w:tcW w:w="948" w:type="dxa"/>
                  <w:vMerge w:val="continue"/>
                  <w:vAlign w:val="center"/>
                </w:tcPr>
                <w:p w14:paraId="3AE8B75D">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0"/>
                      <w:sz w:val="21"/>
                      <w:szCs w:val="21"/>
                      <w:lang w:val="en-US" w:eastAsia="zh-CN"/>
                    </w:rPr>
                  </w:pPr>
                </w:p>
              </w:tc>
              <w:tc>
                <w:tcPr>
                  <w:tcW w:w="950" w:type="dxa"/>
                  <w:shd w:val="clear" w:color="auto" w:fill="auto"/>
                  <w:vAlign w:val="center"/>
                </w:tcPr>
                <w:p w14:paraId="5693DB47">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0"/>
                      <w:sz w:val="21"/>
                      <w:szCs w:val="21"/>
                      <w:lang w:val="en-US" w:eastAsia="zh-CN"/>
                    </w:rPr>
                    <w:t>五日生化需氧量</w:t>
                  </w:r>
                </w:p>
              </w:tc>
              <w:tc>
                <w:tcPr>
                  <w:tcW w:w="1007" w:type="dxa"/>
                  <w:vAlign w:val="center"/>
                </w:tcPr>
                <w:p w14:paraId="13A073FC">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367</w:t>
                  </w:r>
                </w:p>
              </w:tc>
              <w:tc>
                <w:tcPr>
                  <w:tcW w:w="1007" w:type="dxa"/>
                  <w:vAlign w:val="center"/>
                </w:tcPr>
                <w:p w14:paraId="52928936">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362</w:t>
                  </w:r>
                </w:p>
              </w:tc>
              <w:tc>
                <w:tcPr>
                  <w:tcW w:w="1007" w:type="dxa"/>
                  <w:vAlign w:val="center"/>
                </w:tcPr>
                <w:p w14:paraId="42FB1EAF">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361</w:t>
                  </w:r>
                </w:p>
              </w:tc>
              <w:tc>
                <w:tcPr>
                  <w:tcW w:w="1007" w:type="dxa"/>
                  <w:vAlign w:val="center"/>
                </w:tcPr>
                <w:p w14:paraId="5E8F154D">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361</w:t>
                  </w:r>
                </w:p>
              </w:tc>
              <w:tc>
                <w:tcPr>
                  <w:tcW w:w="1011" w:type="dxa"/>
                  <w:vAlign w:val="center"/>
                </w:tcPr>
                <w:p w14:paraId="5A7E2ADC">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367</w:t>
                  </w:r>
                </w:p>
              </w:tc>
            </w:tr>
            <w:tr w14:paraId="39B5D77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960" w:type="dxa"/>
                  <w:vMerge w:val="restart"/>
                  <w:vAlign w:val="center"/>
                </w:tcPr>
                <w:p w14:paraId="6A98EDC2">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2021年8月1</w:t>
                  </w:r>
                  <w:r>
                    <w:rPr>
                      <w:rFonts w:hint="eastAsia" w:ascii="Times New Roman" w:hAnsi="Times New Roman" w:eastAsia="宋体" w:cs="Times New Roman"/>
                      <w:color w:val="auto"/>
                      <w:kern w:val="0"/>
                      <w:sz w:val="21"/>
                      <w:szCs w:val="21"/>
                      <w:lang w:val="en-US" w:eastAsia="zh-CN"/>
                    </w:rPr>
                    <w:t>8</w:t>
                  </w:r>
                  <w:r>
                    <w:rPr>
                      <w:rFonts w:hint="default" w:ascii="Times New Roman" w:hAnsi="Times New Roman" w:eastAsia="宋体" w:cs="Times New Roman"/>
                      <w:color w:val="auto"/>
                      <w:kern w:val="0"/>
                      <w:sz w:val="21"/>
                      <w:szCs w:val="21"/>
                      <w:lang w:val="en-US" w:eastAsia="zh-CN"/>
                    </w:rPr>
                    <w:t>日</w:t>
                  </w:r>
                </w:p>
              </w:tc>
              <w:tc>
                <w:tcPr>
                  <w:tcW w:w="948" w:type="dxa"/>
                  <w:vMerge w:val="restart"/>
                  <w:vAlign w:val="center"/>
                </w:tcPr>
                <w:p w14:paraId="2EC29012">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正极清洗废水S1</w:t>
                  </w:r>
                </w:p>
              </w:tc>
              <w:tc>
                <w:tcPr>
                  <w:tcW w:w="950" w:type="dxa"/>
                  <w:vAlign w:val="center"/>
                </w:tcPr>
                <w:p w14:paraId="38321178">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pH</w:t>
                  </w:r>
                </w:p>
              </w:tc>
              <w:tc>
                <w:tcPr>
                  <w:tcW w:w="1007" w:type="dxa"/>
                  <w:vAlign w:val="center"/>
                </w:tcPr>
                <w:p w14:paraId="50F4BF3F">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7.8</w:t>
                  </w:r>
                </w:p>
              </w:tc>
              <w:tc>
                <w:tcPr>
                  <w:tcW w:w="1007" w:type="dxa"/>
                  <w:vAlign w:val="center"/>
                </w:tcPr>
                <w:p w14:paraId="47B5AA29">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7.8</w:t>
                  </w:r>
                </w:p>
              </w:tc>
              <w:tc>
                <w:tcPr>
                  <w:tcW w:w="1007" w:type="dxa"/>
                  <w:vAlign w:val="center"/>
                </w:tcPr>
                <w:p w14:paraId="3359213D">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7.8</w:t>
                  </w:r>
                </w:p>
              </w:tc>
              <w:tc>
                <w:tcPr>
                  <w:tcW w:w="1007" w:type="dxa"/>
                  <w:vAlign w:val="center"/>
                </w:tcPr>
                <w:p w14:paraId="7F675099">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7.8</w:t>
                  </w:r>
                </w:p>
              </w:tc>
              <w:tc>
                <w:tcPr>
                  <w:tcW w:w="1011" w:type="dxa"/>
                  <w:vAlign w:val="center"/>
                </w:tcPr>
                <w:p w14:paraId="23AD50B0">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7.8</w:t>
                  </w:r>
                </w:p>
              </w:tc>
            </w:tr>
            <w:tr w14:paraId="1936D52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960" w:type="dxa"/>
                  <w:vMerge w:val="continue"/>
                  <w:vAlign w:val="center"/>
                </w:tcPr>
                <w:p w14:paraId="2CFDCE1B">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0"/>
                      <w:sz w:val="21"/>
                      <w:szCs w:val="21"/>
                      <w:lang w:val="en-US" w:eastAsia="zh-CN"/>
                    </w:rPr>
                  </w:pPr>
                </w:p>
              </w:tc>
              <w:tc>
                <w:tcPr>
                  <w:tcW w:w="948" w:type="dxa"/>
                  <w:vMerge w:val="continue"/>
                  <w:vAlign w:val="center"/>
                </w:tcPr>
                <w:p w14:paraId="1FB4645B">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0"/>
                      <w:sz w:val="21"/>
                      <w:szCs w:val="21"/>
                      <w:lang w:val="en-US" w:eastAsia="zh-CN"/>
                    </w:rPr>
                  </w:pPr>
                </w:p>
              </w:tc>
              <w:tc>
                <w:tcPr>
                  <w:tcW w:w="950" w:type="dxa"/>
                  <w:vAlign w:val="center"/>
                </w:tcPr>
                <w:p w14:paraId="7721F080">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化学需氧量</w:t>
                  </w:r>
                </w:p>
              </w:tc>
              <w:tc>
                <w:tcPr>
                  <w:tcW w:w="1007" w:type="dxa"/>
                  <w:vAlign w:val="center"/>
                </w:tcPr>
                <w:p w14:paraId="16BDC8C6">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8.46×10</w:t>
                  </w:r>
                  <w:r>
                    <w:rPr>
                      <w:rFonts w:hint="eastAsia" w:ascii="Times New Roman" w:hAnsi="Times New Roman" w:eastAsia="宋体" w:cs="Times New Roman"/>
                      <w:color w:val="auto"/>
                      <w:kern w:val="0"/>
                      <w:sz w:val="21"/>
                      <w:szCs w:val="21"/>
                      <w:vertAlign w:val="superscript"/>
                      <w:lang w:val="en-US" w:eastAsia="zh-CN"/>
                    </w:rPr>
                    <w:t>3</w:t>
                  </w:r>
                </w:p>
              </w:tc>
              <w:tc>
                <w:tcPr>
                  <w:tcW w:w="1007" w:type="dxa"/>
                  <w:vAlign w:val="center"/>
                </w:tcPr>
                <w:p w14:paraId="4E1821ED">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8.47×10</w:t>
                  </w:r>
                  <w:r>
                    <w:rPr>
                      <w:rFonts w:hint="eastAsia" w:ascii="Times New Roman" w:hAnsi="Times New Roman" w:eastAsia="宋体" w:cs="Times New Roman"/>
                      <w:color w:val="auto"/>
                      <w:kern w:val="0"/>
                      <w:sz w:val="21"/>
                      <w:szCs w:val="21"/>
                      <w:vertAlign w:val="superscript"/>
                      <w:lang w:val="en-US" w:eastAsia="zh-CN"/>
                    </w:rPr>
                    <w:t>3</w:t>
                  </w:r>
                </w:p>
              </w:tc>
              <w:tc>
                <w:tcPr>
                  <w:tcW w:w="1007" w:type="dxa"/>
                  <w:vAlign w:val="center"/>
                </w:tcPr>
                <w:p w14:paraId="2B833933">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8.43×10</w:t>
                  </w:r>
                  <w:r>
                    <w:rPr>
                      <w:rFonts w:hint="eastAsia" w:ascii="Times New Roman" w:hAnsi="Times New Roman" w:eastAsia="宋体" w:cs="Times New Roman"/>
                      <w:color w:val="auto"/>
                      <w:kern w:val="0"/>
                      <w:sz w:val="21"/>
                      <w:szCs w:val="21"/>
                      <w:vertAlign w:val="superscript"/>
                      <w:lang w:val="en-US" w:eastAsia="zh-CN"/>
                    </w:rPr>
                    <w:t>3</w:t>
                  </w:r>
                </w:p>
              </w:tc>
              <w:tc>
                <w:tcPr>
                  <w:tcW w:w="1007" w:type="dxa"/>
                  <w:vAlign w:val="center"/>
                </w:tcPr>
                <w:p w14:paraId="0E764425">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8.47×10</w:t>
                  </w:r>
                  <w:r>
                    <w:rPr>
                      <w:rFonts w:hint="eastAsia" w:ascii="Times New Roman" w:hAnsi="Times New Roman" w:eastAsia="宋体" w:cs="Times New Roman"/>
                      <w:color w:val="auto"/>
                      <w:kern w:val="0"/>
                      <w:sz w:val="21"/>
                      <w:szCs w:val="21"/>
                      <w:vertAlign w:val="superscript"/>
                      <w:lang w:val="en-US" w:eastAsia="zh-CN"/>
                    </w:rPr>
                    <w:t>3</w:t>
                  </w:r>
                </w:p>
              </w:tc>
              <w:tc>
                <w:tcPr>
                  <w:tcW w:w="1011" w:type="dxa"/>
                  <w:vAlign w:val="center"/>
                </w:tcPr>
                <w:p w14:paraId="48FBE0AA">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8.47×10</w:t>
                  </w:r>
                  <w:r>
                    <w:rPr>
                      <w:rFonts w:hint="eastAsia" w:ascii="Times New Roman" w:hAnsi="Times New Roman" w:eastAsia="宋体" w:cs="Times New Roman"/>
                      <w:color w:val="auto"/>
                      <w:kern w:val="0"/>
                      <w:sz w:val="21"/>
                      <w:szCs w:val="21"/>
                      <w:vertAlign w:val="superscript"/>
                      <w:lang w:val="en-US" w:eastAsia="zh-CN"/>
                    </w:rPr>
                    <w:t>3</w:t>
                  </w:r>
                </w:p>
              </w:tc>
            </w:tr>
            <w:tr w14:paraId="4D95B76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960" w:type="dxa"/>
                  <w:vMerge w:val="continue"/>
                  <w:vAlign w:val="center"/>
                </w:tcPr>
                <w:p w14:paraId="71765BAD">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0"/>
                      <w:sz w:val="21"/>
                      <w:szCs w:val="21"/>
                      <w:lang w:val="en-US" w:eastAsia="zh-CN"/>
                    </w:rPr>
                  </w:pPr>
                </w:p>
              </w:tc>
              <w:tc>
                <w:tcPr>
                  <w:tcW w:w="948" w:type="dxa"/>
                  <w:vMerge w:val="continue"/>
                  <w:vAlign w:val="center"/>
                </w:tcPr>
                <w:p w14:paraId="4DF786F6">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0"/>
                      <w:sz w:val="21"/>
                      <w:szCs w:val="21"/>
                      <w:lang w:val="en-US" w:eastAsia="zh-CN"/>
                    </w:rPr>
                  </w:pPr>
                </w:p>
              </w:tc>
              <w:tc>
                <w:tcPr>
                  <w:tcW w:w="950" w:type="dxa"/>
                  <w:vAlign w:val="center"/>
                </w:tcPr>
                <w:p w14:paraId="5AC4B718">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悬浮物</w:t>
                  </w:r>
                </w:p>
              </w:tc>
              <w:tc>
                <w:tcPr>
                  <w:tcW w:w="1007" w:type="dxa"/>
                  <w:vAlign w:val="center"/>
                </w:tcPr>
                <w:p w14:paraId="730AC497">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42</w:t>
                  </w:r>
                </w:p>
              </w:tc>
              <w:tc>
                <w:tcPr>
                  <w:tcW w:w="1007" w:type="dxa"/>
                  <w:vAlign w:val="center"/>
                </w:tcPr>
                <w:p w14:paraId="37F6985C">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44</w:t>
                  </w:r>
                </w:p>
              </w:tc>
              <w:tc>
                <w:tcPr>
                  <w:tcW w:w="1007" w:type="dxa"/>
                  <w:vAlign w:val="center"/>
                </w:tcPr>
                <w:p w14:paraId="58E51A0E">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44</w:t>
                  </w:r>
                </w:p>
              </w:tc>
              <w:tc>
                <w:tcPr>
                  <w:tcW w:w="1007" w:type="dxa"/>
                  <w:vAlign w:val="center"/>
                </w:tcPr>
                <w:p w14:paraId="4189F883">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40</w:t>
                  </w:r>
                </w:p>
              </w:tc>
              <w:tc>
                <w:tcPr>
                  <w:tcW w:w="1011" w:type="dxa"/>
                  <w:vAlign w:val="center"/>
                </w:tcPr>
                <w:p w14:paraId="3DA89795">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44</w:t>
                  </w:r>
                </w:p>
              </w:tc>
            </w:tr>
            <w:tr w14:paraId="7713C8B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960" w:type="dxa"/>
                  <w:vMerge w:val="continue"/>
                  <w:vAlign w:val="center"/>
                </w:tcPr>
                <w:p w14:paraId="393CAF45">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0"/>
                      <w:sz w:val="21"/>
                      <w:szCs w:val="21"/>
                      <w:lang w:val="en-US" w:eastAsia="zh-CN"/>
                    </w:rPr>
                  </w:pPr>
                </w:p>
              </w:tc>
              <w:tc>
                <w:tcPr>
                  <w:tcW w:w="948" w:type="dxa"/>
                  <w:vMerge w:val="continue"/>
                  <w:vAlign w:val="center"/>
                </w:tcPr>
                <w:p w14:paraId="726D7253">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0"/>
                      <w:sz w:val="21"/>
                      <w:szCs w:val="21"/>
                      <w:lang w:val="en-US" w:eastAsia="zh-CN"/>
                    </w:rPr>
                  </w:pPr>
                </w:p>
              </w:tc>
              <w:tc>
                <w:tcPr>
                  <w:tcW w:w="950" w:type="dxa"/>
                  <w:vAlign w:val="center"/>
                </w:tcPr>
                <w:p w14:paraId="5CE60040">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氨氮</w:t>
                  </w:r>
                </w:p>
              </w:tc>
              <w:tc>
                <w:tcPr>
                  <w:tcW w:w="1007" w:type="dxa"/>
                  <w:vAlign w:val="center"/>
                </w:tcPr>
                <w:p w14:paraId="19FD2C2F">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5.18</w:t>
                  </w:r>
                </w:p>
              </w:tc>
              <w:tc>
                <w:tcPr>
                  <w:tcW w:w="1007" w:type="dxa"/>
                  <w:vAlign w:val="center"/>
                </w:tcPr>
                <w:p w14:paraId="4A63F1A8">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5.00</w:t>
                  </w:r>
                </w:p>
              </w:tc>
              <w:tc>
                <w:tcPr>
                  <w:tcW w:w="1007" w:type="dxa"/>
                  <w:vAlign w:val="center"/>
                </w:tcPr>
                <w:p w14:paraId="36329A63">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5.24</w:t>
                  </w:r>
                </w:p>
              </w:tc>
              <w:tc>
                <w:tcPr>
                  <w:tcW w:w="1007" w:type="dxa"/>
                  <w:vAlign w:val="center"/>
                </w:tcPr>
                <w:p w14:paraId="330C9D55">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5.09</w:t>
                  </w:r>
                </w:p>
              </w:tc>
              <w:tc>
                <w:tcPr>
                  <w:tcW w:w="1011" w:type="dxa"/>
                  <w:vAlign w:val="center"/>
                </w:tcPr>
                <w:p w14:paraId="50D7531D">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5.24</w:t>
                  </w:r>
                </w:p>
              </w:tc>
            </w:tr>
            <w:tr w14:paraId="7EE878C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960" w:type="dxa"/>
                  <w:vMerge w:val="continue"/>
                  <w:vAlign w:val="center"/>
                </w:tcPr>
                <w:p w14:paraId="615027C3">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0"/>
                      <w:sz w:val="21"/>
                      <w:szCs w:val="21"/>
                      <w:lang w:val="en-US" w:eastAsia="zh-CN"/>
                    </w:rPr>
                  </w:pPr>
                </w:p>
              </w:tc>
              <w:tc>
                <w:tcPr>
                  <w:tcW w:w="948" w:type="dxa"/>
                  <w:vMerge w:val="continue"/>
                  <w:vAlign w:val="center"/>
                </w:tcPr>
                <w:p w14:paraId="5907F973">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0"/>
                      <w:sz w:val="21"/>
                      <w:szCs w:val="21"/>
                      <w:lang w:val="en-US" w:eastAsia="zh-CN"/>
                    </w:rPr>
                  </w:pPr>
                </w:p>
              </w:tc>
              <w:tc>
                <w:tcPr>
                  <w:tcW w:w="950" w:type="dxa"/>
                  <w:vAlign w:val="center"/>
                </w:tcPr>
                <w:p w14:paraId="0C3B2E34">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总磷</w:t>
                  </w:r>
                </w:p>
              </w:tc>
              <w:tc>
                <w:tcPr>
                  <w:tcW w:w="1007" w:type="dxa"/>
                  <w:vAlign w:val="center"/>
                </w:tcPr>
                <w:p w14:paraId="38EDBE12">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1.18</w:t>
                  </w:r>
                </w:p>
              </w:tc>
              <w:tc>
                <w:tcPr>
                  <w:tcW w:w="1007" w:type="dxa"/>
                  <w:vAlign w:val="center"/>
                </w:tcPr>
                <w:p w14:paraId="76726D07">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1.2</w:t>
                  </w:r>
                </w:p>
              </w:tc>
              <w:tc>
                <w:tcPr>
                  <w:tcW w:w="1007" w:type="dxa"/>
                  <w:vAlign w:val="center"/>
                </w:tcPr>
                <w:p w14:paraId="26F0CEB4">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1.17</w:t>
                  </w:r>
                </w:p>
              </w:tc>
              <w:tc>
                <w:tcPr>
                  <w:tcW w:w="1007" w:type="dxa"/>
                  <w:vAlign w:val="center"/>
                </w:tcPr>
                <w:p w14:paraId="41C9308F">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1.18</w:t>
                  </w:r>
                </w:p>
              </w:tc>
              <w:tc>
                <w:tcPr>
                  <w:tcW w:w="1011" w:type="dxa"/>
                  <w:vAlign w:val="center"/>
                </w:tcPr>
                <w:p w14:paraId="5C73C79C">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1.2</w:t>
                  </w:r>
                </w:p>
              </w:tc>
            </w:tr>
            <w:tr w14:paraId="2FB8ABF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960" w:type="dxa"/>
                  <w:vMerge w:val="continue"/>
                  <w:vAlign w:val="center"/>
                </w:tcPr>
                <w:p w14:paraId="55A08EBC">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0"/>
                      <w:sz w:val="21"/>
                      <w:szCs w:val="21"/>
                      <w:lang w:val="en-US" w:eastAsia="zh-CN"/>
                    </w:rPr>
                  </w:pPr>
                </w:p>
              </w:tc>
              <w:tc>
                <w:tcPr>
                  <w:tcW w:w="948" w:type="dxa"/>
                  <w:vMerge w:val="continue"/>
                  <w:vAlign w:val="center"/>
                </w:tcPr>
                <w:p w14:paraId="7E7CF2F8">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0"/>
                      <w:sz w:val="21"/>
                      <w:szCs w:val="21"/>
                      <w:lang w:val="en-US" w:eastAsia="zh-CN"/>
                    </w:rPr>
                  </w:pPr>
                </w:p>
              </w:tc>
              <w:tc>
                <w:tcPr>
                  <w:tcW w:w="950" w:type="dxa"/>
                  <w:vAlign w:val="center"/>
                </w:tcPr>
                <w:p w14:paraId="5F6F5914">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总氮</w:t>
                  </w:r>
                </w:p>
              </w:tc>
              <w:tc>
                <w:tcPr>
                  <w:tcW w:w="1007" w:type="dxa"/>
                  <w:vAlign w:val="center"/>
                </w:tcPr>
                <w:p w14:paraId="77F707E9">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669</w:t>
                  </w:r>
                </w:p>
              </w:tc>
              <w:tc>
                <w:tcPr>
                  <w:tcW w:w="1007" w:type="dxa"/>
                  <w:vAlign w:val="center"/>
                </w:tcPr>
                <w:p w14:paraId="22674F83">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668</w:t>
                  </w:r>
                </w:p>
              </w:tc>
              <w:tc>
                <w:tcPr>
                  <w:tcW w:w="1007" w:type="dxa"/>
                  <w:vAlign w:val="center"/>
                </w:tcPr>
                <w:p w14:paraId="5180F2B8">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671</w:t>
                  </w:r>
                </w:p>
              </w:tc>
              <w:tc>
                <w:tcPr>
                  <w:tcW w:w="1007" w:type="dxa"/>
                  <w:vAlign w:val="center"/>
                </w:tcPr>
                <w:p w14:paraId="57B02378">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670</w:t>
                  </w:r>
                </w:p>
              </w:tc>
              <w:tc>
                <w:tcPr>
                  <w:tcW w:w="1011" w:type="dxa"/>
                  <w:vAlign w:val="center"/>
                </w:tcPr>
                <w:p w14:paraId="0A50DE5E">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671</w:t>
                  </w:r>
                </w:p>
              </w:tc>
            </w:tr>
            <w:tr w14:paraId="39D8225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960" w:type="dxa"/>
                  <w:vMerge w:val="continue"/>
                  <w:vAlign w:val="center"/>
                </w:tcPr>
                <w:p w14:paraId="07F07857">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0"/>
                      <w:sz w:val="21"/>
                      <w:szCs w:val="21"/>
                      <w:lang w:val="en-US" w:eastAsia="zh-CN"/>
                    </w:rPr>
                  </w:pPr>
                </w:p>
              </w:tc>
              <w:tc>
                <w:tcPr>
                  <w:tcW w:w="948" w:type="dxa"/>
                  <w:vMerge w:val="continue"/>
                  <w:vAlign w:val="center"/>
                </w:tcPr>
                <w:p w14:paraId="191730B5">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0"/>
                      <w:sz w:val="21"/>
                      <w:szCs w:val="21"/>
                      <w:lang w:val="en-US" w:eastAsia="zh-CN"/>
                    </w:rPr>
                  </w:pPr>
                </w:p>
              </w:tc>
              <w:tc>
                <w:tcPr>
                  <w:tcW w:w="950" w:type="dxa"/>
                  <w:vAlign w:val="center"/>
                </w:tcPr>
                <w:p w14:paraId="751B1ABB">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五日生化需氧量</w:t>
                  </w:r>
                </w:p>
              </w:tc>
              <w:tc>
                <w:tcPr>
                  <w:tcW w:w="1007" w:type="dxa"/>
                  <w:vAlign w:val="center"/>
                </w:tcPr>
                <w:p w14:paraId="1583BB9C">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3.17×10</w:t>
                  </w:r>
                  <w:r>
                    <w:rPr>
                      <w:rFonts w:hint="eastAsia" w:ascii="Times New Roman" w:hAnsi="Times New Roman" w:eastAsia="宋体" w:cs="Times New Roman"/>
                      <w:color w:val="auto"/>
                      <w:kern w:val="0"/>
                      <w:sz w:val="21"/>
                      <w:szCs w:val="21"/>
                      <w:vertAlign w:val="superscript"/>
                      <w:lang w:val="en-US" w:eastAsia="zh-CN"/>
                    </w:rPr>
                    <w:t>3</w:t>
                  </w:r>
                </w:p>
              </w:tc>
              <w:tc>
                <w:tcPr>
                  <w:tcW w:w="1007" w:type="dxa"/>
                  <w:vAlign w:val="center"/>
                </w:tcPr>
                <w:p w14:paraId="74328918">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3.17×10</w:t>
                  </w:r>
                  <w:r>
                    <w:rPr>
                      <w:rFonts w:hint="eastAsia" w:ascii="Times New Roman" w:hAnsi="Times New Roman" w:eastAsia="宋体" w:cs="Times New Roman"/>
                      <w:color w:val="auto"/>
                      <w:kern w:val="0"/>
                      <w:sz w:val="21"/>
                      <w:szCs w:val="21"/>
                      <w:vertAlign w:val="superscript"/>
                      <w:lang w:val="en-US" w:eastAsia="zh-CN"/>
                    </w:rPr>
                    <w:t>3</w:t>
                  </w:r>
                </w:p>
              </w:tc>
              <w:tc>
                <w:tcPr>
                  <w:tcW w:w="1007" w:type="dxa"/>
                  <w:vAlign w:val="center"/>
                </w:tcPr>
                <w:p w14:paraId="27849FB5">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3.12×10</w:t>
                  </w:r>
                  <w:r>
                    <w:rPr>
                      <w:rFonts w:hint="eastAsia" w:ascii="Times New Roman" w:hAnsi="Times New Roman" w:eastAsia="宋体" w:cs="Times New Roman"/>
                      <w:color w:val="auto"/>
                      <w:kern w:val="0"/>
                      <w:sz w:val="21"/>
                      <w:szCs w:val="21"/>
                      <w:vertAlign w:val="superscript"/>
                      <w:lang w:val="en-US" w:eastAsia="zh-CN"/>
                    </w:rPr>
                    <w:t>3</w:t>
                  </w:r>
                </w:p>
              </w:tc>
              <w:tc>
                <w:tcPr>
                  <w:tcW w:w="1007" w:type="dxa"/>
                  <w:vAlign w:val="center"/>
                </w:tcPr>
                <w:p w14:paraId="6E3B4FE2">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3.12×10</w:t>
                  </w:r>
                  <w:r>
                    <w:rPr>
                      <w:rFonts w:hint="eastAsia" w:ascii="Times New Roman" w:hAnsi="Times New Roman" w:eastAsia="宋体" w:cs="Times New Roman"/>
                      <w:color w:val="auto"/>
                      <w:kern w:val="0"/>
                      <w:sz w:val="21"/>
                      <w:szCs w:val="21"/>
                      <w:vertAlign w:val="superscript"/>
                      <w:lang w:val="en-US" w:eastAsia="zh-CN"/>
                    </w:rPr>
                    <w:t>3</w:t>
                  </w:r>
                </w:p>
              </w:tc>
              <w:tc>
                <w:tcPr>
                  <w:tcW w:w="1011" w:type="dxa"/>
                  <w:vAlign w:val="center"/>
                </w:tcPr>
                <w:p w14:paraId="773160CD">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3.17×10</w:t>
                  </w:r>
                  <w:r>
                    <w:rPr>
                      <w:rFonts w:hint="eastAsia" w:ascii="Times New Roman" w:hAnsi="Times New Roman" w:eastAsia="宋体" w:cs="Times New Roman"/>
                      <w:color w:val="auto"/>
                      <w:kern w:val="0"/>
                      <w:sz w:val="21"/>
                      <w:szCs w:val="21"/>
                      <w:vertAlign w:val="superscript"/>
                      <w:lang w:val="en-US" w:eastAsia="zh-CN"/>
                    </w:rPr>
                    <w:t>3</w:t>
                  </w:r>
                </w:p>
              </w:tc>
            </w:tr>
            <w:tr w14:paraId="45A79AF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960" w:type="dxa"/>
                  <w:vMerge w:val="continue"/>
                  <w:vAlign w:val="center"/>
                </w:tcPr>
                <w:p w14:paraId="65767CDC">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0"/>
                      <w:sz w:val="21"/>
                      <w:szCs w:val="21"/>
                      <w:lang w:val="en-US" w:eastAsia="zh-CN"/>
                    </w:rPr>
                  </w:pPr>
                </w:p>
              </w:tc>
              <w:tc>
                <w:tcPr>
                  <w:tcW w:w="948" w:type="dxa"/>
                  <w:vMerge w:val="restart"/>
                  <w:vAlign w:val="center"/>
                </w:tcPr>
                <w:p w14:paraId="1AA9DCFE">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负极</w:t>
                  </w:r>
                  <w:r>
                    <w:rPr>
                      <w:rFonts w:hint="default" w:ascii="Times New Roman" w:hAnsi="Times New Roman" w:eastAsia="宋体" w:cs="Times New Roman"/>
                      <w:color w:val="auto"/>
                      <w:kern w:val="0"/>
                      <w:sz w:val="21"/>
                      <w:szCs w:val="21"/>
                      <w:lang w:val="en-US" w:eastAsia="zh-CN"/>
                    </w:rPr>
                    <w:t>清洗废水S1</w:t>
                  </w:r>
                </w:p>
              </w:tc>
              <w:tc>
                <w:tcPr>
                  <w:tcW w:w="950" w:type="dxa"/>
                  <w:vAlign w:val="center"/>
                </w:tcPr>
                <w:p w14:paraId="3C0DBF7B">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pH</w:t>
                  </w:r>
                </w:p>
              </w:tc>
              <w:tc>
                <w:tcPr>
                  <w:tcW w:w="1007" w:type="dxa"/>
                  <w:vAlign w:val="center"/>
                </w:tcPr>
                <w:p w14:paraId="251780C7">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7.4</w:t>
                  </w:r>
                </w:p>
              </w:tc>
              <w:tc>
                <w:tcPr>
                  <w:tcW w:w="1007" w:type="dxa"/>
                  <w:vAlign w:val="center"/>
                </w:tcPr>
                <w:p w14:paraId="583F1439">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7.4</w:t>
                  </w:r>
                </w:p>
              </w:tc>
              <w:tc>
                <w:tcPr>
                  <w:tcW w:w="1007" w:type="dxa"/>
                  <w:vAlign w:val="center"/>
                </w:tcPr>
                <w:p w14:paraId="1340FFA9">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7.4</w:t>
                  </w:r>
                </w:p>
              </w:tc>
              <w:tc>
                <w:tcPr>
                  <w:tcW w:w="1007" w:type="dxa"/>
                  <w:vAlign w:val="center"/>
                </w:tcPr>
                <w:p w14:paraId="27D9C2F3">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7.4</w:t>
                  </w:r>
                </w:p>
              </w:tc>
              <w:tc>
                <w:tcPr>
                  <w:tcW w:w="1011" w:type="dxa"/>
                  <w:vAlign w:val="center"/>
                </w:tcPr>
                <w:p w14:paraId="0E17F978">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7.4</w:t>
                  </w:r>
                </w:p>
              </w:tc>
            </w:tr>
            <w:tr w14:paraId="2D990C8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960" w:type="dxa"/>
                  <w:vMerge w:val="continue"/>
                  <w:vAlign w:val="center"/>
                </w:tcPr>
                <w:p w14:paraId="3B539898">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0"/>
                      <w:sz w:val="21"/>
                      <w:szCs w:val="21"/>
                      <w:lang w:val="en-US" w:eastAsia="zh-CN"/>
                    </w:rPr>
                  </w:pPr>
                </w:p>
              </w:tc>
              <w:tc>
                <w:tcPr>
                  <w:tcW w:w="948" w:type="dxa"/>
                  <w:vMerge w:val="continue"/>
                  <w:vAlign w:val="center"/>
                </w:tcPr>
                <w:p w14:paraId="2799A224">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0"/>
                      <w:sz w:val="21"/>
                      <w:szCs w:val="21"/>
                      <w:lang w:val="en-US" w:eastAsia="zh-CN"/>
                    </w:rPr>
                  </w:pPr>
                </w:p>
              </w:tc>
              <w:tc>
                <w:tcPr>
                  <w:tcW w:w="950" w:type="dxa"/>
                  <w:vAlign w:val="center"/>
                </w:tcPr>
                <w:p w14:paraId="14B7183C">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化学需氧量</w:t>
                  </w:r>
                </w:p>
              </w:tc>
              <w:tc>
                <w:tcPr>
                  <w:tcW w:w="1007" w:type="dxa"/>
                  <w:vAlign w:val="center"/>
                </w:tcPr>
                <w:p w14:paraId="3828699B">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779</w:t>
                  </w:r>
                </w:p>
              </w:tc>
              <w:tc>
                <w:tcPr>
                  <w:tcW w:w="1007" w:type="dxa"/>
                  <w:vAlign w:val="center"/>
                </w:tcPr>
                <w:p w14:paraId="6097C799">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754</w:t>
                  </w:r>
                </w:p>
              </w:tc>
              <w:tc>
                <w:tcPr>
                  <w:tcW w:w="1007" w:type="dxa"/>
                  <w:vAlign w:val="center"/>
                </w:tcPr>
                <w:p w14:paraId="3052F5AE">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792</w:t>
                  </w:r>
                </w:p>
              </w:tc>
              <w:tc>
                <w:tcPr>
                  <w:tcW w:w="1007" w:type="dxa"/>
                  <w:vAlign w:val="center"/>
                </w:tcPr>
                <w:p w14:paraId="66C42C7F">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783</w:t>
                  </w:r>
                </w:p>
              </w:tc>
              <w:tc>
                <w:tcPr>
                  <w:tcW w:w="1011" w:type="dxa"/>
                  <w:vAlign w:val="center"/>
                </w:tcPr>
                <w:p w14:paraId="64E76FAF">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792</w:t>
                  </w:r>
                </w:p>
              </w:tc>
            </w:tr>
            <w:tr w14:paraId="50E92CA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960" w:type="dxa"/>
                  <w:vMerge w:val="continue"/>
                  <w:vAlign w:val="center"/>
                </w:tcPr>
                <w:p w14:paraId="78CBF34F">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0"/>
                      <w:sz w:val="21"/>
                      <w:szCs w:val="21"/>
                      <w:lang w:val="en-US" w:eastAsia="zh-CN"/>
                    </w:rPr>
                  </w:pPr>
                </w:p>
              </w:tc>
              <w:tc>
                <w:tcPr>
                  <w:tcW w:w="948" w:type="dxa"/>
                  <w:vMerge w:val="continue"/>
                  <w:vAlign w:val="center"/>
                </w:tcPr>
                <w:p w14:paraId="44FBAC28">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0"/>
                      <w:sz w:val="21"/>
                      <w:szCs w:val="21"/>
                      <w:lang w:val="en-US" w:eastAsia="zh-CN"/>
                    </w:rPr>
                  </w:pPr>
                </w:p>
              </w:tc>
              <w:tc>
                <w:tcPr>
                  <w:tcW w:w="950" w:type="dxa"/>
                  <w:vAlign w:val="center"/>
                </w:tcPr>
                <w:p w14:paraId="1088145D">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悬浮物</w:t>
                  </w:r>
                </w:p>
              </w:tc>
              <w:tc>
                <w:tcPr>
                  <w:tcW w:w="1007" w:type="dxa"/>
                  <w:vAlign w:val="center"/>
                </w:tcPr>
                <w:p w14:paraId="2E87AB8A">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35</w:t>
                  </w:r>
                </w:p>
              </w:tc>
              <w:tc>
                <w:tcPr>
                  <w:tcW w:w="1007" w:type="dxa"/>
                  <w:vAlign w:val="center"/>
                </w:tcPr>
                <w:p w14:paraId="744200B4">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34</w:t>
                  </w:r>
                </w:p>
              </w:tc>
              <w:tc>
                <w:tcPr>
                  <w:tcW w:w="1007" w:type="dxa"/>
                  <w:vAlign w:val="center"/>
                </w:tcPr>
                <w:p w14:paraId="6EEB9FB8">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37</w:t>
                  </w:r>
                </w:p>
              </w:tc>
              <w:tc>
                <w:tcPr>
                  <w:tcW w:w="1007" w:type="dxa"/>
                  <w:vAlign w:val="center"/>
                </w:tcPr>
                <w:p w14:paraId="228F099A">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37</w:t>
                  </w:r>
                </w:p>
              </w:tc>
              <w:tc>
                <w:tcPr>
                  <w:tcW w:w="1011" w:type="dxa"/>
                  <w:vAlign w:val="center"/>
                </w:tcPr>
                <w:p w14:paraId="57C7DA35">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37</w:t>
                  </w:r>
                </w:p>
              </w:tc>
            </w:tr>
            <w:tr w14:paraId="29B4614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960" w:type="dxa"/>
                  <w:vMerge w:val="continue"/>
                  <w:vAlign w:val="center"/>
                </w:tcPr>
                <w:p w14:paraId="0056CCD3">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0"/>
                      <w:sz w:val="21"/>
                      <w:szCs w:val="21"/>
                      <w:lang w:val="en-US" w:eastAsia="zh-CN"/>
                    </w:rPr>
                  </w:pPr>
                </w:p>
              </w:tc>
              <w:tc>
                <w:tcPr>
                  <w:tcW w:w="948" w:type="dxa"/>
                  <w:vMerge w:val="continue"/>
                  <w:vAlign w:val="center"/>
                </w:tcPr>
                <w:p w14:paraId="366815A2">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0"/>
                      <w:sz w:val="21"/>
                      <w:szCs w:val="21"/>
                      <w:lang w:val="en-US" w:eastAsia="zh-CN"/>
                    </w:rPr>
                  </w:pPr>
                </w:p>
              </w:tc>
              <w:tc>
                <w:tcPr>
                  <w:tcW w:w="950" w:type="dxa"/>
                  <w:vAlign w:val="center"/>
                </w:tcPr>
                <w:p w14:paraId="5A962922">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氨氮</w:t>
                  </w:r>
                </w:p>
              </w:tc>
              <w:tc>
                <w:tcPr>
                  <w:tcW w:w="1007" w:type="dxa"/>
                  <w:vAlign w:val="center"/>
                </w:tcPr>
                <w:p w14:paraId="3A5BB8E4">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0.153</w:t>
                  </w:r>
                </w:p>
              </w:tc>
              <w:tc>
                <w:tcPr>
                  <w:tcW w:w="1007" w:type="dxa"/>
                  <w:vAlign w:val="center"/>
                </w:tcPr>
                <w:p w14:paraId="0451D2B7">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0.164</w:t>
                  </w:r>
                </w:p>
              </w:tc>
              <w:tc>
                <w:tcPr>
                  <w:tcW w:w="1007" w:type="dxa"/>
                  <w:vAlign w:val="center"/>
                </w:tcPr>
                <w:p w14:paraId="63916075">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0.145</w:t>
                  </w:r>
                </w:p>
              </w:tc>
              <w:tc>
                <w:tcPr>
                  <w:tcW w:w="1007" w:type="dxa"/>
                  <w:vAlign w:val="center"/>
                </w:tcPr>
                <w:p w14:paraId="75CA9763">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0.136</w:t>
                  </w:r>
                </w:p>
              </w:tc>
              <w:tc>
                <w:tcPr>
                  <w:tcW w:w="1011" w:type="dxa"/>
                  <w:vAlign w:val="center"/>
                </w:tcPr>
                <w:p w14:paraId="10F74100">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0.164</w:t>
                  </w:r>
                </w:p>
              </w:tc>
            </w:tr>
            <w:tr w14:paraId="5D9BD44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960" w:type="dxa"/>
                  <w:vMerge w:val="continue"/>
                  <w:vAlign w:val="center"/>
                </w:tcPr>
                <w:p w14:paraId="52C2C384">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0"/>
                      <w:sz w:val="21"/>
                      <w:szCs w:val="21"/>
                      <w:lang w:val="en-US" w:eastAsia="zh-CN"/>
                    </w:rPr>
                  </w:pPr>
                </w:p>
              </w:tc>
              <w:tc>
                <w:tcPr>
                  <w:tcW w:w="948" w:type="dxa"/>
                  <w:vMerge w:val="continue"/>
                  <w:vAlign w:val="center"/>
                </w:tcPr>
                <w:p w14:paraId="52306E39">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0"/>
                      <w:sz w:val="21"/>
                      <w:szCs w:val="21"/>
                      <w:lang w:val="en-US" w:eastAsia="zh-CN"/>
                    </w:rPr>
                  </w:pPr>
                </w:p>
              </w:tc>
              <w:tc>
                <w:tcPr>
                  <w:tcW w:w="950" w:type="dxa"/>
                  <w:vAlign w:val="center"/>
                </w:tcPr>
                <w:p w14:paraId="1C113AA7">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总磷</w:t>
                  </w:r>
                </w:p>
              </w:tc>
              <w:tc>
                <w:tcPr>
                  <w:tcW w:w="1007" w:type="dxa"/>
                  <w:vAlign w:val="center"/>
                </w:tcPr>
                <w:p w14:paraId="558E3B7F">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1.33</w:t>
                  </w:r>
                </w:p>
              </w:tc>
              <w:tc>
                <w:tcPr>
                  <w:tcW w:w="1007" w:type="dxa"/>
                  <w:vAlign w:val="center"/>
                </w:tcPr>
                <w:p w14:paraId="6F5D0CAB">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1.32</w:t>
                  </w:r>
                </w:p>
              </w:tc>
              <w:tc>
                <w:tcPr>
                  <w:tcW w:w="1007" w:type="dxa"/>
                  <w:vAlign w:val="center"/>
                </w:tcPr>
                <w:p w14:paraId="540A758F">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1.33</w:t>
                  </w:r>
                </w:p>
              </w:tc>
              <w:tc>
                <w:tcPr>
                  <w:tcW w:w="1007" w:type="dxa"/>
                  <w:vAlign w:val="center"/>
                </w:tcPr>
                <w:p w14:paraId="668513A2">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1.35</w:t>
                  </w:r>
                </w:p>
              </w:tc>
              <w:tc>
                <w:tcPr>
                  <w:tcW w:w="1011" w:type="dxa"/>
                  <w:vAlign w:val="center"/>
                </w:tcPr>
                <w:p w14:paraId="08492195">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1.35</w:t>
                  </w:r>
                </w:p>
              </w:tc>
            </w:tr>
            <w:tr w14:paraId="2447494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960" w:type="dxa"/>
                  <w:vMerge w:val="continue"/>
                  <w:vAlign w:val="center"/>
                </w:tcPr>
                <w:p w14:paraId="3CEB51E6">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0"/>
                      <w:sz w:val="21"/>
                      <w:szCs w:val="21"/>
                      <w:lang w:val="en-US" w:eastAsia="zh-CN"/>
                    </w:rPr>
                  </w:pPr>
                </w:p>
              </w:tc>
              <w:tc>
                <w:tcPr>
                  <w:tcW w:w="948" w:type="dxa"/>
                  <w:vMerge w:val="continue"/>
                  <w:vAlign w:val="center"/>
                </w:tcPr>
                <w:p w14:paraId="4F42DE41">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0"/>
                      <w:sz w:val="21"/>
                      <w:szCs w:val="21"/>
                      <w:lang w:val="en-US" w:eastAsia="zh-CN"/>
                    </w:rPr>
                  </w:pPr>
                </w:p>
              </w:tc>
              <w:tc>
                <w:tcPr>
                  <w:tcW w:w="950" w:type="dxa"/>
                  <w:vAlign w:val="center"/>
                </w:tcPr>
                <w:p w14:paraId="1ADC6E86">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总氮</w:t>
                  </w:r>
                </w:p>
              </w:tc>
              <w:tc>
                <w:tcPr>
                  <w:tcW w:w="1007" w:type="dxa"/>
                  <w:vAlign w:val="center"/>
                </w:tcPr>
                <w:p w14:paraId="4E24FCE2">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17.2</w:t>
                  </w:r>
                </w:p>
              </w:tc>
              <w:tc>
                <w:tcPr>
                  <w:tcW w:w="1007" w:type="dxa"/>
                  <w:vAlign w:val="center"/>
                </w:tcPr>
                <w:p w14:paraId="43C1FC81">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15.7</w:t>
                  </w:r>
                </w:p>
              </w:tc>
              <w:tc>
                <w:tcPr>
                  <w:tcW w:w="1007" w:type="dxa"/>
                  <w:vAlign w:val="center"/>
                </w:tcPr>
                <w:p w14:paraId="5C148333">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17.6</w:t>
                  </w:r>
                </w:p>
              </w:tc>
              <w:tc>
                <w:tcPr>
                  <w:tcW w:w="1007" w:type="dxa"/>
                  <w:vAlign w:val="center"/>
                </w:tcPr>
                <w:p w14:paraId="06532693">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15.7</w:t>
                  </w:r>
                </w:p>
              </w:tc>
              <w:tc>
                <w:tcPr>
                  <w:tcW w:w="1011" w:type="dxa"/>
                  <w:vAlign w:val="center"/>
                </w:tcPr>
                <w:p w14:paraId="6A43FC84">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17.6</w:t>
                  </w:r>
                </w:p>
              </w:tc>
            </w:tr>
            <w:tr w14:paraId="000FC8F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960" w:type="dxa"/>
                  <w:vMerge w:val="continue"/>
                  <w:vAlign w:val="center"/>
                </w:tcPr>
                <w:p w14:paraId="02F5D552">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0"/>
                      <w:sz w:val="21"/>
                      <w:szCs w:val="21"/>
                      <w:lang w:val="en-US" w:eastAsia="zh-CN"/>
                    </w:rPr>
                  </w:pPr>
                </w:p>
              </w:tc>
              <w:tc>
                <w:tcPr>
                  <w:tcW w:w="948" w:type="dxa"/>
                  <w:vMerge w:val="continue"/>
                  <w:vAlign w:val="center"/>
                </w:tcPr>
                <w:p w14:paraId="5F4A7BCA">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0"/>
                      <w:sz w:val="21"/>
                      <w:szCs w:val="21"/>
                      <w:lang w:val="en-US" w:eastAsia="zh-CN"/>
                    </w:rPr>
                  </w:pPr>
                </w:p>
              </w:tc>
              <w:tc>
                <w:tcPr>
                  <w:tcW w:w="950" w:type="dxa"/>
                  <w:vAlign w:val="center"/>
                </w:tcPr>
                <w:p w14:paraId="4506043B">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五日生化需氧量</w:t>
                  </w:r>
                </w:p>
              </w:tc>
              <w:tc>
                <w:tcPr>
                  <w:tcW w:w="1007" w:type="dxa"/>
                  <w:vAlign w:val="center"/>
                </w:tcPr>
                <w:p w14:paraId="2D215C48">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368</w:t>
                  </w:r>
                </w:p>
              </w:tc>
              <w:tc>
                <w:tcPr>
                  <w:tcW w:w="1007" w:type="dxa"/>
                  <w:vAlign w:val="center"/>
                </w:tcPr>
                <w:p w14:paraId="64F11535">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362</w:t>
                  </w:r>
                </w:p>
              </w:tc>
              <w:tc>
                <w:tcPr>
                  <w:tcW w:w="1007" w:type="dxa"/>
                  <w:vAlign w:val="center"/>
                </w:tcPr>
                <w:p w14:paraId="08591EA4">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361</w:t>
                  </w:r>
                </w:p>
              </w:tc>
              <w:tc>
                <w:tcPr>
                  <w:tcW w:w="1007" w:type="dxa"/>
                  <w:vAlign w:val="center"/>
                </w:tcPr>
                <w:p w14:paraId="2A2754F6">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366</w:t>
                  </w:r>
                </w:p>
              </w:tc>
              <w:tc>
                <w:tcPr>
                  <w:tcW w:w="1011" w:type="dxa"/>
                  <w:vAlign w:val="center"/>
                </w:tcPr>
                <w:p w14:paraId="52A714FD">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368</w:t>
                  </w:r>
                </w:p>
              </w:tc>
            </w:tr>
          </w:tbl>
          <w:p w14:paraId="2407D9D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s="Times New Roman"/>
                <w:color w:val="auto"/>
                <w:sz w:val="24"/>
                <w:szCs w:val="24"/>
                <w:lang w:val="en-US" w:eastAsia="zh-CN"/>
              </w:rPr>
            </w:pPr>
            <w:r>
              <w:rPr>
                <w:rFonts w:hint="eastAsia" w:cs="Times New Roman"/>
                <w:color w:val="auto"/>
                <w:sz w:val="24"/>
                <w:szCs w:val="24"/>
                <w:lang w:val="en-US" w:eastAsia="zh-CN"/>
              </w:rPr>
              <w:t>本次评价按照最不利因素考虑，取最大值，则本项目设备清洗废水源强见下表。</w:t>
            </w:r>
          </w:p>
          <w:p w14:paraId="5317A9B3">
            <w:pPr>
              <w:pStyle w:val="66"/>
              <w:keepNext w:val="0"/>
              <w:keepLines w:val="0"/>
              <w:pageBreakBefore w:val="0"/>
              <w:widowControl w:val="0"/>
              <w:kinsoku/>
              <w:wordWrap/>
              <w:overflowPunct/>
              <w:topLinePunct w:val="0"/>
              <w:bidi w:val="0"/>
              <w:spacing w:line="240" w:lineRule="auto"/>
              <w:ind w:left="0" w:leftChars="0" w:firstLine="0" w:firstLineChars="0"/>
              <w:jc w:val="center"/>
              <w:textAlignment w:val="auto"/>
              <w:rPr>
                <w:rFonts w:hint="default" w:cs="Times New Roman"/>
                <w:b/>
                <w:bCs/>
                <w:color w:val="auto"/>
                <w:sz w:val="21"/>
                <w:szCs w:val="21"/>
                <w:lang w:val="en-US" w:eastAsia="zh-CN"/>
              </w:rPr>
            </w:pPr>
            <w:r>
              <w:rPr>
                <w:rFonts w:hint="eastAsia" w:cs="Times New Roman"/>
                <w:b/>
                <w:bCs/>
                <w:color w:val="auto"/>
                <w:sz w:val="21"/>
                <w:szCs w:val="21"/>
                <w:lang w:val="en-US" w:eastAsia="zh-CN"/>
              </w:rPr>
              <w:t>表4-10 类比清洗废水水质情况 （单位：mg/L）</w:t>
            </w:r>
          </w:p>
          <w:tbl>
            <w:tblPr>
              <w:tblStyle w:val="42"/>
              <w:tblW w:w="7937" w:type="dxa"/>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731"/>
              <w:gridCol w:w="1217"/>
              <w:gridCol w:w="950"/>
              <w:gridCol w:w="833"/>
              <w:gridCol w:w="800"/>
              <w:gridCol w:w="717"/>
              <w:gridCol w:w="866"/>
              <w:gridCol w:w="823"/>
            </w:tblGrid>
            <w:tr w14:paraId="1A29E7C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948" w:type="dxa"/>
                  <w:gridSpan w:val="2"/>
                  <w:vAlign w:val="center"/>
                </w:tcPr>
                <w:p w14:paraId="3535412B">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bCs/>
                      <w:color w:val="auto"/>
                      <w:kern w:val="0"/>
                      <w:sz w:val="21"/>
                      <w:szCs w:val="21"/>
                      <w:lang w:val="en-US" w:eastAsia="zh-CN"/>
                    </w:rPr>
                  </w:pPr>
                  <w:r>
                    <w:rPr>
                      <w:rFonts w:hint="eastAsia" w:ascii="Times New Roman" w:hAnsi="Times New Roman" w:eastAsia="宋体" w:cs="Times New Roman"/>
                      <w:b/>
                      <w:bCs/>
                      <w:color w:val="auto"/>
                      <w:kern w:val="0"/>
                      <w:sz w:val="21"/>
                      <w:szCs w:val="21"/>
                      <w:lang w:val="en-US" w:eastAsia="zh-CN"/>
                    </w:rPr>
                    <w:t>废水类型</w:t>
                  </w:r>
                </w:p>
              </w:tc>
              <w:tc>
                <w:tcPr>
                  <w:tcW w:w="950" w:type="dxa"/>
                  <w:vAlign w:val="center"/>
                </w:tcPr>
                <w:p w14:paraId="04E64166">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bCs/>
                      <w:color w:val="auto"/>
                      <w:kern w:val="0"/>
                      <w:sz w:val="21"/>
                      <w:szCs w:val="21"/>
                      <w:lang w:val="en-US" w:eastAsia="zh-CN"/>
                    </w:rPr>
                  </w:pPr>
                  <w:r>
                    <w:rPr>
                      <w:rFonts w:hint="eastAsia" w:ascii="Times New Roman" w:hAnsi="Times New Roman" w:eastAsia="宋体" w:cs="Times New Roman"/>
                      <w:b/>
                      <w:bCs/>
                      <w:color w:val="auto"/>
                      <w:kern w:val="0"/>
                      <w:sz w:val="21"/>
                      <w:szCs w:val="21"/>
                      <w:lang w:val="en-US" w:eastAsia="zh-CN"/>
                    </w:rPr>
                    <w:t>COD</w:t>
                  </w:r>
                </w:p>
              </w:tc>
              <w:tc>
                <w:tcPr>
                  <w:tcW w:w="833" w:type="dxa"/>
                  <w:vAlign w:val="center"/>
                </w:tcPr>
                <w:p w14:paraId="5D6DD7A5">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bCs/>
                      <w:color w:val="auto"/>
                      <w:kern w:val="0"/>
                      <w:sz w:val="21"/>
                      <w:szCs w:val="21"/>
                      <w:lang w:val="en-US" w:eastAsia="zh-CN"/>
                    </w:rPr>
                  </w:pPr>
                  <w:r>
                    <w:rPr>
                      <w:rFonts w:hint="eastAsia" w:ascii="Times New Roman" w:hAnsi="Times New Roman" w:eastAsia="宋体" w:cs="Times New Roman"/>
                      <w:b/>
                      <w:bCs/>
                      <w:color w:val="auto"/>
                      <w:kern w:val="0"/>
                      <w:sz w:val="21"/>
                      <w:szCs w:val="21"/>
                      <w:lang w:val="en-US" w:eastAsia="zh-CN"/>
                    </w:rPr>
                    <w:t>SS</w:t>
                  </w:r>
                </w:p>
              </w:tc>
              <w:tc>
                <w:tcPr>
                  <w:tcW w:w="800" w:type="dxa"/>
                  <w:vAlign w:val="center"/>
                </w:tcPr>
                <w:p w14:paraId="68BAC2D2">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bCs/>
                      <w:color w:val="auto"/>
                      <w:kern w:val="0"/>
                      <w:sz w:val="21"/>
                      <w:szCs w:val="21"/>
                      <w:lang w:val="en-US" w:eastAsia="zh-CN"/>
                    </w:rPr>
                  </w:pPr>
                  <w:r>
                    <w:rPr>
                      <w:rFonts w:hint="eastAsia" w:ascii="Times New Roman" w:hAnsi="Times New Roman" w:eastAsia="宋体" w:cs="Times New Roman"/>
                      <w:b/>
                      <w:bCs/>
                      <w:color w:val="auto"/>
                      <w:kern w:val="0"/>
                      <w:sz w:val="21"/>
                      <w:szCs w:val="21"/>
                      <w:lang w:val="en-US" w:eastAsia="zh-CN"/>
                    </w:rPr>
                    <w:t>氨氮</w:t>
                  </w:r>
                </w:p>
              </w:tc>
              <w:tc>
                <w:tcPr>
                  <w:tcW w:w="717" w:type="dxa"/>
                  <w:vAlign w:val="center"/>
                </w:tcPr>
                <w:p w14:paraId="1E60CE4B">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bCs/>
                      <w:color w:val="auto"/>
                      <w:kern w:val="0"/>
                      <w:sz w:val="21"/>
                      <w:szCs w:val="21"/>
                      <w:lang w:val="en-US" w:eastAsia="zh-CN"/>
                    </w:rPr>
                  </w:pPr>
                  <w:r>
                    <w:rPr>
                      <w:rFonts w:hint="eastAsia" w:ascii="Times New Roman" w:hAnsi="Times New Roman" w:eastAsia="宋体" w:cs="Times New Roman"/>
                      <w:b/>
                      <w:bCs/>
                      <w:color w:val="auto"/>
                      <w:kern w:val="0"/>
                      <w:sz w:val="21"/>
                      <w:szCs w:val="21"/>
                      <w:lang w:val="en-US" w:eastAsia="zh-CN"/>
                    </w:rPr>
                    <w:t>TP</w:t>
                  </w:r>
                </w:p>
              </w:tc>
              <w:tc>
                <w:tcPr>
                  <w:tcW w:w="866" w:type="dxa"/>
                  <w:vAlign w:val="center"/>
                </w:tcPr>
                <w:p w14:paraId="14937E2B">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bCs/>
                      <w:color w:val="auto"/>
                      <w:kern w:val="0"/>
                      <w:sz w:val="21"/>
                      <w:szCs w:val="21"/>
                      <w:lang w:val="en-US" w:eastAsia="zh-CN"/>
                    </w:rPr>
                  </w:pPr>
                  <w:r>
                    <w:rPr>
                      <w:rFonts w:hint="eastAsia" w:ascii="Times New Roman" w:hAnsi="Times New Roman" w:eastAsia="宋体" w:cs="Times New Roman"/>
                      <w:b/>
                      <w:bCs/>
                      <w:color w:val="auto"/>
                      <w:kern w:val="0"/>
                      <w:sz w:val="21"/>
                      <w:szCs w:val="21"/>
                      <w:lang w:val="en-US" w:eastAsia="zh-CN"/>
                    </w:rPr>
                    <w:t>TN</w:t>
                  </w:r>
                </w:p>
              </w:tc>
              <w:tc>
                <w:tcPr>
                  <w:tcW w:w="823" w:type="dxa"/>
                  <w:vAlign w:val="center"/>
                </w:tcPr>
                <w:p w14:paraId="223AAE92">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bCs/>
                      <w:color w:val="auto"/>
                      <w:kern w:val="0"/>
                      <w:sz w:val="21"/>
                      <w:szCs w:val="21"/>
                      <w:lang w:val="en-US" w:eastAsia="zh-CN"/>
                    </w:rPr>
                  </w:pPr>
                  <w:r>
                    <w:rPr>
                      <w:rFonts w:hint="eastAsia" w:ascii="Times New Roman" w:hAnsi="Times New Roman" w:eastAsia="宋体" w:cs="Times New Roman"/>
                      <w:b/>
                      <w:bCs/>
                      <w:color w:val="auto"/>
                      <w:kern w:val="0"/>
                      <w:sz w:val="21"/>
                      <w:szCs w:val="21"/>
                      <w:lang w:val="en-US" w:eastAsia="zh-CN"/>
                    </w:rPr>
                    <w:t>BOD</w:t>
                  </w:r>
                  <w:r>
                    <w:rPr>
                      <w:rFonts w:hint="eastAsia" w:ascii="Times New Roman" w:hAnsi="Times New Roman" w:eastAsia="宋体" w:cs="Times New Roman"/>
                      <w:b/>
                      <w:bCs/>
                      <w:color w:val="auto"/>
                      <w:kern w:val="0"/>
                      <w:sz w:val="21"/>
                      <w:szCs w:val="21"/>
                      <w:vertAlign w:val="subscript"/>
                      <w:lang w:val="en-US" w:eastAsia="zh-CN"/>
                    </w:rPr>
                    <w:t>5</w:t>
                  </w:r>
                </w:p>
              </w:tc>
            </w:tr>
            <w:tr w14:paraId="46120BF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731" w:type="dxa"/>
                  <w:vAlign w:val="center"/>
                </w:tcPr>
                <w:p w14:paraId="1572C7CC">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正极清洗废水</w:t>
                  </w:r>
                </w:p>
              </w:tc>
              <w:tc>
                <w:tcPr>
                  <w:tcW w:w="1217" w:type="dxa"/>
                  <w:vAlign w:val="center"/>
                </w:tcPr>
                <w:p w14:paraId="6CF0719B">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38.4t/a</w:t>
                  </w:r>
                </w:p>
              </w:tc>
              <w:tc>
                <w:tcPr>
                  <w:tcW w:w="950" w:type="dxa"/>
                  <w:vAlign w:val="center"/>
                </w:tcPr>
                <w:p w14:paraId="44F7A862">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8480</w:t>
                  </w:r>
                </w:p>
              </w:tc>
              <w:tc>
                <w:tcPr>
                  <w:tcW w:w="833" w:type="dxa"/>
                  <w:vAlign w:val="center"/>
                </w:tcPr>
                <w:p w14:paraId="52318B77">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44</w:t>
                  </w:r>
                </w:p>
              </w:tc>
              <w:tc>
                <w:tcPr>
                  <w:tcW w:w="800" w:type="dxa"/>
                  <w:vAlign w:val="center"/>
                </w:tcPr>
                <w:p w14:paraId="1FCEDF11">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5.24</w:t>
                  </w:r>
                </w:p>
              </w:tc>
              <w:tc>
                <w:tcPr>
                  <w:tcW w:w="717" w:type="dxa"/>
                  <w:vAlign w:val="center"/>
                </w:tcPr>
                <w:p w14:paraId="25725025">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1.2</w:t>
                  </w:r>
                </w:p>
              </w:tc>
              <w:tc>
                <w:tcPr>
                  <w:tcW w:w="866" w:type="dxa"/>
                  <w:vAlign w:val="center"/>
                </w:tcPr>
                <w:p w14:paraId="78AB0B5D">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671</w:t>
                  </w:r>
                </w:p>
              </w:tc>
              <w:tc>
                <w:tcPr>
                  <w:tcW w:w="823" w:type="dxa"/>
                  <w:vAlign w:val="center"/>
                </w:tcPr>
                <w:p w14:paraId="41391039">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3170</w:t>
                  </w:r>
                </w:p>
              </w:tc>
            </w:tr>
            <w:tr w14:paraId="3DFA6D8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731" w:type="dxa"/>
                  <w:vAlign w:val="center"/>
                </w:tcPr>
                <w:p w14:paraId="67E69A15">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负极清洗废水</w:t>
                  </w:r>
                </w:p>
              </w:tc>
              <w:tc>
                <w:tcPr>
                  <w:tcW w:w="1217" w:type="dxa"/>
                  <w:shd w:val="clear" w:color="auto" w:fill="auto"/>
                  <w:vAlign w:val="center"/>
                </w:tcPr>
                <w:p w14:paraId="34A5E037">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38.4t/a</w:t>
                  </w:r>
                </w:p>
              </w:tc>
              <w:tc>
                <w:tcPr>
                  <w:tcW w:w="950" w:type="dxa"/>
                  <w:vAlign w:val="center"/>
                </w:tcPr>
                <w:p w14:paraId="07C3ADFF">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758</w:t>
                  </w:r>
                </w:p>
              </w:tc>
              <w:tc>
                <w:tcPr>
                  <w:tcW w:w="833" w:type="dxa"/>
                  <w:vAlign w:val="center"/>
                </w:tcPr>
                <w:p w14:paraId="14527AE3">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39</w:t>
                  </w:r>
                </w:p>
              </w:tc>
              <w:tc>
                <w:tcPr>
                  <w:tcW w:w="800" w:type="dxa"/>
                  <w:vAlign w:val="center"/>
                </w:tcPr>
                <w:p w14:paraId="31BB1684">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0.17</w:t>
                  </w:r>
                </w:p>
              </w:tc>
              <w:tc>
                <w:tcPr>
                  <w:tcW w:w="717" w:type="dxa"/>
                  <w:vAlign w:val="center"/>
                </w:tcPr>
                <w:p w14:paraId="4A43B7F8">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1.35</w:t>
                  </w:r>
                </w:p>
              </w:tc>
              <w:tc>
                <w:tcPr>
                  <w:tcW w:w="866" w:type="dxa"/>
                  <w:vAlign w:val="center"/>
                </w:tcPr>
                <w:p w14:paraId="7CAE9273">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17.6</w:t>
                  </w:r>
                </w:p>
              </w:tc>
              <w:tc>
                <w:tcPr>
                  <w:tcW w:w="823" w:type="dxa"/>
                  <w:vAlign w:val="center"/>
                </w:tcPr>
                <w:p w14:paraId="7AD30D55">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368</w:t>
                  </w:r>
                </w:p>
              </w:tc>
            </w:tr>
            <w:tr w14:paraId="6F59A2B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PrEx>
              <w:trPr>
                <w:jc w:val="center"/>
              </w:trPr>
              <w:tc>
                <w:tcPr>
                  <w:tcW w:w="1731" w:type="dxa"/>
                  <w:vAlign w:val="center"/>
                </w:tcPr>
                <w:p w14:paraId="1FA1EF47">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混合后的设备清洗废水</w:t>
                  </w:r>
                </w:p>
              </w:tc>
              <w:tc>
                <w:tcPr>
                  <w:tcW w:w="1217" w:type="dxa"/>
                  <w:shd w:val="clear" w:color="auto" w:fill="auto"/>
                  <w:vAlign w:val="center"/>
                </w:tcPr>
                <w:p w14:paraId="71C6AF23">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76.8t/a</w:t>
                  </w:r>
                </w:p>
              </w:tc>
              <w:tc>
                <w:tcPr>
                  <w:tcW w:w="950" w:type="dxa"/>
                  <w:vAlign w:val="center"/>
                </w:tcPr>
                <w:p w14:paraId="04A9ECB7">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4619</w:t>
                  </w:r>
                </w:p>
              </w:tc>
              <w:tc>
                <w:tcPr>
                  <w:tcW w:w="833" w:type="dxa"/>
                  <w:vAlign w:val="center"/>
                </w:tcPr>
                <w:p w14:paraId="2123FAC5">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41.5</w:t>
                  </w:r>
                </w:p>
              </w:tc>
              <w:tc>
                <w:tcPr>
                  <w:tcW w:w="800" w:type="dxa"/>
                  <w:vAlign w:val="center"/>
                </w:tcPr>
                <w:p w14:paraId="6969EB82">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2.705</w:t>
                  </w:r>
                </w:p>
              </w:tc>
              <w:tc>
                <w:tcPr>
                  <w:tcW w:w="717" w:type="dxa"/>
                  <w:vAlign w:val="center"/>
                </w:tcPr>
                <w:p w14:paraId="4C4B836B">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1.275</w:t>
                  </w:r>
                </w:p>
              </w:tc>
              <w:tc>
                <w:tcPr>
                  <w:tcW w:w="866" w:type="dxa"/>
                  <w:vAlign w:val="center"/>
                </w:tcPr>
                <w:p w14:paraId="4122CC73">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344.3</w:t>
                  </w:r>
                </w:p>
              </w:tc>
              <w:tc>
                <w:tcPr>
                  <w:tcW w:w="823" w:type="dxa"/>
                  <w:vAlign w:val="center"/>
                </w:tcPr>
                <w:p w14:paraId="742DFCC8">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1769</w:t>
                  </w:r>
                </w:p>
              </w:tc>
            </w:tr>
          </w:tbl>
          <w:p w14:paraId="0C6E6E1D">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rPr>
              <w:t>（2）</w:t>
            </w:r>
            <w:r>
              <w:rPr>
                <w:rFonts w:hint="eastAsia" w:ascii="Times New Roman" w:hAnsi="Times New Roman" w:eastAsia="宋体" w:cs="Times New Roman"/>
                <w:color w:val="auto"/>
                <w:sz w:val="24"/>
                <w:szCs w:val="24"/>
                <w:lang w:val="en-US" w:eastAsia="zh-CN"/>
              </w:rPr>
              <w:t>废水治理措施</w:t>
            </w:r>
          </w:p>
          <w:p w14:paraId="442DFB03">
            <w:pPr>
              <w:autoSpaceDE w:val="0"/>
              <w:autoSpaceDN w:val="0"/>
              <w:adjustRightInd w:val="0"/>
              <w:spacing w:line="360" w:lineRule="auto"/>
              <w:ind w:firstLine="480" w:firstLineChars="200"/>
              <w:rPr>
                <w:rFonts w:hint="eastAsia" w:ascii="Times New Roman" w:hAnsi="Times New Roman" w:eastAsia="宋体" w:cs="Times New Roman"/>
                <w:color w:val="auto"/>
                <w:sz w:val="24"/>
                <w:highlight w:val="none"/>
                <w:lang w:val="en-US" w:eastAsia="zh-CN"/>
              </w:rPr>
            </w:pPr>
            <w:r>
              <w:rPr>
                <w:rFonts w:hint="eastAsia" w:ascii="Times New Roman" w:hAnsi="Times New Roman" w:eastAsia="宋体" w:cs="Times New Roman"/>
                <w:color w:val="auto"/>
                <w:sz w:val="24"/>
                <w:highlight w:val="none"/>
                <w:lang w:val="en-US" w:eastAsia="zh-CN"/>
              </w:rPr>
              <w:t>本项目外排废水总量为12.</w:t>
            </w:r>
            <w:r>
              <w:rPr>
                <w:rFonts w:hint="eastAsia" w:cs="Times New Roman"/>
                <w:color w:val="auto"/>
                <w:sz w:val="24"/>
                <w:highlight w:val="none"/>
                <w:lang w:val="en-US" w:eastAsia="zh-CN"/>
              </w:rPr>
              <w:t>836</w:t>
            </w:r>
            <w:r>
              <w:rPr>
                <w:rFonts w:hint="eastAsia" w:ascii="Times New Roman" w:hAnsi="Times New Roman" w:eastAsia="宋体" w:cs="Times New Roman"/>
                <w:color w:val="auto"/>
                <w:sz w:val="24"/>
                <w:highlight w:val="none"/>
                <w:lang w:val="en-US" w:eastAsia="zh-CN"/>
              </w:rPr>
              <w:t>m</w:t>
            </w:r>
            <w:r>
              <w:rPr>
                <w:rFonts w:hint="eastAsia" w:ascii="Times New Roman" w:hAnsi="Times New Roman" w:eastAsia="宋体" w:cs="Times New Roman"/>
                <w:color w:val="auto"/>
                <w:sz w:val="24"/>
                <w:highlight w:val="none"/>
                <w:vertAlign w:val="superscript"/>
                <w:lang w:val="en-US" w:eastAsia="zh-CN"/>
              </w:rPr>
              <w:t>3</w:t>
            </w:r>
            <w:r>
              <w:rPr>
                <w:rFonts w:hint="eastAsia" w:ascii="Times New Roman" w:hAnsi="Times New Roman" w:eastAsia="宋体" w:cs="Times New Roman"/>
                <w:color w:val="auto"/>
                <w:sz w:val="24"/>
                <w:highlight w:val="none"/>
                <w:lang w:val="en-US" w:eastAsia="zh-CN"/>
              </w:rPr>
              <w:t>/d（38</w:t>
            </w:r>
            <w:r>
              <w:rPr>
                <w:rFonts w:hint="eastAsia" w:cs="Times New Roman"/>
                <w:color w:val="auto"/>
                <w:sz w:val="24"/>
                <w:highlight w:val="none"/>
                <w:lang w:val="en-US" w:eastAsia="zh-CN"/>
              </w:rPr>
              <w:t>50.8</w:t>
            </w:r>
            <w:r>
              <w:rPr>
                <w:rFonts w:hint="eastAsia" w:ascii="Times New Roman" w:hAnsi="Times New Roman" w:eastAsia="宋体" w:cs="Times New Roman"/>
                <w:color w:val="auto"/>
                <w:sz w:val="24"/>
                <w:highlight w:val="none"/>
                <w:lang w:val="en-US" w:eastAsia="zh-CN"/>
              </w:rPr>
              <w:t>m</w:t>
            </w:r>
            <w:r>
              <w:rPr>
                <w:rFonts w:hint="eastAsia" w:ascii="Times New Roman" w:hAnsi="Times New Roman" w:eastAsia="宋体" w:cs="Times New Roman"/>
                <w:color w:val="auto"/>
                <w:sz w:val="24"/>
                <w:highlight w:val="none"/>
                <w:vertAlign w:val="superscript"/>
                <w:lang w:val="en-US" w:eastAsia="zh-CN"/>
              </w:rPr>
              <w:t>3</w:t>
            </w:r>
            <w:r>
              <w:rPr>
                <w:rFonts w:hint="eastAsia" w:ascii="Times New Roman" w:hAnsi="Times New Roman" w:eastAsia="宋体" w:cs="Times New Roman"/>
                <w:color w:val="auto"/>
                <w:sz w:val="24"/>
                <w:highlight w:val="none"/>
                <w:lang w:val="en-US" w:eastAsia="zh-CN"/>
              </w:rPr>
              <w:t>/a），主要包括生产及生活两方面。其中生活污水产生量为7.68m</w:t>
            </w:r>
            <w:r>
              <w:rPr>
                <w:rFonts w:hint="eastAsia" w:ascii="Times New Roman" w:hAnsi="Times New Roman" w:eastAsia="宋体" w:cs="Times New Roman"/>
                <w:color w:val="auto"/>
                <w:sz w:val="24"/>
                <w:highlight w:val="none"/>
                <w:vertAlign w:val="superscript"/>
                <w:lang w:val="en-US" w:eastAsia="zh-CN"/>
              </w:rPr>
              <w:t>3</w:t>
            </w:r>
            <w:r>
              <w:rPr>
                <w:rFonts w:hint="eastAsia" w:ascii="Times New Roman" w:hAnsi="Times New Roman" w:eastAsia="宋体" w:cs="Times New Roman"/>
                <w:color w:val="auto"/>
                <w:sz w:val="24"/>
                <w:highlight w:val="none"/>
                <w:lang w:val="en-US" w:eastAsia="zh-CN"/>
              </w:rPr>
              <w:t>/d（2304m</w:t>
            </w:r>
            <w:r>
              <w:rPr>
                <w:rFonts w:hint="eastAsia" w:ascii="Times New Roman" w:hAnsi="Times New Roman" w:eastAsia="宋体" w:cs="Times New Roman"/>
                <w:color w:val="auto"/>
                <w:sz w:val="24"/>
                <w:highlight w:val="none"/>
                <w:vertAlign w:val="superscript"/>
                <w:lang w:val="en-US" w:eastAsia="zh-CN"/>
              </w:rPr>
              <w:t>3</w:t>
            </w:r>
            <w:r>
              <w:rPr>
                <w:rFonts w:hint="eastAsia" w:ascii="Times New Roman" w:hAnsi="Times New Roman" w:eastAsia="宋体" w:cs="Times New Roman"/>
                <w:color w:val="auto"/>
                <w:sz w:val="24"/>
                <w:highlight w:val="none"/>
                <w:lang w:val="en-US" w:eastAsia="zh-CN"/>
              </w:rPr>
              <w:t>/a），生产废水产生量为</w:t>
            </w:r>
            <w:r>
              <w:rPr>
                <w:rFonts w:hint="eastAsia" w:cs="Times New Roman"/>
                <w:color w:val="auto"/>
                <w:sz w:val="24"/>
                <w:highlight w:val="none"/>
                <w:lang w:val="en-US" w:eastAsia="zh-CN"/>
              </w:rPr>
              <w:t>5.156</w:t>
            </w:r>
            <w:r>
              <w:rPr>
                <w:rFonts w:hint="eastAsia" w:ascii="Times New Roman" w:hAnsi="Times New Roman" w:eastAsia="宋体" w:cs="Times New Roman"/>
                <w:color w:val="auto"/>
                <w:sz w:val="24"/>
                <w:highlight w:val="none"/>
                <w:lang w:val="en-US" w:eastAsia="zh-CN"/>
              </w:rPr>
              <w:t>m</w:t>
            </w:r>
            <w:r>
              <w:rPr>
                <w:rFonts w:hint="eastAsia" w:ascii="Times New Roman" w:hAnsi="Times New Roman" w:eastAsia="宋体" w:cs="Times New Roman"/>
                <w:color w:val="auto"/>
                <w:sz w:val="24"/>
                <w:highlight w:val="none"/>
                <w:vertAlign w:val="superscript"/>
                <w:lang w:val="en-US" w:eastAsia="zh-CN"/>
              </w:rPr>
              <w:t>3</w:t>
            </w:r>
            <w:r>
              <w:rPr>
                <w:rFonts w:hint="eastAsia" w:ascii="Times New Roman" w:hAnsi="Times New Roman" w:eastAsia="宋体" w:cs="Times New Roman"/>
                <w:color w:val="auto"/>
                <w:sz w:val="24"/>
                <w:highlight w:val="none"/>
                <w:lang w:val="en-US" w:eastAsia="zh-CN"/>
              </w:rPr>
              <w:t>/d（</w:t>
            </w:r>
            <w:r>
              <w:rPr>
                <w:rFonts w:hint="eastAsia" w:cs="Times New Roman"/>
                <w:color w:val="auto"/>
                <w:sz w:val="24"/>
                <w:highlight w:val="none"/>
                <w:lang w:val="en-US" w:eastAsia="zh-CN"/>
              </w:rPr>
              <w:t>1546.8</w:t>
            </w:r>
            <w:r>
              <w:rPr>
                <w:rFonts w:hint="eastAsia" w:ascii="Times New Roman" w:hAnsi="Times New Roman" w:eastAsia="宋体" w:cs="Times New Roman"/>
                <w:color w:val="auto"/>
                <w:sz w:val="24"/>
                <w:highlight w:val="none"/>
                <w:lang w:val="en-US" w:eastAsia="zh-CN"/>
              </w:rPr>
              <w:t>m</w:t>
            </w:r>
            <w:r>
              <w:rPr>
                <w:rFonts w:hint="eastAsia" w:ascii="Times New Roman" w:hAnsi="Times New Roman" w:eastAsia="宋体" w:cs="Times New Roman"/>
                <w:color w:val="auto"/>
                <w:sz w:val="24"/>
                <w:highlight w:val="none"/>
                <w:vertAlign w:val="superscript"/>
                <w:lang w:val="en-US" w:eastAsia="zh-CN"/>
              </w:rPr>
              <w:t>3</w:t>
            </w:r>
            <w:r>
              <w:rPr>
                <w:rFonts w:hint="eastAsia" w:ascii="Times New Roman" w:hAnsi="Times New Roman" w:eastAsia="宋体" w:cs="Times New Roman"/>
                <w:color w:val="auto"/>
                <w:sz w:val="24"/>
                <w:highlight w:val="none"/>
                <w:lang w:val="en-US" w:eastAsia="zh-CN"/>
              </w:rPr>
              <w:t>/a），包括设备清洗废水、纯水制备浓水等。</w:t>
            </w:r>
          </w:p>
          <w:p w14:paraId="5FDAF0F3">
            <w:pPr>
              <w:autoSpaceDE w:val="0"/>
              <w:autoSpaceDN w:val="0"/>
              <w:adjustRightInd w:val="0"/>
              <w:spacing w:line="360" w:lineRule="auto"/>
              <w:ind w:firstLine="480" w:firstLineChars="200"/>
              <w:rPr>
                <w:rFonts w:hint="eastAsia" w:ascii="Times New Roman" w:hAnsi="Times New Roman" w:eastAsia="瀹嬩綋" w:cs="Times New Roman"/>
                <w:color w:val="auto"/>
                <w:spacing w:val="-6"/>
                <w:sz w:val="24"/>
                <w:lang w:eastAsia="zh-CN"/>
              </w:rPr>
            </w:pPr>
            <w:r>
              <w:rPr>
                <w:rFonts w:hint="eastAsia" w:ascii="Times New Roman" w:hAnsi="Times New Roman" w:eastAsia="宋体" w:cs="Times New Roman"/>
                <w:color w:val="auto"/>
                <w:sz w:val="24"/>
                <w:highlight w:val="none"/>
                <w:lang w:val="en-US" w:eastAsia="zh-CN"/>
              </w:rPr>
              <w:t>项目生活污水</w:t>
            </w:r>
            <w:r>
              <w:rPr>
                <w:rFonts w:hint="eastAsia" w:cs="Times New Roman"/>
                <w:color w:val="auto"/>
                <w:sz w:val="24"/>
                <w:highlight w:val="none"/>
                <w:lang w:val="en-US" w:eastAsia="zh-CN"/>
              </w:rPr>
              <w:t>、纯水制备浓水</w:t>
            </w:r>
            <w:r>
              <w:rPr>
                <w:rFonts w:hint="eastAsia" w:ascii="Times New Roman" w:hAnsi="Times New Roman" w:eastAsia="宋体" w:cs="Times New Roman"/>
                <w:color w:val="auto"/>
                <w:sz w:val="24"/>
                <w:highlight w:val="none"/>
                <w:lang w:val="en-US" w:eastAsia="zh-CN"/>
              </w:rPr>
              <w:t>经预处理池处理，</w:t>
            </w:r>
            <w:r>
              <w:rPr>
                <w:rFonts w:hint="eastAsia" w:cs="Times New Roman"/>
                <w:color w:val="auto"/>
                <w:sz w:val="24"/>
                <w:lang w:val="en-US" w:eastAsia="zh-CN"/>
              </w:rPr>
              <w:t>设备清洗废水</w:t>
            </w:r>
            <w:r>
              <w:rPr>
                <w:rFonts w:hint="default" w:ascii="Times New Roman" w:hAnsi="Times New Roman" w:eastAsia="宋体" w:cs="Times New Roman"/>
                <w:color w:val="auto"/>
                <w:sz w:val="24"/>
              </w:rPr>
              <w:t>经</w:t>
            </w:r>
            <w:r>
              <w:rPr>
                <w:rFonts w:hint="default" w:ascii="Times New Roman" w:hAnsi="Times New Roman" w:eastAsia="瀹嬩綋" w:cs="Times New Roman"/>
                <w:color w:val="auto"/>
                <w:spacing w:val="-6"/>
                <w:sz w:val="24"/>
                <w:lang w:val="en-US" w:eastAsia="zh-CN"/>
              </w:rPr>
              <w:t>厂区</w:t>
            </w:r>
            <w:r>
              <w:rPr>
                <w:rFonts w:hint="eastAsia" w:ascii="Times New Roman" w:hAnsi="Times New Roman" w:eastAsia="瀹嬩綋" w:cs="Times New Roman"/>
                <w:color w:val="auto"/>
                <w:spacing w:val="-6"/>
                <w:sz w:val="24"/>
                <w:lang w:val="en-US" w:eastAsia="zh-CN"/>
              </w:rPr>
              <w:t>污</w:t>
            </w:r>
            <w:r>
              <w:rPr>
                <w:rFonts w:hint="default" w:ascii="Times New Roman" w:hAnsi="Times New Roman" w:eastAsia="瀹嬩綋" w:cs="Times New Roman"/>
                <w:color w:val="auto"/>
                <w:spacing w:val="-6"/>
                <w:sz w:val="24"/>
                <w:lang w:val="en-US" w:eastAsia="zh-CN"/>
              </w:rPr>
              <w:t>水处理站处理</w:t>
            </w:r>
            <w:r>
              <w:rPr>
                <w:rFonts w:hint="eastAsia" w:eastAsia="瀹嬩綋" w:cs="Times New Roman"/>
                <w:color w:val="auto"/>
                <w:spacing w:val="-6"/>
                <w:sz w:val="24"/>
                <w:lang w:val="en-US" w:eastAsia="zh-CN"/>
              </w:rPr>
              <w:t>，处理</w:t>
            </w:r>
            <w:r>
              <w:rPr>
                <w:rFonts w:hint="eastAsia" w:cs="Times New Roman"/>
                <w:color w:val="auto"/>
                <w:sz w:val="24"/>
                <w:szCs w:val="24"/>
                <w:lang w:val="en-US" w:eastAsia="zh-CN"/>
              </w:rPr>
              <w:t>后</w:t>
            </w:r>
            <w:r>
              <w:rPr>
                <w:rFonts w:hint="eastAsia" w:eastAsia="瀹嬩綋" w:cs="Times New Roman"/>
                <w:color w:val="auto"/>
                <w:spacing w:val="-6"/>
                <w:sz w:val="24"/>
                <w:lang w:val="en-US" w:eastAsia="zh-CN"/>
              </w:rPr>
              <w:t>的废水一同</w:t>
            </w:r>
            <w:r>
              <w:rPr>
                <w:rFonts w:hint="default" w:ascii="Times New Roman" w:hAnsi="Times New Roman" w:eastAsia="瀹嬩綋" w:cs="Times New Roman"/>
                <w:color w:val="auto"/>
                <w:spacing w:val="-6"/>
                <w:sz w:val="24"/>
                <w:lang w:val="en-US" w:eastAsia="zh-CN"/>
              </w:rPr>
              <w:t>经</w:t>
            </w:r>
            <w:r>
              <w:rPr>
                <w:rFonts w:hint="default" w:ascii="Times New Roman" w:hAnsi="Times New Roman" w:eastAsia="瀹嬩綋" w:cs="Times New Roman"/>
                <w:color w:val="auto"/>
                <w:spacing w:val="-6"/>
                <w:sz w:val="24"/>
              </w:rPr>
              <w:t>厂区总排放口排入园区市政污水管网，</w:t>
            </w:r>
            <w:r>
              <w:rPr>
                <w:rFonts w:hint="default" w:ascii="Times New Roman" w:hAnsi="Times New Roman" w:eastAsia="瀹嬩綋" w:cs="Times New Roman"/>
                <w:color w:val="auto"/>
                <w:spacing w:val="-6"/>
                <w:sz w:val="24"/>
                <w:lang w:eastAsia="zh-CN"/>
              </w:rPr>
              <w:t>最终进入园区污水处理厂处理</w:t>
            </w:r>
            <w:r>
              <w:rPr>
                <w:rFonts w:hint="eastAsia" w:ascii="Times New Roman" w:hAnsi="Times New Roman" w:eastAsia="瀹嬩綋" w:cs="Times New Roman"/>
                <w:color w:val="auto"/>
                <w:spacing w:val="-6"/>
                <w:sz w:val="24"/>
                <w:lang w:eastAsia="zh-CN"/>
              </w:rPr>
              <w:t>，</w:t>
            </w:r>
            <w:r>
              <w:rPr>
                <w:rFonts w:hint="eastAsia" w:ascii="Times New Roman" w:hAnsi="Times New Roman" w:eastAsia="宋体" w:cs="Times New Roman"/>
                <w:color w:val="auto"/>
                <w:sz w:val="24"/>
                <w:highlight w:val="none"/>
                <w:lang w:val="en-US" w:eastAsia="zh-CN"/>
              </w:rPr>
              <w:t>COD、BOD</w:t>
            </w:r>
            <w:r>
              <w:rPr>
                <w:rFonts w:hint="eastAsia" w:ascii="Times New Roman" w:hAnsi="Times New Roman" w:eastAsia="宋体" w:cs="Times New Roman"/>
                <w:color w:val="auto"/>
                <w:sz w:val="24"/>
                <w:highlight w:val="none"/>
                <w:vertAlign w:val="subscript"/>
                <w:lang w:val="en-US" w:eastAsia="zh-CN"/>
              </w:rPr>
              <w:t>5</w:t>
            </w:r>
            <w:r>
              <w:rPr>
                <w:rFonts w:hint="eastAsia" w:ascii="Times New Roman" w:hAnsi="Times New Roman" w:eastAsia="宋体" w:cs="Times New Roman"/>
                <w:color w:val="auto"/>
                <w:sz w:val="24"/>
                <w:highlight w:val="none"/>
                <w:lang w:val="en-US" w:eastAsia="zh-CN"/>
              </w:rPr>
              <w:t>、NH</w:t>
            </w:r>
            <w:r>
              <w:rPr>
                <w:rFonts w:hint="eastAsia" w:ascii="Times New Roman" w:hAnsi="Times New Roman" w:eastAsia="宋体" w:cs="Times New Roman"/>
                <w:color w:val="auto"/>
                <w:sz w:val="24"/>
                <w:highlight w:val="none"/>
                <w:vertAlign w:val="subscript"/>
                <w:lang w:val="en-US" w:eastAsia="zh-CN"/>
              </w:rPr>
              <w:t>3</w:t>
            </w:r>
            <w:r>
              <w:rPr>
                <w:rFonts w:hint="eastAsia" w:ascii="Times New Roman" w:hAnsi="Times New Roman" w:eastAsia="宋体" w:cs="Times New Roman"/>
                <w:color w:val="auto"/>
                <w:sz w:val="24"/>
                <w:highlight w:val="none"/>
                <w:lang w:val="en-US" w:eastAsia="zh-CN"/>
              </w:rPr>
              <w:t>-N、TP经处理达到《四川省岷江、沱江流域水污染物排放标</w:t>
            </w:r>
            <w:r>
              <w:rPr>
                <w:rFonts w:hint="eastAsia" w:ascii="宋体" w:hAnsi="宋体" w:eastAsia="宋体" w:cs="宋体"/>
                <w:color w:val="auto"/>
                <w:sz w:val="24"/>
                <w:highlight w:val="none"/>
                <w:lang w:val="en-US" w:eastAsia="zh-CN"/>
              </w:rPr>
              <w:t>准》</w:t>
            </w:r>
            <w:r>
              <w:rPr>
                <w:rFonts w:hint="eastAsia" w:ascii="宋体" w:hAnsi="宋体" w:cs="宋体"/>
                <w:color w:val="auto"/>
                <w:sz w:val="24"/>
                <w:highlight w:val="none"/>
                <w:lang w:val="en-US" w:eastAsia="zh-CN"/>
              </w:rPr>
              <w:t>（</w:t>
            </w:r>
            <w:r>
              <w:rPr>
                <w:rFonts w:hint="eastAsia" w:ascii="Times New Roman" w:hAnsi="Times New Roman" w:eastAsia="宋体" w:cs="Times New Roman"/>
                <w:color w:val="auto"/>
                <w:sz w:val="24"/>
                <w:highlight w:val="none"/>
                <w:lang w:val="en-US" w:eastAsia="zh-CN"/>
              </w:rPr>
              <w:t>DB51/2311-2016</w:t>
            </w:r>
            <w:r>
              <w:rPr>
                <w:rFonts w:hint="eastAsia" w:ascii="宋体" w:hAnsi="宋体" w:cs="宋体"/>
                <w:color w:val="auto"/>
                <w:sz w:val="24"/>
                <w:highlight w:val="none"/>
                <w:lang w:val="en-US" w:eastAsia="zh-CN"/>
              </w:rPr>
              <w:t>）</w:t>
            </w:r>
            <w:r>
              <w:rPr>
                <w:rFonts w:hint="eastAsia" w:ascii="Times New Roman" w:hAnsi="Times New Roman" w:eastAsia="宋体" w:cs="Times New Roman"/>
                <w:color w:val="auto"/>
                <w:sz w:val="24"/>
                <w:highlight w:val="none"/>
                <w:lang w:val="en-US" w:eastAsia="zh-CN"/>
              </w:rPr>
              <w:t>中“城镇污水处理厂”要求，其余出水指标达到《城镇污水处理厂污染物排放标准》（GB18918-2022）一级A标准后排入</w:t>
            </w:r>
            <w:r>
              <w:rPr>
                <w:rFonts w:hint="default" w:ascii="Times New Roman" w:hAnsi="Times New Roman" w:eastAsia="宋体" w:cs="Times New Roman"/>
                <w:color w:val="auto"/>
                <w:sz w:val="24"/>
                <w:highlight w:val="none"/>
                <w:lang w:val="en-US" w:eastAsia="zh-CN"/>
              </w:rPr>
              <w:t>经开区污水处理厂达标</w:t>
            </w:r>
            <w:r>
              <w:rPr>
                <w:rFonts w:hint="default" w:ascii="Times New Roman" w:hAnsi="Times New Roman" w:eastAsia="瀹嬩綋" w:cs="Times New Roman"/>
                <w:color w:val="auto"/>
                <w:spacing w:val="-6"/>
                <w:sz w:val="24"/>
                <w:lang w:eastAsia="zh-CN"/>
              </w:rPr>
              <w:t>后排入巴河</w:t>
            </w:r>
            <w:r>
              <w:rPr>
                <w:rFonts w:hint="eastAsia" w:ascii="Times New Roman" w:hAnsi="Times New Roman" w:eastAsia="瀹嬩綋" w:cs="Times New Roman"/>
                <w:color w:val="auto"/>
                <w:spacing w:val="-6"/>
                <w:sz w:val="24"/>
                <w:lang w:eastAsia="zh-CN"/>
              </w:rPr>
              <w:t>。</w:t>
            </w:r>
          </w:p>
          <w:p w14:paraId="198D69F2">
            <w:pPr>
              <w:autoSpaceDE w:val="0"/>
              <w:autoSpaceDN w:val="0"/>
              <w:adjustRightInd w:val="0"/>
              <w:spacing w:line="360" w:lineRule="auto"/>
              <w:ind w:firstLine="480" w:firstLineChars="200"/>
              <w:rPr>
                <w:rFonts w:hint="eastAsia" w:cs="Times New Roman"/>
                <w:color w:val="auto"/>
                <w:sz w:val="24"/>
                <w:highlight w:val="none"/>
                <w:lang w:val="en-US" w:eastAsia="zh-CN"/>
              </w:rPr>
            </w:pPr>
            <w:r>
              <w:rPr>
                <w:rFonts w:hint="eastAsia" w:cs="Times New Roman"/>
                <w:color w:val="auto"/>
                <w:sz w:val="24"/>
                <w:highlight w:val="none"/>
                <w:lang w:val="en-US" w:eastAsia="zh-CN"/>
              </w:rPr>
              <w:t>本项目废水产生及排放情况见下表。</w:t>
            </w:r>
          </w:p>
          <w:p w14:paraId="58C3C763">
            <w:pPr>
              <w:autoSpaceDE w:val="0"/>
              <w:autoSpaceDN w:val="0"/>
              <w:adjustRightInd w:val="0"/>
              <w:spacing w:line="240" w:lineRule="auto"/>
              <w:ind w:firstLine="422" w:firstLineChars="200"/>
              <w:jc w:val="center"/>
              <w:rPr>
                <w:rFonts w:hint="eastAsia"/>
                <w:b/>
                <w:bCs/>
                <w:color w:val="auto"/>
                <w:szCs w:val="21"/>
                <w:highlight w:val="none"/>
                <w:lang w:val="en-US" w:eastAsia="zh-CN"/>
              </w:rPr>
            </w:pPr>
            <w:r>
              <w:rPr>
                <w:b/>
                <w:bCs/>
                <w:color w:val="auto"/>
                <w:szCs w:val="21"/>
                <w:highlight w:val="none"/>
              </w:rPr>
              <w:t>表4-</w:t>
            </w:r>
            <w:r>
              <w:rPr>
                <w:rFonts w:hint="eastAsia"/>
                <w:b/>
                <w:bCs/>
                <w:color w:val="auto"/>
                <w:szCs w:val="21"/>
                <w:highlight w:val="none"/>
                <w:lang w:val="en-US" w:eastAsia="zh-CN"/>
              </w:rPr>
              <w:t>11</w:t>
            </w:r>
            <w:r>
              <w:rPr>
                <w:b/>
                <w:bCs/>
                <w:color w:val="auto"/>
                <w:szCs w:val="21"/>
                <w:highlight w:val="none"/>
              </w:rPr>
              <w:t xml:space="preserve"> </w:t>
            </w:r>
            <w:r>
              <w:rPr>
                <w:rFonts w:hint="eastAsia"/>
                <w:b/>
                <w:bCs/>
                <w:color w:val="auto"/>
                <w:szCs w:val="21"/>
                <w:highlight w:val="none"/>
                <w:lang w:val="en-US" w:eastAsia="zh-CN"/>
              </w:rPr>
              <w:t>本项目废水产排污情况一览表</w:t>
            </w:r>
          </w:p>
          <w:tbl>
            <w:tblPr>
              <w:tblStyle w:val="42"/>
              <w:tblW w:w="7896" w:type="dxa"/>
              <w:tblInd w:w="5"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188"/>
              <w:gridCol w:w="1027"/>
              <w:gridCol w:w="934"/>
              <w:gridCol w:w="853"/>
              <w:gridCol w:w="820"/>
              <w:gridCol w:w="750"/>
              <w:gridCol w:w="805"/>
              <w:gridCol w:w="812"/>
              <w:gridCol w:w="707"/>
            </w:tblGrid>
            <w:tr w14:paraId="4E609A3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28" w:hRule="atLeast"/>
              </w:trPr>
              <w:tc>
                <w:tcPr>
                  <w:tcW w:w="2215" w:type="dxa"/>
                  <w:gridSpan w:val="2"/>
                  <w:vAlign w:val="center"/>
                </w:tcPr>
                <w:p w14:paraId="444C0575">
                  <w:pPr>
                    <w:jc w:val="center"/>
                    <w:rPr>
                      <w:rFonts w:hint="eastAsia"/>
                      <w:b/>
                      <w:bCs/>
                      <w:color w:val="auto"/>
                      <w:sz w:val="21"/>
                      <w:szCs w:val="21"/>
                      <w:highlight w:val="none"/>
                      <w:vertAlign w:val="baseline"/>
                      <w:lang w:val="en-US" w:eastAsia="zh-CN"/>
                    </w:rPr>
                  </w:pPr>
                  <w:r>
                    <w:rPr>
                      <w:rFonts w:hint="eastAsia"/>
                      <w:b/>
                      <w:bCs/>
                      <w:color w:val="auto"/>
                      <w:sz w:val="21"/>
                      <w:szCs w:val="21"/>
                      <w:highlight w:val="none"/>
                      <w:vertAlign w:val="baseline"/>
                      <w:lang w:val="en-US" w:eastAsia="zh-CN"/>
                    </w:rPr>
                    <w:t>废水性质</w:t>
                  </w:r>
                </w:p>
              </w:tc>
              <w:tc>
                <w:tcPr>
                  <w:tcW w:w="934" w:type="dxa"/>
                  <w:vAlign w:val="center"/>
                </w:tcPr>
                <w:p w14:paraId="049F1DE5">
                  <w:pPr>
                    <w:jc w:val="center"/>
                    <w:rPr>
                      <w:rFonts w:hint="eastAsia"/>
                      <w:b/>
                      <w:bCs/>
                      <w:color w:val="auto"/>
                      <w:sz w:val="21"/>
                      <w:szCs w:val="21"/>
                      <w:highlight w:val="none"/>
                      <w:vertAlign w:val="baseline"/>
                      <w:lang w:val="en-US" w:eastAsia="zh-CN"/>
                    </w:rPr>
                  </w:pPr>
                  <w:r>
                    <w:rPr>
                      <w:rFonts w:hint="eastAsia"/>
                      <w:b/>
                      <w:bCs/>
                      <w:color w:val="auto"/>
                      <w:sz w:val="21"/>
                      <w:szCs w:val="21"/>
                      <w:highlight w:val="none"/>
                      <w:vertAlign w:val="baseline"/>
                      <w:lang w:val="en-US" w:eastAsia="zh-CN"/>
                    </w:rPr>
                    <w:t>产生量</w:t>
                  </w:r>
                </w:p>
              </w:tc>
              <w:tc>
                <w:tcPr>
                  <w:tcW w:w="853" w:type="dxa"/>
                  <w:vAlign w:val="center"/>
                </w:tcPr>
                <w:p w14:paraId="55CF0394">
                  <w:pPr>
                    <w:jc w:val="center"/>
                    <w:rPr>
                      <w:rFonts w:hint="eastAsia"/>
                      <w:b/>
                      <w:bCs/>
                      <w:color w:val="auto"/>
                      <w:sz w:val="21"/>
                      <w:szCs w:val="21"/>
                      <w:highlight w:val="none"/>
                      <w:vertAlign w:val="baseline"/>
                      <w:lang w:val="en-US" w:eastAsia="zh-CN"/>
                    </w:rPr>
                  </w:pPr>
                  <w:r>
                    <w:rPr>
                      <w:rFonts w:hint="eastAsia"/>
                      <w:b/>
                      <w:bCs/>
                      <w:color w:val="auto"/>
                      <w:sz w:val="21"/>
                      <w:szCs w:val="21"/>
                      <w:highlight w:val="none"/>
                      <w:vertAlign w:val="baseline"/>
                      <w:lang w:val="en-US" w:eastAsia="zh-CN"/>
                    </w:rPr>
                    <w:t>COD</w:t>
                  </w:r>
                </w:p>
              </w:tc>
              <w:tc>
                <w:tcPr>
                  <w:tcW w:w="820" w:type="dxa"/>
                  <w:vAlign w:val="center"/>
                </w:tcPr>
                <w:p w14:paraId="4D7B316C">
                  <w:pPr>
                    <w:jc w:val="center"/>
                    <w:rPr>
                      <w:rFonts w:hint="eastAsia"/>
                      <w:b/>
                      <w:bCs/>
                      <w:color w:val="auto"/>
                      <w:sz w:val="21"/>
                      <w:szCs w:val="21"/>
                      <w:highlight w:val="none"/>
                      <w:vertAlign w:val="baseline"/>
                      <w:lang w:val="en-US" w:eastAsia="zh-CN"/>
                    </w:rPr>
                  </w:pPr>
                  <w:r>
                    <w:rPr>
                      <w:rFonts w:hint="eastAsia"/>
                      <w:b/>
                      <w:bCs/>
                      <w:color w:val="auto"/>
                      <w:sz w:val="21"/>
                      <w:szCs w:val="21"/>
                      <w:highlight w:val="none"/>
                      <w:vertAlign w:val="baseline"/>
                      <w:lang w:val="en-US" w:eastAsia="zh-CN"/>
                    </w:rPr>
                    <w:t>BOD</w:t>
                  </w:r>
                  <w:r>
                    <w:rPr>
                      <w:rFonts w:hint="eastAsia"/>
                      <w:b/>
                      <w:bCs/>
                      <w:color w:val="auto"/>
                      <w:sz w:val="21"/>
                      <w:szCs w:val="21"/>
                      <w:highlight w:val="none"/>
                      <w:vertAlign w:val="subscript"/>
                      <w:lang w:val="en-US" w:eastAsia="zh-CN"/>
                    </w:rPr>
                    <w:t>5</w:t>
                  </w:r>
                </w:p>
              </w:tc>
              <w:tc>
                <w:tcPr>
                  <w:tcW w:w="750" w:type="dxa"/>
                  <w:vAlign w:val="center"/>
                </w:tcPr>
                <w:p w14:paraId="14287417">
                  <w:pPr>
                    <w:jc w:val="center"/>
                    <w:rPr>
                      <w:rFonts w:hint="eastAsia"/>
                      <w:b/>
                      <w:bCs/>
                      <w:color w:val="auto"/>
                      <w:sz w:val="21"/>
                      <w:szCs w:val="21"/>
                      <w:highlight w:val="none"/>
                      <w:vertAlign w:val="baseline"/>
                      <w:lang w:val="en-US" w:eastAsia="zh-CN"/>
                    </w:rPr>
                  </w:pPr>
                  <w:r>
                    <w:rPr>
                      <w:rFonts w:hint="eastAsia"/>
                      <w:b/>
                      <w:bCs/>
                      <w:color w:val="auto"/>
                      <w:sz w:val="21"/>
                      <w:szCs w:val="21"/>
                      <w:highlight w:val="none"/>
                      <w:vertAlign w:val="baseline"/>
                      <w:lang w:val="en-US" w:eastAsia="zh-CN"/>
                    </w:rPr>
                    <w:t>氨氮</w:t>
                  </w:r>
                </w:p>
              </w:tc>
              <w:tc>
                <w:tcPr>
                  <w:tcW w:w="805" w:type="dxa"/>
                  <w:vAlign w:val="center"/>
                </w:tcPr>
                <w:p w14:paraId="63A1A8C9">
                  <w:pPr>
                    <w:jc w:val="center"/>
                    <w:rPr>
                      <w:rFonts w:hint="eastAsia"/>
                      <w:b/>
                      <w:bCs/>
                      <w:color w:val="auto"/>
                      <w:sz w:val="21"/>
                      <w:szCs w:val="21"/>
                      <w:highlight w:val="none"/>
                      <w:vertAlign w:val="baseline"/>
                      <w:lang w:val="en-US" w:eastAsia="zh-CN"/>
                    </w:rPr>
                  </w:pPr>
                  <w:r>
                    <w:rPr>
                      <w:rFonts w:hint="eastAsia"/>
                      <w:b/>
                      <w:bCs/>
                      <w:color w:val="auto"/>
                      <w:sz w:val="21"/>
                      <w:szCs w:val="21"/>
                      <w:highlight w:val="none"/>
                      <w:vertAlign w:val="baseline"/>
                      <w:lang w:val="en-US" w:eastAsia="zh-CN"/>
                    </w:rPr>
                    <w:t>SS</w:t>
                  </w:r>
                </w:p>
              </w:tc>
              <w:tc>
                <w:tcPr>
                  <w:tcW w:w="812" w:type="dxa"/>
                  <w:vAlign w:val="center"/>
                </w:tcPr>
                <w:p w14:paraId="7E92D35D">
                  <w:pPr>
                    <w:jc w:val="center"/>
                    <w:rPr>
                      <w:rFonts w:hint="eastAsia"/>
                      <w:b/>
                      <w:bCs/>
                      <w:color w:val="auto"/>
                      <w:sz w:val="21"/>
                      <w:szCs w:val="21"/>
                      <w:highlight w:val="none"/>
                      <w:vertAlign w:val="baseline"/>
                      <w:lang w:val="en-US" w:eastAsia="zh-CN"/>
                    </w:rPr>
                  </w:pPr>
                  <w:r>
                    <w:rPr>
                      <w:rFonts w:hint="eastAsia"/>
                      <w:b/>
                      <w:bCs/>
                      <w:color w:val="auto"/>
                      <w:sz w:val="21"/>
                      <w:szCs w:val="21"/>
                      <w:highlight w:val="none"/>
                      <w:vertAlign w:val="baseline"/>
                      <w:lang w:val="en-US" w:eastAsia="zh-CN"/>
                    </w:rPr>
                    <w:t>TP</w:t>
                  </w:r>
                </w:p>
              </w:tc>
              <w:tc>
                <w:tcPr>
                  <w:tcW w:w="707" w:type="dxa"/>
                  <w:vAlign w:val="center"/>
                </w:tcPr>
                <w:p w14:paraId="26D79D17">
                  <w:pPr>
                    <w:jc w:val="center"/>
                    <w:rPr>
                      <w:rFonts w:hint="eastAsia"/>
                      <w:b/>
                      <w:bCs/>
                      <w:color w:val="auto"/>
                      <w:sz w:val="21"/>
                      <w:szCs w:val="21"/>
                      <w:highlight w:val="none"/>
                      <w:vertAlign w:val="baseline"/>
                      <w:lang w:val="en-US" w:eastAsia="zh-CN"/>
                    </w:rPr>
                  </w:pPr>
                  <w:r>
                    <w:rPr>
                      <w:rFonts w:hint="eastAsia"/>
                      <w:b/>
                      <w:bCs/>
                      <w:color w:val="auto"/>
                      <w:sz w:val="21"/>
                      <w:szCs w:val="21"/>
                      <w:highlight w:val="none"/>
                      <w:vertAlign w:val="baseline"/>
                      <w:lang w:val="en-US" w:eastAsia="zh-CN"/>
                    </w:rPr>
                    <w:t>TN</w:t>
                  </w:r>
                </w:p>
              </w:tc>
            </w:tr>
            <w:tr w14:paraId="1D896FA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860" w:hRule="atLeast"/>
              </w:trPr>
              <w:tc>
                <w:tcPr>
                  <w:tcW w:w="1188" w:type="dxa"/>
                  <w:vMerge w:val="restart"/>
                  <w:vAlign w:val="center"/>
                </w:tcPr>
                <w:p w14:paraId="295524E5">
                  <w:pPr>
                    <w:autoSpaceDE w:val="0"/>
                    <w:autoSpaceDN w:val="0"/>
                    <w:adjustRightInd w:val="0"/>
                    <w:spacing w:line="240" w:lineRule="auto"/>
                    <w:jc w:val="center"/>
                    <w:rPr>
                      <w:rFonts w:hint="eastAsia"/>
                      <w:b w:val="0"/>
                      <w:bCs w:val="0"/>
                      <w:color w:val="auto"/>
                      <w:sz w:val="21"/>
                      <w:szCs w:val="21"/>
                      <w:highlight w:val="none"/>
                      <w:vertAlign w:val="baseline"/>
                      <w:lang w:val="en-US" w:eastAsia="zh-CN"/>
                    </w:rPr>
                  </w:pPr>
                  <w:r>
                    <w:rPr>
                      <w:rFonts w:hint="eastAsia"/>
                      <w:b w:val="0"/>
                      <w:bCs w:val="0"/>
                      <w:color w:val="auto"/>
                      <w:sz w:val="21"/>
                      <w:szCs w:val="21"/>
                      <w:highlight w:val="none"/>
                      <w:vertAlign w:val="baseline"/>
                      <w:lang w:val="en-US" w:eastAsia="zh-CN"/>
                    </w:rPr>
                    <w:t>生活污水</w:t>
                  </w:r>
                </w:p>
              </w:tc>
              <w:tc>
                <w:tcPr>
                  <w:tcW w:w="1027" w:type="dxa"/>
                  <w:vAlign w:val="center"/>
                </w:tcPr>
                <w:p w14:paraId="5457D141">
                  <w:pPr>
                    <w:jc w:val="center"/>
                    <w:rPr>
                      <w:rFonts w:hint="eastAsia"/>
                      <w:b w:val="0"/>
                      <w:bCs w:val="0"/>
                      <w:color w:val="auto"/>
                      <w:sz w:val="21"/>
                      <w:szCs w:val="21"/>
                      <w:highlight w:val="none"/>
                      <w:vertAlign w:val="baseline"/>
                      <w:lang w:val="en-US" w:eastAsia="zh-CN"/>
                    </w:rPr>
                  </w:pPr>
                  <w:r>
                    <w:rPr>
                      <w:rFonts w:hint="eastAsia"/>
                      <w:b w:val="0"/>
                      <w:bCs w:val="0"/>
                      <w:color w:val="auto"/>
                      <w:sz w:val="21"/>
                      <w:szCs w:val="21"/>
                      <w:highlight w:val="none"/>
                      <w:vertAlign w:val="baseline"/>
                      <w:lang w:val="en-US" w:eastAsia="zh-CN"/>
                    </w:rPr>
                    <w:t>浓度（mg/L）</w:t>
                  </w:r>
                </w:p>
              </w:tc>
              <w:tc>
                <w:tcPr>
                  <w:tcW w:w="934" w:type="dxa"/>
                  <w:vMerge w:val="restart"/>
                  <w:vAlign w:val="center"/>
                </w:tcPr>
                <w:p w14:paraId="52CED2D3">
                  <w:pPr>
                    <w:autoSpaceDE w:val="0"/>
                    <w:autoSpaceDN w:val="0"/>
                    <w:adjustRightInd w:val="0"/>
                    <w:spacing w:line="240" w:lineRule="auto"/>
                    <w:jc w:val="center"/>
                    <w:rPr>
                      <w:rFonts w:hint="default"/>
                      <w:b w:val="0"/>
                      <w:bCs w:val="0"/>
                      <w:color w:val="auto"/>
                      <w:sz w:val="21"/>
                      <w:szCs w:val="21"/>
                      <w:highlight w:val="none"/>
                      <w:vertAlign w:val="baseline"/>
                      <w:lang w:val="en-US" w:eastAsia="zh-CN"/>
                    </w:rPr>
                  </w:pPr>
                  <w:r>
                    <w:rPr>
                      <w:rFonts w:hint="eastAsia"/>
                      <w:b w:val="0"/>
                      <w:bCs w:val="0"/>
                      <w:color w:val="auto"/>
                      <w:sz w:val="21"/>
                      <w:szCs w:val="21"/>
                      <w:highlight w:val="none"/>
                      <w:vertAlign w:val="baseline"/>
                      <w:lang w:val="en-US" w:eastAsia="zh-CN"/>
                    </w:rPr>
                    <w:t>2304</w:t>
                  </w:r>
                </w:p>
              </w:tc>
              <w:tc>
                <w:tcPr>
                  <w:tcW w:w="853" w:type="dxa"/>
                  <w:vAlign w:val="center"/>
                </w:tcPr>
                <w:p w14:paraId="61A67B87">
                  <w:pPr>
                    <w:jc w:val="center"/>
                    <w:rPr>
                      <w:rFonts w:hint="eastAsia"/>
                      <w:b w:val="0"/>
                      <w:bCs w:val="0"/>
                      <w:color w:val="auto"/>
                      <w:sz w:val="21"/>
                      <w:szCs w:val="21"/>
                      <w:highlight w:val="none"/>
                      <w:vertAlign w:val="baseline"/>
                      <w:lang w:val="en-US" w:eastAsia="zh-CN"/>
                    </w:rPr>
                  </w:pPr>
                  <w:r>
                    <w:rPr>
                      <w:rFonts w:hint="eastAsia"/>
                      <w:b w:val="0"/>
                      <w:bCs w:val="0"/>
                      <w:color w:val="auto"/>
                      <w:sz w:val="21"/>
                      <w:szCs w:val="21"/>
                      <w:highlight w:val="none"/>
                      <w:lang w:val="en-US" w:eastAsia="zh-CN"/>
                    </w:rPr>
                    <w:t>325</w:t>
                  </w:r>
                </w:p>
              </w:tc>
              <w:tc>
                <w:tcPr>
                  <w:tcW w:w="820" w:type="dxa"/>
                  <w:vAlign w:val="center"/>
                </w:tcPr>
                <w:p w14:paraId="1EFE70E2">
                  <w:pPr>
                    <w:jc w:val="center"/>
                    <w:rPr>
                      <w:rFonts w:hint="eastAsia"/>
                      <w:b w:val="0"/>
                      <w:bCs w:val="0"/>
                      <w:color w:val="auto"/>
                      <w:sz w:val="21"/>
                      <w:szCs w:val="21"/>
                      <w:highlight w:val="none"/>
                      <w:vertAlign w:val="baseline"/>
                      <w:lang w:val="en-US" w:eastAsia="zh-CN"/>
                    </w:rPr>
                  </w:pPr>
                  <w:r>
                    <w:rPr>
                      <w:rFonts w:hint="eastAsia"/>
                      <w:b w:val="0"/>
                      <w:bCs w:val="0"/>
                      <w:color w:val="auto"/>
                      <w:sz w:val="21"/>
                      <w:szCs w:val="21"/>
                      <w:highlight w:val="none"/>
                      <w:lang w:val="en-US" w:eastAsia="zh-CN"/>
                    </w:rPr>
                    <w:t>175</w:t>
                  </w:r>
                </w:p>
              </w:tc>
              <w:tc>
                <w:tcPr>
                  <w:tcW w:w="750" w:type="dxa"/>
                  <w:vAlign w:val="center"/>
                </w:tcPr>
                <w:p w14:paraId="0DB6BEBE">
                  <w:pPr>
                    <w:jc w:val="center"/>
                    <w:rPr>
                      <w:rFonts w:hint="eastAsia"/>
                      <w:b w:val="0"/>
                      <w:bCs w:val="0"/>
                      <w:color w:val="auto"/>
                      <w:sz w:val="21"/>
                      <w:szCs w:val="21"/>
                      <w:highlight w:val="none"/>
                      <w:vertAlign w:val="baseline"/>
                      <w:lang w:val="en-US" w:eastAsia="zh-CN"/>
                    </w:rPr>
                  </w:pPr>
                  <w:r>
                    <w:rPr>
                      <w:rFonts w:hint="eastAsia"/>
                      <w:b w:val="0"/>
                      <w:bCs w:val="0"/>
                      <w:color w:val="auto"/>
                      <w:sz w:val="21"/>
                      <w:szCs w:val="21"/>
                      <w:highlight w:val="none"/>
                      <w:lang w:val="en-US" w:eastAsia="zh-CN"/>
                    </w:rPr>
                    <w:t>37.7</w:t>
                  </w:r>
                </w:p>
              </w:tc>
              <w:tc>
                <w:tcPr>
                  <w:tcW w:w="805" w:type="dxa"/>
                  <w:vAlign w:val="center"/>
                </w:tcPr>
                <w:p w14:paraId="126F2795">
                  <w:pPr>
                    <w:jc w:val="center"/>
                    <w:rPr>
                      <w:rFonts w:hint="eastAsia"/>
                      <w:b w:val="0"/>
                      <w:bCs w:val="0"/>
                      <w:color w:val="auto"/>
                      <w:sz w:val="21"/>
                      <w:szCs w:val="21"/>
                      <w:highlight w:val="none"/>
                      <w:vertAlign w:val="baseline"/>
                      <w:lang w:val="en-US" w:eastAsia="zh-CN"/>
                    </w:rPr>
                  </w:pPr>
                  <w:r>
                    <w:rPr>
                      <w:b w:val="0"/>
                      <w:bCs w:val="0"/>
                      <w:color w:val="auto"/>
                      <w:sz w:val="21"/>
                      <w:szCs w:val="21"/>
                      <w:highlight w:val="none"/>
                    </w:rPr>
                    <w:t>450</w:t>
                  </w:r>
                </w:p>
              </w:tc>
              <w:tc>
                <w:tcPr>
                  <w:tcW w:w="812" w:type="dxa"/>
                  <w:vAlign w:val="center"/>
                </w:tcPr>
                <w:p w14:paraId="5E379113">
                  <w:pPr>
                    <w:jc w:val="center"/>
                    <w:rPr>
                      <w:rFonts w:hint="eastAsia"/>
                      <w:b w:val="0"/>
                      <w:bCs w:val="0"/>
                      <w:color w:val="auto"/>
                      <w:sz w:val="21"/>
                      <w:szCs w:val="21"/>
                      <w:highlight w:val="none"/>
                      <w:vertAlign w:val="baseline"/>
                      <w:lang w:val="en-US" w:eastAsia="zh-CN"/>
                    </w:rPr>
                  </w:pPr>
                  <w:r>
                    <w:rPr>
                      <w:rFonts w:hint="eastAsia"/>
                      <w:b w:val="0"/>
                      <w:bCs w:val="0"/>
                      <w:color w:val="auto"/>
                      <w:sz w:val="21"/>
                      <w:szCs w:val="21"/>
                      <w:highlight w:val="none"/>
                      <w:lang w:val="en-US" w:eastAsia="zh-CN"/>
                    </w:rPr>
                    <w:t>4.28</w:t>
                  </w:r>
                </w:p>
              </w:tc>
              <w:tc>
                <w:tcPr>
                  <w:tcW w:w="707" w:type="dxa"/>
                  <w:vAlign w:val="center"/>
                </w:tcPr>
                <w:p w14:paraId="4959F79E">
                  <w:pPr>
                    <w:jc w:val="center"/>
                    <w:rPr>
                      <w:rFonts w:hint="default"/>
                      <w:b w:val="0"/>
                      <w:bCs w:val="0"/>
                      <w:color w:val="auto"/>
                      <w:sz w:val="21"/>
                      <w:szCs w:val="21"/>
                      <w:highlight w:val="none"/>
                      <w:vertAlign w:val="baseline"/>
                      <w:lang w:val="en-US" w:eastAsia="zh-CN"/>
                    </w:rPr>
                  </w:pPr>
                  <w:r>
                    <w:rPr>
                      <w:rFonts w:hint="eastAsia"/>
                      <w:b w:val="0"/>
                      <w:bCs w:val="0"/>
                      <w:color w:val="auto"/>
                      <w:sz w:val="21"/>
                      <w:szCs w:val="21"/>
                      <w:highlight w:val="none"/>
                      <w:vertAlign w:val="baseline"/>
                      <w:lang w:val="en-US" w:eastAsia="zh-CN"/>
                    </w:rPr>
                    <w:t>40</w:t>
                  </w:r>
                </w:p>
              </w:tc>
            </w:tr>
            <w:tr w14:paraId="7E97F9F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1188" w:type="dxa"/>
                  <w:vMerge w:val="continue"/>
                  <w:vAlign w:val="center"/>
                </w:tcPr>
                <w:p w14:paraId="78FB7352">
                  <w:pPr>
                    <w:autoSpaceDE w:val="0"/>
                    <w:autoSpaceDN w:val="0"/>
                    <w:adjustRightInd w:val="0"/>
                    <w:spacing w:line="240" w:lineRule="auto"/>
                    <w:jc w:val="center"/>
                    <w:rPr>
                      <w:rFonts w:hint="eastAsia"/>
                      <w:b w:val="0"/>
                      <w:bCs w:val="0"/>
                      <w:color w:val="auto"/>
                      <w:sz w:val="21"/>
                      <w:szCs w:val="21"/>
                      <w:highlight w:val="none"/>
                      <w:vertAlign w:val="baseline"/>
                      <w:lang w:val="en-US" w:eastAsia="zh-CN"/>
                    </w:rPr>
                  </w:pPr>
                </w:p>
              </w:tc>
              <w:tc>
                <w:tcPr>
                  <w:tcW w:w="1027" w:type="dxa"/>
                  <w:vAlign w:val="center"/>
                </w:tcPr>
                <w:p w14:paraId="11324566">
                  <w:pPr>
                    <w:jc w:val="center"/>
                    <w:rPr>
                      <w:rFonts w:hint="eastAsia"/>
                      <w:b w:val="0"/>
                      <w:bCs w:val="0"/>
                      <w:color w:val="auto"/>
                      <w:sz w:val="21"/>
                      <w:szCs w:val="21"/>
                      <w:highlight w:val="none"/>
                      <w:vertAlign w:val="baseline"/>
                      <w:lang w:val="en-US" w:eastAsia="zh-CN"/>
                    </w:rPr>
                  </w:pPr>
                  <w:r>
                    <w:rPr>
                      <w:rFonts w:hint="eastAsia"/>
                      <w:b w:val="0"/>
                      <w:bCs w:val="0"/>
                      <w:color w:val="auto"/>
                      <w:sz w:val="21"/>
                      <w:szCs w:val="21"/>
                      <w:highlight w:val="none"/>
                      <w:vertAlign w:val="baseline"/>
                      <w:lang w:val="en-US" w:eastAsia="zh-CN"/>
                    </w:rPr>
                    <w:t>产生量（t/a）</w:t>
                  </w:r>
                </w:p>
              </w:tc>
              <w:tc>
                <w:tcPr>
                  <w:tcW w:w="934" w:type="dxa"/>
                  <w:vMerge w:val="continue"/>
                  <w:vAlign w:val="center"/>
                </w:tcPr>
                <w:p w14:paraId="4375F4A4">
                  <w:pPr>
                    <w:autoSpaceDE w:val="0"/>
                    <w:autoSpaceDN w:val="0"/>
                    <w:adjustRightInd w:val="0"/>
                    <w:spacing w:line="240" w:lineRule="auto"/>
                    <w:jc w:val="center"/>
                    <w:rPr>
                      <w:rFonts w:hint="eastAsia"/>
                      <w:b w:val="0"/>
                      <w:bCs w:val="0"/>
                      <w:color w:val="auto"/>
                      <w:sz w:val="21"/>
                      <w:szCs w:val="21"/>
                      <w:highlight w:val="none"/>
                      <w:vertAlign w:val="baseline"/>
                      <w:lang w:val="en-US" w:eastAsia="zh-CN"/>
                    </w:rPr>
                  </w:pPr>
                </w:p>
              </w:tc>
              <w:tc>
                <w:tcPr>
                  <w:tcW w:w="853" w:type="dxa"/>
                  <w:vAlign w:val="center"/>
                </w:tcPr>
                <w:p w14:paraId="53806721">
                  <w:pPr>
                    <w:autoSpaceDE w:val="0"/>
                    <w:autoSpaceDN w:val="0"/>
                    <w:adjustRightInd w:val="0"/>
                    <w:spacing w:line="240" w:lineRule="auto"/>
                    <w:jc w:val="center"/>
                    <w:rPr>
                      <w:rFonts w:hint="default"/>
                      <w:b w:val="0"/>
                      <w:bCs w:val="0"/>
                      <w:color w:val="auto"/>
                      <w:sz w:val="21"/>
                      <w:szCs w:val="21"/>
                      <w:highlight w:val="none"/>
                      <w:vertAlign w:val="baseline"/>
                      <w:lang w:val="en-US" w:eastAsia="zh-CN"/>
                    </w:rPr>
                  </w:pPr>
                  <w:r>
                    <w:rPr>
                      <w:rFonts w:hint="eastAsia"/>
                      <w:b w:val="0"/>
                      <w:bCs w:val="0"/>
                      <w:color w:val="auto"/>
                      <w:sz w:val="21"/>
                      <w:szCs w:val="21"/>
                      <w:highlight w:val="none"/>
                      <w:vertAlign w:val="baseline"/>
                      <w:lang w:val="en-US" w:eastAsia="zh-CN"/>
                    </w:rPr>
                    <w:t>0.75</w:t>
                  </w:r>
                </w:p>
              </w:tc>
              <w:tc>
                <w:tcPr>
                  <w:tcW w:w="820" w:type="dxa"/>
                  <w:vAlign w:val="center"/>
                </w:tcPr>
                <w:p w14:paraId="3131C64A">
                  <w:pPr>
                    <w:autoSpaceDE w:val="0"/>
                    <w:autoSpaceDN w:val="0"/>
                    <w:adjustRightInd w:val="0"/>
                    <w:spacing w:line="240" w:lineRule="auto"/>
                    <w:jc w:val="center"/>
                    <w:rPr>
                      <w:rFonts w:hint="default"/>
                      <w:b w:val="0"/>
                      <w:bCs w:val="0"/>
                      <w:color w:val="auto"/>
                      <w:sz w:val="21"/>
                      <w:szCs w:val="21"/>
                      <w:highlight w:val="none"/>
                      <w:vertAlign w:val="baseline"/>
                      <w:lang w:val="en-US" w:eastAsia="zh-CN"/>
                    </w:rPr>
                  </w:pPr>
                  <w:r>
                    <w:rPr>
                      <w:rFonts w:hint="eastAsia"/>
                      <w:b w:val="0"/>
                      <w:bCs w:val="0"/>
                      <w:color w:val="auto"/>
                      <w:sz w:val="21"/>
                      <w:szCs w:val="21"/>
                      <w:highlight w:val="none"/>
                      <w:vertAlign w:val="baseline"/>
                      <w:lang w:val="en-US" w:eastAsia="zh-CN"/>
                    </w:rPr>
                    <w:t>0.4</w:t>
                  </w:r>
                </w:p>
              </w:tc>
              <w:tc>
                <w:tcPr>
                  <w:tcW w:w="750" w:type="dxa"/>
                  <w:vAlign w:val="center"/>
                </w:tcPr>
                <w:p w14:paraId="6E27FC7F">
                  <w:pPr>
                    <w:autoSpaceDE w:val="0"/>
                    <w:autoSpaceDN w:val="0"/>
                    <w:adjustRightInd w:val="0"/>
                    <w:spacing w:line="240" w:lineRule="auto"/>
                    <w:jc w:val="center"/>
                    <w:rPr>
                      <w:rFonts w:hint="default"/>
                      <w:b w:val="0"/>
                      <w:bCs w:val="0"/>
                      <w:color w:val="auto"/>
                      <w:sz w:val="21"/>
                      <w:szCs w:val="21"/>
                      <w:highlight w:val="none"/>
                      <w:vertAlign w:val="baseline"/>
                      <w:lang w:val="en-US" w:eastAsia="zh-CN"/>
                    </w:rPr>
                  </w:pPr>
                  <w:r>
                    <w:rPr>
                      <w:rFonts w:hint="eastAsia"/>
                      <w:b w:val="0"/>
                      <w:bCs w:val="0"/>
                      <w:color w:val="auto"/>
                      <w:sz w:val="21"/>
                      <w:szCs w:val="21"/>
                      <w:highlight w:val="none"/>
                      <w:vertAlign w:val="baseline"/>
                      <w:lang w:val="en-US" w:eastAsia="zh-CN"/>
                    </w:rPr>
                    <w:t>0.087</w:t>
                  </w:r>
                </w:p>
              </w:tc>
              <w:tc>
                <w:tcPr>
                  <w:tcW w:w="805" w:type="dxa"/>
                  <w:vAlign w:val="center"/>
                </w:tcPr>
                <w:p w14:paraId="3826CF23">
                  <w:pPr>
                    <w:autoSpaceDE w:val="0"/>
                    <w:autoSpaceDN w:val="0"/>
                    <w:adjustRightInd w:val="0"/>
                    <w:spacing w:line="240" w:lineRule="auto"/>
                    <w:jc w:val="center"/>
                    <w:rPr>
                      <w:rFonts w:hint="default"/>
                      <w:b w:val="0"/>
                      <w:bCs w:val="0"/>
                      <w:color w:val="auto"/>
                      <w:sz w:val="21"/>
                      <w:szCs w:val="21"/>
                      <w:highlight w:val="none"/>
                      <w:vertAlign w:val="baseline"/>
                      <w:lang w:val="en-US" w:eastAsia="zh-CN"/>
                    </w:rPr>
                  </w:pPr>
                  <w:r>
                    <w:rPr>
                      <w:rFonts w:hint="eastAsia"/>
                      <w:b w:val="0"/>
                      <w:bCs w:val="0"/>
                      <w:color w:val="auto"/>
                      <w:sz w:val="21"/>
                      <w:szCs w:val="21"/>
                      <w:highlight w:val="none"/>
                      <w:vertAlign w:val="baseline"/>
                      <w:lang w:val="en-US" w:eastAsia="zh-CN"/>
                    </w:rPr>
                    <w:t>1.04</w:t>
                  </w:r>
                </w:p>
              </w:tc>
              <w:tc>
                <w:tcPr>
                  <w:tcW w:w="812" w:type="dxa"/>
                  <w:vAlign w:val="center"/>
                </w:tcPr>
                <w:p w14:paraId="1C8BB4BE">
                  <w:pPr>
                    <w:autoSpaceDE w:val="0"/>
                    <w:autoSpaceDN w:val="0"/>
                    <w:adjustRightInd w:val="0"/>
                    <w:spacing w:line="240" w:lineRule="auto"/>
                    <w:jc w:val="center"/>
                    <w:rPr>
                      <w:rFonts w:hint="default"/>
                      <w:b w:val="0"/>
                      <w:bCs w:val="0"/>
                      <w:color w:val="auto"/>
                      <w:sz w:val="21"/>
                      <w:szCs w:val="21"/>
                      <w:highlight w:val="none"/>
                      <w:vertAlign w:val="baseline"/>
                      <w:lang w:val="en-US" w:eastAsia="zh-CN"/>
                    </w:rPr>
                  </w:pPr>
                  <w:r>
                    <w:rPr>
                      <w:rFonts w:hint="eastAsia"/>
                      <w:b w:val="0"/>
                      <w:bCs w:val="0"/>
                      <w:color w:val="auto"/>
                      <w:sz w:val="21"/>
                      <w:szCs w:val="21"/>
                      <w:highlight w:val="none"/>
                      <w:vertAlign w:val="baseline"/>
                      <w:lang w:val="en-US" w:eastAsia="zh-CN"/>
                    </w:rPr>
                    <w:t>0.01</w:t>
                  </w:r>
                </w:p>
              </w:tc>
              <w:tc>
                <w:tcPr>
                  <w:tcW w:w="707" w:type="dxa"/>
                  <w:vAlign w:val="center"/>
                </w:tcPr>
                <w:p w14:paraId="61092E3E">
                  <w:pPr>
                    <w:autoSpaceDE w:val="0"/>
                    <w:autoSpaceDN w:val="0"/>
                    <w:adjustRightInd w:val="0"/>
                    <w:spacing w:line="240" w:lineRule="auto"/>
                    <w:jc w:val="center"/>
                    <w:rPr>
                      <w:rFonts w:hint="default"/>
                      <w:b w:val="0"/>
                      <w:bCs w:val="0"/>
                      <w:color w:val="auto"/>
                      <w:sz w:val="21"/>
                      <w:szCs w:val="21"/>
                      <w:highlight w:val="none"/>
                      <w:vertAlign w:val="baseline"/>
                      <w:lang w:val="en-US" w:eastAsia="zh-CN"/>
                    </w:rPr>
                  </w:pPr>
                  <w:r>
                    <w:rPr>
                      <w:rFonts w:hint="eastAsia"/>
                      <w:b w:val="0"/>
                      <w:bCs w:val="0"/>
                      <w:color w:val="auto"/>
                      <w:sz w:val="21"/>
                      <w:szCs w:val="21"/>
                      <w:highlight w:val="none"/>
                      <w:vertAlign w:val="baseline"/>
                      <w:lang w:val="en-US" w:eastAsia="zh-CN"/>
                    </w:rPr>
                    <w:t>0.09</w:t>
                  </w:r>
                </w:p>
              </w:tc>
            </w:tr>
            <w:tr w14:paraId="314C9DF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1188" w:type="dxa"/>
                  <w:vMerge w:val="restart"/>
                  <w:vAlign w:val="center"/>
                </w:tcPr>
                <w:p w14:paraId="72314FBF">
                  <w:pPr>
                    <w:autoSpaceDE w:val="0"/>
                    <w:autoSpaceDN w:val="0"/>
                    <w:adjustRightInd w:val="0"/>
                    <w:spacing w:line="240" w:lineRule="auto"/>
                    <w:jc w:val="center"/>
                    <w:rPr>
                      <w:rFonts w:hint="eastAsia"/>
                      <w:b w:val="0"/>
                      <w:bCs w:val="0"/>
                      <w:color w:val="auto"/>
                      <w:sz w:val="21"/>
                      <w:szCs w:val="21"/>
                      <w:highlight w:val="none"/>
                      <w:vertAlign w:val="baseline"/>
                      <w:lang w:val="en-US" w:eastAsia="zh-CN"/>
                    </w:rPr>
                  </w:pPr>
                  <w:r>
                    <w:rPr>
                      <w:rFonts w:hint="eastAsia"/>
                      <w:b w:val="0"/>
                      <w:bCs w:val="0"/>
                      <w:color w:val="auto"/>
                      <w:sz w:val="21"/>
                      <w:szCs w:val="21"/>
                      <w:highlight w:val="none"/>
                      <w:vertAlign w:val="baseline"/>
                      <w:lang w:val="en-US" w:eastAsia="zh-CN"/>
                    </w:rPr>
                    <w:t>纯水制备浓水</w:t>
                  </w:r>
                </w:p>
              </w:tc>
              <w:tc>
                <w:tcPr>
                  <w:tcW w:w="1027" w:type="dxa"/>
                  <w:vAlign w:val="center"/>
                </w:tcPr>
                <w:p w14:paraId="6C3A1783">
                  <w:pPr>
                    <w:jc w:val="center"/>
                    <w:rPr>
                      <w:rFonts w:hint="eastAsia"/>
                      <w:b w:val="0"/>
                      <w:bCs w:val="0"/>
                      <w:color w:val="auto"/>
                      <w:sz w:val="21"/>
                      <w:szCs w:val="21"/>
                      <w:highlight w:val="none"/>
                      <w:vertAlign w:val="baseline"/>
                      <w:lang w:val="en-US" w:eastAsia="zh-CN"/>
                    </w:rPr>
                  </w:pPr>
                  <w:r>
                    <w:rPr>
                      <w:rFonts w:hint="eastAsia"/>
                      <w:b w:val="0"/>
                      <w:bCs w:val="0"/>
                      <w:color w:val="auto"/>
                      <w:sz w:val="21"/>
                      <w:szCs w:val="21"/>
                      <w:highlight w:val="none"/>
                      <w:vertAlign w:val="baseline"/>
                      <w:lang w:val="en-US" w:eastAsia="zh-CN"/>
                    </w:rPr>
                    <w:t>浓度（mg/L）</w:t>
                  </w:r>
                </w:p>
              </w:tc>
              <w:tc>
                <w:tcPr>
                  <w:tcW w:w="934" w:type="dxa"/>
                  <w:vMerge w:val="restart"/>
                  <w:vAlign w:val="center"/>
                </w:tcPr>
                <w:p w14:paraId="30C5BD51">
                  <w:pPr>
                    <w:autoSpaceDE w:val="0"/>
                    <w:autoSpaceDN w:val="0"/>
                    <w:adjustRightInd w:val="0"/>
                    <w:spacing w:line="240" w:lineRule="auto"/>
                    <w:jc w:val="center"/>
                    <w:rPr>
                      <w:rFonts w:hint="default"/>
                      <w:b w:val="0"/>
                      <w:bCs w:val="0"/>
                      <w:color w:val="auto"/>
                      <w:sz w:val="21"/>
                      <w:szCs w:val="21"/>
                      <w:highlight w:val="none"/>
                      <w:vertAlign w:val="baseline"/>
                      <w:lang w:val="en-US" w:eastAsia="zh-CN"/>
                    </w:rPr>
                  </w:pPr>
                  <w:r>
                    <w:rPr>
                      <w:rFonts w:hint="eastAsia"/>
                      <w:b w:val="0"/>
                      <w:bCs w:val="0"/>
                      <w:color w:val="auto"/>
                      <w:sz w:val="21"/>
                      <w:szCs w:val="21"/>
                      <w:highlight w:val="none"/>
                      <w:vertAlign w:val="baseline"/>
                      <w:lang w:val="en-US" w:eastAsia="zh-CN"/>
                    </w:rPr>
                    <w:t>1470</w:t>
                  </w:r>
                </w:p>
              </w:tc>
              <w:tc>
                <w:tcPr>
                  <w:tcW w:w="853" w:type="dxa"/>
                  <w:vAlign w:val="center"/>
                </w:tcPr>
                <w:p w14:paraId="151BE824">
                  <w:pPr>
                    <w:autoSpaceDE w:val="0"/>
                    <w:autoSpaceDN w:val="0"/>
                    <w:adjustRightInd w:val="0"/>
                    <w:spacing w:line="240" w:lineRule="auto"/>
                    <w:jc w:val="center"/>
                    <w:rPr>
                      <w:rFonts w:hint="eastAsia"/>
                      <w:b w:val="0"/>
                      <w:bCs w:val="0"/>
                      <w:color w:val="auto"/>
                      <w:sz w:val="21"/>
                      <w:szCs w:val="21"/>
                      <w:highlight w:val="none"/>
                      <w:vertAlign w:val="baseline"/>
                      <w:lang w:val="en-US" w:eastAsia="zh-CN"/>
                    </w:rPr>
                  </w:pPr>
                  <w:r>
                    <w:rPr>
                      <w:rFonts w:hint="eastAsia"/>
                      <w:b w:val="0"/>
                      <w:bCs w:val="0"/>
                      <w:color w:val="auto"/>
                      <w:sz w:val="21"/>
                      <w:szCs w:val="21"/>
                      <w:highlight w:val="none"/>
                      <w:vertAlign w:val="baseline"/>
                      <w:lang w:val="en-US" w:eastAsia="zh-CN"/>
                    </w:rPr>
                    <w:t>41</w:t>
                  </w:r>
                </w:p>
              </w:tc>
              <w:tc>
                <w:tcPr>
                  <w:tcW w:w="820" w:type="dxa"/>
                  <w:vAlign w:val="center"/>
                </w:tcPr>
                <w:p w14:paraId="525AC2B4">
                  <w:pPr>
                    <w:autoSpaceDE w:val="0"/>
                    <w:autoSpaceDN w:val="0"/>
                    <w:adjustRightInd w:val="0"/>
                    <w:spacing w:line="240" w:lineRule="auto"/>
                    <w:jc w:val="center"/>
                    <w:rPr>
                      <w:rFonts w:hint="eastAsia"/>
                      <w:b w:val="0"/>
                      <w:bCs w:val="0"/>
                      <w:color w:val="auto"/>
                      <w:sz w:val="21"/>
                      <w:szCs w:val="21"/>
                      <w:highlight w:val="none"/>
                      <w:vertAlign w:val="baseline"/>
                      <w:lang w:val="en-US" w:eastAsia="zh-CN"/>
                    </w:rPr>
                  </w:pPr>
                  <w:r>
                    <w:rPr>
                      <w:rFonts w:hint="eastAsia"/>
                      <w:b w:val="0"/>
                      <w:bCs w:val="0"/>
                      <w:color w:val="auto"/>
                      <w:sz w:val="21"/>
                      <w:szCs w:val="21"/>
                      <w:highlight w:val="none"/>
                      <w:vertAlign w:val="baseline"/>
                      <w:lang w:val="en-US" w:eastAsia="zh-CN"/>
                    </w:rPr>
                    <w:t>/</w:t>
                  </w:r>
                </w:p>
              </w:tc>
              <w:tc>
                <w:tcPr>
                  <w:tcW w:w="750" w:type="dxa"/>
                  <w:vAlign w:val="center"/>
                </w:tcPr>
                <w:p w14:paraId="3A51E005">
                  <w:pPr>
                    <w:autoSpaceDE w:val="0"/>
                    <w:autoSpaceDN w:val="0"/>
                    <w:adjustRightInd w:val="0"/>
                    <w:spacing w:line="240" w:lineRule="auto"/>
                    <w:jc w:val="center"/>
                    <w:rPr>
                      <w:rFonts w:hint="eastAsia"/>
                      <w:b w:val="0"/>
                      <w:bCs w:val="0"/>
                      <w:color w:val="auto"/>
                      <w:sz w:val="21"/>
                      <w:szCs w:val="21"/>
                      <w:highlight w:val="none"/>
                      <w:vertAlign w:val="baseline"/>
                      <w:lang w:val="en-US" w:eastAsia="zh-CN"/>
                    </w:rPr>
                  </w:pPr>
                  <w:r>
                    <w:rPr>
                      <w:rFonts w:hint="eastAsia"/>
                      <w:b w:val="0"/>
                      <w:bCs w:val="0"/>
                      <w:color w:val="auto"/>
                      <w:sz w:val="21"/>
                      <w:szCs w:val="21"/>
                      <w:highlight w:val="none"/>
                      <w:vertAlign w:val="baseline"/>
                      <w:lang w:val="en-US" w:eastAsia="zh-CN"/>
                    </w:rPr>
                    <w:t>/</w:t>
                  </w:r>
                </w:p>
              </w:tc>
              <w:tc>
                <w:tcPr>
                  <w:tcW w:w="805" w:type="dxa"/>
                  <w:vAlign w:val="center"/>
                </w:tcPr>
                <w:p w14:paraId="3FE6A5A2">
                  <w:pPr>
                    <w:autoSpaceDE w:val="0"/>
                    <w:autoSpaceDN w:val="0"/>
                    <w:adjustRightInd w:val="0"/>
                    <w:spacing w:line="240" w:lineRule="auto"/>
                    <w:jc w:val="center"/>
                    <w:rPr>
                      <w:rFonts w:hint="eastAsia"/>
                      <w:b w:val="0"/>
                      <w:bCs w:val="0"/>
                      <w:color w:val="auto"/>
                      <w:sz w:val="21"/>
                      <w:szCs w:val="21"/>
                      <w:highlight w:val="none"/>
                      <w:vertAlign w:val="baseline"/>
                      <w:lang w:val="en-US" w:eastAsia="zh-CN"/>
                    </w:rPr>
                  </w:pPr>
                  <w:r>
                    <w:rPr>
                      <w:rFonts w:hint="eastAsia"/>
                      <w:b w:val="0"/>
                      <w:bCs w:val="0"/>
                      <w:color w:val="auto"/>
                      <w:sz w:val="21"/>
                      <w:szCs w:val="21"/>
                      <w:highlight w:val="none"/>
                      <w:vertAlign w:val="baseline"/>
                      <w:lang w:val="en-US" w:eastAsia="zh-CN"/>
                    </w:rPr>
                    <w:t>160</w:t>
                  </w:r>
                </w:p>
              </w:tc>
              <w:tc>
                <w:tcPr>
                  <w:tcW w:w="812" w:type="dxa"/>
                  <w:vAlign w:val="center"/>
                </w:tcPr>
                <w:p w14:paraId="7F40AFF7">
                  <w:pPr>
                    <w:autoSpaceDE w:val="0"/>
                    <w:autoSpaceDN w:val="0"/>
                    <w:adjustRightInd w:val="0"/>
                    <w:spacing w:line="240" w:lineRule="auto"/>
                    <w:jc w:val="center"/>
                    <w:rPr>
                      <w:rFonts w:hint="eastAsia"/>
                      <w:b w:val="0"/>
                      <w:bCs w:val="0"/>
                      <w:color w:val="auto"/>
                      <w:sz w:val="21"/>
                      <w:szCs w:val="21"/>
                      <w:highlight w:val="none"/>
                      <w:vertAlign w:val="baseline"/>
                      <w:lang w:val="en-US" w:eastAsia="zh-CN"/>
                    </w:rPr>
                  </w:pPr>
                  <w:r>
                    <w:rPr>
                      <w:rFonts w:hint="eastAsia"/>
                      <w:b w:val="0"/>
                      <w:bCs w:val="0"/>
                      <w:color w:val="auto"/>
                      <w:sz w:val="21"/>
                      <w:szCs w:val="21"/>
                      <w:highlight w:val="none"/>
                      <w:vertAlign w:val="baseline"/>
                      <w:lang w:val="en-US" w:eastAsia="zh-CN"/>
                    </w:rPr>
                    <w:t>/</w:t>
                  </w:r>
                </w:p>
              </w:tc>
              <w:tc>
                <w:tcPr>
                  <w:tcW w:w="707" w:type="dxa"/>
                  <w:vAlign w:val="center"/>
                </w:tcPr>
                <w:p w14:paraId="4CA3C46C">
                  <w:pPr>
                    <w:autoSpaceDE w:val="0"/>
                    <w:autoSpaceDN w:val="0"/>
                    <w:adjustRightInd w:val="0"/>
                    <w:spacing w:line="240" w:lineRule="auto"/>
                    <w:jc w:val="center"/>
                    <w:rPr>
                      <w:rFonts w:hint="eastAsia"/>
                      <w:b w:val="0"/>
                      <w:bCs w:val="0"/>
                      <w:color w:val="auto"/>
                      <w:sz w:val="21"/>
                      <w:szCs w:val="21"/>
                      <w:highlight w:val="none"/>
                      <w:vertAlign w:val="baseline"/>
                      <w:lang w:val="en-US" w:eastAsia="zh-CN"/>
                    </w:rPr>
                  </w:pPr>
                  <w:r>
                    <w:rPr>
                      <w:rFonts w:hint="eastAsia"/>
                      <w:b w:val="0"/>
                      <w:bCs w:val="0"/>
                      <w:color w:val="auto"/>
                      <w:sz w:val="21"/>
                      <w:szCs w:val="21"/>
                      <w:highlight w:val="none"/>
                      <w:vertAlign w:val="baseline"/>
                      <w:lang w:val="en-US" w:eastAsia="zh-CN"/>
                    </w:rPr>
                    <w:t>/</w:t>
                  </w:r>
                </w:p>
              </w:tc>
            </w:tr>
            <w:tr w14:paraId="1D1A33D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1188" w:type="dxa"/>
                  <w:vMerge w:val="continue"/>
                  <w:vAlign w:val="center"/>
                </w:tcPr>
                <w:p w14:paraId="103A6C48">
                  <w:pPr>
                    <w:autoSpaceDE w:val="0"/>
                    <w:autoSpaceDN w:val="0"/>
                    <w:adjustRightInd w:val="0"/>
                    <w:spacing w:line="240" w:lineRule="auto"/>
                    <w:jc w:val="center"/>
                    <w:rPr>
                      <w:rFonts w:hint="eastAsia"/>
                      <w:b w:val="0"/>
                      <w:bCs w:val="0"/>
                      <w:color w:val="auto"/>
                      <w:sz w:val="21"/>
                      <w:szCs w:val="21"/>
                      <w:highlight w:val="none"/>
                      <w:vertAlign w:val="baseline"/>
                      <w:lang w:val="en-US" w:eastAsia="zh-CN"/>
                    </w:rPr>
                  </w:pPr>
                </w:p>
              </w:tc>
              <w:tc>
                <w:tcPr>
                  <w:tcW w:w="1027" w:type="dxa"/>
                  <w:vAlign w:val="center"/>
                </w:tcPr>
                <w:p w14:paraId="7D1EB374">
                  <w:pPr>
                    <w:jc w:val="center"/>
                    <w:rPr>
                      <w:rFonts w:hint="eastAsia"/>
                      <w:b w:val="0"/>
                      <w:bCs w:val="0"/>
                      <w:color w:val="auto"/>
                      <w:sz w:val="21"/>
                      <w:szCs w:val="21"/>
                      <w:highlight w:val="none"/>
                      <w:vertAlign w:val="baseline"/>
                      <w:lang w:val="en-US" w:eastAsia="zh-CN"/>
                    </w:rPr>
                  </w:pPr>
                  <w:r>
                    <w:rPr>
                      <w:rFonts w:hint="eastAsia"/>
                      <w:b w:val="0"/>
                      <w:bCs w:val="0"/>
                      <w:color w:val="auto"/>
                      <w:sz w:val="21"/>
                      <w:szCs w:val="21"/>
                      <w:highlight w:val="none"/>
                      <w:vertAlign w:val="baseline"/>
                      <w:lang w:val="en-US" w:eastAsia="zh-CN"/>
                    </w:rPr>
                    <w:t>产生量（t/a）</w:t>
                  </w:r>
                </w:p>
              </w:tc>
              <w:tc>
                <w:tcPr>
                  <w:tcW w:w="934" w:type="dxa"/>
                  <w:vMerge w:val="continue"/>
                  <w:vAlign w:val="center"/>
                </w:tcPr>
                <w:p w14:paraId="60A685D2">
                  <w:pPr>
                    <w:autoSpaceDE w:val="0"/>
                    <w:autoSpaceDN w:val="0"/>
                    <w:adjustRightInd w:val="0"/>
                    <w:spacing w:line="240" w:lineRule="auto"/>
                    <w:jc w:val="center"/>
                    <w:rPr>
                      <w:rFonts w:hint="eastAsia"/>
                      <w:b w:val="0"/>
                      <w:bCs w:val="0"/>
                      <w:color w:val="auto"/>
                      <w:sz w:val="21"/>
                      <w:szCs w:val="21"/>
                      <w:highlight w:val="none"/>
                      <w:vertAlign w:val="baseline"/>
                      <w:lang w:val="en-US" w:eastAsia="zh-CN"/>
                    </w:rPr>
                  </w:pPr>
                </w:p>
              </w:tc>
              <w:tc>
                <w:tcPr>
                  <w:tcW w:w="853" w:type="dxa"/>
                  <w:vAlign w:val="center"/>
                </w:tcPr>
                <w:p w14:paraId="430A291F">
                  <w:pPr>
                    <w:autoSpaceDE w:val="0"/>
                    <w:autoSpaceDN w:val="0"/>
                    <w:adjustRightInd w:val="0"/>
                    <w:spacing w:line="240" w:lineRule="auto"/>
                    <w:jc w:val="center"/>
                    <w:rPr>
                      <w:rFonts w:hint="default"/>
                      <w:b w:val="0"/>
                      <w:bCs w:val="0"/>
                      <w:color w:val="auto"/>
                      <w:sz w:val="21"/>
                      <w:szCs w:val="21"/>
                      <w:highlight w:val="none"/>
                      <w:vertAlign w:val="baseline"/>
                      <w:lang w:val="en-US" w:eastAsia="zh-CN"/>
                    </w:rPr>
                  </w:pPr>
                  <w:r>
                    <w:rPr>
                      <w:rFonts w:hint="eastAsia"/>
                      <w:b w:val="0"/>
                      <w:bCs w:val="0"/>
                      <w:color w:val="auto"/>
                      <w:sz w:val="21"/>
                      <w:szCs w:val="21"/>
                      <w:highlight w:val="none"/>
                      <w:vertAlign w:val="baseline"/>
                      <w:lang w:val="en-US" w:eastAsia="zh-CN"/>
                    </w:rPr>
                    <w:t>0.06</w:t>
                  </w:r>
                </w:p>
              </w:tc>
              <w:tc>
                <w:tcPr>
                  <w:tcW w:w="820" w:type="dxa"/>
                  <w:vAlign w:val="center"/>
                </w:tcPr>
                <w:p w14:paraId="6FE7FFEC">
                  <w:pPr>
                    <w:autoSpaceDE w:val="0"/>
                    <w:autoSpaceDN w:val="0"/>
                    <w:adjustRightInd w:val="0"/>
                    <w:spacing w:line="240" w:lineRule="auto"/>
                    <w:jc w:val="center"/>
                    <w:rPr>
                      <w:rFonts w:hint="default"/>
                      <w:b w:val="0"/>
                      <w:bCs w:val="0"/>
                      <w:color w:val="auto"/>
                      <w:sz w:val="21"/>
                      <w:szCs w:val="21"/>
                      <w:highlight w:val="none"/>
                      <w:vertAlign w:val="baseline"/>
                      <w:lang w:val="en-US" w:eastAsia="zh-CN"/>
                    </w:rPr>
                  </w:pPr>
                  <w:r>
                    <w:rPr>
                      <w:rFonts w:hint="eastAsia"/>
                      <w:b w:val="0"/>
                      <w:bCs w:val="0"/>
                      <w:color w:val="auto"/>
                      <w:sz w:val="21"/>
                      <w:szCs w:val="21"/>
                      <w:highlight w:val="none"/>
                      <w:vertAlign w:val="baseline"/>
                      <w:lang w:val="en-US" w:eastAsia="zh-CN"/>
                    </w:rPr>
                    <w:t>/</w:t>
                  </w:r>
                </w:p>
              </w:tc>
              <w:tc>
                <w:tcPr>
                  <w:tcW w:w="750" w:type="dxa"/>
                  <w:vAlign w:val="center"/>
                </w:tcPr>
                <w:p w14:paraId="079F2FFA">
                  <w:pPr>
                    <w:autoSpaceDE w:val="0"/>
                    <w:autoSpaceDN w:val="0"/>
                    <w:adjustRightInd w:val="0"/>
                    <w:spacing w:line="240" w:lineRule="auto"/>
                    <w:jc w:val="center"/>
                    <w:rPr>
                      <w:rFonts w:hint="default"/>
                      <w:b w:val="0"/>
                      <w:bCs w:val="0"/>
                      <w:color w:val="auto"/>
                      <w:sz w:val="21"/>
                      <w:szCs w:val="21"/>
                      <w:highlight w:val="none"/>
                      <w:vertAlign w:val="baseline"/>
                      <w:lang w:val="en-US" w:eastAsia="zh-CN"/>
                    </w:rPr>
                  </w:pPr>
                  <w:r>
                    <w:rPr>
                      <w:rFonts w:hint="eastAsia"/>
                      <w:b w:val="0"/>
                      <w:bCs w:val="0"/>
                      <w:color w:val="auto"/>
                      <w:sz w:val="21"/>
                      <w:szCs w:val="21"/>
                      <w:highlight w:val="none"/>
                      <w:vertAlign w:val="baseline"/>
                      <w:lang w:val="en-US" w:eastAsia="zh-CN"/>
                    </w:rPr>
                    <w:t>/</w:t>
                  </w:r>
                </w:p>
              </w:tc>
              <w:tc>
                <w:tcPr>
                  <w:tcW w:w="805" w:type="dxa"/>
                  <w:vAlign w:val="center"/>
                </w:tcPr>
                <w:p w14:paraId="31C2B456">
                  <w:pPr>
                    <w:autoSpaceDE w:val="0"/>
                    <w:autoSpaceDN w:val="0"/>
                    <w:adjustRightInd w:val="0"/>
                    <w:spacing w:line="240" w:lineRule="auto"/>
                    <w:jc w:val="center"/>
                    <w:rPr>
                      <w:rFonts w:hint="default"/>
                      <w:b w:val="0"/>
                      <w:bCs w:val="0"/>
                      <w:color w:val="auto"/>
                      <w:sz w:val="21"/>
                      <w:szCs w:val="21"/>
                      <w:highlight w:val="none"/>
                      <w:vertAlign w:val="baseline"/>
                      <w:lang w:val="en-US" w:eastAsia="zh-CN"/>
                    </w:rPr>
                  </w:pPr>
                  <w:r>
                    <w:rPr>
                      <w:rFonts w:hint="eastAsia"/>
                      <w:b w:val="0"/>
                      <w:bCs w:val="0"/>
                      <w:color w:val="auto"/>
                      <w:sz w:val="21"/>
                      <w:szCs w:val="21"/>
                      <w:highlight w:val="none"/>
                      <w:vertAlign w:val="baseline"/>
                      <w:lang w:val="en-US" w:eastAsia="zh-CN"/>
                    </w:rPr>
                    <w:t>0.24</w:t>
                  </w:r>
                </w:p>
              </w:tc>
              <w:tc>
                <w:tcPr>
                  <w:tcW w:w="812" w:type="dxa"/>
                  <w:vAlign w:val="center"/>
                </w:tcPr>
                <w:p w14:paraId="27B47552">
                  <w:pPr>
                    <w:autoSpaceDE w:val="0"/>
                    <w:autoSpaceDN w:val="0"/>
                    <w:adjustRightInd w:val="0"/>
                    <w:spacing w:line="240" w:lineRule="auto"/>
                    <w:jc w:val="center"/>
                    <w:rPr>
                      <w:rFonts w:hint="default"/>
                      <w:b w:val="0"/>
                      <w:bCs w:val="0"/>
                      <w:color w:val="auto"/>
                      <w:sz w:val="21"/>
                      <w:szCs w:val="21"/>
                      <w:highlight w:val="none"/>
                      <w:vertAlign w:val="baseline"/>
                      <w:lang w:val="en-US" w:eastAsia="zh-CN"/>
                    </w:rPr>
                  </w:pPr>
                  <w:r>
                    <w:rPr>
                      <w:rFonts w:hint="eastAsia"/>
                      <w:b w:val="0"/>
                      <w:bCs w:val="0"/>
                      <w:color w:val="auto"/>
                      <w:sz w:val="21"/>
                      <w:szCs w:val="21"/>
                      <w:highlight w:val="none"/>
                      <w:vertAlign w:val="baseline"/>
                      <w:lang w:val="en-US" w:eastAsia="zh-CN"/>
                    </w:rPr>
                    <w:t>/</w:t>
                  </w:r>
                </w:p>
              </w:tc>
              <w:tc>
                <w:tcPr>
                  <w:tcW w:w="707" w:type="dxa"/>
                  <w:vAlign w:val="center"/>
                </w:tcPr>
                <w:p w14:paraId="231D3315">
                  <w:pPr>
                    <w:autoSpaceDE w:val="0"/>
                    <w:autoSpaceDN w:val="0"/>
                    <w:adjustRightInd w:val="0"/>
                    <w:spacing w:line="240" w:lineRule="auto"/>
                    <w:jc w:val="center"/>
                    <w:rPr>
                      <w:rFonts w:hint="default"/>
                      <w:b w:val="0"/>
                      <w:bCs w:val="0"/>
                      <w:color w:val="auto"/>
                      <w:sz w:val="21"/>
                      <w:szCs w:val="21"/>
                      <w:highlight w:val="none"/>
                      <w:vertAlign w:val="baseline"/>
                      <w:lang w:val="en-US" w:eastAsia="zh-CN"/>
                    </w:rPr>
                  </w:pPr>
                  <w:r>
                    <w:rPr>
                      <w:rFonts w:hint="eastAsia"/>
                      <w:b w:val="0"/>
                      <w:bCs w:val="0"/>
                      <w:color w:val="auto"/>
                      <w:sz w:val="21"/>
                      <w:szCs w:val="21"/>
                      <w:highlight w:val="none"/>
                      <w:vertAlign w:val="baseline"/>
                      <w:lang w:val="en-US" w:eastAsia="zh-CN"/>
                    </w:rPr>
                    <w:t>/</w:t>
                  </w:r>
                </w:p>
              </w:tc>
            </w:tr>
            <w:tr w14:paraId="007386A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1188" w:type="dxa"/>
                  <w:vMerge w:val="restart"/>
                  <w:vAlign w:val="center"/>
                </w:tcPr>
                <w:p w14:paraId="69B6E9C2">
                  <w:pPr>
                    <w:autoSpaceDE w:val="0"/>
                    <w:autoSpaceDN w:val="0"/>
                    <w:adjustRightInd w:val="0"/>
                    <w:spacing w:line="240" w:lineRule="auto"/>
                    <w:jc w:val="center"/>
                    <w:rPr>
                      <w:rFonts w:hint="default"/>
                      <w:b w:val="0"/>
                      <w:bCs w:val="0"/>
                      <w:color w:val="auto"/>
                      <w:sz w:val="21"/>
                      <w:szCs w:val="21"/>
                      <w:highlight w:val="none"/>
                      <w:vertAlign w:val="baseline"/>
                      <w:lang w:val="en-US" w:eastAsia="zh-CN"/>
                    </w:rPr>
                  </w:pPr>
                  <w:r>
                    <w:rPr>
                      <w:rFonts w:hint="eastAsia"/>
                      <w:b w:val="0"/>
                      <w:bCs w:val="0"/>
                      <w:color w:val="auto"/>
                      <w:sz w:val="21"/>
                      <w:szCs w:val="21"/>
                      <w:highlight w:val="none"/>
                      <w:vertAlign w:val="baseline"/>
                      <w:lang w:val="en-US" w:eastAsia="zh-CN"/>
                    </w:rPr>
                    <w:t>预处理池处理前（生活污水、纯水制备浓水）</w:t>
                  </w:r>
                </w:p>
              </w:tc>
              <w:tc>
                <w:tcPr>
                  <w:tcW w:w="1027" w:type="dxa"/>
                  <w:vAlign w:val="center"/>
                </w:tcPr>
                <w:p w14:paraId="517665C1">
                  <w:pPr>
                    <w:jc w:val="center"/>
                    <w:rPr>
                      <w:rFonts w:hint="eastAsia"/>
                      <w:b w:val="0"/>
                      <w:bCs w:val="0"/>
                      <w:color w:val="auto"/>
                      <w:sz w:val="21"/>
                      <w:szCs w:val="21"/>
                      <w:highlight w:val="none"/>
                      <w:vertAlign w:val="baseline"/>
                      <w:lang w:val="en-US" w:eastAsia="zh-CN"/>
                    </w:rPr>
                  </w:pPr>
                  <w:r>
                    <w:rPr>
                      <w:rFonts w:hint="eastAsia"/>
                      <w:b w:val="0"/>
                      <w:bCs w:val="0"/>
                      <w:color w:val="auto"/>
                      <w:sz w:val="21"/>
                      <w:szCs w:val="21"/>
                      <w:highlight w:val="none"/>
                      <w:vertAlign w:val="baseline"/>
                      <w:lang w:val="en-US" w:eastAsia="zh-CN"/>
                    </w:rPr>
                    <w:t>浓度（mg/L）</w:t>
                  </w:r>
                </w:p>
              </w:tc>
              <w:tc>
                <w:tcPr>
                  <w:tcW w:w="934" w:type="dxa"/>
                  <w:vMerge w:val="restart"/>
                  <w:vAlign w:val="center"/>
                </w:tcPr>
                <w:p w14:paraId="67DAF9AA">
                  <w:pPr>
                    <w:autoSpaceDE w:val="0"/>
                    <w:autoSpaceDN w:val="0"/>
                    <w:adjustRightInd w:val="0"/>
                    <w:spacing w:line="240" w:lineRule="auto"/>
                    <w:jc w:val="center"/>
                    <w:rPr>
                      <w:rFonts w:hint="default"/>
                      <w:b w:val="0"/>
                      <w:bCs w:val="0"/>
                      <w:color w:val="auto"/>
                      <w:sz w:val="21"/>
                      <w:szCs w:val="21"/>
                      <w:highlight w:val="none"/>
                      <w:vertAlign w:val="baseline"/>
                      <w:lang w:val="en-US" w:eastAsia="zh-CN"/>
                    </w:rPr>
                  </w:pPr>
                  <w:r>
                    <w:rPr>
                      <w:rFonts w:hint="eastAsia"/>
                      <w:b w:val="0"/>
                      <w:bCs w:val="0"/>
                      <w:color w:val="auto"/>
                      <w:sz w:val="21"/>
                      <w:szCs w:val="21"/>
                      <w:highlight w:val="none"/>
                      <w:vertAlign w:val="baseline"/>
                      <w:lang w:val="en-US" w:eastAsia="zh-CN"/>
                    </w:rPr>
                    <w:t>3774</w:t>
                  </w:r>
                </w:p>
              </w:tc>
              <w:tc>
                <w:tcPr>
                  <w:tcW w:w="853" w:type="dxa"/>
                  <w:vAlign w:val="center"/>
                </w:tcPr>
                <w:p w14:paraId="2998CBE7">
                  <w:pPr>
                    <w:autoSpaceDE w:val="0"/>
                    <w:autoSpaceDN w:val="0"/>
                    <w:adjustRightInd w:val="0"/>
                    <w:spacing w:line="240" w:lineRule="auto"/>
                    <w:jc w:val="center"/>
                    <w:rPr>
                      <w:rFonts w:hint="default"/>
                      <w:b w:val="0"/>
                      <w:bCs w:val="0"/>
                      <w:color w:val="auto"/>
                      <w:sz w:val="21"/>
                      <w:szCs w:val="21"/>
                      <w:highlight w:val="none"/>
                      <w:vertAlign w:val="baseline"/>
                      <w:lang w:val="en-US" w:eastAsia="zh-CN"/>
                    </w:rPr>
                  </w:pPr>
                  <w:r>
                    <w:rPr>
                      <w:rFonts w:hint="eastAsia"/>
                      <w:b w:val="0"/>
                      <w:bCs w:val="0"/>
                      <w:color w:val="auto"/>
                      <w:sz w:val="21"/>
                      <w:szCs w:val="21"/>
                      <w:highlight w:val="none"/>
                      <w:vertAlign w:val="baseline"/>
                      <w:lang w:val="en-US" w:eastAsia="zh-CN"/>
                    </w:rPr>
                    <w:t>214.4</w:t>
                  </w:r>
                </w:p>
              </w:tc>
              <w:tc>
                <w:tcPr>
                  <w:tcW w:w="820" w:type="dxa"/>
                  <w:vAlign w:val="center"/>
                </w:tcPr>
                <w:p w14:paraId="3D6053B8">
                  <w:pPr>
                    <w:autoSpaceDE w:val="0"/>
                    <w:autoSpaceDN w:val="0"/>
                    <w:adjustRightInd w:val="0"/>
                    <w:spacing w:line="240" w:lineRule="auto"/>
                    <w:jc w:val="center"/>
                    <w:rPr>
                      <w:rFonts w:hint="default"/>
                      <w:b w:val="0"/>
                      <w:bCs w:val="0"/>
                      <w:color w:val="auto"/>
                      <w:sz w:val="21"/>
                      <w:szCs w:val="21"/>
                      <w:highlight w:val="none"/>
                      <w:vertAlign w:val="baseline"/>
                      <w:lang w:val="en-US" w:eastAsia="zh-CN"/>
                    </w:rPr>
                  </w:pPr>
                  <w:r>
                    <w:rPr>
                      <w:rFonts w:hint="eastAsia"/>
                      <w:b w:val="0"/>
                      <w:bCs w:val="0"/>
                      <w:color w:val="auto"/>
                      <w:sz w:val="21"/>
                      <w:szCs w:val="21"/>
                      <w:highlight w:val="none"/>
                      <w:vertAlign w:val="baseline"/>
                      <w:lang w:val="en-US" w:eastAsia="zh-CN"/>
                    </w:rPr>
                    <w:t>107</w:t>
                  </w:r>
                </w:p>
              </w:tc>
              <w:tc>
                <w:tcPr>
                  <w:tcW w:w="750" w:type="dxa"/>
                  <w:vAlign w:val="center"/>
                </w:tcPr>
                <w:p w14:paraId="103F6291">
                  <w:pPr>
                    <w:autoSpaceDE w:val="0"/>
                    <w:autoSpaceDN w:val="0"/>
                    <w:adjustRightInd w:val="0"/>
                    <w:spacing w:line="240" w:lineRule="auto"/>
                    <w:jc w:val="center"/>
                    <w:rPr>
                      <w:rFonts w:hint="default"/>
                      <w:b w:val="0"/>
                      <w:bCs w:val="0"/>
                      <w:color w:val="auto"/>
                      <w:sz w:val="21"/>
                      <w:szCs w:val="21"/>
                      <w:highlight w:val="none"/>
                      <w:vertAlign w:val="baseline"/>
                      <w:lang w:val="en-US" w:eastAsia="zh-CN"/>
                    </w:rPr>
                  </w:pPr>
                  <w:r>
                    <w:rPr>
                      <w:rFonts w:hint="eastAsia"/>
                      <w:b w:val="0"/>
                      <w:bCs w:val="0"/>
                      <w:color w:val="auto"/>
                      <w:sz w:val="21"/>
                      <w:szCs w:val="21"/>
                      <w:highlight w:val="none"/>
                      <w:vertAlign w:val="baseline"/>
                      <w:lang w:val="en-US" w:eastAsia="zh-CN"/>
                    </w:rPr>
                    <w:t>23.02</w:t>
                  </w:r>
                </w:p>
              </w:tc>
              <w:tc>
                <w:tcPr>
                  <w:tcW w:w="805" w:type="dxa"/>
                  <w:vAlign w:val="center"/>
                </w:tcPr>
                <w:p w14:paraId="4277BC6A">
                  <w:pPr>
                    <w:autoSpaceDE w:val="0"/>
                    <w:autoSpaceDN w:val="0"/>
                    <w:adjustRightInd w:val="0"/>
                    <w:spacing w:line="240" w:lineRule="auto"/>
                    <w:jc w:val="center"/>
                    <w:rPr>
                      <w:rFonts w:hint="default"/>
                      <w:b w:val="0"/>
                      <w:bCs w:val="0"/>
                      <w:color w:val="auto"/>
                      <w:sz w:val="21"/>
                      <w:szCs w:val="21"/>
                      <w:highlight w:val="none"/>
                      <w:vertAlign w:val="baseline"/>
                      <w:lang w:val="en-US" w:eastAsia="zh-CN"/>
                    </w:rPr>
                  </w:pPr>
                  <w:r>
                    <w:rPr>
                      <w:rFonts w:hint="eastAsia"/>
                      <w:b w:val="0"/>
                      <w:bCs w:val="0"/>
                      <w:color w:val="auto"/>
                      <w:sz w:val="21"/>
                      <w:szCs w:val="21"/>
                      <w:highlight w:val="none"/>
                      <w:vertAlign w:val="baseline"/>
                      <w:lang w:val="en-US" w:eastAsia="zh-CN"/>
                    </w:rPr>
                    <w:t>337.04</w:t>
                  </w:r>
                </w:p>
              </w:tc>
              <w:tc>
                <w:tcPr>
                  <w:tcW w:w="812" w:type="dxa"/>
                  <w:vAlign w:val="center"/>
                </w:tcPr>
                <w:p w14:paraId="02307DB3">
                  <w:pPr>
                    <w:autoSpaceDE w:val="0"/>
                    <w:autoSpaceDN w:val="0"/>
                    <w:adjustRightInd w:val="0"/>
                    <w:spacing w:line="240" w:lineRule="auto"/>
                    <w:jc w:val="center"/>
                    <w:rPr>
                      <w:rFonts w:hint="default"/>
                      <w:b w:val="0"/>
                      <w:bCs w:val="0"/>
                      <w:color w:val="auto"/>
                      <w:sz w:val="21"/>
                      <w:szCs w:val="21"/>
                      <w:highlight w:val="none"/>
                      <w:vertAlign w:val="baseline"/>
                      <w:lang w:val="en-US" w:eastAsia="zh-CN"/>
                    </w:rPr>
                  </w:pPr>
                  <w:r>
                    <w:rPr>
                      <w:rFonts w:hint="eastAsia"/>
                      <w:b w:val="0"/>
                      <w:bCs w:val="0"/>
                      <w:color w:val="auto"/>
                      <w:sz w:val="21"/>
                      <w:szCs w:val="21"/>
                      <w:highlight w:val="none"/>
                      <w:vertAlign w:val="baseline"/>
                      <w:lang w:val="en-US" w:eastAsia="zh-CN"/>
                    </w:rPr>
                    <w:t>2.61</w:t>
                  </w:r>
                </w:p>
              </w:tc>
              <w:tc>
                <w:tcPr>
                  <w:tcW w:w="707" w:type="dxa"/>
                  <w:vAlign w:val="center"/>
                </w:tcPr>
                <w:p w14:paraId="50D869DD">
                  <w:pPr>
                    <w:autoSpaceDE w:val="0"/>
                    <w:autoSpaceDN w:val="0"/>
                    <w:adjustRightInd w:val="0"/>
                    <w:spacing w:line="240" w:lineRule="auto"/>
                    <w:jc w:val="center"/>
                    <w:rPr>
                      <w:rFonts w:hint="default"/>
                      <w:b w:val="0"/>
                      <w:bCs w:val="0"/>
                      <w:color w:val="auto"/>
                      <w:sz w:val="21"/>
                      <w:szCs w:val="21"/>
                      <w:highlight w:val="none"/>
                      <w:vertAlign w:val="baseline"/>
                      <w:lang w:val="en-US" w:eastAsia="zh-CN"/>
                    </w:rPr>
                  </w:pPr>
                  <w:r>
                    <w:rPr>
                      <w:rFonts w:hint="eastAsia"/>
                      <w:b w:val="0"/>
                      <w:bCs w:val="0"/>
                      <w:color w:val="auto"/>
                      <w:sz w:val="21"/>
                      <w:szCs w:val="21"/>
                      <w:highlight w:val="none"/>
                      <w:vertAlign w:val="baseline"/>
                      <w:lang w:val="en-US" w:eastAsia="zh-CN"/>
                    </w:rPr>
                    <w:t>24.42</w:t>
                  </w:r>
                </w:p>
              </w:tc>
            </w:tr>
            <w:tr w14:paraId="1AD9C46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1188" w:type="dxa"/>
                  <w:vMerge w:val="continue"/>
                  <w:vAlign w:val="center"/>
                </w:tcPr>
                <w:p w14:paraId="79282084">
                  <w:pPr>
                    <w:autoSpaceDE w:val="0"/>
                    <w:autoSpaceDN w:val="0"/>
                    <w:adjustRightInd w:val="0"/>
                    <w:spacing w:line="240" w:lineRule="auto"/>
                    <w:jc w:val="center"/>
                    <w:rPr>
                      <w:rFonts w:hint="eastAsia"/>
                      <w:b w:val="0"/>
                      <w:bCs w:val="0"/>
                      <w:color w:val="auto"/>
                      <w:sz w:val="21"/>
                      <w:szCs w:val="21"/>
                      <w:highlight w:val="none"/>
                      <w:vertAlign w:val="baseline"/>
                      <w:lang w:val="en-US" w:eastAsia="zh-CN"/>
                    </w:rPr>
                  </w:pPr>
                </w:p>
              </w:tc>
              <w:tc>
                <w:tcPr>
                  <w:tcW w:w="1027" w:type="dxa"/>
                  <w:vAlign w:val="center"/>
                </w:tcPr>
                <w:p w14:paraId="5EBF2307">
                  <w:pPr>
                    <w:jc w:val="center"/>
                    <w:rPr>
                      <w:rFonts w:hint="eastAsia"/>
                      <w:b w:val="0"/>
                      <w:bCs w:val="0"/>
                      <w:color w:val="auto"/>
                      <w:sz w:val="21"/>
                      <w:szCs w:val="21"/>
                      <w:highlight w:val="none"/>
                      <w:vertAlign w:val="baseline"/>
                      <w:lang w:val="en-US" w:eastAsia="zh-CN"/>
                    </w:rPr>
                  </w:pPr>
                  <w:r>
                    <w:rPr>
                      <w:rFonts w:hint="eastAsia"/>
                      <w:b w:val="0"/>
                      <w:bCs w:val="0"/>
                      <w:color w:val="auto"/>
                      <w:sz w:val="21"/>
                      <w:szCs w:val="21"/>
                      <w:highlight w:val="none"/>
                      <w:vertAlign w:val="baseline"/>
                      <w:lang w:val="en-US" w:eastAsia="zh-CN"/>
                    </w:rPr>
                    <w:t>产生量（t/a）</w:t>
                  </w:r>
                </w:p>
              </w:tc>
              <w:tc>
                <w:tcPr>
                  <w:tcW w:w="934" w:type="dxa"/>
                  <w:vMerge w:val="continue"/>
                  <w:vAlign w:val="center"/>
                </w:tcPr>
                <w:p w14:paraId="2592FE7B">
                  <w:pPr>
                    <w:autoSpaceDE w:val="0"/>
                    <w:autoSpaceDN w:val="0"/>
                    <w:adjustRightInd w:val="0"/>
                    <w:spacing w:line="240" w:lineRule="auto"/>
                    <w:jc w:val="center"/>
                    <w:rPr>
                      <w:rFonts w:hint="eastAsia"/>
                      <w:b w:val="0"/>
                      <w:bCs w:val="0"/>
                      <w:color w:val="auto"/>
                      <w:sz w:val="21"/>
                      <w:szCs w:val="21"/>
                      <w:highlight w:val="none"/>
                      <w:vertAlign w:val="baseline"/>
                      <w:lang w:val="en-US" w:eastAsia="zh-CN"/>
                    </w:rPr>
                  </w:pPr>
                </w:p>
              </w:tc>
              <w:tc>
                <w:tcPr>
                  <w:tcW w:w="853" w:type="dxa"/>
                  <w:vAlign w:val="center"/>
                </w:tcPr>
                <w:p w14:paraId="333DE2DC">
                  <w:pPr>
                    <w:autoSpaceDE w:val="0"/>
                    <w:autoSpaceDN w:val="0"/>
                    <w:adjustRightInd w:val="0"/>
                    <w:spacing w:line="240" w:lineRule="auto"/>
                    <w:jc w:val="center"/>
                    <w:rPr>
                      <w:rFonts w:hint="default"/>
                      <w:b w:val="0"/>
                      <w:bCs w:val="0"/>
                      <w:color w:val="auto"/>
                      <w:sz w:val="21"/>
                      <w:szCs w:val="21"/>
                      <w:highlight w:val="none"/>
                      <w:vertAlign w:val="baseline"/>
                      <w:lang w:val="en-US" w:eastAsia="zh-CN"/>
                    </w:rPr>
                  </w:pPr>
                  <w:r>
                    <w:rPr>
                      <w:rFonts w:hint="eastAsia"/>
                      <w:b w:val="0"/>
                      <w:bCs w:val="0"/>
                      <w:color w:val="auto"/>
                      <w:sz w:val="21"/>
                      <w:szCs w:val="21"/>
                      <w:highlight w:val="none"/>
                      <w:vertAlign w:val="baseline"/>
                      <w:lang w:val="en-US" w:eastAsia="zh-CN"/>
                    </w:rPr>
                    <w:t>0.81</w:t>
                  </w:r>
                </w:p>
              </w:tc>
              <w:tc>
                <w:tcPr>
                  <w:tcW w:w="820" w:type="dxa"/>
                  <w:vAlign w:val="center"/>
                </w:tcPr>
                <w:p w14:paraId="674E7C65">
                  <w:pPr>
                    <w:autoSpaceDE w:val="0"/>
                    <w:autoSpaceDN w:val="0"/>
                    <w:adjustRightInd w:val="0"/>
                    <w:spacing w:line="240" w:lineRule="auto"/>
                    <w:jc w:val="center"/>
                    <w:rPr>
                      <w:rFonts w:hint="default"/>
                      <w:b w:val="0"/>
                      <w:bCs w:val="0"/>
                      <w:color w:val="auto"/>
                      <w:sz w:val="21"/>
                      <w:szCs w:val="21"/>
                      <w:highlight w:val="none"/>
                      <w:vertAlign w:val="baseline"/>
                      <w:lang w:val="en-US" w:eastAsia="zh-CN"/>
                    </w:rPr>
                  </w:pPr>
                  <w:r>
                    <w:rPr>
                      <w:rFonts w:hint="eastAsia"/>
                      <w:b w:val="0"/>
                      <w:bCs w:val="0"/>
                      <w:color w:val="auto"/>
                      <w:sz w:val="21"/>
                      <w:szCs w:val="21"/>
                      <w:highlight w:val="none"/>
                      <w:vertAlign w:val="baseline"/>
                      <w:lang w:val="en-US" w:eastAsia="zh-CN"/>
                    </w:rPr>
                    <w:t>0.4</w:t>
                  </w:r>
                </w:p>
              </w:tc>
              <w:tc>
                <w:tcPr>
                  <w:tcW w:w="750" w:type="dxa"/>
                  <w:vAlign w:val="center"/>
                </w:tcPr>
                <w:p w14:paraId="1B2F6F91">
                  <w:pPr>
                    <w:autoSpaceDE w:val="0"/>
                    <w:autoSpaceDN w:val="0"/>
                    <w:adjustRightInd w:val="0"/>
                    <w:spacing w:line="240" w:lineRule="auto"/>
                    <w:jc w:val="center"/>
                    <w:rPr>
                      <w:rFonts w:hint="default"/>
                      <w:b w:val="0"/>
                      <w:bCs w:val="0"/>
                      <w:color w:val="auto"/>
                      <w:sz w:val="21"/>
                      <w:szCs w:val="21"/>
                      <w:highlight w:val="none"/>
                      <w:vertAlign w:val="baseline"/>
                      <w:lang w:val="en-US" w:eastAsia="zh-CN"/>
                    </w:rPr>
                  </w:pPr>
                  <w:r>
                    <w:rPr>
                      <w:rFonts w:hint="eastAsia"/>
                      <w:b w:val="0"/>
                      <w:bCs w:val="0"/>
                      <w:color w:val="auto"/>
                      <w:sz w:val="21"/>
                      <w:szCs w:val="21"/>
                      <w:highlight w:val="none"/>
                      <w:vertAlign w:val="baseline"/>
                      <w:lang w:val="en-US" w:eastAsia="zh-CN"/>
                    </w:rPr>
                    <w:t>0.087</w:t>
                  </w:r>
                </w:p>
              </w:tc>
              <w:tc>
                <w:tcPr>
                  <w:tcW w:w="805" w:type="dxa"/>
                  <w:vAlign w:val="center"/>
                </w:tcPr>
                <w:p w14:paraId="7E3A3443">
                  <w:pPr>
                    <w:autoSpaceDE w:val="0"/>
                    <w:autoSpaceDN w:val="0"/>
                    <w:adjustRightInd w:val="0"/>
                    <w:spacing w:line="240" w:lineRule="auto"/>
                    <w:jc w:val="center"/>
                    <w:rPr>
                      <w:rFonts w:hint="default"/>
                      <w:b w:val="0"/>
                      <w:bCs w:val="0"/>
                      <w:color w:val="auto"/>
                      <w:sz w:val="21"/>
                      <w:szCs w:val="21"/>
                      <w:highlight w:val="none"/>
                      <w:vertAlign w:val="baseline"/>
                      <w:lang w:val="en-US" w:eastAsia="zh-CN"/>
                    </w:rPr>
                  </w:pPr>
                  <w:r>
                    <w:rPr>
                      <w:rFonts w:hint="eastAsia"/>
                      <w:b w:val="0"/>
                      <w:bCs w:val="0"/>
                      <w:color w:val="auto"/>
                      <w:sz w:val="21"/>
                      <w:szCs w:val="21"/>
                      <w:highlight w:val="none"/>
                      <w:vertAlign w:val="baseline"/>
                      <w:lang w:val="en-US" w:eastAsia="zh-CN"/>
                    </w:rPr>
                    <w:t>1.27</w:t>
                  </w:r>
                </w:p>
              </w:tc>
              <w:tc>
                <w:tcPr>
                  <w:tcW w:w="812" w:type="dxa"/>
                  <w:vAlign w:val="center"/>
                </w:tcPr>
                <w:p w14:paraId="21DBF381">
                  <w:pPr>
                    <w:autoSpaceDE w:val="0"/>
                    <w:autoSpaceDN w:val="0"/>
                    <w:adjustRightInd w:val="0"/>
                    <w:spacing w:line="240" w:lineRule="auto"/>
                    <w:jc w:val="center"/>
                    <w:rPr>
                      <w:rFonts w:hint="default"/>
                      <w:b w:val="0"/>
                      <w:bCs w:val="0"/>
                      <w:color w:val="auto"/>
                      <w:sz w:val="21"/>
                      <w:szCs w:val="21"/>
                      <w:highlight w:val="none"/>
                      <w:vertAlign w:val="baseline"/>
                      <w:lang w:val="en-US" w:eastAsia="zh-CN"/>
                    </w:rPr>
                  </w:pPr>
                  <w:r>
                    <w:rPr>
                      <w:rFonts w:hint="eastAsia"/>
                      <w:b w:val="0"/>
                      <w:bCs w:val="0"/>
                      <w:color w:val="auto"/>
                      <w:sz w:val="21"/>
                      <w:szCs w:val="21"/>
                      <w:highlight w:val="none"/>
                      <w:vertAlign w:val="baseline"/>
                      <w:lang w:val="en-US" w:eastAsia="zh-CN"/>
                    </w:rPr>
                    <w:t>0.0099</w:t>
                  </w:r>
                </w:p>
              </w:tc>
              <w:tc>
                <w:tcPr>
                  <w:tcW w:w="707" w:type="dxa"/>
                  <w:vAlign w:val="center"/>
                </w:tcPr>
                <w:p w14:paraId="1D76B300">
                  <w:pPr>
                    <w:autoSpaceDE w:val="0"/>
                    <w:autoSpaceDN w:val="0"/>
                    <w:adjustRightInd w:val="0"/>
                    <w:spacing w:line="240" w:lineRule="auto"/>
                    <w:jc w:val="center"/>
                    <w:rPr>
                      <w:rFonts w:hint="default"/>
                      <w:b w:val="0"/>
                      <w:bCs w:val="0"/>
                      <w:color w:val="auto"/>
                      <w:sz w:val="21"/>
                      <w:szCs w:val="21"/>
                      <w:highlight w:val="none"/>
                      <w:vertAlign w:val="baseline"/>
                      <w:lang w:val="en-US" w:eastAsia="zh-CN"/>
                    </w:rPr>
                  </w:pPr>
                  <w:r>
                    <w:rPr>
                      <w:rFonts w:hint="eastAsia"/>
                      <w:b w:val="0"/>
                      <w:bCs w:val="0"/>
                      <w:color w:val="auto"/>
                      <w:sz w:val="21"/>
                      <w:szCs w:val="21"/>
                      <w:highlight w:val="none"/>
                      <w:vertAlign w:val="baseline"/>
                      <w:lang w:val="en-US" w:eastAsia="zh-CN"/>
                    </w:rPr>
                    <w:t>0.092</w:t>
                  </w:r>
                </w:p>
              </w:tc>
            </w:tr>
            <w:tr w14:paraId="36BABA1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419" w:hRule="atLeast"/>
              </w:trPr>
              <w:tc>
                <w:tcPr>
                  <w:tcW w:w="3149" w:type="dxa"/>
                  <w:gridSpan w:val="3"/>
                  <w:vAlign w:val="center"/>
                </w:tcPr>
                <w:p w14:paraId="161D4A97">
                  <w:pPr>
                    <w:autoSpaceDE w:val="0"/>
                    <w:autoSpaceDN w:val="0"/>
                    <w:adjustRightInd w:val="0"/>
                    <w:spacing w:line="240" w:lineRule="auto"/>
                    <w:jc w:val="center"/>
                    <w:rPr>
                      <w:rFonts w:hint="eastAsia"/>
                      <w:b w:val="0"/>
                      <w:bCs w:val="0"/>
                      <w:color w:val="auto"/>
                      <w:sz w:val="21"/>
                      <w:szCs w:val="21"/>
                      <w:highlight w:val="none"/>
                      <w:vertAlign w:val="baseline"/>
                      <w:lang w:val="en-US" w:eastAsia="zh-CN"/>
                    </w:rPr>
                  </w:pPr>
                  <w:r>
                    <w:rPr>
                      <w:rFonts w:hint="eastAsia"/>
                      <w:b w:val="0"/>
                      <w:bCs w:val="0"/>
                      <w:color w:val="auto"/>
                      <w:sz w:val="21"/>
                      <w:szCs w:val="21"/>
                      <w:highlight w:val="none"/>
                      <w:vertAlign w:val="baseline"/>
                      <w:lang w:val="en-US" w:eastAsia="zh-CN"/>
                    </w:rPr>
                    <w:t>《</w:t>
                  </w:r>
                  <w:r>
                    <w:rPr>
                      <w:rFonts w:hint="eastAsia"/>
                      <w:b w:val="0"/>
                      <w:bCs w:val="0"/>
                      <w:color w:val="auto"/>
                      <w:kern w:val="0"/>
                      <w:sz w:val="21"/>
                      <w:szCs w:val="21"/>
                      <w:highlight w:val="none"/>
                      <w:lang w:val="en-US" w:eastAsia="zh-CN"/>
                    </w:rPr>
                    <w:t>我国农村化粪池污染物去除效果及影响因素分析</w:t>
                  </w:r>
                  <w:r>
                    <w:rPr>
                      <w:rFonts w:hint="eastAsia"/>
                      <w:b w:val="0"/>
                      <w:bCs w:val="0"/>
                      <w:color w:val="auto"/>
                      <w:sz w:val="21"/>
                      <w:szCs w:val="21"/>
                      <w:highlight w:val="none"/>
                      <w:vertAlign w:val="baseline"/>
                      <w:lang w:val="en-US" w:eastAsia="zh-CN"/>
                    </w:rPr>
                    <w:t>》、</w:t>
                  </w:r>
                  <w:r>
                    <w:rPr>
                      <w:rFonts w:hint="eastAsia"/>
                      <w:b w:val="0"/>
                      <w:bCs w:val="0"/>
                      <w:color w:val="auto"/>
                      <w:kern w:val="0"/>
                      <w:sz w:val="21"/>
                      <w:szCs w:val="21"/>
                      <w:highlight w:val="none"/>
                      <w:lang w:val="en-US" w:eastAsia="zh-CN"/>
                    </w:rPr>
                    <w:t>《村镇生活污染防治最佳可行技术指南》（HJ-BAT-9）</w:t>
                  </w:r>
                  <w:r>
                    <w:rPr>
                      <w:rFonts w:hint="eastAsia"/>
                      <w:b w:val="0"/>
                      <w:bCs w:val="0"/>
                      <w:color w:val="auto"/>
                      <w:sz w:val="21"/>
                      <w:szCs w:val="21"/>
                      <w:highlight w:val="none"/>
                      <w:vertAlign w:val="baseline"/>
                      <w:lang w:val="en-US" w:eastAsia="zh-CN"/>
                    </w:rPr>
                    <w:t>中化粪池的去除效率</w:t>
                  </w:r>
                </w:p>
              </w:tc>
              <w:tc>
                <w:tcPr>
                  <w:tcW w:w="853" w:type="dxa"/>
                  <w:vAlign w:val="center"/>
                </w:tcPr>
                <w:p w14:paraId="793CFDAF">
                  <w:pPr>
                    <w:jc w:val="center"/>
                    <w:rPr>
                      <w:rFonts w:hint="default"/>
                      <w:b w:val="0"/>
                      <w:bCs w:val="0"/>
                      <w:color w:val="auto"/>
                      <w:sz w:val="21"/>
                      <w:szCs w:val="21"/>
                      <w:highlight w:val="none"/>
                      <w:vertAlign w:val="baseline"/>
                      <w:lang w:val="en-US" w:eastAsia="zh-CN"/>
                    </w:rPr>
                  </w:pPr>
                  <w:r>
                    <w:rPr>
                      <w:rFonts w:hint="eastAsia"/>
                      <w:b w:val="0"/>
                      <w:bCs w:val="0"/>
                      <w:color w:val="auto"/>
                      <w:sz w:val="21"/>
                      <w:szCs w:val="21"/>
                      <w:highlight w:val="none"/>
                      <w:vertAlign w:val="baseline"/>
                      <w:lang w:val="en-US" w:eastAsia="zh-CN"/>
                    </w:rPr>
                    <w:t>21%-65%</w:t>
                  </w:r>
                </w:p>
              </w:tc>
              <w:tc>
                <w:tcPr>
                  <w:tcW w:w="820" w:type="dxa"/>
                  <w:vAlign w:val="center"/>
                </w:tcPr>
                <w:p w14:paraId="55F50314">
                  <w:pPr>
                    <w:jc w:val="center"/>
                    <w:rPr>
                      <w:rFonts w:hint="default"/>
                      <w:b w:val="0"/>
                      <w:bCs w:val="0"/>
                      <w:color w:val="auto"/>
                      <w:sz w:val="21"/>
                      <w:szCs w:val="21"/>
                      <w:highlight w:val="none"/>
                      <w:vertAlign w:val="baseline"/>
                      <w:lang w:val="en-US" w:eastAsia="zh-CN"/>
                    </w:rPr>
                  </w:pPr>
                  <w:r>
                    <w:rPr>
                      <w:rFonts w:hint="eastAsia"/>
                      <w:b w:val="0"/>
                      <w:bCs w:val="0"/>
                      <w:color w:val="auto"/>
                      <w:sz w:val="21"/>
                      <w:szCs w:val="21"/>
                      <w:highlight w:val="none"/>
                      <w:vertAlign w:val="baseline"/>
                      <w:lang w:val="en-US" w:eastAsia="zh-CN"/>
                    </w:rPr>
                    <w:t>29%-72%</w:t>
                  </w:r>
                </w:p>
              </w:tc>
              <w:tc>
                <w:tcPr>
                  <w:tcW w:w="750" w:type="dxa"/>
                  <w:vAlign w:val="center"/>
                </w:tcPr>
                <w:p w14:paraId="1CFC23B0">
                  <w:pPr>
                    <w:jc w:val="center"/>
                    <w:rPr>
                      <w:rFonts w:hint="default"/>
                      <w:b w:val="0"/>
                      <w:bCs w:val="0"/>
                      <w:color w:val="auto"/>
                      <w:sz w:val="21"/>
                      <w:szCs w:val="21"/>
                      <w:highlight w:val="none"/>
                      <w:vertAlign w:val="baseline"/>
                      <w:lang w:val="en-US" w:eastAsia="zh-CN"/>
                    </w:rPr>
                  </w:pPr>
                  <w:r>
                    <w:rPr>
                      <w:rFonts w:hint="eastAsia"/>
                      <w:b w:val="0"/>
                      <w:bCs w:val="0"/>
                      <w:color w:val="auto"/>
                      <w:sz w:val="21"/>
                      <w:szCs w:val="21"/>
                      <w:highlight w:val="none"/>
                      <w:vertAlign w:val="baseline"/>
                      <w:lang w:val="en-US" w:eastAsia="zh-CN"/>
                    </w:rPr>
                    <w:t>/</w:t>
                  </w:r>
                </w:p>
              </w:tc>
              <w:tc>
                <w:tcPr>
                  <w:tcW w:w="805" w:type="dxa"/>
                  <w:vAlign w:val="center"/>
                </w:tcPr>
                <w:p w14:paraId="246E7673">
                  <w:pPr>
                    <w:jc w:val="center"/>
                    <w:rPr>
                      <w:rFonts w:hint="default"/>
                      <w:b w:val="0"/>
                      <w:bCs w:val="0"/>
                      <w:color w:val="auto"/>
                      <w:sz w:val="21"/>
                      <w:szCs w:val="21"/>
                      <w:highlight w:val="none"/>
                      <w:vertAlign w:val="baseline"/>
                      <w:lang w:val="en-US" w:eastAsia="zh-CN"/>
                    </w:rPr>
                  </w:pPr>
                  <w:r>
                    <w:rPr>
                      <w:rFonts w:hint="eastAsia"/>
                      <w:b w:val="0"/>
                      <w:bCs w:val="0"/>
                      <w:color w:val="auto"/>
                      <w:sz w:val="21"/>
                      <w:szCs w:val="21"/>
                      <w:highlight w:val="none"/>
                      <w:vertAlign w:val="baseline"/>
                      <w:lang w:val="en-US" w:eastAsia="zh-CN"/>
                    </w:rPr>
                    <w:t>60%-70%</w:t>
                  </w:r>
                </w:p>
              </w:tc>
              <w:tc>
                <w:tcPr>
                  <w:tcW w:w="812" w:type="dxa"/>
                  <w:vAlign w:val="center"/>
                </w:tcPr>
                <w:p w14:paraId="2BF98B9E">
                  <w:pPr>
                    <w:jc w:val="center"/>
                    <w:rPr>
                      <w:rFonts w:hint="default"/>
                      <w:b w:val="0"/>
                      <w:bCs w:val="0"/>
                      <w:color w:val="auto"/>
                      <w:sz w:val="21"/>
                      <w:szCs w:val="21"/>
                      <w:highlight w:val="none"/>
                      <w:vertAlign w:val="baseline"/>
                      <w:lang w:val="en-US" w:eastAsia="zh-CN"/>
                    </w:rPr>
                  </w:pPr>
                  <w:r>
                    <w:rPr>
                      <w:rFonts w:hint="eastAsia"/>
                      <w:b w:val="0"/>
                      <w:bCs w:val="0"/>
                      <w:color w:val="auto"/>
                      <w:sz w:val="21"/>
                      <w:szCs w:val="21"/>
                      <w:highlight w:val="none"/>
                      <w:vertAlign w:val="baseline"/>
                      <w:lang w:val="en-US" w:eastAsia="zh-CN"/>
                    </w:rPr>
                    <w:t>7%-21%</w:t>
                  </w:r>
                </w:p>
              </w:tc>
              <w:tc>
                <w:tcPr>
                  <w:tcW w:w="707" w:type="dxa"/>
                  <w:vAlign w:val="center"/>
                </w:tcPr>
                <w:p w14:paraId="4D44104B">
                  <w:pPr>
                    <w:jc w:val="center"/>
                    <w:rPr>
                      <w:rFonts w:hint="eastAsia"/>
                      <w:b w:val="0"/>
                      <w:bCs w:val="0"/>
                      <w:color w:val="auto"/>
                      <w:sz w:val="21"/>
                      <w:szCs w:val="21"/>
                      <w:highlight w:val="none"/>
                      <w:vertAlign w:val="baseline"/>
                      <w:lang w:val="en-US" w:eastAsia="zh-CN"/>
                    </w:rPr>
                  </w:pPr>
                  <w:r>
                    <w:rPr>
                      <w:rFonts w:hint="eastAsia"/>
                      <w:b w:val="0"/>
                      <w:bCs w:val="0"/>
                      <w:color w:val="auto"/>
                      <w:sz w:val="21"/>
                      <w:szCs w:val="21"/>
                      <w:highlight w:val="none"/>
                      <w:vertAlign w:val="baseline"/>
                      <w:lang w:val="en-US" w:eastAsia="zh-CN"/>
                    </w:rPr>
                    <w:t>4%-12%</w:t>
                  </w:r>
                </w:p>
              </w:tc>
            </w:tr>
            <w:tr w14:paraId="1095793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3149" w:type="dxa"/>
                  <w:gridSpan w:val="3"/>
                  <w:shd w:val="clear" w:color="auto" w:fill="auto"/>
                  <w:vAlign w:val="center"/>
                </w:tcPr>
                <w:p w14:paraId="59E442E3">
                  <w:pPr>
                    <w:jc w:val="center"/>
                    <w:rPr>
                      <w:rFonts w:hint="eastAsia" w:ascii="Times New Roman" w:hAnsi="Times New Roman" w:eastAsia="宋体" w:cs="Times New Roman"/>
                      <w:b w:val="0"/>
                      <w:bCs w:val="0"/>
                      <w:color w:val="auto"/>
                      <w:kern w:val="2"/>
                      <w:sz w:val="21"/>
                      <w:szCs w:val="21"/>
                      <w:highlight w:val="none"/>
                      <w:vertAlign w:val="baseline"/>
                      <w:lang w:val="en-US" w:eastAsia="zh-CN" w:bidi="ar-SA"/>
                    </w:rPr>
                  </w:pPr>
                  <w:r>
                    <w:rPr>
                      <w:rFonts w:hint="eastAsia"/>
                      <w:b w:val="0"/>
                      <w:bCs w:val="0"/>
                      <w:color w:val="auto"/>
                      <w:sz w:val="21"/>
                      <w:szCs w:val="21"/>
                      <w:highlight w:val="none"/>
                      <w:vertAlign w:val="baseline"/>
                      <w:lang w:val="en-US" w:eastAsia="zh-CN"/>
                    </w:rPr>
                    <w:t>本项目取值</w:t>
                  </w:r>
                </w:p>
              </w:tc>
              <w:tc>
                <w:tcPr>
                  <w:tcW w:w="853" w:type="dxa"/>
                  <w:shd w:val="clear" w:color="auto" w:fill="auto"/>
                  <w:vAlign w:val="center"/>
                </w:tcPr>
                <w:p w14:paraId="3AE0B326">
                  <w:pPr>
                    <w:jc w:val="center"/>
                    <w:rPr>
                      <w:rFonts w:hint="eastAsia" w:ascii="Times New Roman" w:hAnsi="Times New Roman" w:eastAsia="宋体" w:cs="Times New Roman"/>
                      <w:b w:val="0"/>
                      <w:bCs w:val="0"/>
                      <w:color w:val="auto"/>
                      <w:kern w:val="2"/>
                      <w:sz w:val="21"/>
                      <w:szCs w:val="21"/>
                      <w:highlight w:val="none"/>
                      <w:vertAlign w:val="baseline"/>
                      <w:lang w:val="en-US" w:eastAsia="zh-CN" w:bidi="ar-SA"/>
                    </w:rPr>
                  </w:pPr>
                  <w:r>
                    <w:rPr>
                      <w:rFonts w:hint="eastAsia"/>
                      <w:b w:val="0"/>
                      <w:bCs w:val="0"/>
                      <w:color w:val="auto"/>
                      <w:sz w:val="21"/>
                      <w:szCs w:val="21"/>
                      <w:highlight w:val="none"/>
                      <w:vertAlign w:val="baseline"/>
                      <w:lang w:val="en-US" w:eastAsia="zh-CN"/>
                    </w:rPr>
                    <w:t>21%</w:t>
                  </w:r>
                </w:p>
              </w:tc>
              <w:tc>
                <w:tcPr>
                  <w:tcW w:w="820" w:type="dxa"/>
                  <w:shd w:val="clear" w:color="auto" w:fill="auto"/>
                  <w:vAlign w:val="center"/>
                </w:tcPr>
                <w:p w14:paraId="1BA19A9C">
                  <w:pPr>
                    <w:jc w:val="center"/>
                    <w:rPr>
                      <w:rFonts w:hint="eastAsia" w:ascii="Times New Roman" w:hAnsi="Times New Roman" w:eastAsia="宋体" w:cs="Times New Roman"/>
                      <w:b w:val="0"/>
                      <w:bCs w:val="0"/>
                      <w:color w:val="auto"/>
                      <w:kern w:val="2"/>
                      <w:sz w:val="21"/>
                      <w:szCs w:val="21"/>
                      <w:highlight w:val="none"/>
                      <w:vertAlign w:val="baseline"/>
                      <w:lang w:val="en-US" w:eastAsia="zh-CN" w:bidi="ar-SA"/>
                    </w:rPr>
                  </w:pPr>
                  <w:r>
                    <w:rPr>
                      <w:rFonts w:hint="eastAsia"/>
                      <w:b w:val="0"/>
                      <w:bCs w:val="0"/>
                      <w:color w:val="auto"/>
                      <w:sz w:val="21"/>
                      <w:szCs w:val="21"/>
                      <w:highlight w:val="none"/>
                      <w:vertAlign w:val="baseline"/>
                      <w:lang w:val="en-US" w:eastAsia="zh-CN"/>
                    </w:rPr>
                    <w:t>29%</w:t>
                  </w:r>
                </w:p>
              </w:tc>
              <w:tc>
                <w:tcPr>
                  <w:tcW w:w="750" w:type="dxa"/>
                  <w:shd w:val="clear" w:color="auto" w:fill="auto"/>
                  <w:vAlign w:val="center"/>
                </w:tcPr>
                <w:p w14:paraId="1549C64D">
                  <w:pPr>
                    <w:jc w:val="center"/>
                    <w:rPr>
                      <w:rFonts w:hint="eastAsia" w:ascii="Times New Roman" w:hAnsi="Times New Roman" w:eastAsia="宋体" w:cs="Times New Roman"/>
                      <w:b w:val="0"/>
                      <w:bCs w:val="0"/>
                      <w:color w:val="auto"/>
                      <w:kern w:val="2"/>
                      <w:sz w:val="21"/>
                      <w:szCs w:val="21"/>
                      <w:highlight w:val="none"/>
                      <w:vertAlign w:val="baseline"/>
                      <w:lang w:val="en-US" w:eastAsia="zh-CN" w:bidi="ar-SA"/>
                    </w:rPr>
                  </w:pPr>
                  <w:r>
                    <w:rPr>
                      <w:rFonts w:hint="eastAsia"/>
                      <w:b w:val="0"/>
                      <w:bCs w:val="0"/>
                      <w:color w:val="auto"/>
                      <w:sz w:val="21"/>
                      <w:szCs w:val="21"/>
                      <w:highlight w:val="none"/>
                      <w:vertAlign w:val="baseline"/>
                      <w:lang w:val="en-US" w:eastAsia="zh-CN"/>
                    </w:rPr>
                    <w:t>/</w:t>
                  </w:r>
                </w:p>
              </w:tc>
              <w:tc>
                <w:tcPr>
                  <w:tcW w:w="805" w:type="dxa"/>
                  <w:shd w:val="clear" w:color="auto" w:fill="auto"/>
                  <w:vAlign w:val="center"/>
                </w:tcPr>
                <w:p w14:paraId="0AE1C884">
                  <w:pPr>
                    <w:jc w:val="center"/>
                    <w:rPr>
                      <w:rFonts w:hint="eastAsia" w:ascii="Times New Roman" w:hAnsi="Times New Roman" w:eastAsia="宋体" w:cs="Times New Roman"/>
                      <w:b w:val="0"/>
                      <w:bCs w:val="0"/>
                      <w:color w:val="auto"/>
                      <w:kern w:val="2"/>
                      <w:sz w:val="21"/>
                      <w:szCs w:val="21"/>
                      <w:highlight w:val="none"/>
                      <w:vertAlign w:val="baseline"/>
                      <w:lang w:val="en-US" w:eastAsia="zh-CN" w:bidi="ar-SA"/>
                    </w:rPr>
                  </w:pPr>
                  <w:r>
                    <w:rPr>
                      <w:rFonts w:hint="eastAsia"/>
                      <w:b w:val="0"/>
                      <w:bCs w:val="0"/>
                      <w:color w:val="auto"/>
                      <w:sz w:val="21"/>
                      <w:szCs w:val="21"/>
                      <w:highlight w:val="none"/>
                      <w:vertAlign w:val="baseline"/>
                      <w:lang w:val="en-US" w:eastAsia="zh-CN"/>
                    </w:rPr>
                    <w:t>60%</w:t>
                  </w:r>
                </w:p>
              </w:tc>
              <w:tc>
                <w:tcPr>
                  <w:tcW w:w="812" w:type="dxa"/>
                  <w:shd w:val="clear" w:color="auto" w:fill="auto"/>
                  <w:vAlign w:val="center"/>
                </w:tcPr>
                <w:p w14:paraId="1B6E9C2B">
                  <w:pPr>
                    <w:jc w:val="center"/>
                    <w:rPr>
                      <w:rFonts w:hint="eastAsia" w:ascii="Times New Roman" w:hAnsi="Times New Roman" w:eastAsia="宋体" w:cs="Times New Roman"/>
                      <w:b w:val="0"/>
                      <w:bCs w:val="0"/>
                      <w:color w:val="auto"/>
                      <w:kern w:val="2"/>
                      <w:sz w:val="21"/>
                      <w:szCs w:val="21"/>
                      <w:highlight w:val="none"/>
                      <w:vertAlign w:val="baseline"/>
                      <w:lang w:val="en-US" w:eastAsia="zh-CN" w:bidi="ar-SA"/>
                    </w:rPr>
                  </w:pPr>
                  <w:r>
                    <w:rPr>
                      <w:rFonts w:hint="eastAsia"/>
                      <w:b w:val="0"/>
                      <w:bCs w:val="0"/>
                      <w:color w:val="auto"/>
                      <w:sz w:val="21"/>
                      <w:szCs w:val="21"/>
                      <w:highlight w:val="none"/>
                      <w:vertAlign w:val="baseline"/>
                      <w:lang w:val="en-US" w:eastAsia="zh-CN"/>
                    </w:rPr>
                    <w:t>7%</w:t>
                  </w:r>
                </w:p>
              </w:tc>
              <w:tc>
                <w:tcPr>
                  <w:tcW w:w="707" w:type="dxa"/>
                  <w:shd w:val="clear" w:color="auto" w:fill="auto"/>
                  <w:vAlign w:val="center"/>
                </w:tcPr>
                <w:p w14:paraId="3620FAB6">
                  <w:pPr>
                    <w:jc w:val="center"/>
                    <w:rPr>
                      <w:rFonts w:hint="eastAsia" w:ascii="Times New Roman" w:hAnsi="Times New Roman" w:eastAsia="宋体" w:cs="Times New Roman"/>
                      <w:b w:val="0"/>
                      <w:bCs w:val="0"/>
                      <w:color w:val="auto"/>
                      <w:kern w:val="2"/>
                      <w:sz w:val="21"/>
                      <w:szCs w:val="21"/>
                      <w:highlight w:val="none"/>
                      <w:vertAlign w:val="baseline"/>
                      <w:lang w:val="en-US" w:eastAsia="zh-CN" w:bidi="ar-SA"/>
                    </w:rPr>
                  </w:pPr>
                  <w:r>
                    <w:rPr>
                      <w:rFonts w:hint="eastAsia"/>
                      <w:b w:val="0"/>
                      <w:bCs w:val="0"/>
                      <w:color w:val="auto"/>
                      <w:sz w:val="21"/>
                      <w:szCs w:val="21"/>
                      <w:highlight w:val="none"/>
                      <w:vertAlign w:val="baseline"/>
                      <w:lang w:val="en-US" w:eastAsia="zh-CN"/>
                    </w:rPr>
                    <w:t>4%</w:t>
                  </w:r>
                </w:p>
              </w:tc>
            </w:tr>
            <w:tr w14:paraId="19AD437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860" w:hRule="atLeast"/>
              </w:trPr>
              <w:tc>
                <w:tcPr>
                  <w:tcW w:w="1188" w:type="dxa"/>
                  <w:vMerge w:val="restart"/>
                  <w:shd w:val="clear" w:color="auto" w:fill="auto"/>
                  <w:vAlign w:val="center"/>
                </w:tcPr>
                <w:p w14:paraId="136E4C53">
                  <w:pPr>
                    <w:autoSpaceDE w:val="0"/>
                    <w:autoSpaceDN w:val="0"/>
                    <w:adjustRightInd w:val="0"/>
                    <w:spacing w:line="240" w:lineRule="auto"/>
                    <w:jc w:val="center"/>
                    <w:rPr>
                      <w:rFonts w:hint="eastAsia"/>
                      <w:b w:val="0"/>
                      <w:bCs w:val="0"/>
                      <w:color w:val="auto"/>
                      <w:sz w:val="21"/>
                      <w:szCs w:val="21"/>
                      <w:highlight w:val="none"/>
                      <w:vertAlign w:val="baseline"/>
                      <w:lang w:val="en-US" w:eastAsia="zh-CN"/>
                    </w:rPr>
                  </w:pPr>
                  <w:r>
                    <w:rPr>
                      <w:rFonts w:hint="eastAsia"/>
                      <w:b w:val="0"/>
                      <w:bCs w:val="0"/>
                      <w:color w:val="auto"/>
                      <w:sz w:val="21"/>
                      <w:szCs w:val="21"/>
                      <w:highlight w:val="none"/>
                      <w:vertAlign w:val="baseline"/>
                      <w:lang w:val="en-US" w:eastAsia="zh-CN"/>
                    </w:rPr>
                    <w:t>预处理池处理前（生活污水、纯水制备浓水）</w:t>
                  </w:r>
                </w:p>
              </w:tc>
              <w:tc>
                <w:tcPr>
                  <w:tcW w:w="1027" w:type="dxa"/>
                  <w:shd w:val="clear" w:color="auto" w:fill="auto"/>
                  <w:vAlign w:val="center"/>
                </w:tcPr>
                <w:p w14:paraId="429459F6">
                  <w:pPr>
                    <w:jc w:val="center"/>
                    <w:rPr>
                      <w:rFonts w:hint="eastAsia" w:ascii="Times New Roman" w:hAnsi="Times New Roman" w:eastAsia="宋体" w:cs="Times New Roman"/>
                      <w:b w:val="0"/>
                      <w:bCs w:val="0"/>
                      <w:color w:val="auto"/>
                      <w:kern w:val="2"/>
                      <w:sz w:val="21"/>
                      <w:szCs w:val="21"/>
                      <w:highlight w:val="none"/>
                      <w:vertAlign w:val="baseline"/>
                      <w:lang w:val="en-US" w:eastAsia="zh-CN" w:bidi="ar-SA"/>
                    </w:rPr>
                  </w:pPr>
                  <w:r>
                    <w:rPr>
                      <w:rFonts w:hint="eastAsia"/>
                      <w:b w:val="0"/>
                      <w:bCs w:val="0"/>
                      <w:color w:val="auto"/>
                      <w:sz w:val="21"/>
                      <w:szCs w:val="21"/>
                      <w:highlight w:val="none"/>
                      <w:vertAlign w:val="baseline"/>
                      <w:lang w:val="en-US" w:eastAsia="zh-CN"/>
                    </w:rPr>
                    <w:t>浓度（mg/L）</w:t>
                  </w:r>
                </w:p>
              </w:tc>
              <w:tc>
                <w:tcPr>
                  <w:tcW w:w="934" w:type="dxa"/>
                  <w:vMerge w:val="restart"/>
                  <w:vAlign w:val="center"/>
                </w:tcPr>
                <w:p w14:paraId="0DD3387A">
                  <w:pPr>
                    <w:autoSpaceDE w:val="0"/>
                    <w:autoSpaceDN w:val="0"/>
                    <w:adjustRightInd w:val="0"/>
                    <w:spacing w:line="240" w:lineRule="auto"/>
                    <w:jc w:val="center"/>
                    <w:rPr>
                      <w:rFonts w:hint="default"/>
                      <w:b w:val="0"/>
                      <w:bCs w:val="0"/>
                      <w:color w:val="auto"/>
                      <w:sz w:val="21"/>
                      <w:szCs w:val="21"/>
                      <w:highlight w:val="none"/>
                      <w:vertAlign w:val="baseline"/>
                      <w:lang w:val="en-US" w:eastAsia="zh-CN"/>
                    </w:rPr>
                  </w:pPr>
                  <w:r>
                    <w:rPr>
                      <w:rFonts w:hint="eastAsia"/>
                      <w:b w:val="0"/>
                      <w:bCs w:val="0"/>
                      <w:color w:val="auto"/>
                      <w:sz w:val="21"/>
                      <w:szCs w:val="21"/>
                      <w:highlight w:val="none"/>
                      <w:vertAlign w:val="baseline"/>
                      <w:lang w:val="en-US" w:eastAsia="zh-CN"/>
                    </w:rPr>
                    <w:t>3774</w:t>
                  </w:r>
                </w:p>
              </w:tc>
              <w:tc>
                <w:tcPr>
                  <w:tcW w:w="853" w:type="dxa"/>
                  <w:vAlign w:val="center"/>
                </w:tcPr>
                <w:p w14:paraId="0A92892A">
                  <w:pPr>
                    <w:autoSpaceDE w:val="0"/>
                    <w:autoSpaceDN w:val="0"/>
                    <w:adjustRightInd w:val="0"/>
                    <w:spacing w:line="240" w:lineRule="auto"/>
                    <w:jc w:val="center"/>
                    <w:rPr>
                      <w:rFonts w:hint="default"/>
                      <w:b w:val="0"/>
                      <w:bCs w:val="0"/>
                      <w:color w:val="auto"/>
                      <w:sz w:val="21"/>
                      <w:szCs w:val="21"/>
                      <w:highlight w:val="none"/>
                      <w:vertAlign w:val="baseline"/>
                      <w:lang w:val="en-US" w:eastAsia="zh-CN"/>
                    </w:rPr>
                  </w:pPr>
                  <w:r>
                    <w:rPr>
                      <w:rFonts w:hint="eastAsia"/>
                      <w:b w:val="0"/>
                      <w:bCs w:val="0"/>
                      <w:color w:val="auto"/>
                      <w:sz w:val="21"/>
                      <w:szCs w:val="21"/>
                      <w:highlight w:val="none"/>
                      <w:vertAlign w:val="baseline"/>
                      <w:lang w:val="en-US" w:eastAsia="zh-CN"/>
                    </w:rPr>
                    <w:t>169.4</w:t>
                  </w:r>
                </w:p>
              </w:tc>
              <w:tc>
                <w:tcPr>
                  <w:tcW w:w="820" w:type="dxa"/>
                  <w:vAlign w:val="center"/>
                </w:tcPr>
                <w:p w14:paraId="7DEA0D4A">
                  <w:pPr>
                    <w:autoSpaceDE w:val="0"/>
                    <w:autoSpaceDN w:val="0"/>
                    <w:adjustRightInd w:val="0"/>
                    <w:spacing w:line="240" w:lineRule="auto"/>
                    <w:jc w:val="center"/>
                    <w:rPr>
                      <w:rFonts w:hint="default"/>
                      <w:b w:val="0"/>
                      <w:bCs w:val="0"/>
                      <w:color w:val="auto"/>
                      <w:sz w:val="21"/>
                      <w:szCs w:val="21"/>
                      <w:highlight w:val="none"/>
                      <w:vertAlign w:val="baseline"/>
                      <w:lang w:val="en-US" w:eastAsia="zh-CN"/>
                    </w:rPr>
                  </w:pPr>
                  <w:r>
                    <w:rPr>
                      <w:rFonts w:hint="eastAsia"/>
                      <w:b w:val="0"/>
                      <w:bCs w:val="0"/>
                      <w:color w:val="auto"/>
                      <w:sz w:val="21"/>
                      <w:szCs w:val="21"/>
                      <w:highlight w:val="none"/>
                      <w:vertAlign w:val="baseline"/>
                      <w:lang w:val="en-US" w:eastAsia="zh-CN"/>
                    </w:rPr>
                    <w:t>76</w:t>
                  </w:r>
                </w:p>
              </w:tc>
              <w:tc>
                <w:tcPr>
                  <w:tcW w:w="750" w:type="dxa"/>
                  <w:vAlign w:val="center"/>
                </w:tcPr>
                <w:p w14:paraId="73565895">
                  <w:pPr>
                    <w:autoSpaceDE w:val="0"/>
                    <w:autoSpaceDN w:val="0"/>
                    <w:adjustRightInd w:val="0"/>
                    <w:spacing w:line="240" w:lineRule="auto"/>
                    <w:jc w:val="center"/>
                    <w:rPr>
                      <w:rFonts w:hint="default"/>
                      <w:b w:val="0"/>
                      <w:bCs w:val="0"/>
                      <w:color w:val="auto"/>
                      <w:sz w:val="21"/>
                      <w:szCs w:val="21"/>
                      <w:highlight w:val="none"/>
                      <w:vertAlign w:val="baseline"/>
                      <w:lang w:val="en-US" w:eastAsia="zh-CN"/>
                    </w:rPr>
                  </w:pPr>
                  <w:r>
                    <w:rPr>
                      <w:rFonts w:hint="eastAsia"/>
                      <w:b w:val="0"/>
                      <w:bCs w:val="0"/>
                      <w:color w:val="auto"/>
                      <w:sz w:val="21"/>
                      <w:szCs w:val="21"/>
                      <w:highlight w:val="none"/>
                      <w:vertAlign w:val="baseline"/>
                      <w:lang w:val="en-US" w:eastAsia="zh-CN"/>
                    </w:rPr>
                    <w:t>23.02</w:t>
                  </w:r>
                </w:p>
              </w:tc>
              <w:tc>
                <w:tcPr>
                  <w:tcW w:w="805" w:type="dxa"/>
                  <w:vAlign w:val="center"/>
                </w:tcPr>
                <w:p w14:paraId="343C5D2A">
                  <w:pPr>
                    <w:autoSpaceDE w:val="0"/>
                    <w:autoSpaceDN w:val="0"/>
                    <w:adjustRightInd w:val="0"/>
                    <w:spacing w:line="240" w:lineRule="auto"/>
                    <w:jc w:val="center"/>
                    <w:rPr>
                      <w:rFonts w:hint="default"/>
                      <w:b w:val="0"/>
                      <w:bCs w:val="0"/>
                      <w:color w:val="auto"/>
                      <w:sz w:val="21"/>
                      <w:szCs w:val="21"/>
                      <w:highlight w:val="none"/>
                      <w:vertAlign w:val="baseline"/>
                      <w:lang w:val="en-US" w:eastAsia="zh-CN"/>
                    </w:rPr>
                  </w:pPr>
                  <w:r>
                    <w:rPr>
                      <w:rFonts w:hint="eastAsia"/>
                      <w:b w:val="0"/>
                      <w:bCs w:val="0"/>
                      <w:color w:val="auto"/>
                      <w:sz w:val="21"/>
                      <w:szCs w:val="21"/>
                      <w:highlight w:val="none"/>
                      <w:vertAlign w:val="baseline"/>
                      <w:lang w:val="en-US" w:eastAsia="zh-CN"/>
                    </w:rPr>
                    <w:t>134.82</w:t>
                  </w:r>
                </w:p>
              </w:tc>
              <w:tc>
                <w:tcPr>
                  <w:tcW w:w="812" w:type="dxa"/>
                  <w:vAlign w:val="center"/>
                </w:tcPr>
                <w:p w14:paraId="4013F1B7">
                  <w:pPr>
                    <w:autoSpaceDE w:val="0"/>
                    <w:autoSpaceDN w:val="0"/>
                    <w:adjustRightInd w:val="0"/>
                    <w:spacing w:line="240" w:lineRule="auto"/>
                    <w:jc w:val="center"/>
                    <w:rPr>
                      <w:rFonts w:hint="default"/>
                      <w:b w:val="0"/>
                      <w:bCs w:val="0"/>
                      <w:color w:val="auto"/>
                      <w:sz w:val="21"/>
                      <w:szCs w:val="21"/>
                      <w:highlight w:val="none"/>
                      <w:vertAlign w:val="baseline"/>
                      <w:lang w:val="en-US" w:eastAsia="zh-CN"/>
                    </w:rPr>
                  </w:pPr>
                  <w:r>
                    <w:rPr>
                      <w:rFonts w:hint="eastAsia"/>
                      <w:b w:val="0"/>
                      <w:bCs w:val="0"/>
                      <w:color w:val="auto"/>
                      <w:sz w:val="21"/>
                      <w:szCs w:val="21"/>
                      <w:highlight w:val="none"/>
                      <w:vertAlign w:val="baseline"/>
                      <w:lang w:val="en-US" w:eastAsia="zh-CN"/>
                    </w:rPr>
                    <w:t>2.43</w:t>
                  </w:r>
                </w:p>
              </w:tc>
              <w:tc>
                <w:tcPr>
                  <w:tcW w:w="707" w:type="dxa"/>
                  <w:vAlign w:val="center"/>
                </w:tcPr>
                <w:p w14:paraId="4E29B5AB">
                  <w:pPr>
                    <w:autoSpaceDE w:val="0"/>
                    <w:autoSpaceDN w:val="0"/>
                    <w:adjustRightInd w:val="0"/>
                    <w:spacing w:line="240" w:lineRule="auto"/>
                    <w:jc w:val="center"/>
                    <w:rPr>
                      <w:rFonts w:hint="default"/>
                      <w:b w:val="0"/>
                      <w:bCs w:val="0"/>
                      <w:color w:val="auto"/>
                      <w:sz w:val="21"/>
                      <w:szCs w:val="21"/>
                      <w:highlight w:val="none"/>
                      <w:vertAlign w:val="baseline"/>
                      <w:lang w:val="en-US" w:eastAsia="zh-CN"/>
                    </w:rPr>
                  </w:pPr>
                  <w:r>
                    <w:rPr>
                      <w:rFonts w:hint="eastAsia"/>
                      <w:b w:val="0"/>
                      <w:bCs w:val="0"/>
                      <w:color w:val="auto"/>
                      <w:sz w:val="21"/>
                      <w:szCs w:val="21"/>
                      <w:highlight w:val="none"/>
                      <w:vertAlign w:val="baseline"/>
                      <w:lang w:val="en-US" w:eastAsia="zh-CN"/>
                    </w:rPr>
                    <w:t>23.4</w:t>
                  </w:r>
                </w:p>
              </w:tc>
            </w:tr>
            <w:tr w14:paraId="72F57AE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66" w:hRule="atLeast"/>
              </w:trPr>
              <w:tc>
                <w:tcPr>
                  <w:tcW w:w="1188" w:type="dxa"/>
                  <w:vMerge w:val="continue"/>
                  <w:vAlign w:val="center"/>
                </w:tcPr>
                <w:p w14:paraId="126EF1FA">
                  <w:pPr>
                    <w:autoSpaceDE w:val="0"/>
                    <w:autoSpaceDN w:val="0"/>
                    <w:adjustRightInd w:val="0"/>
                    <w:spacing w:line="240" w:lineRule="auto"/>
                    <w:jc w:val="center"/>
                    <w:rPr>
                      <w:rFonts w:hint="eastAsia"/>
                      <w:b w:val="0"/>
                      <w:bCs w:val="0"/>
                      <w:color w:val="auto"/>
                      <w:sz w:val="21"/>
                      <w:szCs w:val="21"/>
                      <w:highlight w:val="none"/>
                      <w:vertAlign w:val="baseline"/>
                      <w:lang w:val="en-US" w:eastAsia="zh-CN"/>
                    </w:rPr>
                  </w:pPr>
                </w:p>
              </w:tc>
              <w:tc>
                <w:tcPr>
                  <w:tcW w:w="1027" w:type="dxa"/>
                  <w:shd w:val="clear" w:color="auto" w:fill="auto"/>
                  <w:vAlign w:val="center"/>
                </w:tcPr>
                <w:p w14:paraId="7E6BB80E">
                  <w:pPr>
                    <w:jc w:val="center"/>
                    <w:rPr>
                      <w:rFonts w:hint="eastAsia" w:ascii="Times New Roman" w:hAnsi="Times New Roman" w:eastAsia="宋体" w:cs="Times New Roman"/>
                      <w:b w:val="0"/>
                      <w:bCs w:val="0"/>
                      <w:color w:val="auto"/>
                      <w:kern w:val="2"/>
                      <w:sz w:val="21"/>
                      <w:szCs w:val="21"/>
                      <w:highlight w:val="none"/>
                      <w:vertAlign w:val="baseline"/>
                      <w:lang w:val="en-US" w:eastAsia="zh-CN" w:bidi="ar-SA"/>
                    </w:rPr>
                  </w:pPr>
                  <w:r>
                    <w:rPr>
                      <w:rFonts w:hint="eastAsia"/>
                      <w:b w:val="0"/>
                      <w:bCs w:val="0"/>
                      <w:color w:val="auto"/>
                      <w:sz w:val="21"/>
                      <w:szCs w:val="21"/>
                      <w:highlight w:val="none"/>
                      <w:vertAlign w:val="baseline"/>
                      <w:lang w:val="en-US" w:eastAsia="zh-CN"/>
                    </w:rPr>
                    <w:t>产生量（t/a）</w:t>
                  </w:r>
                </w:p>
              </w:tc>
              <w:tc>
                <w:tcPr>
                  <w:tcW w:w="934" w:type="dxa"/>
                  <w:vMerge w:val="continue"/>
                  <w:vAlign w:val="center"/>
                </w:tcPr>
                <w:p w14:paraId="22EC58A3">
                  <w:pPr>
                    <w:autoSpaceDE w:val="0"/>
                    <w:autoSpaceDN w:val="0"/>
                    <w:adjustRightInd w:val="0"/>
                    <w:spacing w:line="240" w:lineRule="auto"/>
                    <w:jc w:val="center"/>
                    <w:rPr>
                      <w:rFonts w:hint="eastAsia"/>
                      <w:b w:val="0"/>
                      <w:bCs w:val="0"/>
                      <w:color w:val="auto"/>
                      <w:sz w:val="21"/>
                      <w:szCs w:val="21"/>
                      <w:highlight w:val="none"/>
                      <w:vertAlign w:val="baseline"/>
                      <w:lang w:val="en-US" w:eastAsia="zh-CN"/>
                    </w:rPr>
                  </w:pPr>
                </w:p>
              </w:tc>
              <w:tc>
                <w:tcPr>
                  <w:tcW w:w="853" w:type="dxa"/>
                  <w:vAlign w:val="center"/>
                </w:tcPr>
                <w:p w14:paraId="7CC18538">
                  <w:pPr>
                    <w:autoSpaceDE w:val="0"/>
                    <w:autoSpaceDN w:val="0"/>
                    <w:adjustRightInd w:val="0"/>
                    <w:spacing w:line="240" w:lineRule="auto"/>
                    <w:jc w:val="center"/>
                    <w:rPr>
                      <w:rFonts w:hint="default"/>
                      <w:b w:val="0"/>
                      <w:bCs w:val="0"/>
                      <w:color w:val="auto"/>
                      <w:sz w:val="21"/>
                      <w:szCs w:val="21"/>
                      <w:highlight w:val="none"/>
                      <w:vertAlign w:val="baseline"/>
                      <w:lang w:val="en-US" w:eastAsia="zh-CN"/>
                    </w:rPr>
                  </w:pPr>
                  <w:r>
                    <w:rPr>
                      <w:rFonts w:hint="eastAsia"/>
                      <w:b w:val="0"/>
                      <w:bCs w:val="0"/>
                      <w:color w:val="auto"/>
                      <w:sz w:val="21"/>
                      <w:szCs w:val="21"/>
                      <w:highlight w:val="none"/>
                      <w:vertAlign w:val="baseline"/>
                      <w:lang w:val="en-US" w:eastAsia="zh-CN"/>
                    </w:rPr>
                    <w:t>0.64</w:t>
                  </w:r>
                </w:p>
              </w:tc>
              <w:tc>
                <w:tcPr>
                  <w:tcW w:w="820" w:type="dxa"/>
                  <w:vAlign w:val="center"/>
                </w:tcPr>
                <w:p w14:paraId="2CD5D95C">
                  <w:pPr>
                    <w:autoSpaceDE w:val="0"/>
                    <w:autoSpaceDN w:val="0"/>
                    <w:adjustRightInd w:val="0"/>
                    <w:spacing w:line="240" w:lineRule="auto"/>
                    <w:jc w:val="center"/>
                    <w:rPr>
                      <w:rFonts w:hint="default"/>
                      <w:b w:val="0"/>
                      <w:bCs w:val="0"/>
                      <w:color w:val="auto"/>
                      <w:sz w:val="21"/>
                      <w:szCs w:val="21"/>
                      <w:highlight w:val="none"/>
                      <w:vertAlign w:val="baseline"/>
                      <w:lang w:val="en-US" w:eastAsia="zh-CN"/>
                    </w:rPr>
                  </w:pPr>
                  <w:r>
                    <w:rPr>
                      <w:rFonts w:hint="eastAsia"/>
                      <w:b w:val="0"/>
                      <w:bCs w:val="0"/>
                      <w:color w:val="auto"/>
                      <w:sz w:val="21"/>
                      <w:szCs w:val="21"/>
                      <w:highlight w:val="none"/>
                      <w:vertAlign w:val="baseline"/>
                      <w:lang w:val="en-US" w:eastAsia="zh-CN"/>
                    </w:rPr>
                    <w:t>0.29</w:t>
                  </w:r>
                </w:p>
              </w:tc>
              <w:tc>
                <w:tcPr>
                  <w:tcW w:w="750" w:type="dxa"/>
                  <w:vAlign w:val="center"/>
                </w:tcPr>
                <w:p w14:paraId="6E94CC45">
                  <w:pPr>
                    <w:autoSpaceDE w:val="0"/>
                    <w:autoSpaceDN w:val="0"/>
                    <w:adjustRightInd w:val="0"/>
                    <w:spacing w:line="240" w:lineRule="auto"/>
                    <w:jc w:val="center"/>
                    <w:rPr>
                      <w:rFonts w:hint="default"/>
                      <w:b w:val="0"/>
                      <w:bCs w:val="0"/>
                      <w:color w:val="auto"/>
                      <w:sz w:val="21"/>
                      <w:szCs w:val="21"/>
                      <w:highlight w:val="none"/>
                      <w:vertAlign w:val="baseline"/>
                      <w:lang w:val="en-US" w:eastAsia="zh-CN"/>
                    </w:rPr>
                  </w:pPr>
                  <w:r>
                    <w:rPr>
                      <w:rFonts w:hint="eastAsia"/>
                      <w:b w:val="0"/>
                      <w:bCs w:val="0"/>
                      <w:color w:val="auto"/>
                      <w:sz w:val="21"/>
                      <w:szCs w:val="21"/>
                      <w:highlight w:val="none"/>
                      <w:vertAlign w:val="baseline"/>
                      <w:lang w:val="en-US" w:eastAsia="zh-CN"/>
                    </w:rPr>
                    <w:t>0.087</w:t>
                  </w:r>
                </w:p>
              </w:tc>
              <w:tc>
                <w:tcPr>
                  <w:tcW w:w="805" w:type="dxa"/>
                  <w:vAlign w:val="center"/>
                </w:tcPr>
                <w:p w14:paraId="3B9318B7">
                  <w:pPr>
                    <w:autoSpaceDE w:val="0"/>
                    <w:autoSpaceDN w:val="0"/>
                    <w:adjustRightInd w:val="0"/>
                    <w:spacing w:line="240" w:lineRule="auto"/>
                    <w:jc w:val="center"/>
                    <w:rPr>
                      <w:rFonts w:hint="default"/>
                      <w:b w:val="0"/>
                      <w:bCs w:val="0"/>
                      <w:color w:val="auto"/>
                      <w:sz w:val="21"/>
                      <w:szCs w:val="21"/>
                      <w:highlight w:val="none"/>
                      <w:vertAlign w:val="baseline"/>
                      <w:lang w:val="en-US" w:eastAsia="zh-CN"/>
                    </w:rPr>
                  </w:pPr>
                  <w:r>
                    <w:rPr>
                      <w:rFonts w:hint="eastAsia"/>
                      <w:b w:val="0"/>
                      <w:bCs w:val="0"/>
                      <w:color w:val="auto"/>
                      <w:sz w:val="21"/>
                      <w:szCs w:val="21"/>
                      <w:highlight w:val="none"/>
                      <w:vertAlign w:val="baseline"/>
                      <w:lang w:val="en-US" w:eastAsia="zh-CN"/>
                    </w:rPr>
                    <w:t>0.51</w:t>
                  </w:r>
                </w:p>
              </w:tc>
              <w:tc>
                <w:tcPr>
                  <w:tcW w:w="812" w:type="dxa"/>
                  <w:vAlign w:val="center"/>
                </w:tcPr>
                <w:p w14:paraId="1C09346C">
                  <w:pPr>
                    <w:autoSpaceDE w:val="0"/>
                    <w:autoSpaceDN w:val="0"/>
                    <w:adjustRightInd w:val="0"/>
                    <w:spacing w:line="240" w:lineRule="auto"/>
                    <w:jc w:val="center"/>
                    <w:rPr>
                      <w:rFonts w:hint="default"/>
                      <w:b w:val="0"/>
                      <w:bCs w:val="0"/>
                      <w:color w:val="auto"/>
                      <w:sz w:val="21"/>
                      <w:szCs w:val="21"/>
                      <w:highlight w:val="none"/>
                      <w:vertAlign w:val="baseline"/>
                      <w:lang w:val="en-US" w:eastAsia="zh-CN"/>
                    </w:rPr>
                  </w:pPr>
                  <w:r>
                    <w:rPr>
                      <w:rFonts w:hint="eastAsia"/>
                      <w:b w:val="0"/>
                      <w:bCs w:val="0"/>
                      <w:color w:val="auto"/>
                      <w:sz w:val="21"/>
                      <w:szCs w:val="21"/>
                      <w:highlight w:val="none"/>
                      <w:vertAlign w:val="baseline"/>
                      <w:lang w:val="en-US" w:eastAsia="zh-CN"/>
                    </w:rPr>
                    <w:t>0.0092</w:t>
                  </w:r>
                </w:p>
              </w:tc>
              <w:tc>
                <w:tcPr>
                  <w:tcW w:w="707" w:type="dxa"/>
                  <w:vAlign w:val="center"/>
                </w:tcPr>
                <w:p w14:paraId="374C3819">
                  <w:pPr>
                    <w:autoSpaceDE w:val="0"/>
                    <w:autoSpaceDN w:val="0"/>
                    <w:adjustRightInd w:val="0"/>
                    <w:spacing w:line="240" w:lineRule="auto"/>
                    <w:jc w:val="center"/>
                    <w:rPr>
                      <w:rFonts w:hint="default"/>
                      <w:b w:val="0"/>
                      <w:bCs w:val="0"/>
                      <w:color w:val="auto"/>
                      <w:sz w:val="21"/>
                      <w:szCs w:val="21"/>
                      <w:highlight w:val="none"/>
                      <w:vertAlign w:val="baseline"/>
                      <w:lang w:val="en-US" w:eastAsia="zh-CN"/>
                    </w:rPr>
                  </w:pPr>
                  <w:r>
                    <w:rPr>
                      <w:rFonts w:hint="eastAsia"/>
                      <w:b w:val="0"/>
                      <w:bCs w:val="0"/>
                      <w:color w:val="auto"/>
                      <w:sz w:val="21"/>
                      <w:szCs w:val="21"/>
                      <w:highlight w:val="none"/>
                      <w:vertAlign w:val="baseline"/>
                      <w:lang w:val="en-US" w:eastAsia="zh-CN"/>
                    </w:rPr>
                    <w:t>0.088</w:t>
                  </w:r>
                </w:p>
              </w:tc>
            </w:tr>
            <w:tr w14:paraId="1910190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860" w:hRule="atLeast"/>
              </w:trPr>
              <w:tc>
                <w:tcPr>
                  <w:tcW w:w="1188" w:type="dxa"/>
                  <w:vMerge w:val="restart"/>
                  <w:vAlign w:val="center"/>
                </w:tcPr>
                <w:p w14:paraId="0A4784AF">
                  <w:pPr>
                    <w:autoSpaceDE w:val="0"/>
                    <w:autoSpaceDN w:val="0"/>
                    <w:adjustRightInd w:val="0"/>
                    <w:spacing w:line="240" w:lineRule="auto"/>
                    <w:jc w:val="center"/>
                    <w:rPr>
                      <w:rFonts w:hint="default"/>
                      <w:b w:val="0"/>
                      <w:bCs w:val="0"/>
                      <w:color w:val="auto"/>
                      <w:sz w:val="21"/>
                      <w:szCs w:val="21"/>
                      <w:highlight w:val="none"/>
                      <w:vertAlign w:val="baseline"/>
                      <w:lang w:val="en-US" w:eastAsia="zh-CN"/>
                    </w:rPr>
                  </w:pPr>
                  <w:r>
                    <w:rPr>
                      <w:rFonts w:hint="eastAsia"/>
                      <w:b w:val="0"/>
                      <w:bCs w:val="0"/>
                      <w:color w:val="auto"/>
                      <w:sz w:val="21"/>
                      <w:szCs w:val="21"/>
                      <w:highlight w:val="none"/>
                      <w:vertAlign w:val="baseline"/>
                      <w:lang w:val="en-US" w:eastAsia="zh-CN"/>
                    </w:rPr>
                    <w:t>污水处理站处理前（设备清洗废水）</w:t>
                  </w:r>
                </w:p>
              </w:tc>
              <w:tc>
                <w:tcPr>
                  <w:tcW w:w="1027" w:type="dxa"/>
                  <w:vAlign w:val="center"/>
                </w:tcPr>
                <w:p w14:paraId="32F1730B">
                  <w:pPr>
                    <w:jc w:val="center"/>
                    <w:rPr>
                      <w:rFonts w:hint="eastAsia"/>
                      <w:b w:val="0"/>
                      <w:bCs w:val="0"/>
                      <w:color w:val="auto"/>
                      <w:sz w:val="21"/>
                      <w:szCs w:val="21"/>
                      <w:highlight w:val="none"/>
                      <w:vertAlign w:val="baseline"/>
                      <w:lang w:val="en-US" w:eastAsia="zh-CN"/>
                    </w:rPr>
                  </w:pPr>
                  <w:r>
                    <w:rPr>
                      <w:rFonts w:hint="eastAsia"/>
                      <w:b w:val="0"/>
                      <w:bCs w:val="0"/>
                      <w:color w:val="auto"/>
                      <w:sz w:val="21"/>
                      <w:szCs w:val="21"/>
                      <w:highlight w:val="none"/>
                      <w:vertAlign w:val="baseline"/>
                      <w:lang w:val="en-US" w:eastAsia="zh-CN"/>
                    </w:rPr>
                    <w:t>浓度（mg/L）</w:t>
                  </w:r>
                </w:p>
              </w:tc>
              <w:tc>
                <w:tcPr>
                  <w:tcW w:w="934" w:type="dxa"/>
                  <w:vMerge w:val="restart"/>
                  <w:vAlign w:val="center"/>
                </w:tcPr>
                <w:p w14:paraId="7A178EA1">
                  <w:pPr>
                    <w:autoSpaceDE w:val="0"/>
                    <w:autoSpaceDN w:val="0"/>
                    <w:adjustRightInd w:val="0"/>
                    <w:spacing w:line="240" w:lineRule="auto"/>
                    <w:jc w:val="center"/>
                    <w:rPr>
                      <w:rFonts w:hint="default"/>
                      <w:b w:val="0"/>
                      <w:bCs w:val="0"/>
                      <w:color w:val="auto"/>
                      <w:sz w:val="21"/>
                      <w:szCs w:val="21"/>
                      <w:highlight w:val="none"/>
                      <w:vertAlign w:val="baseline"/>
                      <w:lang w:val="en-US" w:eastAsia="zh-CN"/>
                    </w:rPr>
                  </w:pPr>
                  <w:r>
                    <w:rPr>
                      <w:rFonts w:hint="eastAsia"/>
                      <w:b w:val="0"/>
                      <w:bCs w:val="0"/>
                      <w:color w:val="auto"/>
                      <w:sz w:val="21"/>
                      <w:szCs w:val="21"/>
                      <w:highlight w:val="none"/>
                      <w:vertAlign w:val="baseline"/>
                      <w:lang w:val="en-US" w:eastAsia="zh-CN"/>
                    </w:rPr>
                    <w:t>76.8</w:t>
                  </w:r>
                </w:p>
              </w:tc>
              <w:tc>
                <w:tcPr>
                  <w:tcW w:w="853" w:type="dxa"/>
                  <w:vAlign w:val="center"/>
                </w:tcPr>
                <w:p w14:paraId="19456C75">
                  <w:pPr>
                    <w:autoSpaceDE w:val="0"/>
                    <w:autoSpaceDN w:val="0"/>
                    <w:adjustRightInd w:val="0"/>
                    <w:spacing w:line="240" w:lineRule="auto"/>
                    <w:jc w:val="center"/>
                    <w:rPr>
                      <w:rFonts w:hint="default"/>
                      <w:b w:val="0"/>
                      <w:bCs w:val="0"/>
                      <w:color w:val="auto"/>
                      <w:sz w:val="21"/>
                      <w:szCs w:val="21"/>
                      <w:highlight w:val="none"/>
                      <w:vertAlign w:val="baseline"/>
                      <w:lang w:val="en-US" w:eastAsia="zh-CN"/>
                    </w:rPr>
                  </w:pPr>
                  <w:r>
                    <w:rPr>
                      <w:rFonts w:hint="eastAsia"/>
                      <w:b w:val="0"/>
                      <w:bCs w:val="0"/>
                      <w:color w:val="auto"/>
                      <w:sz w:val="21"/>
                      <w:szCs w:val="21"/>
                      <w:highlight w:val="none"/>
                      <w:vertAlign w:val="baseline"/>
                      <w:lang w:val="en-US" w:eastAsia="zh-CN"/>
                    </w:rPr>
                    <w:t>4619</w:t>
                  </w:r>
                </w:p>
              </w:tc>
              <w:tc>
                <w:tcPr>
                  <w:tcW w:w="820" w:type="dxa"/>
                  <w:vAlign w:val="center"/>
                </w:tcPr>
                <w:p w14:paraId="6FB346CE">
                  <w:pPr>
                    <w:autoSpaceDE w:val="0"/>
                    <w:autoSpaceDN w:val="0"/>
                    <w:adjustRightInd w:val="0"/>
                    <w:spacing w:line="240" w:lineRule="auto"/>
                    <w:jc w:val="center"/>
                    <w:rPr>
                      <w:rFonts w:hint="default"/>
                      <w:b w:val="0"/>
                      <w:bCs w:val="0"/>
                      <w:color w:val="auto"/>
                      <w:sz w:val="21"/>
                      <w:szCs w:val="21"/>
                      <w:highlight w:val="none"/>
                      <w:vertAlign w:val="baseline"/>
                      <w:lang w:val="en-US" w:eastAsia="zh-CN"/>
                    </w:rPr>
                  </w:pPr>
                  <w:r>
                    <w:rPr>
                      <w:rFonts w:hint="eastAsia"/>
                      <w:b w:val="0"/>
                      <w:bCs w:val="0"/>
                      <w:color w:val="auto"/>
                      <w:sz w:val="21"/>
                      <w:szCs w:val="21"/>
                      <w:highlight w:val="none"/>
                      <w:vertAlign w:val="baseline"/>
                      <w:lang w:val="en-US" w:eastAsia="zh-CN"/>
                    </w:rPr>
                    <w:t>1769</w:t>
                  </w:r>
                </w:p>
              </w:tc>
              <w:tc>
                <w:tcPr>
                  <w:tcW w:w="750" w:type="dxa"/>
                  <w:vAlign w:val="center"/>
                </w:tcPr>
                <w:p w14:paraId="12CF317A">
                  <w:pPr>
                    <w:autoSpaceDE w:val="0"/>
                    <w:autoSpaceDN w:val="0"/>
                    <w:adjustRightInd w:val="0"/>
                    <w:spacing w:line="240" w:lineRule="auto"/>
                    <w:jc w:val="center"/>
                    <w:rPr>
                      <w:rFonts w:hint="default"/>
                      <w:b w:val="0"/>
                      <w:bCs w:val="0"/>
                      <w:color w:val="auto"/>
                      <w:sz w:val="21"/>
                      <w:szCs w:val="21"/>
                      <w:highlight w:val="none"/>
                      <w:vertAlign w:val="baseline"/>
                      <w:lang w:val="en-US" w:eastAsia="zh-CN"/>
                    </w:rPr>
                  </w:pPr>
                  <w:r>
                    <w:rPr>
                      <w:rFonts w:hint="eastAsia"/>
                      <w:b w:val="0"/>
                      <w:bCs w:val="0"/>
                      <w:color w:val="auto"/>
                      <w:sz w:val="21"/>
                      <w:szCs w:val="21"/>
                      <w:highlight w:val="none"/>
                      <w:vertAlign w:val="baseline"/>
                      <w:lang w:val="en-US" w:eastAsia="zh-CN"/>
                    </w:rPr>
                    <w:t>2.705</w:t>
                  </w:r>
                </w:p>
              </w:tc>
              <w:tc>
                <w:tcPr>
                  <w:tcW w:w="805" w:type="dxa"/>
                  <w:vAlign w:val="center"/>
                </w:tcPr>
                <w:p w14:paraId="1E9EEE64">
                  <w:pPr>
                    <w:autoSpaceDE w:val="0"/>
                    <w:autoSpaceDN w:val="0"/>
                    <w:adjustRightInd w:val="0"/>
                    <w:spacing w:line="240" w:lineRule="auto"/>
                    <w:jc w:val="center"/>
                    <w:rPr>
                      <w:rFonts w:hint="default"/>
                      <w:b w:val="0"/>
                      <w:bCs w:val="0"/>
                      <w:color w:val="auto"/>
                      <w:sz w:val="21"/>
                      <w:szCs w:val="21"/>
                      <w:highlight w:val="none"/>
                      <w:vertAlign w:val="baseline"/>
                      <w:lang w:val="en-US" w:eastAsia="zh-CN"/>
                    </w:rPr>
                  </w:pPr>
                  <w:r>
                    <w:rPr>
                      <w:rFonts w:hint="eastAsia"/>
                      <w:b w:val="0"/>
                      <w:bCs w:val="0"/>
                      <w:color w:val="auto"/>
                      <w:sz w:val="21"/>
                      <w:szCs w:val="21"/>
                      <w:highlight w:val="none"/>
                      <w:vertAlign w:val="baseline"/>
                      <w:lang w:val="en-US" w:eastAsia="zh-CN"/>
                    </w:rPr>
                    <w:t>41.5</w:t>
                  </w:r>
                </w:p>
              </w:tc>
              <w:tc>
                <w:tcPr>
                  <w:tcW w:w="812" w:type="dxa"/>
                  <w:vAlign w:val="center"/>
                </w:tcPr>
                <w:p w14:paraId="37C1102A">
                  <w:pPr>
                    <w:autoSpaceDE w:val="0"/>
                    <w:autoSpaceDN w:val="0"/>
                    <w:adjustRightInd w:val="0"/>
                    <w:spacing w:line="240" w:lineRule="auto"/>
                    <w:jc w:val="center"/>
                    <w:rPr>
                      <w:rFonts w:hint="default"/>
                      <w:b w:val="0"/>
                      <w:bCs w:val="0"/>
                      <w:color w:val="auto"/>
                      <w:sz w:val="21"/>
                      <w:szCs w:val="21"/>
                      <w:highlight w:val="none"/>
                      <w:vertAlign w:val="baseline"/>
                      <w:lang w:val="en-US" w:eastAsia="zh-CN"/>
                    </w:rPr>
                  </w:pPr>
                  <w:r>
                    <w:rPr>
                      <w:rFonts w:hint="eastAsia"/>
                      <w:b w:val="0"/>
                      <w:bCs w:val="0"/>
                      <w:color w:val="auto"/>
                      <w:sz w:val="21"/>
                      <w:szCs w:val="21"/>
                      <w:highlight w:val="none"/>
                      <w:vertAlign w:val="baseline"/>
                      <w:lang w:val="en-US" w:eastAsia="zh-CN"/>
                    </w:rPr>
                    <w:t>1.275</w:t>
                  </w:r>
                </w:p>
              </w:tc>
              <w:tc>
                <w:tcPr>
                  <w:tcW w:w="707" w:type="dxa"/>
                  <w:vAlign w:val="center"/>
                </w:tcPr>
                <w:p w14:paraId="62CE53FD">
                  <w:pPr>
                    <w:autoSpaceDE w:val="0"/>
                    <w:autoSpaceDN w:val="0"/>
                    <w:adjustRightInd w:val="0"/>
                    <w:spacing w:line="240" w:lineRule="auto"/>
                    <w:jc w:val="center"/>
                    <w:rPr>
                      <w:rFonts w:hint="default"/>
                      <w:b w:val="0"/>
                      <w:bCs w:val="0"/>
                      <w:color w:val="auto"/>
                      <w:sz w:val="21"/>
                      <w:szCs w:val="21"/>
                      <w:highlight w:val="none"/>
                      <w:vertAlign w:val="baseline"/>
                      <w:lang w:val="en-US" w:eastAsia="zh-CN"/>
                    </w:rPr>
                  </w:pPr>
                  <w:r>
                    <w:rPr>
                      <w:rFonts w:hint="eastAsia"/>
                      <w:b w:val="0"/>
                      <w:bCs w:val="0"/>
                      <w:color w:val="auto"/>
                      <w:sz w:val="21"/>
                      <w:szCs w:val="21"/>
                      <w:highlight w:val="none"/>
                      <w:vertAlign w:val="baseline"/>
                      <w:lang w:val="en-US" w:eastAsia="zh-CN"/>
                    </w:rPr>
                    <w:t>344.3</w:t>
                  </w:r>
                </w:p>
              </w:tc>
            </w:tr>
            <w:tr w14:paraId="7AD1EE4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32" w:hRule="atLeast"/>
              </w:trPr>
              <w:tc>
                <w:tcPr>
                  <w:tcW w:w="1188" w:type="dxa"/>
                  <w:vMerge w:val="continue"/>
                  <w:vAlign w:val="center"/>
                </w:tcPr>
                <w:p w14:paraId="1B7BD63E">
                  <w:pPr>
                    <w:autoSpaceDE w:val="0"/>
                    <w:autoSpaceDN w:val="0"/>
                    <w:adjustRightInd w:val="0"/>
                    <w:spacing w:line="240" w:lineRule="auto"/>
                    <w:jc w:val="center"/>
                    <w:rPr>
                      <w:rFonts w:hint="eastAsia"/>
                      <w:b w:val="0"/>
                      <w:bCs w:val="0"/>
                      <w:color w:val="auto"/>
                      <w:sz w:val="21"/>
                      <w:szCs w:val="21"/>
                      <w:highlight w:val="none"/>
                      <w:vertAlign w:val="baseline"/>
                      <w:lang w:val="en-US" w:eastAsia="zh-CN"/>
                    </w:rPr>
                  </w:pPr>
                </w:p>
              </w:tc>
              <w:tc>
                <w:tcPr>
                  <w:tcW w:w="1027" w:type="dxa"/>
                  <w:vAlign w:val="center"/>
                </w:tcPr>
                <w:p w14:paraId="5AEA250A">
                  <w:pPr>
                    <w:jc w:val="center"/>
                    <w:rPr>
                      <w:rFonts w:hint="eastAsia"/>
                      <w:b w:val="0"/>
                      <w:bCs w:val="0"/>
                      <w:color w:val="auto"/>
                      <w:sz w:val="21"/>
                      <w:szCs w:val="21"/>
                      <w:highlight w:val="none"/>
                      <w:vertAlign w:val="baseline"/>
                      <w:lang w:val="en-US" w:eastAsia="zh-CN"/>
                    </w:rPr>
                  </w:pPr>
                  <w:r>
                    <w:rPr>
                      <w:rFonts w:hint="eastAsia"/>
                      <w:b w:val="0"/>
                      <w:bCs w:val="0"/>
                      <w:color w:val="auto"/>
                      <w:sz w:val="21"/>
                      <w:szCs w:val="21"/>
                      <w:highlight w:val="none"/>
                      <w:vertAlign w:val="baseline"/>
                      <w:lang w:val="en-US" w:eastAsia="zh-CN"/>
                    </w:rPr>
                    <w:t>产生量（t/a）</w:t>
                  </w:r>
                </w:p>
              </w:tc>
              <w:tc>
                <w:tcPr>
                  <w:tcW w:w="934" w:type="dxa"/>
                  <w:vMerge w:val="continue"/>
                  <w:vAlign w:val="center"/>
                </w:tcPr>
                <w:p w14:paraId="55FF3E33">
                  <w:pPr>
                    <w:autoSpaceDE w:val="0"/>
                    <w:autoSpaceDN w:val="0"/>
                    <w:adjustRightInd w:val="0"/>
                    <w:spacing w:line="240" w:lineRule="auto"/>
                    <w:jc w:val="center"/>
                    <w:rPr>
                      <w:rFonts w:hint="eastAsia"/>
                      <w:b w:val="0"/>
                      <w:bCs w:val="0"/>
                      <w:color w:val="auto"/>
                      <w:sz w:val="21"/>
                      <w:szCs w:val="21"/>
                      <w:highlight w:val="none"/>
                      <w:vertAlign w:val="baseline"/>
                      <w:lang w:val="en-US" w:eastAsia="zh-CN"/>
                    </w:rPr>
                  </w:pPr>
                </w:p>
              </w:tc>
              <w:tc>
                <w:tcPr>
                  <w:tcW w:w="853" w:type="dxa"/>
                  <w:vAlign w:val="center"/>
                </w:tcPr>
                <w:p w14:paraId="077ABCC4">
                  <w:pPr>
                    <w:autoSpaceDE w:val="0"/>
                    <w:autoSpaceDN w:val="0"/>
                    <w:adjustRightInd w:val="0"/>
                    <w:spacing w:line="240" w:lineRule="auto"/>
                    <w:jc w:val="center"/>
                    <w:rPr>
                      <w:rFonts w:hint="default"/>
                      <w:b w:val="0"/>
                      <w:bCs w:val="0"/>
                      <w:color w:val="auto"/>
                      <w:sz w:val="21"/>
                      <w:szCs w:val="21"/>
                      <w:highlight w:val="none"/>
                      <w:vertAlign w:val="baseline"/>
                      <w:lang w:val="en-US" w:eastAsia="zh-CN"/>
                    </w:rPr>
                  </w:pPr>
                  <w:r>
                    <w:rPr>
                      <w:rFonts w:hint="eastAsia"/>
                      <w:b w:val="0"/>
                      <w:bCs w:val="0"/>
                      <w:color w:val="auto"/>
                      <w:sz w:val="21"/>
                      <w:szCs w:val="21"/>
                      <w:highlight w:val="none"/>
                      <w:vertAlign w:val="baseline"/>
                      <w:lang w:val="en-US" w:eastAsia="zh-CN"/>
                    </w:rPr>
                    <w:t>0.355</w:t>
                  </w:r>
                </w:p>
              </w:tc>
              <w:tc>
                <w:tcPr>
                  <w:tcW w:w="820" w:type="dxa"/>
                  <w:vAlign w:val="center"/>
                </w:tcPr>
                <w:p w14:paraId="378EC844">
                  <w:pPr>
                    <w:autoSpaceDE w:val="0"/>
                    <w:autoSpaceDN w:val="0"/>
                    <w:adjustRightInd w:val="0"/>
                    <w:spacing w:line="240" w:lineRule="auto"/>
                    <w:jc w:val="center"/>
                    <w:rPr>
                      <w:rFonts w:hint="default"/>
                      <w:b w:val="0"/>
                      <w:bCs w:val="0"/>
                      <w:color w:val="auto"/>
                      <w:sz w:val="21"/>
                      <w:szCs w:val="21"/>
                      <w:highlight w:val="none"/>
                      <w:vertAlign w:val="baseline"/>
                      <w:lang w:val="en-US" w:eastAsia="zh-CN"/>
                    </w:rPr>
                  </w:pPr>
                  <w:r>
                    <w:rPr>
                      <w:rFonts w:hint="eastAsia"/>
                      <w:b w:val="0"/>
                      <w:bCs w:val="0"/>
                      <w:color w:val="auto"/>
                      <w:sz w:val="21"/>
                      <w:szCs w:val="21"/>
                      <w:highlight w:val="none"/>
                      <w:vertAlign w:val="baseline"/>
                      <w:lang w:val="en-US" w:eastAsia="zh-CN"/>
                    </w:rPr>
                    <w:t>0.136</w:t>
                  </w:r>
                </w:p>
              </w:tc>
              <w:tc>
                <w:tcPr>
                  <w:tcW w:w="750" w:type="dxa"/>
                  <w:vAlign w:val="center"/>
                </w:tcPr>
                <w:p w14:paraId="1A9ECEBE">
                  <w:pPr>
                    <w:autoSpaceDE w:val="0"/>
                    <w:autoSpaceDN w:val="0"/>
                    <w:adjustRightInd w:val="0"/>
                    <w:spacing w:line="240" w:lineRule="auto"/>
                    <w:jc w:val="center"/>
                    <w:rPr>
                      <w:rFonts w:hint="default"/>
                      <w:b w:val="0"/>
                      <w:bCs w:val="0"/>
                      <w:color w:val="auto"/>
                      <w:sz w:val="21"/>
                      <w:szCs w:val="21"/>
                      <w:highlight w:val="none"/>
                      <w:vertAlign w:val="baseline"/>
                      <w:lang w:val="en-US" w:eastAsia="zh-CN"/>
                    </w:rPr>
                  </w:pPr>
                  <w:r>
                    <w:rPr>
                      <w:rFonts w:hint="eastAsia"/>
                      <w:b w:val="0"/>
                      <w:bCs w:val="0"/>
                      <w:color w:val="auto"/>
                      <w:sz w:val="21"/>
                      <w:szCs w:val="21"/>
                      <w:highlight w:val="none"/>
                      <w:vertAlign w:val="baseline"/>
                      <w:lang w:val="en-US" w:eastAsia="zh-CN"/>
                    </w:rPr>
                    <w:t>0.0002</w:t>
                  </w:r>
                </w:p>
              </w:tc>
              <w:tc>
                <w:tcPr>
                  <w:tcW w:w="805" w:type="dxa"/>
                  <w:vAlign w:val="center"/>
                </w:tcPr>
                <w:p w14:paraId="778C6974">
                  <w:pPr>
                    <w:autoSpaceDE w:val="0"/>
                    <w:autoSpaceDN w:val="0"/>
                    <w:adjustRightInd w:val="0"/>
                    <w:spacing w:line="240" w:lineRule="auto"/>
                    <w:jc w:val="center"/>
                    <w:rPr>
                      <w:rFonts w:hint="default"/>
                      <w:b w:val="0"/>
                      <w:bCs w:val="0"/>
                      <w:color w:val="auto"/>
                      <w:sz w:val="21"/>
                      <w:szCs w:val="21"/>
                      <w:highlight w:val="none"/>
                      <w:vertAlign w:val="baseline"/>
                      <w:lang w:val="en-US" w:eastAsia="zh-CN"/>
                    </w:rPr>
                  </w:pPr>
                  <w:r>
                    <w:rPr>
                      <w:rFonts w:hint="eastAsia"/>
                      <w:b w:val="0"/>
                      <w:bCs w:val="0"/>
                      <w:color w:val="auto"/>
                      <w:sz w:val="21"/>
                      <w:szCs w:val="21"/>
                      <w:highlight w:val="none"/>
                      <w:vertAlign w:val="baseline"/>
                      <w:lang w:val="en-US" w:eastAsia="zh-CN"/>
                    </w:rPr>
                    <w:t>0.0032</w:t>
                  </w:r>
                </w:p>
              </w:tc>
              <w:tc>
                <w:tcPr>
                  <w:tcW w:w="812" w:type="dxa"/>
                  <w:vAlign w:val="center"/>
                </w:tcPr>
                <w:p w14:paraId="54F44608">
                  <w:pPr>
                    <w:autoSpaceDE w:val="0"/>
                    <w:autoSpaceDN w:val="0"/>
                    <w:adjustRightInd w:val="0"/>
                    <w:spacing w:line="240" w:lineRule="auto"/>
                    <w:jc w:val="center"/>
                    <w:rPr>
                      <w:rFonts w:hint="default"/>
                      <w:b w:val="0"/>
                      <w:bCs w:val="0"/>
                      <w:color w:val="auto"/>
                      <w:sz w:val="21"/>
                      <w:szCs w:val="21"/>
                      <w:highlight w:val="none"/>
                      <w:vertAlign w:val="baseline"/>
                      <w:lang w:val="en-US" w:eastAsia="zh-CN"/>
                    </w:rPr>
                  </w:pPr>
                  <w:r>
                    <w:rPr>
                      <w:rFonts w:hint="eastAsia"/>
                      <w:b w:val="0"/>
                      <w:bCs w:val="0"/>
                      <w:color w:val="auto"/>
                      <w:sz w:val="21"/>
                      <w:szCs w:val="21"/>
                      <w:highlight w:val="none"/>
                      <w:vertAlign w:val="baseline"/>
                      <w:lang w:val="en-US" w:eastAsia="zh-CN"/>
                    </w:rPr>
                    <w:t>0.0001</w:t>
                  </w:r>
                </w:p>
              </w:tc>
              <w:tc>
                <w:tcPr>
                  <w:tcW w:w="707" w:type="dxa"/>
                  <w:vAlign w:val="center"/>
                </w:tcPr>
                <w:p w14:paraId="1D685656">
                  <w:pPr>
                    <w:autoSpaceDE w:val="0"/>
                    <w:autoSpaceDN w:val="0"/>
                    <w:adjustRightInd w:val="0"/>
                    <w:spacing w:line="240" w:lineRule="auto"/>
                    <w:jc w:val="center"/>
                    <w:rPr>
                      <w:rFonts w:hint="default"/>
                      <w:b w:val="0"/>
                      <w:bCs w:val="0"/>
                      <w:color w:val="auto"/>
                      <w:sz w:val="21"/>
                      <w:szCs w:val="21"/>
                      <w:highlight w:val="none"/>
                      <w:vertAlign w:val="baseline"/>
                      <w:lang w:val="en-US" w:eastAsia="zh-CN"/>
                    </w:rPr>
                  </w:pPr>
                  <w:r>
                    <w:rPr>
                      <w:rFonts w:hint="eastAsia"/>
                      <w:b w:val="0"/>
                      <w:bCs w:val="0"/>
                      <w:color w:val="auto"/>
                      <w:sz w:val="21"/>
                      <w:szCs w:val="21"/>
                      <w:highlight w:val="none"/>
                      <w:vertAlign w:val="baseline"/>
                      <w:lang w:val="en-US" w:eastAsia="zh-CN"/>
                    </w:rPr>
                    <w:t>0.026</w:t>
                  </w:r>
                </w:p>
              </w:tc>
            </w:tr>
            <w:tr w14:paraId="202E184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16" w:hRule="atLeast"/>
              </w:trPr>
              <w:tc>
                <w:tcPr>
                  <w:tcW w:w="3149" w:type="dxa"/>
                  <w:gridSpan w:val="3"/>
                  <w:shd w:val="clear" w:color="auto" w:fill="auto"/>
                  <w:vAlign w:val="center"/>
                </w:tcPr>
                <w:p w14:paraId="6A93FC48">
                  <w:pPr>
                    <w:autoSpaceDE w:val="0"/>
                    <w:autoSpaceDN w:val="0"/>
                    <w:adjustRightInd w:val="0"/>
                    <w:spacing w:line="240" w:lineRule="auto"/>
                    <w:jc w:val="center"/>
                    <w:rPr>
                      <w:rFonts w:hint="default"/>
                      <w:b w:val="0"/>
                      <w:bCs w:val="0"/>
                      <w:color w:val="auto"/>
                      <w:sz w:val="21"/>
                      <w:szCs w:val="21"/>
                      <w:highlight w:val="none"/>
                      <w:vertAlign w:val="baseline"/>
                      <w:lang w:val="en-US" w:eastAsia="zh-CN"/>
                    </w:rPr>
                  </w:pPr>
                  <w:r>
                    <w:rPr>
                      <w:rFonts w:hint="eastAsia"/>
                      <w:b w:val="0"/>
                      <w:bCs w:val="0"/>
                      <w:color w:val="auto"/>
                      <w:sz w:val="21"/>
                      <w:szCs w:val="21"/>
                      <w:highlight w:val="none"/>
                      <w:vertAlign w:val="baseline"/>
                      <w:lang w:val="en-US" w:eastAsia="zh-CN"/>
                    </w:rPr>
                    <w:t>污水处理站去除效率</w:t>
                  </w:r>
                </w:p>
              </w:tc>
              <w:tc>
                <w:tcPr>
                  <w:tcW w:w="853" w:type="dxa"/>
                  <w:shd w:val="clear" w:color="auto" w:fill="auto"/>
                  <w:vAlign w:val="center"/>
                </w:tcPr>
                <w:p w14:paraId="6AB07E28">
                  <w:pPr>
                    <w:jc w:val="center"/>
                    <w:rPr>
                      <w:rFonts w:hint="default"/>
                      <w:b w:val="0"/>
                      <w:bCs w:val="0"/>
                      <w:color w:val="auto"/>
                      <w:sz w:val="21"/>
                      <w:szCs w:val="21"/>
                      <w:highlight w:val="none"/>
                      <w:vertAlign w:val="baseline"/>
                      <w:lang w:val="en-US" w:eastAsia="zh-CN"/>
                    </w:rPr>
                  </w:pPr>
                  <w:r>
                    <w:rPr>
                      <w:rFonts w:hint="eastAsia"/>
                      <w:b w:val="0"/>
                      <w:bCs w:val="0"/>
                      <w:color w:val="auto"/>
                      <w:sz w:val="21"/>
                      <w:szCs w:val="21"/>
                      <w:highlight w:val="none"/>
                      <w:vertAlign w:val="baseline"/>
                      <w:lang w:val="en-US" w:eastAsia="zh-CN"/>
                    </w:rPr>
                    <w:t>98.92%</w:t>
                  </w:r>
                </w:p>
              </w:tc>
              <w:tc>
                <w:tcPr>
                  <w:tcW w:w="820" w:type="dxa"/>
                  <w:shd w:val="clear" w:color="auto" w:fill="auto"/>
                  <w:vAlign w:val="center"/>
                </w:tcPr>
                <w:p w14:paraId="3A1D379B">
                  <w:pPr>
                    <w:jc w:val="center"/>
                    <w:rPr>
                      <w:rFonts w:hint="eastAsia"/>
                      <w:b w:val="0"/>
                      <w:bCs w:val="0"/>
                      <w:color w:val="auto"/>
                      <w:sz w:val="21"/>
                      <w:szCs w:val="21"/>
                      <w:highlight w:val="none"/>
                      <w:vertAlign w:val="baseline"/>
                      <w:lang w:val="en-US" w:eastAsia="zh-CN"/>
                    </w:rPr>
                  </w:pPr>
                  <w:r>
                    <w:rPr>
                      <w:rFonts w:hint="eastAsia"/>
                      <w:b w:val="0"/>
                      <w:bCs w:val="0"/>
                      <w:color w:val="auto"/>
                      <w:sz w:val="21"/>
                      <w:szCs w:val="21"/>
                      <w:highlight w:val="none"/>
                      <w:vertAlign w:val="baseline"/>
                      <w:lang w:val="en-US" w:eastAsia="zh-CN"/>
                    </w:rPr>
                    <w:t>98.915%</w:t>
                  </w:r>
                </w:p>
              </w:tc>
              <w:tc>
                <w:tcPr>
                  <w:tcW w:w="750" w:type="dxa"/>
                  <w:shd w:val="clear" w:color="auto" w:fill="auto"/>
                  <w:vAlign w:val="center"/>
                </w:tcPr>
                <w:p w14:paraId="0B5E71EE">
                  <w:pPr>
                    <w:jc w:val="center"/>
                    <w:rPr>
                      <w:rFonts w:hint="default"/>
                      <w:b w:val="0"/>
                      <w:bCs w:val="0"/>
                      <w:color w:val="auto"/>
                      <w:sz w:val="21"/>
                      <w:szCs w:val="21"/>
                      <w:highlight w:val="none"/>
                      <w:vertAlign w:val="baseline"/>
                      <w:lang w:val="en-US" w:eastAsia="zh-CN"/>
                    </w:rPr>
                  </w:pPr>
                  <w:r>
                    <w:rPr>
                      <w:rFonts w:hint="eastAsia"/>
                      <w:b w:val="0"/>
                      <w:bCs w:val="0"/>
                      <w:color w:val="auto"/>
                      <w:sz w:val="21"/>
                      <w:szCs w:val="21"/>
                      <w:highlight w:val="none"/>
                      <w:vertAlign w:val="baseline"/>
                      <w:lang w:val="en-US" w:eastAsia="zh-CN"/>
                    </w:rPr>
                    <w:t>/</w:t>
                  </w:r>
                </w:p>
              </w:tc>
              <w:tc>
                <w:tcPr>
                  <w:tcW w:w="805" w:type="dxa"/>
                  <w:shd w:val="clear" w:color="auto" w:fill="auto"/>
                  <w:vAlign w:val="center"/>
                </w:tcPr>
                <w:p w14:paraId="7DFA0DF3">
                  <w:pPr>
                    <w:jc w:val="center"/>
                    <w:rPr>
                      <w:rFonts w:hint="default"/>
                      <w:b w:val="0"/>
                      <w:bCs w:val="0"/>
                      <w:color w:val="auto"/>
                      <w:sz w:val="21"/>
                      <w:szCs w:val="21"/>
                      <w:highlight w:val="none"/>
                      <w:vertAlign w:val="baseline"/>
                      <w:lang w:val="en-US" w:eastAsia="zh-CN"/>
                    </w:rPr>
                  </w:pPr>
                  <w:r>
                    <w:rPr>
                      <w:rFonts w:hint="eastAsia"/>
                      <w:b w:val="0"/>
                      <w:bCs w:val="0"/>
                      <w:color w:val="auto"/>
                      <w:sz w:val="21"/>
                      <w:szCs w:val="21"/>
                      <w:highlight w:val="none"/>
                      <w:vertAlign w:val="baseline"/>
                      <w:lang w:val="en-US" w:eastAsia="zh-CN"/>
                    </w:rPr>
                    <w:t>/</w:t>
                  </w:r>
                </w:p>
              </w:tc>
              <w:tc>
                <w:tcPr>
                  <w:tcW w:w="812" w:type="dxa"/>
                  <w:shd w:val="clear" w:color="auto" w:fill="auto"/>
                  <w:vAlign w:val="center"/>
                </w:tcPr>
                <w:p w14:paraId="14B0554F">
                  <w:pPr>
                    <w:jc w:val="center"/>
                    <w:rPr>
                      <w:rFonts w:hint="default"/>
                      <w:b w:val="0"/>
                      <w:bCs w:val="0"/>
                      <w:color w:val="auto"/>
                      <w:sz w:val="21"/>
                      <w:szCs w:val="21"/>
                      <w:highlight w:val="none"/>
                      <w:vertAlign w:val="baseline"/>
                      <w:lang w:val="en-US" w:eastAsia="zh-CN"/>
                    </w:rPr>
                  </w:pPr>
                  <w:r>
                    <w:rPr>
                      <w:rFonts w:hint="eastAsia"/>
                      <w:b w:val="0"/>
                      <w:bCs w:val="0"/>
                      <w:color w:val="auto"/>
                      <w:sz w:val="21"/>
                      <w:szCs w:val="21"/>
                      <w:highlight w:val="none"/>
                      <w:vertAlign w:val="baseline"/>
                      <w:lang w:val="en-US" w:eastAsia="zh-CN"/>
                    </w:rPr>
                    <w:t>80%</w:t>
                  </w:r>
                </w:p>
              </w:tc>
              <w:tc>
                <w:tcPr>
                  <w:tcW w:w="707" w:type="dxa"/>
                  <w:shd w:val="clear" w:color="auto" w:fill="auto"/>
                  <w:vAlign w:val="center"/>
                </w:tcPr>
                <w:p w14:paraId="4D472D12">
                  <w:pPr>
                    <w:jc w:val="center"/>
                    <w:rPr>
                      <w:rFonts w:hint="default"/>
                      <w:b w:val="0"/>
                      <w:bCs w:val="0"/>
                      <w:color w:val="auto"/>
                      <w:sz w:val="21"/>
                      <w:szCs w:val="21"/>
                      <w:highlight w:val="none"/>
                      <w:vertAlign w:val="baseline"/>
                      <w:lang w:val="en-US" w:eastAsia="zh-CN"/>
                    </w:rPr>
                  </w:pPr>
                  <w:r>
                    <w:rPr>
                      <w:rFonts w:hint="eastAsia"/>
                      <w:b w:val="0"/>
                      <w:bCs w:val="0"/>
                      <w:color w:val="auto"/>
                      <w:sz w:val="21"/>
                      <w:szCs w:val="21"/>
                      <w:highlight w:val="none"/>
                      <w:vertAlign w:val="baseline"/>
                      <w:lang w:val="en-US" w:eastAsia="zh-CN"/>
                    </w:rPr>
                    <w:t>97%</w:t>
                  </w:r>
                </w:p>
              </w:tc>
            </w:tr>
            <w:tr w14:paraId="5517E78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860" w:hRule="atLeast"/>
              </w:trPr>
              <w:tc>
                <w:tcPr>
                  <w:tcW w:w="1188" w:type="dxa"/>
                  <w:vMerge w:val="restart"/>
                  <w:shd w:val="clear" w:color="auto" w:fill="auto"/>
                  <w:vAlign w:val="center"/>
                </w:tcPr>
                <w:p w14:paraId="5C488175">
                  <w:pPr>
                    <w:autoSpaceDE w:val="0"/>
                    <w:autoSpaceDN w:val="0"/>
                    <w:adjustRightInd w:val="0"/>
                    <w:spacing w:line="240" w:lineRule="auto"/>
                    <w:jc w:val="center"/>
                    <w:rPr>
                      <w:rFonts w:hint="eastAsia"/>
                      <w:b w:val="0"/>
                      <w:bCs w:val="0"/>
                      <w:color w:val="auto"/>
                      <w:sz w:val="21"/>
                      <w:szCs w:val="21"/>
                      <w:highlight w:val="none"/>
                      <w:vertAlign w:val="baseline"/>
                      <w:lang w:val="en-US" w:eastAsia="zh-CN"/>
                    </w:rPr>
                  </w:pPr>
                  <w:r>
                    <w:rPr>
                      <w:rFonts w:hint="eastAsia"/>
                      <w:b w:val="0"/>
                      <w:bCs w:val="0"/>
                      <w:color w:val="auto"/>
                      <w:sz w:val="21"/>
                      <w:szCs w:val="21"/>
                      <w:highlight w:val="none"/>
                      <w:vertAlign w:val="baseline"/>
                      <w:lang w:val="en-US" w:eastAsia="zh-CN"/>
                    </w:rPr>
                    <w:t>污水处理站处理后（设备清洗废水）</w:t>
                  </w:r>
                </w:p>
              </w:tc>
              <w:tc>
                <w:tcPr>
                  <w:tcW w:w="1027" w:type="dxa"/>
                  <w:shd w:val="clear" w:color="auto" w:fill="auto"/>
                  <w:vAlign w:val="center"/>
                </w:tcPr>
                <w:p w14:paraId="3B4FA9D0">
                  <w:pPr>
                    <w:jc w:val="center"/>
                    <w:rPr>
                      <w:rFonts w:hint="eastAsia"/>
                      <w:b w:val="0"/>
                      <w:bCs w:val="0"/>
                      <w:color w:val="auto"/>
                      <w:sz w:val="21"/>
                      <w:szCs w:val="21"/>
                      <w:highlight w:val="none"/>
                      <w:vertAlign w:val="baseline"/>
                      <w:lang w:val="en-US" w:eastAsia="zh-CN"/>
                    </w:rPr>
                  </w:pPr>
                  <w:r>
                    <w:rPr>
                      <w:rFonts w:hint="eastAsia"/>
                      <w:b w:val="0"/>
                      <w:bCs w:val="0"/>
                      <w:color w:val="auto"/>
                      <w:sz w:val="21"/>
                      <w:szCs w:val="21"/>
                      <w:highlight w:val="none"/>
                      <w:vertAlign w:val="baseline"/>
                      <w:lang w:val="en-US" w:eastAsia="zh-CN"/>
                    </w:rPr>
                    <w:t>浓度（mg/L）</w:t>
                  </w:r>
                </w:p>
              </w:tc>
              <w:tc>
                <w:tcPr>
                  <w:tcW w:w="934" w:type="dxa"/>
                  <w:vMerge w:val="restart"/>
                  <w:shd w:val="clear" w:color="auto" w:fill="auto"/>
                  <w:vAlign w:val="center"/>
                </w:tcPr>
                <w:p w14:paraId="3982A77B">
                  <w:pPr>
                    <w:autoSpaceDE w:val="0"/>
                    <w:autoSpaceDN w:val="0"/>
                    <w:adjustRightInd w:val="0"/>
                    <w:spacing w:line="240" w:lineRule="auto"/>
                    <w:jc w:val="center"/>
                    <w:rPr>
                      <w:rFonts w:hint="default"/>
                      <w:b w:val="0"/>
                      <w:bCs w:val="0"/>
                      <w:color w:val="auto"/>
                      <w:sz w:val="21"/>
                      <w:szCs w:val="21"/>
                      <w:highlight w:val="none"/>
                      <w:vertAlign w:val="baseline"/>
                      <w:lang w:val="en-US" w:eastAsia="zh-CN"/>
                    </w:rPr>
                  </w:pPr>
                  <w:r>
                    <w:rPr>
                      <w:rFonts w:hint="eastAsia"/>
                      <w:b w:val="0"/>
                      <w:bCs w:val="0"/>
                      <w:color w:val="auto"/>
                      <w:sz w:val="21"/>
                      <w:szCs w:val="21"/>
                      <w:highlight w:val="none"/>
                      <w:vertAlign w:val="baseline"/>
                      <w:lang w:val="en-US" w:eastAsia="zh-CN"/>
                    </w:rPr>
                    <w:t>76.8</w:t>
                  </w:r>
                </w:p>
              </w:tc>
              <w:tc>
                <w:tcPr>
                  <w:tcW w:w="853" w:type="dxa"/>
                  <w:shd w:val="clear" w:color="auto" w:fill="auto"/>
                  <w:vAlign w:val="center"/>
                </w:tcPr>
                <w:p w14:paraId="502C56D2">
                  <w:pPr>
                    <w:autoSpaceDE w:val="0"/>
                    <w:autoSpaceDN w:val="0"/>
                    <w:adjustRightInd w:val="0"/>
                    <w:spacing w:line="240" w:lineRule="auto"/>
                    <w:jc w:val="center"/>
                    <w:rPr>
                      <w:rFonts w:hint="default"/>
                      <w:b w:val="0"/>
                      <w:bCs w:val="0"/>
                      <w:color w:val="auto"/>
                      <w:sz w:val="21"/>
                      <w:szCs w:val="21"/>
                      <w:highlight w:val="none"/>
                      <w:vertAlign w:val="baseline"/>
                      <w:lang w:val="en-US" w:eastAsia="zh-CN"/>
                    </w:rPr>
                  </w:pPr>
                  <w:r>
                    <w:rPr>
                      <w:rFonts w:hint="eastAsia"/>
                      <w:b w:val="0"/>
                      <w:bCs w:val="0"/>
                      <w:color w:val="auto"/>
                      <w:sz w:val="21"/>
                      <w:szCs w:val="21"/>
                      <w:highlight w:val="none"/>
                      <w:vertAlign w:val="baseline"/>
                      <w:lang w:val="en-US" w:eastAsia="zh-CN"/>
                    </w:rPr>
                    <w:t>50</w:t>
                  </w:r>
                </w:p>
              </w:tc>
              <w:tc>
                <w:tcPr>
                  <w:tcW w:w="820" w:type="dxa"/>
                  <w:shd w:val="clear" w:color="auto" w:fill="auto"/>
                  <w:vAlign w:val="center"/>
                </w:tcPr>
                <w:p w14:paraId="336A1390">
                  <w:pPr>
                    <w:autoSpaceDE w:val="0"/>
                    <w:autoSpaceDN w:val="0"/>
                    <w:adjustRightInd w:val="0"/>
                    <w:spacing w:line="240" w:lineRule="auto"/>
                    <w:jc w:val="center"/>
                    <w:rPr>
                      <w:rFonts w:hint="default"/>
                      <w:b w:val="0"/>
                      <w:bCs w:val="0"/>
                      <w:color w:val="auto"/>
                      <w:sz w:val="21"/>
                      <w:szCs w:val="21"/>
                      <w:highlight w:val="none"/>
                      <w:vertAlign w:val="baseline"/>
                      <w:lang w:val="en-US" w:eastAsia="zh-CN"/>
                    </w:rPr>
                  </w:pPr>
                  <w:r>
                    <w:rPr>
                      <w:rFonts w:hint="eastAsia"/>
                      <w:b w:val="0"/>
                      <w:bCs w:val="0"/>
                      <w:color w:val="auto"/>
                      <w:sz w:val="21"/>
                      <w:szCs w:val="21"/>
                      <w:highlight w:val="none"/>
                      <w:vertAlign w:val="baseline"/>
                      <w:lang w:val="en-US" w:eastAsia="zh-CN"/>
                    </w:rPr>
                    <w:t>19.2</w:t>
                  </w:r>
                </w:p>
              </w:tc>
              <w:tc>
                <w:tcPr>
                  <w:tcW w:w="750" w:type="dxa"/>
                  <w:shd w:val="clear" w:color="auto" w:fill="auto"/>
                  <w:vAlign w:val="center"/>
                </w:tcPr>
                <w:p w14:paraId="0B643922">
                  <w:pPr>
                    <w:autoSpaceDE w:val="0"/>
                    <w:autoSpaceDN w:val="0"/>
                    <w:adjustRightInd w:val="0"/>
                    <w:spacing w:line="240" w:lineRule="auto"/>
                    <w:jc w:val="center"/>
                    <w:rPr>
                      <w:rFonts w:hint="default"/>
                      <w:b w:val="0"/>
                      <w:bCs w:val="0"/>
                      <w:color w:val="auto"/>
                      <w:sz w:val="21"/>
                      <w:szCs w:val="21"/>
                      <w:highlight w:val="none"/>
                      <w:vertAlign w:val="baseline"/>
                      <w:lang w:val="en-US" w:eastAsia="zh-CN"/>
                    </w:rPr>
                  </w:pPr>
                  <w:r>
                    <w:rPr>
                      <w:rFonts w:hint="eastAsia"/>
                      <w:b w:val="0"/>
                      <w:bCs w:val="0"/>
                      <w:color w:val="auto"/>
                      <w:sz w:val="21"/>
                      <w:szCs w:val="21"/>
                      <w:highlight w:val="none"/>
                      <w:vertAlign w:val="baseline"/>
                      <w:lang w:val="en-US" w:eastAsia="zh-CN"/>
                    </w:rPr>
                    <w:t>2.705</w:t>
                  </w:r>
                </w:p>
              </w:tc>
              <w:tc>
                <w:tcPr>
                  <w:tcW w:w="805" w:type="dxa"/>
                  <w:shd w:val="clear" w:color="auto" w:fill="auto"/>
                  <w:vAlign w:val="center"/>
                </w:tcPr>
                <w:p w14:paraId="285D9F25">
                  <w:pPr>
                    <w:autoSpaceDE w:val="0"/>
                    <w:autoSpaceDN w:val="0"/>
                    <w:adjustRightInd w:val="0"/>
                    <w:spacing w:line="240" w:lineRule="auto"/>
                    <w:jc w:val="center"/>
                    <w:rPr>
                      <w:rFonts w:hint="default"/>
                      <w:b w:val="0"/>
                      <w:bCs w:val="0"/>
                      <w:color w:val="auto"/>
                      <w:sz w:val="21"/>
                      <w:szCs w:val="21"/>
                      <w:highlight w:val="none"/>
                      <w:vertAlign w:val="baseline"/>
                      <w:lang w:val="en-US" w:eastAsia="zh-CN"/>
                    </w:rPr>
                  </w:pPr>
                  <w:r>
                    <w:rPr>
                      <w:rFonts w:hint="eastAsia"/>
                      <w:b w:val="0"/>
                      <w:bCs w:val="0"/>
                      <w:color w:val="auto"/>
                      <w:sz w:val="21"/>
                      <w:szCs w:val="21"/>
                      <w:highlight w:val="none"/>
                      <w:vertAlign w:val="baseline"/>
                      <w:lang w:val="en-US" w:eastAsia="zh-CN"/>
                    </w:rPr>
                    <w:t>41.5</w:t>
                  </w:r>
                </w:p>
              </w:tc>
              <w:tc>
                <w:tcPr>
                  <w:tcW w:w="812" w:type="dxa"/>
                  <w:shd w:val="clear" w:color="auto" w:fill="auto"/>
                  <w:vAlign w:val="center"/>
                </w:tcPr>
                <w:p w14:paraId="246B1499">
                  <w:pPr>
                    <w:autoSpaceDE w:val="0"/>
                    <w:autoSpaceDN w:val="0"/>
                    <w:adjustRightInd w:val="0"/>
                    <w:spacing w:line="240" w:lineRule="auto"/>
                    <w:jc w:val="center"/>
                    <w:rPr>
                      <w:rFonts w:hint="default"/>
                      <w:b w:val="0"/>
                      <w:bCs w:val="0"/>
                      <w:color w:val="auto"/>
                      <w:sz w:val="21"/>
                      <w:szCs w:val="21"/>
                      <w:highlight w:val="none"/>
                      <w:vertAlign w:val="baseline"/>
                      <w:lang w:val="en-US" w:eastAsia="zh-CN"/>
                    </w:rPr>
                  </w:pPr>
                  <w:r>
                    <w:rPr>
                      <w:rFonts w:hint="eastAsia" w:ascii="Times New Roman" w:hAnsi="Times New Roman" w:eastAsia="宋体" w:cs="Times New Roman"/>
                      <w:color w:val="auto"/>
                      <w:kern w:val="0"/>
                      <w:sz w:val="21"/>
                      <w:szCs w:val="21"/>
                      <w:lang w:val="en-US" w:eastAsia="zh-CN"/>
                    </w:rPr>
                    <w:t>0.255</w:t>
                  </w:r>
                </w:p>
              </w:tc>
              <w:tc>
                <w:tcPr>
                  <w:tcW w:w="707" w:type="dxa"/>
                  <w:shd w:val="clear" w:color="auto" w:fill="auto"/>
                  <w:vAlign w:val="center"/>
                </w:tcPr>
                <w:p w14:paraId="17DFF03C">
                  <w:pPr>
                    <w:autoSpaceDE w:val="0"/>
                    <w:autoSpaceDN w:val="0"/>
                    <w:adjustRightInd w:val="0"/>
                    <w:spacing w:line="240" w:lineRule="auto"/>
                    <w:jc w:val="center"/>
                    <w:rPr>
                      <w:rFonts w:hint="default"/>
                      <w:b w:val="0"/>
                      <w:bCs w:val="0"/>
                      <w:color w:val="auto"/>
                      <w:sz w:val="21"/>
                      <w:szCs w:val="21"/>
                      <w:highlight w:val="none"/>
                      <w:vertAlign w:val="baseline"/>
                      <w:lang w:val="en-US" w:eastAsia="zh-CN"/>
                    </w:rPr>
                  </w:pPr>
                  <w:r>
                    <w:rPr>
                      <w:rFonts w:hint="eastAsia"/>
                      <w:b w:val="0"/>
                      <w:bCs w:val="0"/>
                      <w:color w:val="auto"/>
                      <w:sz w:val="21"/>
                      <w:szCs w:val="21"/>
                      <w:highlight w:val="none"/>
                      <w:vertAlign w:val="baseline"/>
                      <w:lang w:val="en-US" w:eastAsia="zh-CN"/>
                    </w:rPr>
                    <w:t>10.33</w:t>
                  </w:r>
                </w:p>
              </w:tc>
            </w:tr>
            <w:tr w14:paraId="3894362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79" w:hRule="atLeast"/>
              </w:trPr>
              <w:tc>
                <w:tcPr>
                  <w:tcW w:w="1188" w:type="dxa"/>
                  <w:vMerge w:val="continue"/>
                  <w:shd w:val="clear" w:color="auto" w:fill="auto"/>
                  <w:vAlign w:val="center"/>
                </w:tcPr>
                <w:p w14:paraId="45782241">
                  <w:pPr>
                    <w:autoSpaceDE w:val="0"/>
                    <w:autoSpaceDN w:val="0"/>
                    <w:adjustRightInd w:val="0"/>
                    <w:spacing w:line="240" w:lineRule="auto"/>
                    <w:jc w:val="center"/>
                    <w:rPr>
                      <w:rFonts w:hint="eastAsia"/>
                      <w:b w:val="0"/>
                      <w:bCs w:val="0"/>
                      <w:color w:val="auto"/>
                      <w:sz w:val="21"/>
                      <w:szCs w:val="21"/>
                      <w:highlight w:val="none"/>
                      <w:vertAlign w:val="baseline"/>
                      <w:lang w:val="en-US" w:eastAsia="zh-CN"/>
                    </w:rPr>
                  </w:pPr>
                </w:p>
              </w:tc>
              <w:tc>
                <w:tcPr>
                  <w:tcW w:w="1027" w:type="dxa"/>
                  <w:shd w:val="clear" w:color="auto" w:fill="auto"/>
                  <w:vAlign w:val="center"/>
                </w:tcPr>
                <w:p w14:paraId="22231A16">
                  <w:pPr>
                    <w:jc w:val="center"/>
                    <w:rPr>
                      <w:rFonts w:hint="eastAsia"/>
                      <w:b w:val="0"/>
                      <w:bCs w:val="0"/>
                      <w:color w:val="auto"/>
                      <w:sz w:val="21"/>
                      <w:szCs w:val="21"/>
                      <w:highlight w:val="none"/>
                      <w:vertAlign w:val="baseline"/>
                      <w:lang w:val="en-US" w:eastAsia="zh-CN"/>
                    </w:rPr>
                  </w:pPr>
                  <w:r>
                    <w:rPr>
                      <w:rFonts w:hint="eastAsia"/>
                      <w:b w:val="0"/>
                      <w:bCs w:val="0"/>
                      <w:color w:val="auto"/>
                      <w:sz w:val="21"/>
                      <w:szCs w:val="21"/>
                      <w:highlight w:val="none"/>
                      <w:vertAlign w:val="baseline"/>
                      <w:lang w:val="en-US" w:eastAsia="zh-CN"/>
                    </w:rPr>
                    <w:t>产生量（t/a）</w:t>
                  </w:r>
                </w:p>
              </w:tc>
              <w:tc>
                <w:tcPr>
                  <w:tcW w:w="934" w:type="dxa"/>
                  <w:vMerge w:val="continue"/>
                  <w:shd w:val="clear" w:color="auto" w:fill="auto"/>
                  <w:vAlign w:val="center"/>
                </w:tcPr>
                <w:p w14:paraId="2D09EEF8">
                  <w:pPr>
                    <w:autoSpaceDE w:val="0"/>
                    <w:autoSpaceDN w:val="0"/>
                    <w:adjustRightInd w:val="0"/>
                    <w:spacing w:line="240" w:lineRule="auto"/>
                    <w:jc w:val="center"/>
                    <w:rPr>
                      <w:rFonts w:hint="eastAsia"/>
                      <w:b w:val="0"/>
                      <w:bCs w:val="0"/>
                      <w:color w:val="auto"/>
                      <w:sz w:val="21"/>
                      <w:szCs w:val="21"/>
                      <w:highlight w:val="none"/>
                      <w:vertAlign w:val="baseline"/>
                      <w:lang w:val="en-US" w:eastAsia="zh-CN"/>
                    </w:rPr>
                  </w:pPr>
                </w:p>
              </w:tc>
              <w:tc>
                <w:tcPr>
                  <w:tcW w:w="853" w:type="dxa"/>
                  <w:shd w:val="clear" w:color="auto" w:fill="auto"/>
                  <w:vAlign w:val="center"/>
                </w:tcPr>
                <w:p w14:paraId="199E5F16">
                  <w:pPr>
                    <w:autoSpaceDE w:val="0"/>
                    <w:autoSpaceDN w:val="0"/>
                    <w:adjustRightInd w:val="0"/>
                    <w:spacing w:line="240" w:lineRule="auto"/>
                    <w:jc w:val="center"/>
                    <w:rPr>
                      <w:rFonts w:hint="default"/>
                      <w:b w:val="0"/>
                      <w:bCs w:val="0"/>
                      <w:color w:val="auto"/>
                      <w:sz w:val="21"/>
                      <w:szCs w:val="21"/>
                      <w:highlight w:val="none"/>
                      <w:vertAlign w:val="baseline"/>
                      <w:lang w:val="en-US" w:eastAsia="zh-CN"/>
                    </w:rPr>
                  </w:pPr>
                  <w:r>
                    <w:rPr>
                      <w:rFonts w:hint="eastAsia"/>
                      <w:b w:val="0"/>
                      <w:bCs w:val="0"/>
                      <w:color w:val="auto"/>
                      <w:sz w:val="21"/>
                      <w:szCs w:val="21"/>
                      <w:highlight w:val="none"/>
                      <w:vertAlign w:val="baseline"/>
                      <w:lang w:val="en-US" w:eastAsia="zh-CN"/>
                    </w:rPr>
                    <w:t>0.004</w:t>
                  </w:r>
                </w:p>
              </w:tc>
              <w:tc>
                <w:tcPr>
                  <w:tcW w:w="820" w:type="dxa"/>
                  <w:shd w:val="clear" w:color="auto" w:fill="auto"/>
                  <w:vAlign w:val="center"/>
                </w:tcPr>
                <w:p w14:paraId="74D7C02F">
                  <w:pPr>
                    <w:autoSpaceDE w:val="0"/>
                    <w:autoSpaceDN w:val="0"/>
                    <w:adjustRightInd w:val="0"/>
                    <w:spacing w:line="240" w:lineRule="auto"/>
                    <w:jc w:val="center"/>
                    <w:rPr>
                      <w:rFonts w:hint="default"/>
                      <w:b w:val="0"/>
                      <w:bCs w:val="0"/>
                      <w:color w:val="auto"/>
                      <w:sz w:val="21"/>
                      <w:szCs w:val="21"/>
                      <w:highlight w:val="none"/>
                      <w:vertAlign w:val="baseline"/>
                      <w:lang w:val="en-US" w:eastAsia="zh-CN"/>
                    </w:rPr>
                  </w:pPr>
                  <w:r>
                    <w:rPr>
                      <w:rFonts w:hint="eastAsia"/>
                      <w:b w:val="0"/>
                      <w:bCs w:val="0"/>
                      <w:color w:val="auto"/>
                      <w:sz w:val="21"/>
                      <w:szCs w:val="21"/>
                      <w:highlight w:val="none"/>
                      <w:vertAlign w:val="baseline"/>
                      <w:lang w:val="en-US" w:eastAsia="zh-CN"/>
                    </w:rPr>
                    <w:t>0.0015</w:t>
                  </w:r>
                </w:p>
              </w:tc>
              <w:tc>
                <w:tcPr>
                  <w:tcW w:w="750" w:type="dxa"/>
                  <w:shd w:val="clear" w:color="auto" w:fill="auto"/>
                  <w:vAlign w:val="center"/>
                </w:tcPr>
                <w:p w14:paraId="1F831882">
                  <w:pPr>
                    <w:autoSpaceDE w:val="0"/>
                    <w:autoSpaceDN w:val="0"/>
                    <w:adjustRightInd w:val="0"/>
                    <w:spacing w:line="240" w:lineRule="auto"/>
                    <w:jc w:val="center"/>
                    <w:rPr>
                      <w:rFonts w:hint="default"/>
                      <w:b w:val="0"/>
                      <w:bCs w:val="0"/>
                      <w:color w:val="auto"/>
                      <w:sz w:val="21"/>
                      <w:szCs w:val="21"/>
                      <w:highlight w:val="none"/>
                      <w:vertAlign w:val="baseline"/>
                      <w:lang w:val="en-US" w:eastAsia="zh-CN"/>
                    </w:rPr>
                  </w:pPr>
                  <w:r>
                    <w:rPr>
                      <w:rFonts w:hint="eastAsia"/>
                      <w:b w:val="0"/>
                      <w:bCs w:val="0"/>
                      <w:color w:val="auto"/>
                      <w:sz w:val="21"/>
                      <w:szCs w:val="21"/>
                      <w:highlight w:val="none"/>
                      <w:vertAlign w:val="baseline"/>
                      <w:lang w:val="en-US" w:eastAsia="zh-CN"/>
                    </w:rPr>
                    <w:t>0.0002</w:t>
                  </w:r>
                </w:p>
              </w:tc>
              <w:tc>
                <w:tcPr>
                  <w:tcW w:w="805" w:type="dxa"/>
                  <w:shd w:val="clear" w:color="auto" w:fill="auto"/>
                  <w:vAlign w:val="center"/>
                </w:tcPr>
                <w:p w14:paraId="723C7D8B">
                  <w:pPr>
                    <w:autoSpaceDE w:val="0"/>
                    <w:autoSpaceDN w:val="0"/>
                    <w:adjustRightInd w:val="0"/>
                    <w:spacing w:line="240" w:lineRule="auto"/>
                    <w:jc w:val="center"/>
                    <w:rPr>
                      <w:rFonts w:hint="default"/>
                      <w:b w:val="0"/>
                      <w:bCs w:val="0"/>
                      <w:color w:val="auto"/>
                      <w:sz w:val="21"/>
                      <w:szCs w:val="21"/>
                      <w:highlight w:val="none"/>
                      <w:vertAlign w:val="baseline"/>
                      <w:lang w:val="en-US" w:eastAsia="zh-CN"/>
                    </w:rPr>
                  </w:pPr>
                  <w:r>
                    <w:rPr>
                      <w:rFonts w:hint="eastAsia"/>
                      <w:b w:val="0"/>
                      <w:bCs w:val="0"/>
                      <w:color w:val="auto"/>
                      <w:sz w:val="21"/>
                      <w:szCs w:val="21"/>
                      <w:highlight w:val="none"/>
                      <w:vertAlign w:val="baseline"/>
                      <w:lang w:val="en-US" w:eastAsia="zh-CN"/>
                    </w:rPr>
                    <w:t>0.0032</w:t>
                  </w:r>
                </w:p>
              </w:tc>
              <w:tc>
                <w:tcPr>
                  <w:tcW w:w="812" w:type="dxa"/>
                  <w:shd w:val="clear" w:color="auto" w:fill="auto"/>
                  <w:vAlign w:val="center"/>
                </w:tcPr>
                <w:p w14:paraId="4E26D980">
                  <w:pPr>
                    <w:autoSpaceDE w:val="0"/>
                    <w:autoSpaceDN w:val="0"/>
                    <w:adjustRightInd w:val="0"/>
                    <w:spacing w:line="240" w:lineRule="auto"/>
                    <w:jc w:val="center"/>
                    <w:rPr>
                      <w:rFonts w:hint="default"/>
                      <w:b w:val="0"/>
                      <w:bCs w:val="0"/>
                      <w:color w:val="auto"/>
                      <w:sz w:val="21"/>
                      <w:szCs w:val="21"/>
                      <w:highlight w:val="none"/>
                      <w:vertAlign w:val="baseline"/>
                      <w:lang w:val="en-US" w:eastAsia="zh-CN"/>
                    </w:rPr>
                  </w:pPr>
                  <w:r>
                    <w:rPr>
                      <w:rFonts w:hint="eastAsia"/>
                      <w:b w:val="0"/>
                      <w:bCs w:val="0"/>
                      <w:color w:val="auto"/>
                      <w:sz w:val="21"/>
                      <w:szCs w:val="21"/>
                      <w:highlight w:val="none"/>
                      <w:vertAlign w:val="baseline"/>
                      <w:lang w:val="en-US" w:eastAsia="zh-CN"/>
                    </w:rPr>
                    <w:t>0.00002</w:t>
                  </w:r>
                </w:p>
              </w:tc>
              <w:tc>
                <w:tcPr>
                  <w:tcW w:w="707" w:type="dxa"/>
                  <w:shd w:val="clear" w:color="auto" w:fill="auto"/>
                  <w:vAlign w:val="center"/>
                </w:tcPr>
                <w:p w14:paraId="16938A97">
                  <w:pPr>
                    <w:autoSpaceDE w:val="0"/>
                    <w:autoSpaceDN w:val="0"/>
                    <w:adjustRightInd w:val="0"/>
                    <w:spacing w:line="240" w:lineRule="auto"/>
                    <w:jc w:val="center"/>
                    <w:rPr>
                      <w:rFonts w:hint="default"/>
                      <w:b w:val="0"/>
                      <w:bCs w:val="0"/>
                      <w:color w:val="auto"/>
                      <w:sz w:val="21"/>
                      <w:szCs w:val="21"/>
                      <w:highlight w:val="none"/>
                      <w:vertAlign w:val="baseline"/>
                      <w:lang w:val="en-US" w:eastAsia="zh-CN"/>
                    </w:rPr>
                  </w:pPr>
                  <w:r>
                    <w:rPr>
                      <w:rFonts w:hint="eastAsia"/>
                      <w:b w:val="0"/>
                      <w:bCs w:val="0"/>
                      <w:color w:val="auto"/>
                      <w:sz w:val="21"/>
                      <w:szCs w:val="21"/>
                      <w:highlight w:val="none"/>
                      <w:vertAlign w:val="baseline"/>
                      <w:lang w:val="en-US" w:eastAsia="zh-CN"/>
                    </w:rPr>
                    <w:t>0.0008</w:t>
                  </w:r>
                </w:p>
              </w:tc>
            </w:tr>
            <w:tr w14:paraId="72763FD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860" w:hRule="atLeast"/>
              </w:trPr>
              <w:tc>
                <w:tcPr>
                  <w:tcW w:w="1188" w:type="dxa"/>
                  <w:vMerge w:val="restart"/>
                  <w:vAlign w:val="center"/>
                </w:tcPr>
                <w:p w14:paraId="1B49779D">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b w:val="0"/>
                      <w:bCs w:val="0"/>
                      <w:color w:val="auto"/>
                      <w:sz w:val="21"/>
                      <w:szCs w:val="21"/>
                      <w:highlight w:val="none"/>
                      <w:vertAlign w:val="baseline"/>
                      <w:lang w:val="en-US" w:eastAsia="zh-CN"/>
                    </w:rPr>
                  </w:pPr>
                  <w:r>
                    <w:rPr>
                      <w:rFonts w:hint="default" w:ascii="Times New Roman" w:hAnsi="Times New Roman" w:cs="Times New Roman"/>
                      <w:b w:val="0"/>
                      <w:bCs w:val="0"/>
                      <w:color w:val="auto"/>
                      <w:sz w:val="21"/>
                      <w:szCs w:val="21"/>
                    </w:rPr>
                    <w:t>四川巴中经济开发区污水处理厂排口</w:t>
                  </w:r>
                </w:p>
              </w:tc>
              <w:tc>
                <w:tcPr>
                  <w:tcW w:w="1027" w:type="dxa"/>
                  <w:vAlign w:val="center"/>
                </w:tcPr>
                <w:p w14:paraId="07AC66EE">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b w:val="0"/>
                      <w:bCs w:val="0"/>
                      <w:color w:val="auto"/>
                      <w:sz w:val="21"/>
                      <w:szCs w:val="21"/>
                      <w:highlight w:val="none"/>
                      <w:vertAlign w:val="baseline"/>
                      <w:lang w:val="en-US" w:eastAsia="zh-CN"/>
                    </w:rPr>
                  </w:pPr>
                  <w:r>
                    <w:rPr>
                      <w:rFonts w:hint="default" w:ascii="Times New Roman" w:hAnsi="Times New Roman" w:cs="Times New Roman"/>
                      <w:b w:val="0"/>
                      <w:bCs w:val="0"/>
                      <w:color w:val="auto"/>
                      <w:sz w:val="21"/>
                      <w:szCs w:val="21"/>
                    </w:rPr>
                    <w:t>浓度（mg/L）</w:t>
                  </w:r>
                </w:p>
              </w:tc>
              <w:tc>
                <w:tcPr>
                  <w:tcW w:w="934" w:type="dxa"/>
                  <w:vMerge w:val="restart"/>
                  <w:vAlign w:val="center"/>
                </w:tcPr>
                <w:p w14:paraId="2C570BDE">
                  <w:pPr>
                    <w:autoSpaceDE w:val="0"/>
                    <w:autoSpaceDN w:val="0"/>
                    <w:adjustRightInd w:val="0"/>
                    <w:spacing w:line="240" w:lineRule="auto"/>
                    <w:jc w:val="center"/>
                    <w:rPr>
                      <w:rFonts w:hint="default"/>
                      <w:b w:val="0"/>
                      <w:bCs w:val="0"/>
                      <w:color w:val="auto"/>
                      <w:sz w:val="21"/>
                      <w:szCs w:val="21"/>
                      <w:highlight w:val="none"/>
                      <w:vertAlign w:val="baseline"/>
                      <w:lang w:val="en-US" w:eastAsia="zh-CN"/>
                    </w:rPr>
                  </w:pPr>
                  <w:r>
                    <w:rPr>
                      <w:rFonts w:hint="eastAsia"/>
                      <w:b w:val="0"/>
                      <w:bCs w:val="0"/>
                      <w:color w:val="auto"/>
                      <w:sz w:val="21"/>
                      <w:szCs w:val="21"/>
                      <w:highlight w:val="none"/>
                      <w:vertAlign w:val="baseline"/>
                      <w:lang w:val="en-US" w:eastAsia="zh-CN"/>
                    </w:rPr>
                    <w:t>3850.8</w:t>
                  </w:r>
                </w:p>
              </w:tc>
              <w:tc>
                <w:tcPr>
                  <w:tcW w:w="853" w:type="dxa"/>
                  <w:vAlign w:val="center"/>
                </w:tcPr>
                <w:p w14:paraId="37D51BEB">
                  <w:pPr>
                    <w:autoSpaceDE w:val="0"/>
                    <w:autoSpaceDN w:val="0"/>
                    <w:adjustRightInd w:val="0"/>
                    <w:spacing w:line="240" w:lineRule="auto"/>
                    <w:jc w:val="center"/>
                    <w:rPr>
                      <w:rFonts w:hint="default"/>
                      <w:b w:val="0"/>
                      <w:bCs w:val="0"/>
                      <w:color w:val="auto"/>
                      <w:sz w:val="21"/>
                      <w:szCs w:val="21"/>
                      <w:highlight w:val="none"/>
                      <w:vertAlign w:val="baseline"/>
                      <w:lang w:val="en-US" w:eastAsia="zh-CN"/>
                    </w:rPr>
                  </w:pPr>
                  <w:r>
                    <w:rPr>
                      <w:rFonts w:hint="eastAsia"/>
                      <w:b w:val="0"/>
                      <w:bCs w:val="0"/>
                      <w:color w:val="auto"/>
                      <w:sz w:val="21"/>
                      <w:szCs w:val="21"/>
                      <w:highlight w:val="none"/>
                      <w:vertAlign w:val="baseline"/>
                      <w:lang w:val="en-US" w:eastAsia="zh-CN"/>
                    </w:rPr>
                    <w:t>50</w:t>
                  </w:r>
                </w:p>
              </w:tc>
              <w:tc>
                <w:tcPr>
                  <w:tcW w:w="820" w:type="dxa"/>
                  <w:vAlign w:val="center"/>
                </w:tcPr>
                <w:p w14:paraId="03F28B5D">
                  <w:pPr>
                    <w:autoSpaceDE w:val="0"/>
                    <w:autoSpaceDN w:val="0"/>
                    <w:adjustRightInd w:val="0"/>
                    <w:spacing w:line="240" w:lineRule="auto"/>
                    <w:jc w:val="center"/>
                    <w:rPr>
                      <w:rFonts w:hint="default"/>
                      <w:b w:val="0"/>
                      <w:bCs w:val="0"/>
                      <w:color w:val="auto"/>
                      <w:sz w:val="21"/>
                      <w:szCs w:val="21"/>
                      <w:highlight w:val="none"/>
                      <w:vertAlign w:val="baseline"/>
                      <w:lang w:val="en-US" w:eastAsia="zh-CN"/>
                    </w:rPr>
                  </w:pPr>
                  <w:r>
                    <w:rPr>
                      <w:rFonts w:hint="eastAsia"/>
                      <w:b w:val="0"/>
                      <w:bCs w:val="0"/>
                      <w:color w:val="auto"/>
                      <w:sz w:val="21"/>
                      <w:szCs w:val="21"/>
                      <w:highlight w:val="none"/>
                      <w:vertAlign w:val="baseline"/>
                      <w:lang w:val="en-US" w:eastAsia="zh-CN"/>
                    </w:rPr>
                    <w:t>10</w:t>
                  </w:r>
                </w:p>
              </w:tc>
              <w:tc>
                <w:tcPr>
                  <w:tcW w:w="750" w:type="dxa"/>
                  <w:vAlign w:val="center"/>
                </w:tcPr>
                <w:p w14:paraId="1F070FF7">
                  <w:pPr>
                    <w:autoSpaceDE w:val="0"/>
                    <w:autoSpaceDN w:val="0"/>
                    <w:adjustRightInd w:val="0"/>
                    <w:spacing w:line="240" w:lineRule="auto"/>
                    <w:jc w:val="center"/>
                    <w:rPr>
                      <w:rFonts w:hint="default"/>
                      <w:b w:val="0"/>
                      <w:bCs w:val="0"/>
                      <w:color w:val="auto"/>
                      <w:sz w:val="21"/>
                      <w:szCs w:val="21"/>
                      <w:highlight w:val="none"/>
                      <w:vertAlign w:val="baseline"/>
                      <w:lang w:val="en-US" w:eastAsia="zh-CN"/>
                    </w:rPr>
                  </w:pPr>
                  <w:r>
                    <w:rPr>
                      <w:rFonts w:hint="eastAsia"/>
                      <w:b w:val="0"/>
                      <w:bCs w:val="0"/>
                      <w:color w:val="auto"/>
                      <w:sz w:val="21"/>
                      <w:szCs w:val="21"/>
                      <w:highlight w:val="none"/>
                      <w:vertAlign w:val="baseline"/>
                      <w:lang w:val="en-US" w:eastAsia="zh-CN"/>
                    </w:rPr>
                    <w:t>5（8）</w:t>
                  </w:r>
                </w:p>
              </w:tc>
              <w:tc>
                <w:tcPr>
                  <w:tcW w:w="805" w:type="dxa"/>
                  <w:vAlign w:val="center"/>
                </w:tcPr>
                <w:p w14:paraId="4B5A7413">
                  <w:pPr>
                    <w:autoSpaceDE w:val="0"/>
                    <w:autoSpaceDN w:val="0"/>
                    <w:adjustRightInd w:val="0"/>
                    <w:spacing w:line="240" w:lineRule="auto"/>
                    <w:jc w:val="center"/>
                    <w:rPr>
                      <w:rFonts w:hint="default"/>
                      <w:b w:val="0"/>
                      <w:bCs w:val="0"/>
                      <w:color w:val="auto"/>
                      <w:sz w:val="21"/>
                      <w:szCs w:val="21"/>
                      <w:highlight w:val="none"/>
                      <w:vertAlign w:val="baseline"/>
                      <w:lang w:val="en-US" w:eastAsia="zh-CN"/>
                    </w:rPr>
                  </w:pPr>
                  <w:r>
                    <w:rPr>
                      <w:rFonts w:hint="eastAsia"/>
                      <w:b w:val="0"/>
                      <w:bCs w:val="0"/>
                      <w:color w:val="auto"/>
                      <w:sz w:val="21"/>
                      <w:szCs w:val="21"/>
                      <w:highlight w:val="none"/>
                      <w:vertAlign w:val="baseline"/>
                      <w:lang w:val="en-US" w:eastAsia="zh-CN"/>
                    </w:rPr>
                    <w:t>10</w:t>
                  </w:r>
                </w:p>
              </w:tc>
              <w:tc>
                <w:tcPr>
                  <w:tcW w:w="812" w:type="dxa"/>
                  <w:vAlign w:val="center"/>
                </w:tcPr>
                <w:p w14:paraId="2C641D7F">
                  <w:pPr>
                    <w:autoSpaceDE w:val="0"/>
                    <w:autoSpaceDN w:val="0"/>
                    <w:adjustRightInd w:val="0"/>
                    <w:spacing w:line="240" w:lineRule="auto"/>
                    <w:jc w:val="center"/>
                    <w:rPr>
                      <w:rFonts w:hint="default"/>
                      <w:b w:val="0"/>
                      <w:bCs w:val="0"/>
                      <w:color w:val="auto"/>
                      <w:sz w:val="21"/>
                      <w:szCs w:val="21"/>
                      <w:highlight w:val="none"/>
                      <w:vertAlign w:val="baseline"/>
                      <w:lang w:val="en-US" w:eastAsia="zh-CN"/>
                    </w:rPr>
                  </w:pPr>
                  <w:r>
                    <w:rPr>
                      <w:rFonts w:hint="eastAsia"/>
                      <w:b w:val="0"/>
                      <w:bCs w:val="0"/>
                      <w:color w:val="auto"/>
                      <w:sz w:val="21"/>
                      <w:szCs w:val="21"/>
                      <w:highlight w:val="none"/>
                      <w:vertAlign w:val="baseline"/>
                      <w:lang w:val="en-US" w:eastAsia="zh-CN"/>
                    </w:rPr>
                    <w:t>0.5</w:t>
                  </w:r>
                </w:p>
              </w:tc>
              <w:tc>
                <w:tcPr>
                  <w:tcW w:w="707" w:type="dxa"/>
                  <w:vAlign w:val="center"/>
                </w:tcPr>
                <w:p w14:paraId="7FABF592">
                  <w:pPr>
                    <w:autoSpaceDE w:val="0"/>
                    <w:autoSpaceDN w:val="0"/>
                    <w:adjustRightInd w:val="0"/>
                    <w:spacing w:line="240" w:lineRule="auto"/>
                    <w:jc w:val="center"/>
                    <w:rPr>
                      <w:rFonts w:hint="default"/>
                      <w:b w:val="0"/>
                      <w:bCs w:val="0"/>
                      <w:color w:val="auto"/>
                      <w:sz w:val="21"/>
                      <w:szCs w:val="21"/>
                      <w:highlight w:val="none"/>
                      <w:vertAlign w:val="baseline"/>
                      <w:lang w:val="en-US" w:eastAsia="zh-CN"/>
                    </w:rPr>
                  </w:pPr>
                  <w:r>
                    <w:rPr>
                      <w:rFonts w:hint="eastAsia"/>
                      <w:b w:val="0"/>
                      <w:bCs w:val="0"/>
                      <w:color w:val="auto"/>
                      <w:sz w:val="21"/>
                      <w:szCs w:val="21"/>
                      <w:highlight w:val="none"/>
                      <w:vertAlign w:val="baseline"/>
                      <w:lang w:val="en-US" w:eastAsia="zh-CN"/>
                    </w:rPr>
                    <w:t>15</w:t>
                  </w:r>
                </w:p>
              </w:tc>
            </w:tr>
            <w:tr w14:paraId="5160428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325" w:hRule="atLeast"/>
              </w:trPr>
              <w:tc>
                <w:tcPr>
                  <w:tcW w:w="1188" w:type="dxa"/>
                  <w:vMerge w:val="continue"/>
                  <w:vAlign w:val="center"/>
                </w:tcPr>
                <w:p w14:paraId="30379477">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b w:val="0"/>
                      <w:bCs w:val="0"/>
                      <w:color w:val="auto"/>
                      <w:sz w:val="21"/>
                      <w:szCs w:val="21"/>
                      <w:highlight w:val="none"/>
                      <w:vertAlign w:val="baseline"/>
                      <w:lang w:val="en-US" w:eastAsia="zh-CN"/>
                    </w:rPr>
                  </w:pPr>
                </w:p>
              </w:tc>
              <w:tc>
                <w:tcPr>
                  <w:tcW w:w="1027" w:type="dxa"/>
                  <w:vAlign w:val="center"/>
                </w:tcPr>
                <w:p w14:paraId="601239EB">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b w:val="0"/>
                      <w:bCs w:val="0"/>
                      <w:color w:val="auto"/>
                      <w:sz w:val="21"/>
                      <w:szCs w:val="21"/>
                      <w:highlight w:val="none"/>
                      <w:vertAlign w:val="baseline"/>
                      <w:lang w:val="en-US" w:eastAsia="zh-CN"/>
                    </w:rPr>
                  </w:pPr>
                  <w:r>
                    <w:rPr>
                      <w:rFonts w:hint="default" w:ascii="Times New Roman" w:hAnsi="Times New Roman" w:cs="Times New Roman"/>
                      <w:b w:val="0"/>
                      <w:bCs w:val="0"/>
                      <w:color w:val="auto"/>
                      <w:sz w:val="21"/>
                      <w:szCs w:val="21"/>
                      <w:lang w:val="en-US" w:eastAsia="zh-CN"/>
                    </w:rPr>
                    <w:t>排放</w:t>
                  </w:r>
                  <w:r>
                    <w:rPr>
                      <w:rFonts w:hint="default" w:ascii="Times New Roman" w:hAnsi="Times New Roman" w:cs="Times New Roman"/>
                      <w:b w:val="0"/>
                      <w:bCs w:val="0"/>
                      <w:color w:val="auto"/>
                      <w:sz w:val="21"/>
                      <w:szCs w:val="21"/>
                    </w:rPr>
                    <w:t>量（t/</w:t>
                  </w:r>
                  <w:r>
                    <w:rPr>
                      <w:rFonts w:hint="default" w:ascii="Times New Roman" w:hAnsi="Times New Roman" w:cs="Times New Roman"/>
                      <w:b w:val="0"/>
                      <w:bCs w:val="0"/>
                      <w:color w:val="auto"/>
                      <w:sz w:val="21"/>
                      <w:szCs w:val="21"/>
                      <w:lang w:val="en-US" w:eastAsia="zh-CN"/>
                    </w:rPr>
                    <w:t>a</w:t>
                  </w:r>
                  <w:r>
                    <w:rPr>
                      <w:rFonts w:hint="default" w:ascii="Times New Roman" w:hAnsi="Times New Roman" w:cs="Times New Roman"/>
                      <w:b w:val="0"/>
                      <w:bCs w:val="0"/>
                      <w:color w:val="auto"/>
                      <w:sz w:val="21"/>
                      <w:szCs w:val="21"/>
                    </w:rPr>
                    <w:t>）</w:t>
                  </w:r>
                </w:p>
              </w:tc>
              <w:tc>
                <w:tcPr>
                  <w:tcW w:w="934" w:type="dxa"/>
                  <w:vMerge w:val="continue"/>
                  <w:vAlign w:val="center"/>
                </w:tcPr>
                <w:p w14:paraId="708650DF">
                  <w:pPr>
                    <w:autoSpaceDE w:val="0"/>
                    <w:autoSpaceDN w:val="0"/>
                    <w:adjustRightInd w:val="0"/>
                    <w:spacing w:line="240" w:lineRule="auto"/>
                    <w:jc w:val="center"/>
                    <w:rPr>
                      <w:rFonts w:hint="eastAsia"/>
                      <w:b w:val="0"/>
                      <w:bCs w:val="0"/>
                      <w:color w:val="auto"/>
                      <w:sz w:val="21"/>
                      <w:szCs w:val="21"/>
                      <w:highlight w:val="none"/>
                      <w:vertAlign w:val="baseline"/>
                      <w:lang w:val="en-US" w:eastAsia="zh-CN"/>
                    </w:rPr>
                  </w:pPr>
                </w:p>
              </w:tc>
              <w:tc>
                <w:tcPr>
                  <w:tcW w:w="853" w:type="dxa"/>
                  <w:vAlign w:val="center"/>
                </w:tcPr>
                <w:p w14:paraId="102B22C5">
                  <w:pPr>
                    <w:autoSpaceDE w:val="0"/>
                    <w:autoSpaceDN w:val="0"/>
                    <w:adjustRightInd w:val="0"/>
                    <w:spacing w:line="240" w:lineRule="auto"/>
                    <w:jc w:val="center"/>
                    <w:rPr>
                      <w:rFonts w:hint="default"/>
                      <w:b w:val="0"/>
                      <w:bCs w:val="0"/>
                      <w:color w:val="auto"/>
                      <w:sz w:val="21"/>
                      <w:szCs w:val="21"/>
                      <w:highlight w:val="none"/>
                      <w:vertAlign w:val="baseline"/>
                      <w:lang w:val="en-US" w:eastAsia="zh-CN"/>
                    </w:rPr>
                  </w:pPr>
                  <w:r>
                    <w:rPr>
                      <w:rFonts w:hint="eastAsia"/>
                      <w:b w:val="0"/>
                      <w:bCs w:val="0"/>
                      <w:color w:val="auto"/>
                      <w:sz w:val="21"/>
                      <w:szCs w:val="21"/>
                      <w:highlight w:val="none"/>
                      <w:vertAlign w:val="baseline"/>
                      <w:lang w:val="en-US" w:eastAsia="zh-CN"/>
                    </w:rPr>
                    <w:t>0.193</w:t>
                  </w:r>
                </w:p>
              </w:tc>
              <w:tc>
                <w:tcPr>
                  <w:tcW w:w="820" w:type="dxa"/>
                  <w:vAlign w:val="center"/>
                </w:tcPr>
                <w:p w14:paraId="6C1ACF3D">
                  <w:pPr>
                    <w:autoSpaceDE w:val="0"/>
                    <w:autoSpaceDN w:val="0"/>
                    <w:adjustRightInd w:val="0"/>
                    <w:spacing w:line="240" w:lineRule="auto"/>
                    <w:jc w:val="center"/>
                    <w:rPr>
                      <w:rFonts w:hint="default"/>
                      <w:b w:val="0"/>
                      <w:bCs w:val="0"/>
                      <w:color w:val="auto"/>
                      <w:sz w:val="21"/>
                      <w:szCs w:val="21"/>
                      <w:highlight w:val="none"/>
                      <w:vertAlign w:val="baseline"/>
                      <w:lang w:val="en-US" w:eastAsia="zh-CN"/>
                    </w:rPr>
                  </w:pPr>
                  <w:r>
                    <w:rPr>
                      <w:rFonts w:hint="eastAsia"/>
                      <w:b w:val="0"/>
                      <w:bCs w:val="0"/>
                      <w:color w:val="auto"/>
                      <w:sz w:val="21"/>
                      <w:szCs w:val="21"/>
                      <w:highlight w:val="none"/>
                      <w:vertAlign w:val="baseline"/>
                      <w:lang w:val="en-US" w:eastAsia="zh-CN"/>
                    </w:rPr>
                    <w:t>0.039</w:t>
                  </w:r>
                </w:p>
              </w:tc>
              <w:tc>
                <w:tcPr>
                  <w:tcW w:w="750" w:type="dxa"/>
                  <w:vAlign w:val="center"/>
                </w:tcPr>
                <w:p w14:paraId="4CBAA71A">
                  <w:pPr>
                    <w:autoSpaceDE w:val="0"/>
                    <w:autoSpaceDN w:val="0"/>
                    <w:adjustRightInd w:val="0"/>
                    <w:spacing w:line="240" w:lineRule="auto"/>
                    <w:jc w:val="center"/>
                    <w:rPr>
                      <w:rFonts w:hint="default"/>
                      <w:b w:val="0"/>
                      <w:bCs w:val="0"/>
                      <w:color w:val="auto"/>
                      <w:sz w:val="21"/>
                      <w:szCs w:val="21"/>
                      <w:highlight w:val="none"/>
                      <w:vertAlign w:val="baseline"/>
                      <w:lang w:val="en-US" w:eastAsia="zh-CN"/>
                    </w:rPr>
                  </w:pPr>
                  <w:r>
                    <w:rPr>
                      <w:rFonts w:hint="eastAsia"/>
                      <w:b w:val="0"/>
                      <w:bCs w:val="0"/>
                      <w:color w:val="auto"/>
                      <w:sz w:val="21"/>
                      <w:szCs w:val="21"/>
                      <w:highlight w:val="none"/>
                      <w:vertAlign w:val="baseline"/>
                      <w:lang w:val="en-US" w:eastAsia="zh-CN"/>
                    </w:rPr>
                    <w:t>0.0193（0.031）</w:t>
                  </w:r>
                </w:p>
              </w:tc>
              <w:tc>
                <w:tcPr>
                  <w:tcW w:w="805" w:type="dxa"/>
                  <w:vAlign w:val="center"/>
                </w:tcPr>
                <w:p w14:paraId="759A724E">
                  <w:pPr>
                    <w:autoSpaceDE w:val="0"/>
                    <w:autoSpaceDN w:val="0"/>
                    <w:adjustRightInd w:val="0"/>
                    <w:spacing w:line="240" w:lineRule="auto"/>
                    <w:jc w:val="center"/>
                    <w:rPr>
                      <w:rFonts w:hint="default"/>
                      <w:b w:val="0"/>
                      <w:bCs w:val="0"/>
                      <w:color w:val="auto"/>
                      <w:sz w:val="21"/>
                      <w:szCs w:val="21"/>
                      <w:highlight w:val="none"/>
                      <w:vertAlign w:val="baseline"/>
                      <w:lang w:val="en-US" w:eastAsia="zh-CN"/>
                    </w:rPr>
                  </w:pPr>
                  <w:r>
                    <w:rPr>
                      <w:rFonts w:hint="eastAsia"/>
                      <w:b w:val="0"/>
                      <w:bCs w:val="0"/>
                      <w:color w:val="auto"/>
                      <w:sz w:val="21"/>
                      <w:szCs w:val="21"/>
                      <w:highlight w:val="none"/>
                      <w:vertAlign w:val="baseline"/>
                      <w:lang w:val="en-US" w:eastAsia="zh-CN"/>
                    </w:rPr>
                    <w:t>0.039</w:t>
                  </w:r>
                </w:p>
              </w:tc>
              <w:tc>
                <w:tcPr>
                  <w:tcW w:w="812" w:type="dxa"/>
                  <w:vAlign w:val="center"/>
                </w:tcPr>
                <w:p w14:paraId="51D19119">
                  <w:pPr>
                    <w:autoSpaceDE w:val="0"/>
                    <w:autoSpaceDN w:val="0"/>
                    <w:adjustRightInd w:val="0"/>
                    <w:spacing w:line="240" w:lineRule="auto"/>
                    <w:jc w:val="center"/>
                    <w:rPr>
                      <w:rFonts w:hint="default"/>
                      <w:b w:val="0"/>
                      <w:bCs w:val="0"/>
                      <w:color w:val="auto"/>
                      <w:sz w:val="21"/>
                      <w:szCs w:val="21"/>
                      <w:highlight w:val="none"/>
                      <w:vertAlign w:val="baseline"/>
                      <w:lang w:val="en-US" w:eastAsia="zh-CN"/>
                    </w:rPr>
                  </w:pPr>
                  <w:r>
                    <w:rPr>
                      <w:rFonts w:hint="eastAsia"/>
                      <w:b w:val="0"/>
                      <w:bCs w:val="0"/>
                      <w:color w:val="auto"/>
                      <w:sz w:val="21"/>
                      <w:szCs w:val="21"/>
                      <w:highlight w:val="none"/>
                      <w:vertAlign w:val="baseline"/>
                      <w:lang w:val="en-US" w:eastAsia="zh-CN"/>
                    </w:rPr>
                    <w:t>0.002</w:t>
                  </w:r>
                </w:p>
              </w:tc>
              <w:tc>
                <w:tcPr>
                  <w:tcW w:w="707" w:type="dxa"/>
                  <w:vAlign w:val="center"/>
                </w:tcPr>
                <w:p w14:paraId="6A76358D">
                  <w:pPr>
                    <w:autoSpaceDE w:val="0"/>
                    <w:autoSpaceDN w:val="0"/>
                    <w:adjustRightInd w:val="0"/>
                    <w:spacing w:line="240" w:lineRule="auto"/>
                    <w:jc w:val="center"/>
                    <w:rPr>
                      <w:rFonts w:hint="default"/>
                      <w:b w:val="0"/>
                      <w:bCs w:val="0"/>
                      <w:color w:val="auto"/>
                      <w:sz w:val="21"/>
                      <w:szCs w:val="21"/>
                      <w:highlight w:val="none"/>
                      <w:vertAlign w:val="baseline"/>
                      <w:lang w:val="en-US" w:eastAsia="zh-CN"/>
                    </w:rPr>
                  </w:pPr>
                  <w:r>
                    <w:rPr>
                      <w:rFonts w:hint="eastAsia"/>
                      <w:b w:val="0"/>
                      <w:bCs w:val="0"/>
                      <w:color w:val="auto"/>
                      <w:sz w:val="21"/>
                      <w:szCs w:val="21"/>
                      <w:highlight w:val="none"/>
                      <w:vertAlign w:val="baseline"/>
                      <w:lang w:val="en-US" w:eastAsia="zh-CN"/>
                    </w:rPr>
                    <w:t>0.058</w:t>
                  </w:r>
                </w:p>
              </w:tc>
            </w:tr>
            <w:tr w14:paraId="2FFB0A3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75" w:hRule="atLeast"/>
              </w:trPr>
              <w:tc>
                <w:tcPr>
                  <w:tcW w:w="7896" w:type="dxa"/>
                  <w:gridSpan w:val="9"/>
                  <w:vAlign w:val="center"/>
                </w:tcPr>
                <w:p w14:paraId="5299D54F">
                  <w:pPr>
                    <w:ind w:firstLine="0" w:firstLineChars="0"/>
                    <w:rPr>
                      <w:rFonts w:hint="eastAsia"/>
                      <w:b w:val="0"/>
                      <w:bCs w:val="0"/>
                      <w:color w:val="auto"/>
                      <w:sz w:val="21"/>
                      <w:szCs w:val="21"/>
                      <w:highlight w:val="none"/>
                      <w:vertAlign w:val="baseline"/>
                      <w:lang w:val="en-US" w:eastAsia="zh-CN"/>
                    </w:rPr>
                  </w:pPr>
                  <w:r>
                    <w:rPr>
                      <w:b w:val="0"/>
                      <w:bCs w:val="0"/>
                      <w:color w:val="auto"/>
                      <w:sz w:val="21"/>
                      <w:szCs w:val="21"/>
                      <w:highlight w:val="none"/>
                    </w:rPr>
                    <w:t>备注</w:t>
                  </w:r>
                  <w:r>
                    <w:rPr>
                      <w:rFonts w:ascii="Times New Roman" w:hAnsi="Times New Roman" w:eastAsia="宋体" w:cs="Times New Roman"/>
                      <w:b w:val="0"/>
                      <w:bCs w:val="0"/>
                      <w:color w:val="auto"/>
                      <w:sz w:val="21"/>
                      <w:szCs w:val="21"/>
                      <w:highlight w:val="none"/>
                    </w:rPr>
                    <w:t>：</w:t>
                  </w:r>
                  <w:r>
                    <w:rPr>
                      <w:rFonts w:hint="default" w:ascii="Times New Roman" w:hAnsi="Times New Roman" w:eastAsia="宋体" w:cs="Times New Roman"/>
                      <w:b w:val="0"/>
                      <w:bCs w:val="0"/>
                      <w:color w:val="auto"/>
                      <w:sz w:val="21"/>
                      <w:szCs w:val="21"/>
                      <w:highlight w:val="none"/>
                    </w:rPr>
                    <w:t>巴中经济开发区污水处理厂</w:t>
                  </w:r>
                  <w:r>
                    <w:rPr>
                      <w:rFonts w:ascii="Times New Roman" w:hAnsi="Times New Roman" w:eastAsia="宋体" w:cs="Times New Roman"/>
                      <w:b w:val="0"/>
                      <w:bCs w:val="0"/>
                      <w:color w:val="auto"/>
                      <w:sz w:val="21"/>
                      <w:szCs w:val="21"/>
                      <w:highlight w:val="none"/>
                    </w:rPr>
                    <w:t>排</w:t>
                  </w:r>
                  <w:r>
                    <w:rPr>
                      <w:b w:val="0"/>
                      <w:bCs w:val="0"/>
                      <w:color w:val="auto"/>
                      <w:sz w:val="21"/>
                      <w:szCs w:val="21"/>
                      <w:highlight w:val="none"/>
                    </w:rPr>
                    <w:t>口排放标准：执行《城镇污水处理厂污染物排放标准》（GB18918-2002）一级A标准。</w:t>
                  </w:r>
                </w:p>
              </w:tc>
            </w:tr>
          </w:tbl>
          <w:p w14:paraId="4C255768">
            <w:pPr>
              <w:keepNext w:val="0"/>
              <w:keepLines w:val="0"/>
              <w:pageBreakBefore w:val="0"/>
              <w:widowControl w:val="0"/>
              <w:kinsoku/>
              <w:wordWrap/>
              <w:overflowPunct/>
              <w:topLinePunct w:val="0"/>
              <w:bidi w:val="0"/>
              <w:spacing w:line="360" w:lineRule="auto"/>
              <w:ind w:firstLine="480" w:firstLineChars="200"/>
              <w:jc w:val="both"/>
              <w:textAlignment w:val="auto"/>
              <w:rPr>
                <w:rFonts w:hint="default" w:ascii="Times New Roman" w:hAnsi="Times New Roman" w:eastAsia="宋体" w:cs="Times New Roman"/>
                <w:color w:val="auto"/>
                <w:sz w:val="24"/>
                <w:lang w:val="en-US" w:eastAsia="zh-CN"/>
              </w:rPr>
            </w:pPr>
            <w:r>
              <w:rPr>
                <w:rFonts w:hint="default" w:ascii="Times New Roman" w:hAnsi="Times New Roman" w:cs="Times New Roman"/>
                <w:color w:val="auto"/>
                <w:sz w:val="24"/>
                <w:lang w:val="en-US" w:eastAsia="zh-CN"/>
              </w:rPr>
              <w:t>本项目</w:t>
            </w:r>
            <w:r>
              <w:rPr>
                <w:rFonts w:hint="eastAsia" w:cs="Times New Roman"/>
                <w:color w:val="auto"/>
                <w:sz w:val="24"/>
                <w:lang w:val="en-US" w:eastAsia="zh-CN"/>
              </w:rPr>
              <w:t>污水处理站</w:t>
            </w:r>
            <w:r>
              <w:rPr>
                <w:rFonts w:hint="default" w:ascii="Times New Roman" w:hAnsi="Times New Roman" w:cs="Times New Roman"/>
                <w:color w:val="auto"/>
                <w:sz w:val="24"/>
                <w:lang w:val="en-US" w:eastAsia="zh-CN"/>
              </w:rPr>
              <w:t>排水量为</w:t>
            </w:r>
            <w:r>
              <w:rPr>
                <w:rFonts w:hint="eastAsia" w:cs="Times New Roman"/>
                <w:color w:val="auto"/>
                <w:sz w:val="24"/>
                <w:lang w:val="en-US" w:eastAsia="zh-CN"/>
              </w:rPr>
              <w:t>76.8</w:t>
            </w:r>
            <w:r>
              <w:rPr>
                <w:rFonts w:hint="eastAsia" w:cs="Times New Roman"/>
                <w:bCs/>
                <w:color w:val="auto"/>
                <w:sz w:val="24"/>
                <w:szCs w:val="24"/>
                <w:lang w:eastAsia="zh-CN"/>
              </w:rPr>
              <w:t>m</w:t>
            </w:r>
            <w:r>
              <w:rPr>
                <w:rFonts w:hint="eastAsia" w:cs="Times New Roman"/>
                <w:bCs/>
                <w:color w:val="auto"/>
                <w:sz w:val="24"/>
                <w:szCs w:val="24"/>
                <w:vertAlign w:val="superscript"/>
                <w:lang w:eastAsia="zh-CN"/>
              </w:rPr>
              <w:t>3</w:t>
            </w:r>
            <w:r>
              <w:rPr>
                <w:rFonts w:hint="default" w:ascii="Times New Roman" w:hAnsi="Times New Roman" w:cs="Times New Roman"/>
                <w:bCs/>
                <w:color w:val="auto"/>
                <w:sz w:val="24"/>
                <w:szCs w:val="24"/>
              </w:rPr>
              <w:t>/</w:t>
            </w:r>
            <w:r>
              <w:rPr>
                <w:rFonts w:hint="default" w:ascii="Times New Roman" w:hAnsi="Times New Roman" w:cs="Times New Roman"/>
                <w:bCs/>
                <w:color w:val="auto"/>
                <w:sz w:val="24"/>
                <w:szCs w:val="24"/>
                <w:lang w:val="en-US" w:eastAsia="zh-CN"/>
              </w:rPr>
              <w:t>a，</w:t>
            </w:r>
            <w:r>
              <w:rPr>
                <w:rFonts w:hint="eastAsia" w:cs="Times New Roman"/>
                <w:bCs/>
                <w:color w:val="auto"/>
                <w:sz w:val="24"/>
                <w:szCs w:val="24"/>
                <w:lang w:val="en-US" w:eastAsia="zh-CN"/>
              </w:rPr>
              <w:t>锂</w:t>
            </w:r>
            <w:r>
              <w:rPr>
                <w:rFonts w:hint="default" w:ascii="Times New Roman" w:hAnsi="Times New Roman" w:cs="Times New Roman"/>
                <w:bCs/>
                <w:color w:val="auto"/>
                <w:sz w:val="24"/>
                <w:szCs w:val="24"/>
                <w:lang w:val="en-US" w:eastAsia="zh-CN"/>
              </w:rPr>
              <w:t>离子电池年产能为</w:t>
            </w:r>
            <w:r>
              <w:rPr>
                <w:rFonts w:hint="eastAsia" w:cs="Times New Roman"/>
                <w:bCs/>
                <w:color w:val="auto"/>
                <w:sz w:val="24"/>
                <w:szCs w:val="24"/>
                <w:lang w:val="en-US" w:eastAsia="zh-CN"/>
              </w:rPr>
              <w:t>1350万只</w:t>
            </w:r>
            <w:r>
              <w:rPr>
                <w:rFonts w:hint="default" w:ascii="Times New Roman" w:hAnsi="Times New Roman" w:cs="Times New Roman"/>
                <w:bCs/>
                <w:color w:val="auto"/>
                <w:sz w:val="24"/>
                <w:szCs w:val="24"/>
                <w:lang w:val="en-US" w:eastAsia="zh-CN"/>
              </w:rPr>
              <w:t>（折合1.5GWh），电池的电流</w:t>
            </w:r>
            <w:r>
              <w:rPr>
                <w:rFonts w:hint="default" w:ascii="Times New Roman" w:hAnsi="Times New Roman" w:cs="Times New Roman"/>
                <w:bCs/>
                <w:color w:val="auto"/>
                <w:sz w:val="24"/>
                <w:szCs w:val="24"/>
                <w:highlight w:val="none"/>
                <w:lang w:val="en-US" w:eastAsia="zh-CN"/>
              </w:rPr>
              <w:t>约</w:t>
            </w:r>
            <w:r>
              <w:rPr>
                <w:rFonts w:hint="eastAsia" w:cs="Times New Roman"/>
                <w:bCs/>
                <w:color w:val="auto"/>
                <w:sz w:val="24"/>
                <w:szCs w:val="24"/>
                <w:highlight w:val="none"/>
                <w:lang w:val="en-US" w:eastAsia="zh-CN"/>
              </w:rPr>
              <w:t>46875</w:t>
            </w:r>
            <w:r>
              <w:rPr>
                <w:rFonts w:hint="default" w:ascii="Times New Roman" w:hAnsi="Times New Roman" w:cs="Times New Roman"/>
                <w:bCs/>
                <w:color w:val="auto"/>
                <w:sz w:val="24"/>
                <w:szCs w:val="24"/>
                <w:highlight w:val="none"/>
                <w:lang w:val="en-US" w:eastAsia="zh-CN"/>
              </w:rPr>
              <w:t>万Ah。</w:t>
            </w:r>
            <w:r>
              <w:rPr>
                <w:rFonts w:hint="default" w:ascii="Times New Roman" w:hAnsi="Times New Roman" w:cs="Times New Roman"/>
                <w:bCs/>
                <w:color w:val="auto"/>
                <w:sz w:val="24"/>
                <w:szCs w:val="24"/>
                <w:lang w:val="en-US" w:eastAsia="zh-CN"/>
              </w:rPr>
              <w:t>则项目单位产品基准排水量约为0.</w:t>
            </w:r>
            <w:r>
              <w:rPr>
                <w:rFonts w:hint="eastAsia" w:cs="Times New Roman"/>
                <w:bCs/>
                <w:color w:val="auto"/>
                <w:sz w:val="24"/>
                <w:szCs w:val="24"/>
                <w:lang w:val="en-US" w:eastAsia="zh-CN"/>
              </w:rPr>
              <w:t>0016</w:t>
            </w:r>
            <w:r>
              <w:rPr>
                <w:rFonts w:hint="eastAsia" w:cs="Times New Roman"/>
                <w:bCs/>
                <w:color w:val="auto"/>
                <w:sz w:val="24"/>
                <w:szCs w:val="24"/>
                <w:lang w:eastAsia="zh-CN"/>
              </w:rPr>
              <w:t>m</w:t>
            </w:r>
            <w:r>
              <w:rPr>
                <w:rFonts w:hint="eastAsia" w:cs="Times New Roman"/>
                <w:bCs/>
                <w:color w:val="auto"/>
                <w:sz w:val="24"/>
                <w:szCs w:val="24"/>
                <w:vertAlign w:val="superscript"/>
                <w:lang w:eastAsia="zh-CN"/>
              </w:rPr>
              <w:t>3</w:t>
            </w:r>
            <w:r>
              <w:rPr>
                <w:rFonts w:hint="default" w:ascii="Times New Roman" w:hAnsi="Times New Roman" w:cs="Times New Roman"/>
                <w:bCs/>
                <w:color w:val="auto"/>
                <w:sz w:val="24"/>
                <w:szCs w:val="24"/>
              </w:rPr>
              <w:t>/</w:t>
            </w:r>
            <w:r>
              <w:rPr>
                <w:rFonts w:hint="default" w:ascii="Times New Roman" w:hAnsi="Times New Roman" w:cs="Times New Roman"/>
                <w:bCs/>
                <w:color w:val="auto"/>
                <w:sz w:val="24"/>
                <w:szCs w:val="24"/>
                <w:lang w:val="en-US" w:eastAsia="zh-CN"/>
              </w:rPr>
              <w:t>万Ah，满足</w:t>
            </w:r>
            <w:r>
              <w:rPr>
                <w:rFonts w:hint="default" w:ascii="Times New Roman" w:hAnsi="Times New Roman" w:cs="Times New Roman"/>
                <w:bCs/>
                <w:color w:val="auto"/>
                <w:sz w:val="24"/>
                <w:lang w:val="en-US" w:eastAsia="zh-CN"/>
              </w:rPr>
              <w:t>基准排水量0.8</w:t>
            </w:r>
            <w:r>
              <w:rPr>
                <w:rFonts w:hint="eastAsia" w:cs="Times New Roman"/>
                <w:bCs/>
                <w:color w:val="auto"/>
                <w:sz w:val="24"/>
                <w:lang w:val="en-US" w:eastAsia="zh-CN"/>
              </w:rPr>
              <w:t>m</w:t>
            </w:r>
            <w:r>
              <w:rPr>
                <w:rFonts w:hint="eastAsia" w:cs="Times New Roman"/>
                <w:bCs/>
                <w:color w:val="auto"/>
                <w:sz w:val="24"/>
                <w:vertAlign w:val="superscript"/>
                <w:lang w:val="en-US" w:eastAsia="zh-CN"/>
              </w:rPr>
              <w:t>3</w:t>
            </w:r>
            <w:r>
              <w:rPr>
                <w:rFonts w:hint="default" w:ascii="Times New Roman" w:hAnsi="Times New Roman" w:cs="Times New Roman"/>
                <w:bCs/>
                <w:color w:val="auto"/>
                <w:sz w:val="24"/>
                <w:lang w:val="en-US" w:eastAsia="zh-CN"/>
              </w:rPr>
              <w:t>/万Ah要求</w:t>
            </w:r>
            <w:r>
              <w:rPr>
                <w:rFonts w:hint="eastAsia" w:ascii="Times New Roman" w:hAnsi="Times New Roman" w:cs="Times New Roman"/>
                <w:bCs/>
                <w:color w:val="auto"/>
                <w:sz w:val="24"/>
                <w:lang w:val="en-US" w:eastAsia="zh-CN"/>
              </w:rPr>
              <w:t>。</w:t>
            </w:r>
            <w:r>
              <w:rPr>
                <w:rFonts w:hint="eastAsia" w:cs="Times New Roman"/>
                <w:color w:val="auto"/>
                <w:sz w:val="24"/>
                <w:lang w:val="en-US" w:eastAsia="zh-CN"/>
              </w:rPr>
              <w:t>同时根据上表所示，</w:t>
            </w:r>
            <w:r>
              <w:rPr>
                <w:rFonts w:hint="default" w:ascii="Times New Roman" w:hAnsi="Times New Roman" w:eastAsia="宋体" w:cs="Times New Roman"/>
                <w:color w:val="auto"/>
                <w:sz w:val="24"/>
                <w:lang w:val="en-US" w:eastAsia="zh-CN"/>
              </w:rPr>
              <w:t>项目</w:t>
            </w:r>
            <w:r>
              <w:rPr>
                <w:rFonts w:hint="eastAsia" w:cs="Times New Roman"/>
                <w:color w:val="auto"/>
                <w:sz w:val="24"/>
                <w:lang w:val="en-US" w:eastAsia="zh-CN"/>
              </w:rPr>
              <w:t>厂区内污水处理站</w:t>
            </w:r>
            <w:r>
              <w:rPr>
                <w:rFonts w:hint="default" w:ascii="Times New Roman" w:hAnsi="Times New Roman" w:eastAsia="宋体" w:cs="Times New Roman"/>
                <w:color w:val="auto"/>
                <w:sz w:val="24"/>
                <w:lang w:val="en-US" w:eastAsia="zh-CN"/>
              </w:rPr>
              <w:t>排放</w:t>
            </w:r>
            <w:r>
              <w:rPr>
                <w:rFonts w:hint="eastAsia" w:cs="Times New Roman"/>
                <w:color w:val="auto"/>
                <w:sz w:val="24"/>
                <w:lang w:val="en-US" w:eastAsia="zh-CN"/>
              </w:rPr>
              <w:t>口</w:t>
            </w:r>
            <w:r>
              <w:rPr>
                <w:rFonts w:hint="default" w:ascii="Times New Roman" w:hAnsi="Times New Roman" w:eastAsia="宋体" w:cs="Times New Roman"/>
                <w:color w:val="auto"/>
                <w:sz w:val="24"/>
                <w:lang w:val="en-US" w:eastAsia="zh-CN"/>
              </w:rPr>
              <w:t>的废水污染物排放浓度能够满足《电池工业污染物排放标准》（GB 30484-2013）表2中</w:t>
            </w:r>
            <w:r>
              <w:rPr>
                <w:rFonts w:hint="eastAsia" w:ascii="Times New Roman" w:hAnsi="Times New Roman" w:eastAsia="宋体" w:cs="Times New Roman"/>
                <w:color w:val="auto"/>
                <w:sz w:val="24"/>
                <w:lang w:val="en-US" w:eastAsia="zh-CN"/>
              </w:rPr>
              <w:t>“</w:t>
            </w:r>
            <w:r>
              <w:rPr>
                <w:rFonts w:hint="default" w:ascii="Times New Roman" w:hAnsi="Times New Roman" w:eastAsia="宋体" w:cs="Times New Roman"/>
                <w:color w:val="auto"/>
                <w:sz w:val="24"/>
                <w:lang w:val="en-US" w:eastAsia="zh-CN"/>
              </w:rPr>
              <w:t>间接排放</w:t>
            </w:r>
            <w:r>
              <w:rPr>
                <w:rFonts w:hint="eastAsia" w:ascii="Times New Roman" w:hAnsi="Times New Roman" w:eastAsia="宋体" w:cs="Times New Roman"/>
                <w:color w:val="auto"/>
                <w:sz w:val="24"/>
                <w:lang w:val="en-US" w:eastAsia="zh-CN"/>
              </w:rPr>
              <w:t>”</w:t>
            </w:r>
            <w:r>
              <w:rPr>
                <w:rFonts w:hint="default" w:ascii="Times New Roman" w:hAnsi="Times New Roman" w:eastAsia="宋体" w:cs="Times New Roman"/>
                <w:color w:val="auto"/>
                <w:sz w:val="24"/>
                <w:lang w:val="en-US" w:eastAsia="zh-CN"/>
              </w:rPr>
              <w:t>、巴中经开区污水处理厂进水水质标准（即《污水综合排放标准》（GB8978-1996）三级标准）要求</w:t>
            </w:r>
            <w:r>
              <w:rPr>
                <w:rFonts w:hint="eastAsia" w:cs="Times New Roman"/>
                <w:color w:val="auto"/>
                <w:sz w:val="24"/>
                <w:lang w:val="en-US" w:eastAsia="zh-CN"/>
              </w:rPr>
              <w:t>，其余</w:t>
            </w:r>
            <w:r>
              <w:rPr>
                <w:rFonts w:hint="default" w:ascii="Times New Roman" w:hAnsi="Times New Roman" w:eastAsia="宋体" w:cs="Times New Roman"/>
                <w:color w:val="auto"/>
                <w:sz w:val="24"/>
                <w:lang w:val="en-US" w:eastAsia="zh-CN"/>
              </w:rPr>
              <w:t>废水污染物排放浓度能够满足《污水综合排放标准》（GB8978-1996）三级标准</w:t>
            </w:r>
            <w:r>
              <w:rPr>
                <w:rFonts w:hint="eastAsia" w:cs="Times New Roman"/>
                <w:color w:val="auto"/>
                <w:sz w:val="24"/>
                <w:lang w:val="en-US" w:eastAsia="zh-CN"/>
              </w:rPr>
              <w:t>。</w:t>
            </w:r>
          </w:p>
          <w:p w14:paraId="624FE654">
            <w:pPr>
              <w:ind w:firstLine="422" w:firstLineChars="200"/>
              <w:jc w:val="center"/>
              <w:rPr>
                <w:b/>
                <w:bCs/>
                <w:color w:val="auto"/>
                <w:szCs w:val="21"/>
                <w:highlight w:val="none"/>
              </w:rPr>
            </w:pPr>
            <w:r>
              <w:rPr>
                <w:b/>
                <w:bCs/>
                <w:color w:val="auto"/>
                <w:szCs w:val="21"/>
                <w:highlight w:val="none"/>
              </w:rPr>
              <w:t>表4-</w:t>
            </w:r>
            <w:r>
              <w:rPr>
                <w:rFonts w:hint="eastAsia"/>
                <w:b/>
                <w:bCs/>
                <w:color w:val="auto"/>
                <w:szCs w:val="21"/>
                <w:highlight w:val="none"/>
                <w:lang w:val="en-US" w:eastAsia="zh-CN"/>
              </w:rPr>
              <w:t>12</w:t>
            </w:r>
            <w:r>
              <w:rPr>
                <w:b/>
                <w:bCs/>
                <w:color w:val="auto"/>
                <w:szCs w:val="21"/>
                <w:highlight w:val="none"/>
              </w:rPr>
              <w:t xml:space="preserve">  废水</w:t>
            </w:r>
            <w:r>
              <w:rPr>
                <w:rFonts w:hint="eastAsia"/>
                <w:b/>
                <w:bCs/>
                <w:color w:val="auto"/>
                <w:szCs w:val="21"/>
                <w:highlight w:val="none"/>
                <w:lang w:val="en-US" w:eastAsia="zh-CN"/>
              </w:rPr>
              <w:t>治理设施信息</w:t>
            </w:r>
            <w:r>
              <w:rPr>
                <w:b/>
                <w:bCs/>
                <w:color w:val="auto"/>
                <w:szCs w:val="21"/>
                <w:highlight w:val="none"/>
              </w:rPr>
              <w:t>表</w:t>
            </w:r>
          </w:p>
          <w:tbl>
            <w:tblPr>
              <w:tblStyle w:val="42"/>
              <w:tblW w:w="8069" w:type="dxa"/>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694"/>
              <w:gridCol w:w="946"/>
              <w:gridCol w:w="687"/>
              <w:gridCol w:w="842"/>
              <w:gridCol w:w="637"/>
              <w:gridCol w:w="725"/>
              <w:gridCol w:w="513"/>
              <w:gridCol w:w="525"/>
              <w:gridCol w:w="708"/>
              <w:gridCol w:w="588"/>
              <w:gridCol w:w="575"/>
              <w:gridCol w:w="629"/>
            </w:tblGrid>
            <w:tr w14:paraId="2E85320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94" w:hRule="atLeast"/>
                <w:jc w:val="center"/>
              </w:trPr>
              <w:tc>
                <w:tcPr>
                  <w:tcW w:w="694" w:type="dxa"/>
                  <w:vMerge w:val="restart"/>
                  <w:noWrap w:val="0"/>
                  <w:vAlign w:val="center"/>
                </w:tcPr>
                <w:p w14:paraId="756008C3">
                  <w:pPr>
                    <w:jc w:val="center"/>
                    <w:rPr>
                      <w:rFonts w:hint="default"/>
                      <w:b/>
                      <w:bCs/>
                      <w:color w:val="auto"/>
                      <w:szCs w:val="21"/>
                      <w:highlight w:val="none"/>
                      <w:vertAlign w:val="baseline"/>
                      <w:lang w:val="en-US" w:eastAsia="zh-CN"/>
                    </w:rPr>
                  </w:pPr>
                  <w:r>
                    <w:rPr>
                      <w:rFonts w:hint="eastAsia"/>
                      <w:b/>
                      <w:bCs/>
                      <w:color w:val="auto"/>
                      <w:szCs w:val="21"/>
                      <w:highlight w:val="none"/>
                      <w:vertAlign w:val="baseline"/>
                      <w:lang w:val="en-US" w:eastAsia="zh-CN"/>
                    </w:rPr>
                    <w:t>废水类别</w:t>
                  </w:r>
                </w:p>
              </w:tc>
              <w:tc>
                <w:tcPr>
                  <w:tcW w:w="946" w:type="dxa"/>
                  <w:vMerge w:val="restart"/>
                  <w:noWrap w:val="0"/>
                  <w:vAlign w:val="center"/>
                </w:tcPr>
                <w:p w14:paraId="016B4241">
                  <w:pPr>
                    <w:jc w:val="center"/>
                    <w:rPr>
                      <w:rFonts w:hint="default"/>
                      <w:b/>
                      <w:bCs/>
                      <w:color w:val="auto"/>
                      <w:szCs w:val="21"/>
                      <w:highlight w:val="none"/>
                      <w:vertAlign w:val="baseline"/>
                      <w:lang w:val="en-US" w:eastAsia="zh-CN"/>
                    </w:rPr>
                  </w:pPr>
                  <w:r>
                    <w:rPr>
                      <w:rFonts w:hint="eastAsia"/>
                      <w:b/>
                      <w:bCs/>
                      <w:color w:val="auto"/>
                      <w:szCs w:val="21"/>
                      <w:highlight w:val="none"/>
                      <w:vertAlign w:val="baseline"/>
                      <w:lang w:val="en-US" w:eastAsia="zh-CN"/>
                    </w:rPr>
                    <w:t>污染物种类</w:t>
                  </w:r>
                </w:p>
              </w:tc>
              <w:tc>
                <w:tcPr>
                  <w:tcW w:w="2891" w:type="dxa"/>
                  <w:gridSpan w:val="4"/>
                  <w:noWrap w:val="0"/>
                  <w:vAlign w:val="center"/>
                </w:tcPr>
                <w:p w14:paraId="7EACF583">
                  <w:pPr>
                    <w:jc w:val="center"/>
                    <w:rPr>
                      <w:rFonts w:hint="default"/>
                      <w:b/>
                      <w:bCs/>
                      <w:color w:val="auto"/>
                      <w:szCs w:val="21"/>
                      <w:highlight w:val="none"/>
                      <w:vertAlign w:val="baseline"/>
                      <w:lang w:val="en-US" w:eastAsia="zh-CN"/>
                    </w:rPr>
                  </w:pPr>
                  <w:r>
                    <w:rPr>
                      <w:rFonts w:hint="eastAsia"/>
                      <w:b/>
                      <w:bCs/>
                      <w:color w:val="auto"/>
                      <w:szCs w:val="21"/>
                      <w:highlight w:val="none"/>
                      <w:vertAlign w:val="baseline"/>
                      <w:lang w:val="en-US" w:eastAsia="zh-CN"/>
                    </w:rPr>
                    <w:t>污染防治措施</w:t>
                  </w:r>
                </w:p>
              </w:tc>
              <w:tc>
                <w:tcPr>
                  <w:tcW w:w="513" w:type="dxa"/>
                  <w:vMerge w:val="restart"/>
                  <w:noWrap w:val="0"/>
                  <w:vAlign w:val="center"/>
                </w:tcPr>
                <w:p w14:paraId="4A34E63A">
                  <w:pPr>
                    <w:jc w:val="center"/>
                    <w:rPr>
                      <w:rFonts w:hint="default"/>
                      <w:b/>
                      <w:bCs/>
                      <w:color w:val="auto"/>
                      <w:szCs w:val="21"/>
                      <w:highlight w:val="none"/>
                      <w:vertAlign w:val="baseline"/>
                      <w:lang w:val="en-US" w:eastAsia="zh-CN"/>
                    </w:rPr>
                  </w:pPr>
                  <w:r>
                    <w:rPr>
                      <w:rFonts w:hint="eastAsia"/>
                      <w:b/>
                      <w:bCs/>
                      <w:color w:val="auto"/>
                      <w:szCs w:val="21"/>
                      <w:highlight w:val="none"/>
                      <w:vertAlign w:val="baseline"/>
                      <w:lang w:val="en-US" w:eastAsia="zh-CN"/>
                    </w:rPr>
                    <w:t>排放去向</w:t>
                  </w:r>
                </w:p>
              </w:tc>
              <w:tc>
                <w:tcPr>
                  <w:tcW w:w="525" w:type="dxa"/>
                  <w:vMerge w:val="restart"/>
                  <w:noWrap w:val="0"/>
                  <w:vAlign w:val="center"/>
                </w:tcPr>
                <w:p w14:paraId="12D2D7D8">
                  <w:pPr>
                    <w:jc w:val="center"/>
                    <w:rPr>
                      <w:rFonts w:hint="default"/>
                      <w:b/>
                      <w:bCs/>
                      <w:color w:val="auto"/>
                      <w:szCs w:val="21"/>
                      <w:highlight w:val="none"/>
                      <w:vertAlign w:val="baseline"/>
                      <w:lang w:val="en-US" w:eastAsia="zh-CN"/>
                    </w:rPr>
                  </w:pPr>
                  <w:r>
                    <w:rPr>
                      <w:rFonts w:hint="eastAsia"/>
                      <w:b/>
                      <w:bCs/>
                      <w:color w:val="auto"/>
                      <w:szCs w:val="21"/>
                      <w:highlight w:val="none"/>
                      <w:vertAlign w:val="baseline"/>
                      <w:lang w:val="en-US" w:eastAsia="zh-CN"/>
                    </w:rPr>
                    <w:t>排放方式</w:t>
                  </w:r>
                </w:p>
              </w:tc>
              <w:tc>
                <w:tcPr>
                  <w:tcW w:w="708" w:type="dxa"/>
                  <w:vMerge w:val="restart"/>
                  <w:noWrap w:val="0"/>
                  <w:vAlign w:val="center"/>
                </w:tcPr>
                <w:p w14:paraId="50C0177C">
                  <w:pPr>
                    <w:jc w:val="center"/>
                    <w:rPr>
                      <w:rFonts w:hint="default"/>
                      <w:b/>
                      <w:bCs/>
                      <w:color w:val="auto"/>
                      <w:szCs w:val="21"/>
                      <w:highlight w:val="none"/>
                      <w:vertAlign w:val="baseline"/>
                      <w:lang w:val="en-US" w:eastAsia="zh-CN"/>
                    </w:rPr>
                  </w:pPr>
                  <w:r>
                    <w:rPr>
                      <w:rFonts w:hint="eastAsia"/>
                      <w:b/>
                      <w:bCs/>
                      <w:color w:val="auto"/>
                      <w:szCs w:val="21"/>
                      <w:highlight w:val="none"/>
                      <w:vertAlign w:val="baseline"/>
                      <w:lang w:val="en-US" w:eastAsia="zh-CN"/>
                    </w:rPr>
                    <w:t>排放规律</w:t>
                  </w:r>
                </w:p>
              </w:tc>
              <w:tc>
                <w:tcPr>
                  <w:tcW w:w="1792" w:type="dxa"/>
                  <w:gridSpan w:val="3"/>
                  <w:noWrap w:val="0"/>
                  <w:vAlign w:val="center"/>
                </w:tcPr>
                <w:p w14:paraId="45D2F19A">
                  <w:pPr>
                    <w:jc w:val="center"/>
                    <w:rPr>
                      <w:rFonts w:hint="default"/>
                      <w:b/>
                      <w:bCs/>
                      <w:color w:val="auto"/>
                      <w:szCs w:val="21"/>
                      <w:highlight w:val="none"/>
                      <w:vertAlign w:val="baseline"/>
                      <w:lang w:val="en-US" w:eastAsia="zh-CN"/>
                    </w:rPr>
                  </w:pPr>
                  <w:r>
                    <w:rPr>
                      <w:rFonts w:hint="eastAsia"/>
                      <w:b/>
                      <w:bCs/>
                      <w:color w:val="auto"/>
                      <w:szCs w:val="21"/>
                      <w:highlight w:val="none"/>
                      <w:vertAlign w:val="baseline"/>
                      <w:lang w:val="en-US" w:eastAsia="zh-CN"/>
                    </w:rPr>
                    <w:t>排放口情况表</w:t>
                  </w:r>
                </w:p>
              </w:tc>
            </w:tr>
            <w:tr w14:paraId="3D24C7D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381" w:hRule="atLeast"/>
                <w:jc w:val="center"/>
              </w:trPr>
              <w:tc>
                <w:tcPr>
                  <w:tcW w:w="694" w:type="dxa"/>
                  <w:vMerge w:val="continue"/>
                  <w:noWrap w:val="0"/>
                  <w:vAlign w:val="center"/>
                </w:tcPr>
                <w:p w14:paraId="102DF390">
                  <w:pPr>
                    <w:jc w:val="center"/>
                    <w:rPr>
                      <w:rFonts w:hint="eastAsia"/>
                      <w:b/>
                      <w:bCs/>
                      <w:color w:val="auto"/>
                      <w:szCs w:val="21"/>
                      <w:highlight w:val="none"/>
                      <w:vertAlign w:val="baseline"/>
                      <w:lang w:val="en-US" w:eastAsia="zh-CN"/>
                    </w:rPr>
                  </w:pPr>
                </w:p>
              </w:tc>
              <w:tc>
                <w:tcPr>
                  <w:tcW w:w="946" w:type="dxa"/>
                  <w:vMerge w:val="continue"/>
                  <w:noWrap w:val="0"/>
                  <w:vAlign w:val="center"/>
                </w:tcPr>
                <w:p w14:paraId="24BEC1B3">
                  <w:pPr>
                    <w:jc w:val="center"/>
                    <w:rPr>
                      <w:rFonts w:hint="eastAsia"/>
                      <w:b/>
                      <w:bCs/>
                      <w:color w:val="auto"/>
                      <w:szCs w:val="21"/>
                      <w:highlight w:val="none"/>
                      <w:vertAlign w:val="baseline"/>
                      <w:lang w:val="en-US" w:eastAsia="zh-CN"/>
                    </w:rPr>
                  </w:pPr>
                </w:p>
              </w:tc>
              <w:tc>
                <w:tcPr>
                  <w:tcW w:w="687" w:type="dxa"/>
                  <w:noWrap w:val="0"/>
                  <w:vAlign w:val="center"/>
                </w:tcPr>
                <w:p w14:paraId="3EEB1A09">
                  <w:pPr>
                    <w:jc w:val="center"/>
                    <w:rPr>
                      <w:rFonts w:hint="default"/>
                      <w:b/>
                      <w:bCs/>
                      <w:color w:val="auto"/>
                      <w:szCs w:val="21"/>
                      <w:highlight w:val="none"/>
                      <w:vertAlign w:val="baseline"/>
                      <w:lang w:val="en-US" w:eastAsia="zh-CN"/>
                    </w:rPr>
                  </w:pPr>
                  <w:r>
                    <w:rPr>
                      <w:rFonts w:hint="eastAsia"/>
                      <w:b/>
                      <w:bCs/>
                      <w:color w:val="auto"/>
                      <w:szCs w:val="21"/>
                      <w:highlight w:val="none"/>
                      <w:vertAlign w:val="baseline"/>
                      <w:lang w:val="en-US" w:eastAsia="zh-CN"/>
                    </w:rPr>
                    <w:t>设施名称</w:t>
                  </w:r>
                </w:p>
              </w:tc>
              <w:tc>
                <w:tcPr>
                  <w:tcW w:w="842" w:type="dxa"/>
                  <w:noWrap w:val="0"/>
                  <w:vAlign w:val="center"/>
                </w:tcPr>
                <w:p w14:paraId="39C19F1E">
                  <w:pPr>
                    <w:jc w:val="center"/>
                    <w:rPr>
                      <w:rFonts w:hint="default"/>
                      <w:b/>
                      <w:bCs/>
                      <w:color w:val="auto"/>
                      <w:szCs w:val="21"/>
                      <w:highlight w:val="none"/>
                      <w:vertAlign w:val="baseline"/>
                      <w:lang w:val="en-US" w:eastAsia="zh-CN"/>
                    </w:rPr>
                  </w:pPr>
                  <w:r>
                    <w:rPr>
                      <w:rFonts w:hint="eastAsia"/>
                      <w:b/>
                      <w:bCs/>
                      <w:color w:val="auto"/>
                      <w:szCs w:val="21"/>
                      <w:highlight w:val="none"/>
                      <w:vertAlign w:val="baseline"/>
                      <w:lang w:val="en-US" w:eastAsia="zh-CN"/>
                    </w:rPr>
                    <w:t>处理能力</w:t>
                  </w:r>
                </w:p>
              </w:tc>
              <w:tc>
                <w:tcPr>
                  <w:tcW w:w="637" w:type="dxa"/>
                  <w:noWrap w:val="0"/>
                  <w:vAlign w:val="center"/>
                </w:tcPr>
                <w:p w14:paraId="3C3C5EA3">
                  <w:pPr>
                    <w:jc w:val="center"/>
                    <w:rPr>
                      <w:rFonts w:hint="default"/>
                      <w:b/>
                      <w:bCs/>
                      <w:color w:val="auto"/>
                      <w:szCs w:val="21"/>
                      <w:highlight w:val="none"/>
                      <w:vertAlign w:val="baseline"/>
                      <w:lang w:val="en-US" w:eastAsia="zh-CN"/>
                    </w:rPr>
                  </w:pPr>
                  <w:r>
                    <w:rPr>
                      <w:rFonts w:hint="eastAsia"/>
                      <w:b/>
                      <w:bCs/>
                      <w:color w:val="auto"/>
                      <w:szCs w:val="21"/>
                      <w:highlight w:val="none"/>
                      <w:vertAlign w:val="baseline"/>
                      <w:lang w:val="en-US" w:eastAsia="zh-CN"/>
                    </w:rPr>
                    <w:t>处理工艺</w:t>
                  </w:r>
                </w:p>
              </w:tc>
              <w:tc>
                <w:tcPr>
                  <w:tcW w:w="725" w:type="dxa"/>
                  <w:noWrap w:val="0"/>
                  <w:vAlign w:val="center"/>
                </w:tcPr>
                <w:p w14:paraId="4847EA64">
                  <w:pPr>
                    <w:jc w:val="center"/>
                    <w:rPr>
                      <w:rFonts w:hint="default"/>
                      <w:b/>
                      <w:bCs/>
                      <w:color w:val="auto"/>
                      <w:szCs w:val="21"/>
                      <w:highlight w:val="none"/>
                      <w:vertAlign w:val="baseline"/>
                      <w:lang w:val="en-US" w:eastAsia="zh-CN"/>
                    </w:rPr>
                  </w:pPr>
                  <w:r>
                    <w:rPr>
                      <w:rFonts w:hint="eastAsia"/>
                      <w:b/>
                      <w:bCs/>
                      <w:color w:val="auto"/>
                      <w:szCs w:val="21"/>
                      <w:highlight w:val="none"/>
                      <w:vertAlign w:val="baseline"/>
                      <w:lang w:val="en-US" w:eastAsia="zh-CN"/>
                    </w:rPr>
                    <w:t>是否为可行技术</w:t>
                  </w:r>
                </w:p>
              </w:tc>
              <w:tc>
                <w:tcPr>
                  <w:tcW w:w="513" w:type="dxa"/>
                  <w:vMerge w:val="continue"/>
                  <w:noWrap w:val="0"/>
                  <w:vAlign w:val="center"/>
                </w:tcPr>
                <w:p w14:paraId="6490CEDE">
                  <w:pPr>
                    <w:jc w:val="center"/>
                    <w:rPr>
                      <w:rFonts w:hint="default"/>
                      <w:b/>
                      <w:bCs/>
                      <w:color w:val="auto"/>
                      <w:szCs w:val="21"/>
                      <w:highlight w:val="none"/>
                      <w:vertAlign w:val="baseline"/>
                      <w:lang w:val="en-US" w:eastAsia="zh-CN"/>
                    </w:rPr>
                  </w:pPr>
                </w:p>
              </w:tc>
              <w:tc>
                <w:tcPr>
                  <w:tcW w:w="525" w:type="dxa"/>
                  <w:vMerge w:val="continue"/>
                  <w:noWrap w:val="0"/>
                  <w:vAlign w:val="center"/>
                </w:tcPr>
                <w:p w14:paraId="21D3B94C">
                  <w:pPr>
                    <w:jc w:val="center"/>
                    <w:rPr>
                      <w:rFonts w:hint="default"/>
                      <w:b/>
                      <w:bCs/>
                      <w:color w:val="auto"/>
                      <w:szCs w:val="21"/>
                      <w:highlight w:val="none"/>
                      <w:vertAlign w:val="baseline"/>
                      <w:lang w:val="en-US" w:eastAsia="zh-CN"/>
                    </w:rPr>
                  </w:pPr>
                </w:p>
              </w:tc>
              <w:tc>
                <w:tcPr>
                  <w:tcW w:w="708" w:type="dxa"/>
                  <w:vMerge w:val="continue"/>
                  <w:noWrap w:val="0"/>
                  <w:vAlign w:val="center"/>
                </w:tcPr>
                <w:p w14:paraId="00819701">
                  <w:pPr>
                    <w:jc w:val="center"/>
                    <w:rPr>
                      <w:rFonts w:hint="default"/>
                      <w:b/>
                      <w:bCs/>
                      <w:color w:val="auto"/>
                      <w:szCs w:val="21"/>
                      <w:highlight w:val="none"/>
                      <w:vertAlign w:val="baseline"/>
                      <w:lang w:val="en-US" w:eastAsia="zh-CN"/>
                    </w:rPr>
                  </w:pPr>
                </w:p>
              </w:tc>
              <w:tc>
                <w:tcPr>
                  <w:tcW w:w="588" w:type="dxa"/>
                  <w:noWrap w:val="0"/>
                  <w:vAlign w:val="center"/>
                </w:tcPr>
                <w:p w14:paraId="65A739F5">
                  <w:pPr>
                    <w:jc w:val="center"/>
                    <w:rPr>
                      <w:rFonts w:hint="default"/>
                      <w:b/>
                      <w:bCs/>
                      <w:color w:val="auto"/>
                      <w:szCs w:val="21"/>
                      <w:highlight w:val="none"/>
                      <w:vertAlign w:val="baseline"/>
                      <w:lang w:val="en-US" w:eastAsia="zh-CN"/>
                    </w:rPr>
                  </w:pPr>
                  <w:r>
                    <w:rPr>
                      <w:rFonts w:hint="eastAsia"/>
                      <w:b/>
                      <w:bCs/>
                      <w:color w:val="auto"/>
                      <w:szCs w:val="21"/>
                      <w:highlight w:val="none"/>
                      <w:vertAlign w:val="baseline"/>
                      <w:lang w:val="en-US" w:eastAsia="zh-CN"/>
                    </w:rPr>
                    <w:t>排放口编号</w:t>
                  </w:r>
                </w:p>
              </w:tc>
              <w:tc>
                <w:tcPr>
                  <w:tcW w:w="575" w:type="dxa"/>
                  <w:noWrap w:val="0"/>
                  <w:vAlign w:val="center"/>
                </w:tcPr>
                <w:p w14:paraId="6F1B1511">
                  <w:pPr>
                    <w:jc w:val="center"/>
                    <w:rPr>
                      <w:rFonts w:hint="default"/>
                      <w:b/>
                      <w:bCs/>
                      <w:color w:val="auto"/>
                      <w:szCs w:val="21"/>
                      <w:highlight w:val="none"/>
                      <w:vertAlign w:val="baseline"/>
                      <w:lang w:val="en-US" w:eastAsia="zh-CN"/>
                    </w:rPr>
                  </w:pPr>
                  <w:r>
                    <w:rPr>
                      <w:rFonts w:hint="eastAsia"/>
                      <w:b/>
                      <w:bCs/>
                      <w:color w:val="auto"/>
                      <w:szCs w:val="21"/>
                      <w:highlight w:val="none"/>
                      <w:vertAlign w:val="baseline"/>
                      <w:lang w:val="en-US" w:eastAsia="zh-CN"/>
                    </w:rPr>
                    <w:t>排放口名称</w:t>
                  </w:r>
                </w:p>
              </w:tc>
              <w:tc>
                <w:tcPr>
                  <w:tcW w:w="629" w:type="dxa"/>
                  <w:noWrap w:val="0"/>
                  <w:vAlign w:val="center"/>
                </w:tcPr>
                <w:p w14:paraId="3BF46D3D">
                  <w:pPr>
                    <w:jc w:val="center"/>
                    <w:rPr>
                      <w:rFonts w:hint="default"/>
                      <w:b/>
                      <w:bCs/>
                      <w:color w:val="auto"/>
                      <w:szCs w:val="21"/>
                      <w:highlight w:val="none"/>
                      <w:vertAlign w:val="baseline"/>
                      <w:lang w:val="en-US" w:eastAsia="zh-CN"/>
                    </w:rPr>
                  </w:pPr>
                  <w:r>
                    <w:rPr>
                      <w:rFonts w:hint="eastAsia"/>
                      <w:b/>
                      <w:bCs/>
                      <w:color w:val="auto"/>
                      <w:szCs w:val="21"/>
                      <w:highlight w:val="none"/>
                      <w:vertAlign w:val="baseline"/>
                      <w:lang w:val="en-US" w:eastAsia="zh-CN"/>
                    </w:rPr>
                    <w:t>排放口类型</w:t>
                  </w:r>
                </w:p>
              </w:tc>
            </w:tr>
            <w:tr w14:paraId="10B9C54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639" w:hRule="atLeast"/>
                <w:jc w:val="center"/>
              </w:trPr>
              <w:tc>
                <w:tcPr>
                  <w:tcW w:w="694" w:type="dxa"/>
                  <w:noWrap w:val="0"/>
                  <w:vAlign w:val="center"/>
                </w:tcPr>
                <w:p w14:paraId="44EEAA44">
                  <w:pPr>
                    <w:jc w:val="center"/>
                    <w:rPr>
                      <w:rFonts w:hint="default"/>
                      <w:b w:val="0"/>
                      <w:bCs w:val="0"/>
                      <w:color w:val="auto"/>
                      <w:szCs w:val="21"/>
                      <w:highlight w:val="none"/>
                      <w:vertAlign w:val="baseline"/>
                      <w:lang w:val="en-US" w:eastAsia="zh-CN"/>
                    </w:rPr>
                  </w:pPr>
                  <w:r>
                    <w:rPr>
                      <w:rFonts w:hint="eastAsia"/>
                      <w:b w:val="0"/>
                      <w:bCs w:val="0"/>
                      <w:color w:val="auto"/>
                      <w:szCs w:val="21"/>
                      <w:highlight w:val="none"/>
                      <w:vertAlign w:val="baseline"/>
                      <w:lang w:val="en-US" w:eastAsia="zh-CN"/>
                    </w:rPr>
                    <w:t>生活污水、纯水制备浓水</w:t>
                  </w:r>
                </w:p>
              </w:tc>
              <w:tc>
                <w:tcPr>
                  <w:tcW w:w="946" w:type="dxa"/>
                  <w:noWrap w:val="0"/>
                  <w:vAlign w:val="center"/>
                </w:tcPr>
                <w:p w14:paraId="34CA0F0D">
                  <w:pPr>
                    <w:jc w:val="center"/>
                    <w:rPr>
                      <w:rFonts w:hint="default"/>
                      <w:b w:val="0"/>
                      <w:bCs w:val="0"/>
                      <w:color w:val="auto"/>
                      <w:szCs w:val="21"/>
                      <w:highlight w:val="none"/>
                      <w:vertAlign w:val="baseline"/>
                      <w:lang w:val="en-US" w:eastAsia="zh-CN"/>
                    </w:rPr>
                  </w:pPr>
                  <w:r>
                    <w:rPr>
                      <w:rFonts w:hint="eastAsia"/>
                      <w:b w:val="0"/>
                      <w:bCs w:val="0"/>
                      <w:color w:val="auto"/>
                      <w:szCs w:val="21"/>
                      <w:highlight w:val="none"/>
                      <w:vertAlign w:val="baseline"/>
                      <w:lang w:val="en-US" w:eastAsia="zh-CN"/>
                    </w:rPr>
                    <w:t>COD、BOD</w:t>
                  </w:r>
                  <w:r>
                    <w:rPr>
                      <w:rFonts w:hint="eastAsia"/>
                      <w:b w:val="0"/>
                      <w:bCs w:val="0"/>
                      <w:color w:val="auto"/>
                      <w:szCs w:val="21"/>
                      <w:highlight w:val="none"/>
                      <w:vertAlign w:val="subscript"/>
                      <w:lang w:val="en-US" w:eastAsia="zh-CN"/>
                    </w:rPr>
                    <w:t>5</w:t>
                  </w:r>
                  <w:r>
                    <w:rPr>
                      <w:rFonts w:hint="eastAsia"/>
                      <w:b w:val="0"/>
                      <w:bCs w:val="0"/>
                      <w:color w:val="auto"/>
                      <w:szCs w:val="21"/>
                      <w:highlight w:val="none"/>
                      <w:vertAlign w:val="baseline"/>
                      <w:lang w:val="en-US" w:eastAsia="zh-CN"/>
                    </w:rPr>
                    <w:t>、TP、氨氮、SS、TN</w:t>
                  </w:r>
                </w:p>
              </w:tc>
              <w:tc>
                <w:tcPr>
                  <w:tcW w:w="687" w:type="dxa"/>
                  <w:shd w:val="clear" w:color="auto" w:fill="auto"/>
                  <w:noWrap w:val="0"/>
                  <w:vAlign w:val="center"/>
                </w:tcPr>
                <w:p w14:paraId="6F35440F">
                  <w:pPr>
                    <w:jc w:val="center"/>
                    <w:rPr>
                      <w:rFonts w:hint="default"/>
                      <w:b w:val="0"/>
                      <w:bCs w:val="0"/>
                      <w:color w:val="auto"/>
                      <w:szCs w:val="21"/>
                      <w:highlight w:val="none"/>
                      <w:vertAlign w:val="baseline"/>
                      <w:lang w:val="en-US" w:eastAsia="zh-CN"/>
                    </w:rPr>
                  </w:pPr>
                  <w:r>
                    <w:rPr>
                      <w:rFonts w:hint="eastAsia"/>
                      <w:b w:val="0"/>
                      <w:bCs w:val="0"/>
                      <w:color w:val="auto"/>
                      <w:szCs w:val="21"/>
                      <w:highlight w:val="none"/>
                      <w:vertAlign w:val="baseline"/>
                      <w:lang w:val="en-US" w:eastAsia="zh-CN"/>
                    </w:rPr>
                    <w:t>预处理池</w:t>
                  </w:r>
                </w:p>
              </w:tc>
              <w:tc>
                <w:tcPr>
                  <w:tcW w:w="842" w:type="dxa"/>
                  <w:shd w:val="clear" w:color="auto" w:fill="auto"/>
                  <w:noWrap w:val="0"/>
                  <w:vAlign w:val="center"/>
                </w:tcPr>
                <w:p w14:paraId="7FABCD97">
                  <w:pPr>
                    <w:jc w:val="center"/>
                    <w:rPr>
                      <w:rFonts w:hint="default"/>
                      <w:b w:val="0"/>
                      <w:bCs w:val="0"/>
                      <w:color w:val="auto"/>
                      <w:szCs w:val="21"/>
                      <w:highlight w:val="none"/>
                      <w:vertAlign w:val="baseline"/>
                      <w:lang w:val="en-US" w:eastAsia="zh-CN"/>
                    </w:rPr>
                  </w:pPr>
                  <w:r>
                    <w:rPr>
                      <w:rFonts w:hint="eastAsia"/>
                      <w:b w:val="0"/>
                      <w:bCs w:val="0"/>
                      <w:color w:val="auto"/>
                      <w:szCs w:val="21"/>
                      <w:highlight w:val="none"/>
                      <w:shd w:val="clear"/>
                      <w:vertAlign w:val="baseline"/>
                      <w:lang w:val="en-US" w:eastAsia="zh-CN"/>
                    </w:rPr>
                    <w:t>50m</w:t>
                  </w:r>
                  <w:r>
                    <w:rPr>
                      <w:rFonts w:hint="eastAsia"/>
                      <w:b w:val="0"/>
                      <w:bCs w:val="0"/>
                      <w:color w:val="auto"/>
                      <w:szCs w:val="21"/>
                      <w:highlight w:val="none"/>
                      <w:shd w:val="clear"/>
                      <w:vertAlign w:val="superscript"/>
                      <w:lang w:val="en-US" w:eastAsia="zh-CN"/>
                    </w:rPr>
                    <w:t>3</w:t>
                  </w:r>
                </w:p>
              </w:tc>
              <w:tc>
                <w:tcPr>
                  <w:tcW w:w="637" w:type="dxa"/>
                  <w:noWrap w:val="0"/>
                  <w:vAlign w:val="center"/>
                </w:tcPr>
                <w:p w14:paraId="1AA1099F">
                  <w:pPr>
                    <w:jc w:val="center"/>
                    <w:rPr>
                      <w:rFonts w:hint="default"/>
                      <w:b w:val="0"/>
                      <w:bCs w:val="0"/>
                      <w:color w:val="auto"/>
                      <w:szCs w:val="21"/>
                      <w:highlight w:val="none"/>
                      <w:vertAlign w:val="baseline"/>
                      <w:lang w:val="en-US" w:eastAsia="zh-CN"/>
                    </w:rPr>
                  </w:pPr>
                  <w:r>
                    <w:rPr>
                      <w:rFonts w:hint="eastAsia"/>
                      <w:b w:val="0"/>
                      <w:bCs w:val="0"/>
                      <w:color w:val="auto"/>
                      <w:szCs w:val="21"/>
                      <w:highlight w:val="none"/>
                      <w:vertAlign w:val="baseline"/>
                      <w:lang w:val="en-US" w:eastAsia="zh-CN"/>
                    </w:rPr>
                    <w:t>沉淀</w:t>
                  </w:r>
                </w:p>
              </w:tc>
              <w:tc>
                <w:tcPr>
                  <w:tcW w:w="725" w:type="dxa"/>
                  <w:noWrap w:val="0"/>
                  <w:vAlign w:val="center"/>
                </w:tcPr>
                <w:p w14:paraId="3107B4E1">
                  <w:pPr>
                    <w:jc w:val="center"/>
                    <w:rPr>
                      <w:rFonts w:hint="default"/>
                      <w:b w:val="0"/>
                      <w:bCs w:val="0"/>
                      <w:color w:val="auto"/>
                      <w:szCs w:val="21"/>
                      <w:highlight w:val="none"/>
                      <w:vertAlign w:val="baseline"/>
                      <w:lang w:val="en-US" w:eastAsia="zh-CN"/>
                    </w:rPr>
                  </w:pPr>
                  <w:r>
                    <w:rPr>
                      <w:rFonts w:hint="eastAsia"/>
                      <w:b w:val="0"/>
                      <w:bCs w:val="0"/>
                      <w:color w:val="auto"/>
                      <w:szCs w:val="21"/>
                      <w:highlight w:val="none"/>
                      <w:vertAlign w:val="baseline"/>
                      <w:lang w:val="en-US" w:eastAsia="zh-CN"/>
                    </w:rPr>
                    <w:t>是</w:t>
                  </w:r>
                </w:p>
              </w:tc>
              <w:tc>
                <w:tcPr>
                  <w:tcW w:w="513" w:type="dxa"/>
                  <w:vMerge w:val="restart"/>
                  <w:noWrap w:val="0"/>
                  <w:vAlign w:val="center"/>
                </w:tcPr>
                <w:p w14:paraId="6CC58880">
                  <w:pPr>
                    <w:jc w:val="center"/>
                    <w:rPr>
                      <w:rFonts w:hint="default" w:eastAsia="宋体"/>
                      <w:b w:val="0"/>
                      <w:bCs w:val="0"/>
                      <w:color w:val="auto"/>
                      <w:kern w:val="2"/>
                      <w:sz w:val="21"/>
                      <w:szCs w:val="21"/>
                      <w:highlight w:val="none"/>
                      <w:vertAlign w:val="baseline"/>
                      <w:lang w:val="en-US" w:eastAsia="zh-CN" w:bidi="ar-SA"/>
                    </w:rPr>
                  </w:pPr>
                  <w:r>
                    <w:rPr>
                      <w:rFonts w:hint="default" w:ascii="Times New Roman" w:hAnsi="Times New Roman" w:cs="Times New Roman"/>
                      <w:b w:val="0"/>
                      <w:bCs w:val="0"/>
                      <w:color w:val="auto"/>
                      <w:sz w:val="21"/>
                      <w:szCs w:val="21"/>
                      <w:shd w:val="clear"/>
                    </w:rPr>
                    <w:t>巴中经济开发区污水处理厂</w:t>
                  </w:r>
                </w:p>
              </w:tc>
              <w:tc>
                <w:tcPr>
                  <w:tcW w:w="525" w:type="dxa"/>
                  <w:vMerge w:val="restart"/>
                  <w:noWrap w:val="0"/>
                  <w:vAlign w:val="center"/>
                </w:tcPr>
                <w:p w14:paraId="548F61F6">
                  <w:pPr>
                    <w:jc w:val="center"/>
                    <w:rPr>
                      <w:rFonts w:hint="default"/>
                      <w:b w:val="0"/>
                      <w:bCs w:val="0"/>
                      <w:color w:val="auto"/>
                      <w:szCs w:val="21"/>
                      <w:highlight w:val="none"/>
                      <w:vertAlign w:val="baseline"/>
                      <w:lang w:val="en-US" w:eastAsia="zh-CN"/>
                    </w:rPr>
                  </w:pPr>
                  <w:r>
                    <w:rPr>
                      <w:rFonts w:hint="eastAsia"/>
                      <w:b w:val="0"/>
                      <w:bCs w:val="0"/>
                      <w:color w:val="auto"/>
                      <w:szCs w:val="21"/>
                      <w:highlight w:val="none"/>
                      <w:vertAlign w:val="baseline"/>
                      <w:lang w:val="en-US" w:eastAsia="zh-CN"/>
                    </w:rPr>
                    <w:t>间接排放</w:t>
                  </w:r>
                </w:p>
              </w:tc>
              <w:tc>
                <w:tcPr>
                  <w:tcW w:w="708" w:type="dxa"/>
                  <w:vMerge w:val="restart"/>
                  <w:noWrap w:val="0"/>
                  <w:vAlign w:val="center"/>
                </w:tcPr>
                <w:p w14:paraId="2B829D03">
                  <w:pPr>
                    <w:jc w:val="center"/>
                    <w:rPr>
                      <w:rFonts w:hint="default"/>
                      <w:color w:val="auto"/>
                      <w:sz w:val="21"/>
                      <w:szCs w:val="21"/>
                      <w:highlight w:val="none"/>
                      <w:lang w:val="en-US" w:eastAsia="zh-CN"/>
                    </w:rPr>
                  </w:pPr>
                  <w:r>
                    <w:rPr>
                      <w:rFonts w:hint="eastAsia"/>
                      <w:color w:val="auto"/>
                      <w:sz w:val="21"/>
                      <w:szCs w:val="21"/>
                      <w:highlight w:val="none"/>
                      <w:lang w:val="en-US" w:eastAsia="zh-CN"/>
                    </w:rPr>
                    <w:t>间断排放</w:t>
                  </w:r>
                </w:p>
              </w:tc>
              <w:tc>
                <w:tcPr>
                  <w:tcW w:w="588" w:type="dxa"/>
                  <w:noWrap w:val="0"/>
                  <w:vAlign w:val="center"/>
                </w:tcPr>
                <w:p w14:paraId="7D7F9C2B">
                  <w:pPr>
                    <w:jc w:val="center"/>
                    <w:rPr>
                      <w:rFonts w:hint="default"/>
                      <w:color w:val="auto"/>
                      <w:sz w:val="21"/>
                      <w:szCs w:val="21"/>
                      <w:highlight w:val="none"/>
                      <w:lang w:val="en-US" w:eastAsia="zh-CN"/>
                    </w:rPr>
                  </w:pPr>
                  <w:r>
                    <w:rPr>
                      <w:rFonts w:hint="eastAsia"/>
                      <w:color w:val="auto"/>
                      <w:sz w:val="21"/>
                      <w:szCs w:val="21"/>
                      <w:highlight w:val="none"/>
                      <w:lang w:val="en-US" w:eastAsia="zh-CN"/>
                    </w:rPr>
                    <w:t>DW001</w:t>
                  </w:r>
                </w:p>
              </w:tc>
              <w:tc>
                <w:tcPr>
                  <w:tcW w:w="575" w:type="dxa"/>
                  <w:noWrap w:val="0"/>
                  <w:vAlign w:val="center"/>
                </w:tcPr>
                <w:p w14:paraId="34E68166">
                  <w:pPr>
                    <w:jc w:val="center"/>
                    <w:rPr>
                      <w:rFonts w:hint="default"/>
                      <w:color w:val="auto"/>
                      <w:sz w:val="21"/>
                      <w:szCs w:val="21"/>
                      <w:highlight w:val="none"/>
                      <w:lang w:val="en-US" w:eastAsia="zh-CN"/>
                    </w:rPr>
                  </w:pPr>
                  <w:r>
                    <w:rPr>
                      <w:rFonts w:hint="eastAsia"/>
                      <w:color w:val="auto"/>
                      <w:sz w:val="21"/>
                      <w:szCs w:val="21"/>
                      <w:highlight w:val="none"/>
                      <w:lang w:val="en-US" w:eastAsia="zh-CN"/>
                    </w:rPr>
                    <w:t>生活污水排口</w:t>
                  </w:r>
                </w:p>
              </w:tc>
              <w:tc>
                <w:tcPr>
                  <w:tcW w:w="629" w:type="dxa"/>
                  <w:vMerge w:val="restart"/>
                  <w:noWrap w:val="0"/>
                  <w:vAlign w:val="center"/>
                </w:tcPr>
                <w:p w14:paraId="7D82630F">
                  <w:pPr>
                    <w:jc w:val="center"/>
                    <w:rPr>
                      <w:rFonts w:hint="default"/>
                      <w:color w:val="auto"/>
                      <w:sz w:val="21"/>
                      <w:szCs w:val="21"/>
                      <w:highlight w:val="none"/>
                      <w:lang w:val="en-US" w:eastAsia="zh-CN"/>
                    </w:rPr>
                  </w:pPr>
                  <w:r>
                    <w:rPr>
                      <w:rFonts w:hint="eastAsia"/>
                      <w:color w:val="auto"/>
                      <w:sz w:val="21"/>
                      <w:szCs w:val="21"/>
                      <w:highlight w:val="none"/>
                      <w:lang w:val="en-US" w:eastAsia="zh-CN"/>
                    </w:rPr>
                    <w:t>一般排放口</w:t>
                  </w:r>
                </w:p>
              </w:tc>
            </w:tr>
            <w:tr w14:paraId="6BD3BA0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667" w:hRule="atLeast"/>
                <w:jc w:val="center"/>
              </w:trPr>
              <w:tc>
                <w:tcPr>
                  <w:tcW w:w="694" w:type="dxa"/>
                  <w:noWrap w:val="0"/>
                  <w:vAlign w:val="center"/>
                </w:tcPr>
                <w:p w14:paraId="0B45AC50">
                  <w:pPr>
                    <w:jc w:val="center"/>
                    <w:rPr>
                      <w:rFonts w:hint="default"/>
                      <w:b w:val="0"/>
                      <w:bCs w:val="0"/>
                      <w:color w:val="auto"/>
                      <w:szCs w:val="21"/>
                      <w:highlight w:val="none"/>
                      <w:vertAlign w:val="baseline"/>
                      <w:lang w:val="en-US" w:eastAsia="zh-CN"/>
                    </w:rPr>
                  </w:pPr>
                  <w:r>
                    <w:rPr>
                      <w:rFonts w:hint="eastAsia"/>
                      <w:b w:val="0"/>
                      <w:bCs w:val="0"/>
                      <w:color w:val="auto"/>
                      <w:szCs w:val="21"/>
                      <w:highlight w:val="none"/>
                      <w:vertAlign w:val="baseline"/>
                      <w:lang w:val="en-US" w:eastAsia="zh-CN"/>
                    </w:rPr>
                    <w:t>设备清洗废水</w:t>
                  </w:r>
                </w:p>
              </w:tc>
              <w:tc>
                <w:tcPr>
                  <w:tcW w:w="946" w:type="dxa"/>
                  <w:noWrap w:val="0"/>
                  <w:vAlign w:val="center"/>
                </w:tcPr>
                <w:p w14:paraId="5ABB245D">
                  <w:pPr>
                    <w:jc w:val="center"/>
                    <w:rPr>
                      <w:rFonts w:hint="eastAsia"/>
                      <w:b w:val="0"/>
                      <w:bCs w:val="0"/>
                      <w:color w:val="auto"/>
                      <w:szCs w:val="21"/>
                      <w:highlight w:val="none"/>
                      <w:vertAlign w:val="baseline"/>
                      <w:lang w:val="en-US" w:eastAsia="zh-CN"/>
                    </w:rPr>
                  </w:pPr>
                  <w:r>
                    <w:rPr>
                      <w:rFonts w:hint="eastAsia"/>
                      <w:b w:val="0"/>
                      <w:bCs w:val="0"/>
                      <w:color w:val="auto"/>
                      <w:szCs w:val="21"/>
                      <w:highlight w:val="none"/>
                      <w:vertAlign w:val="baseline"/>
                      <w:lang w:val="en-US" w:eastAsia="zh-CN"/>
                    </w:rPr>
                    <w:t>COD、BOD</w:t>
                  </w:r>
                  <w:r>
                    <w:rPr>
                      <w:rFonts w:hint="eastAsia"/>
                      <w:b w:val="0"/>
                      <w:bCs w:val="0"/>
                      <w:color w:val="auto"/>
                      <w:szCs w:val="21"/>
                      <w:highlight w:val="none"/>
                      <w:vertAlign w:val="subscript"/>
                      <w:lang w:val="en-US" w:eastAsia="zh-CN"/>
                    </w:rPr>
                    <w:t>5</w:t>
                  </w:r>
                  <w:r>
                    <w:rPr>
                      <w:rFonts w:hint="eastAsia"/>
                      <w:b w:val="0"/>
                      <w:bCs w:val="0"/>
                      <w:color w:val="auto"/>
                      <w:szCs w:val="21"/>
                      <w:highlight w:val="none"/>
                      <w:vertAlign w:val="baseline"/>
                      <w:lang w:val="en-US" w:eastAsia="zh-CN"/>
                    </w:rPr>
                    <w:t>、TP、氨氮、SS、TN</w:t>
                  </w:r>
                </w:p>
              </w:tc>
              <w:tc>
                <w:tcPr>
                  <w:tcW w:w="687" w:type="dxa"/>
                  <w:noWrap w:val="0"/>
                  <w:vAlign w:val="center"/>
                </w:tcPr>
                <w:p w14:paraId="6A526E56">
                  <w:pPr>
                    <w:jc w:val="center"/>
                    <w:rPr>
                      <w:rFonts w:hint="default"/>
                      <w:b w:val="0"/>
                      <w:bCs w:val="0"/>
                      <w:color w:val="auto"/>
                      <w:szCs w:val="21"/>
                      <w:highlight w:val="none"/>
                      <w:vertAlign w:val="baseline"/>
                      <w:lang w:val="en-US" w:eastAsia="zh-CN"/>
                    </w:rPr>
                  </w:pPr>
                  <w:r>
                    <w:rPr>
                      <w:rFonts w:hint="eastAsia"/>
                      <w:b w:val="0"/>
                      <w:bCs w:val="0"/>
                      <w:color w:val="auto"/>
                      <w:szCs w:val="21"/>
                      <w:highlight w:val="none"/>
                      <w:vertAlign w:val="baseline"/>
                      <w:lang w:val="en-US" w:eastAsia="zh-CN"/>
                    </w:rPr>
                    <w:t>污水处理站</w:t>
                  </w:r>
                </w:p>
              </w:tc>
              <w:tc>
                <w:tcPr>
                  <w:tcW w:w="842" w:type="dxa"/>
                  <w:shd w:val="clear" w:color="auto" w:fill="auto"/>
                  <w:noWrap w:val="0"/>
                  <w:vAlign w:val="center"/>
                </w:tcPr>
                <w:p w14:paraId="4984DE52">
                  <w:pPr>
                    <w:jc w:val="center"/>
                    <w:rPr>
                      <w:rFonts w:hint="default"/>
                      <w:b w:val="0"/>
                      <w:bCs w:val="0"/>
                      <w:color w:val="auto"/>
                      <w:szCs w:val="21"/>
                      <w:highlight w:val="none"/>
                      <w:vertAlign w:val="baseline"/>
                      <w:lang w:val="en-US" w:eastAsia="zh-CN"/>
                    </w:rPr>
                  </w:pPr>
                  <w:r>
                    <w:rPr>
                      <w:rFonts w:hint="eastAsia"/>
                      <w:b w:val="0"/>
                      <w:bCs w:val="0"/>
                      <w:color w:val="auto"/>
                      <w:szCs w:val="21"/>
                      <w:highlight w:val="none"/>
                      <w:vertAlign w:val="baseline"/>
                      <w:lang w:val="en-US" w:eastAsia="zh-CN"/>
                    </w:rPr>
                    <w:t>6m</w:t>
                  </w:r>
                  <w:r>
                    <w:rPr>
                      <w:rFonts w:hint="eastAsia"/>
                      <w:b w:val="0"/>
                      <w:bCs w:val="0"/>
                      <w:color w:val="auto"/>
                      <w:szCs w:val="21"/>
                      <w:highlight w:val="none"/>
                      <w:vertAlign w:val="superscript"/>
                      <w:lang w:val="en-US" w:eastAsia="zh-CN"/>
                    </w:rPr>
                    <w:t>3</w:t>
                  </w:r>
                  <w:r>
                    <w:rPr>
                      <w:rFonts w:hint="eastAsia"/>
                      <w:b w:val="0"/>
                      <w:bCs w:val="0"/>
                      <w:color w:val="auto"/>
                      <w:szCs w:val="21"/>
                      <w:highlight w:val="none"/>
                      <w:vertAlign w:val="baseline"/>
                      <w:lang w:val="en-US" w:eastAsia="zh-CN"/>
                    </w:rPr>
                    <w:t>/d</w:t>
                  </w:r>
                </w:p>
              </w:tc>
              <w:tc>
                <w:tcPr>
                  <w:tcW w:w="637" w:type="dxa"/>
                  <w:shd w:val="clear" w:color="auto" w:fill="auto"/>
                  <w:noWrap w:val="0"/>
                  <w:vAlign w:val="center"/>
                </w:tcPr>
                <w:p w14:paraId="329A0F64">
                  <w:pPr>
                    <w:jc w:val="center"/>
                    <w:rPr>
                      <w:rFonts w:hint="eastAsia"/>
                      <w:b w:val="0"/>
                      <w:bCs w:val="0"/>
                      <w:color w:val="auto"/>
                      <w:szCs w:val="21"/>
                      <w:highlight w:val="none"/>
                      <w:vertAlign w:val="baseline"/>
                      <w:lang w:val="en-US" w:eastAsia="zh-CN"/>
                    </w:rPr>
                  </w:pPr>
                  <w:r>
                    <w:rPr>
                      <w:rFonts w:hint="eastAsia"/>
                      <w:b w:val="0"/>
                      <w:bCs w:val="0"/>
                      <w:color w:val="auto"/>
                      <w:szCs w:val="21"/>
                      <w:highlight w:val="none"/>
                      <w:shd w:val="clear"/>
                      <w:vertAlign w:val="baseline"/>
                      <w:lang w:val="en-US" w:eastAsia="zh-CN"/>
                    </w:rPr>
                    <w:t>水解酸化+UASB厌氧处理</w:t>
                  </w:r>
                </w:p>
              </w:tc>
              <w:tc>
                <w:tcPr>
                  <w:tcW w:w="725" w:type="dxa"/>
                  <w:noWrap w:val="0"/>
                  <w:vAlign w:val="center"/>
                </w:tcPr>
                <w:p w14:paraId="01648DC1">
                  <w:pPr>
                    <w:jc w:val="center"/>
                    <w:rPr>
                      <w:rFonts w:hint="default"/>
                      <w:b w:val="0"/>
                      <w:bCs w:val="0"/>
                      <w:color w:val="auto"/>
                      <w:szCs w:val="21"/>
                      <w:highlight w:val="none"/>
                      <w:vertAlign w:val="baseline"/>
                      <w:lang w:val="en-US" w:eastAsia="zh-CN"/>
                    </w:rPr>
                  </w:pPr>
                  <w:r>
                    <w:rPr>
                      <w:rFonts w:hint="eastAsia"/>
                      <w:b w:val="0"/>
                      <w:bCs w:val="0"/>
                      <w:color w:val="auto"/>
                      <w:szCs w:val="21"/>
                      <w:highlight w:val="none"/>
                      <w:vertAlign w:val="baseline"/>
                      <w:lang w:val="en-US" w:eastAsia="zh-CN"/>
                    </w:rPr>
                    <w:t>是</w:t>
                  </w:r>
                </w:p>
              </w:tc>
              <w:tc>
                <w:tcPr>
                  <w:tcW w:w="513" w:type="dxa"/>
                  <w:vMerge w:val="continue"/>
                  <w:noWrap w:val="0"/>
                  <w:vAlign w:val="center"/>
                </w:tcPr>
                <w:p w14:paraId="2A513084">
                  <w:pPr>
                    <w:jc w:val="center"/>
                    <w:rPr>
                      <w:rFonts w:hint="eastAsia" w:eastAsia="宋体"/>
                      <w:b w:val="0"/>
                      <w:bCs w:val="0"/>
                      <w:color w:val="auto"/>
                      <w:kern w:val="2"/>
                      <w:sz w:val="21"/>
                      <w:szCs w:val="21"/>
                      <w:highlight w:val="none"/>
                      <w:vertAlign w:val="baseline"/>
                      <w:lang w:val="en-US" w:eastAsia="zh-CN" w:bidi="ar-SA"/>
                    </w:rPr>
                  </w:pPr>
                </w:p>
              </w:tc>
              <w:tc>
                <w:tcPr>
                  <w:tcW w:w="525" w:type="dxa"/>
                  <w:vMerge w:val="continue"/>
                  <w:noWrap w:val="0"/>
                  <w:vAlign w:val="center"/>
                </w:tcPr>
                <w:p w14:paraId="32E0C889">
                  <w:pPr>
                    <w:jc w:val="center"/>
                    <w:rPr>
                      <w:rFonts w:hint="eastAsia"/>
                      <w:b w:val="0"/>
                      <w:bCs w:val="0"/>
                      <w:color w:val="auto"/>
                      <w:szCs w:val="21"/>
                      <w:highlight w:val="none"/>
                      <w:vertAlign w:val="baseline"/>
                      <w:lang w:val="en-US" w:eastAsia="zh-CN"/>
                    </w:rPr>
                  </w:pPr>
                </w:p>
              </w:tc>
              <w:tc>
                <w:tcPr>
                  <w:tcW w:w="708" w:type="dxa"/>
                  <w:vMerge w:val="continue"/>
                  <w:noWrap w:val="0"/>
                  <w:vAlign w:val="center"/>
                </w:tcPr>
                <w:p w14:paraId="1B40702D">
                  <w:pPr>
                    <w:jc w:val="center"/>
                    <w:rPr>
                      <w:rFonts w:hint="eastAsia"/>
                      <w:color w:val="auto"/>
                      <w:sz w:val="21"/>
                      <w:szCs w:val="21"/>
                      <w:highlight w:val="none"/>
                      <w:lang w:val="en-US" w:eastAsia="zh-CN"/>
                    </w:rPr>
                  </w:pPr>
                </w:p>
              </w:tc>
              <w:tc>
                <w:tcPr>
                  <w:tcW w:w="588" w:type="dxa"/>
                  <w:noWrap w:val="0"/>
                  <w:vAlign w:val="center"/>
                </w:tcPr>
                <w:p w14:paraId="0FBFDDEA">
                  <w:pPr>
                    <w:jc w:val="center"/>
                    <w:rPr>
                      <w:rFonts w:hint="default"/>
                      <w:color w:val="auto"/>
                      <w:sz w:val="21"/>
                      <w:szCs w:val="21"/>
                      <w:highlight w:val="none"/>
                      <w:lang w:val="en-US" w:eastAsia="zh-CN"/>
                    </w:rPr>
                  </w:pPr>
                  <w:r>
                    <w:rPr>
                      <w:rFonts w:hint="eastAsia"/>
                      <w:color w:val="auto"/>
                      <w:sz w:val="21"/>
                      <w:szCs w:val="21"/>
                      <w:highlight w:val="none"/>
                      <w:lang w:val="en-US" w:eastAsia="zh-CN"/>
                    </w:rPr>
                    <w:t>DW002</w:t>
                  </w:r>
                </w:p>
              </w:tc>
              <w:tc>
                <w:tcPr>
                  <w:tcW w:w="575" w:type="dxa"/>
                  <w:noWrap w:val="0"/>
                  <w:vAlign w:val="center"/>
                </w:tcPr>
                <w:p w14:paraId="36454B7C">
                  <w:pPr>
                    <w:jc w:val="center"/>
                    <w:rPr>
                      <w:rFonts w:hint="default"/>
                      <w:color w:val="auto"/>
                      <w:sz w:val="21"/>
                      <w:szCs w:val="21"/>
                      <w:highlight w:val="none"/>
                      <w:lang w:val="en-US" w:eastAsia="zh-CN"/>
                    </w:rPr>
                  </w:pPr>
                  <w:r>
                    <w:rPr>
                      <w:rFonts w:hint="eastAsia"/>
                      <w:color w:val="auto"/>
                      <w:sz w:val="21"/>
                      <w:szCs w:val="21"/>
                      <w:highlight w:val="none"/>
                      <w:lang w:val="en-US" w:eastAsia="zh-CN"/>
                    </w:rPr>
                    <w:t>生产废水排口</w:t>
                  </w:r>
                </w:p>
              </w:tc>
              <w:tc>
                <w:tcPr>
                  <w:tcW w:w="629" w:type="dxa"/>
                  <w:vMerge w:val="continue"/>
                  <w:noWrap w:val="0"/>
                  <w:vAlign w:val="center"/>
                </w:tcPr>
                <w:p w14:paraId="18A4367A">
                  <w:pPr>
                    <w:jc w:val="center"/>
                    <w:rPr>
                      <w:rFonts w:hint="eastAsia"/>
                      <w:color w:val="auto"/>
                      <w:sz w:val="21"/>
                      <w:szCs w:val="21"/>
                      <w:highlight w:val="none"/>
                      <w:lang w:val="en-US" w:eastAsia="zh-CN"/>
                    </w:rPr>
                  </w:pPr>
                </w:p>
              </w:tc>
            </w:tr>
          </w:tbl>
          <w:p w14:paraId="4D78211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eastAsia="宋体" w:cs="Times New Roman"/>
                <w:color w:val="auto"/>
                <w:sz w:val="24"/>
                <w:lang w:val="en-US" w:eastAsia="zh-CN"/>
              </w:rPr>
            </w:pPr>
            <w:r>
              <w:rPr>
                <w:rFonts w:hint="eastAsia" w:cs="Times New Roman"/>
                <w:color w:val="auto"/>
                <w:sz w:val="24"/>
                <w:lang w:val="en-US" w:eastAsia="zh-CN"/>
              </w:rPr>
              <w:t>（3）废水污染治理措施可行性分析</w:t>
            </w:r>
          </w:p>
          <w:p w14:paraId="2C63C88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eastAsia" w:ascii="Times New Roman" w:hAnsi="Times New Roman" w:eastAsia="宋体" w:cs="Times New Roman"/>
                <w:color w:val="auto"/>
                <w:sz w:val="24"/>
                <w:lang w:val="en-US" w:eastAsia="zh-CN"/>
              </w:rPr>
            </w:pPr>
            <w:r>
              <w:rPr>
                <w:rFonts w:hint="eastAsia" w:ascii="Times New Roman" w:hAnsi="Times New Roman" w:eastAsia="宋体" w:cs="Times New Roman"/>
                <w:color w:val="auto"/>
                <w:sz w:val="24"/>
                <w:lang w:val="en-US" w:eastAsia="zh-CN"/>
              </w:rPr>
              <w:t>1）预处理池可行性分析</w:t>
            </w:r>
          </w:p>
          <w:p w14:paraId="609CE9E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rPr>
              <w:t>本项目生活污水与纯水制备浓水最大日产生量为</w:t>
            </w:r>
            <w:r>
              <w:rPr>
                <w:rFonts w:hint="eastAsia" w:cs="Times New Roman"/>
                <w:color w:val="auto"/>
                <w:sz w:val="24"/>
                <w:szCs w:val="24"/>
                <w:lang w:val="en-US" w:eastAsia="zh-CN"/>
              </w:rPr>
              <w:t>12.58</w:t>
            </w:r>
            <w:r>
              <w:rPr>
                <w:rFonts w:hint="default" w:ascii="Times New Roman" w:hAnsi="Times New Roman" w:eastAsia="宋体" w:cs="Times New Roman"/>
                <w:color w:val="auto"/>
                <w:sz w:val="24"/>
                <w:szCs w:val="24"/>
              </w:rPr>
              <w:t>m³/d。项目新建1座有效容积50m³的废水预处理池，按24h水力停留时间核算，其设计处理能力为50m³/d</w:t>
            </w: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highlight w:val="none"/>
                <w:lang w:val="en-US" w:eastAsia="zh-CN"/>
              </w:rPr>
              <w:t>且</w:t>
            </w:r>
            <w:r>
              <w:rPr>
                <w:rFonts w:hint="default" w:ascii="Times New Roman" w:hAnsi="Times New Roman" w:eastAsia="宋体" w:cs="Times New Roman"/>
                <w:color w:val="auto"/>
                <w:sz w:val="24"/>
                <w:szCs w:val="24"/>
              </w:rPr>
              <w:t>最大综合废水量</w:t>
            </w:r>
            <w:r>
              <w:rPr>
                <w:rFonts w:hint="default" w:ascii="Times New Roman" w:hAnsi="Times New Roman" w:eastAsia="宋体" w:cs="Times New Roman"/>
                <w:color w:val="auto"/>
                <w:sz w:val="24"/>
                <w:szCs w:val="24"/>
                <w:highlight w:val="none"/>
                <w:lang w:val="en-US" w:eastAsia="zh-CN"/>
              </w:rPr>
              <w:t>小于预处理池的设计处理能力。因此，预处理池能够接纳处理项目产生的</w:t>
            </w:r>
            <w:r>
              <w:rPr>
                <w:rFonts w:hint="default" w:ascii="Times New Roman" w:hAnsi="Times New Roman" w:cs="Times New Roman"/>
                <w:color w:val="auto"/>
                <w:sz w:val="24"/>
                <w:szCs w:val="24"/>
                <w:highlight w:val="none"/>
                <w:lang w:val="en-US" w:eastAsia="zh-CN"/>
              </w:rPr>
              <w:t>废水</w:t>
            </w:r>
            <w:r>
              <w:rPr>
                <w:rFonts w:hint="default" w:ascii="Times New Roman" w:hAnsi="Times New Roman" w:eastAsia="宋体" w:cs="Times New Roman"/>
                <w:color w:val="auto"/>
                <w:sz w:val="24"/>
                <w:szCs w:val="24"/>
                <w:highlight w:val="none"/>
                <w:lang w:val="en-US" w:eastAsia="zh-CN"/>
              </w:rPr>
              <w:t>。</w:t>
            </w:r>
          </w:p>
          <w:p w14:paraId="106E8A6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eastAsia" w:cs="Times New Roman"/>
                <w:color w:val="auto"/>
                <w:sz w:val="24"/>
                <w:szCs w:val="24"/>
                <w:highlight w:val="none"/>
                <w:lang w:val="en-US" w:eastAsia="zh-CN"/>
              </w:rPr>
            </w:pPr>
            <w:r>
              <w:rPr>
                <w:rFonts w:hint="eastAsia" w:cs="Times New Roman"/>
                <w:color w:val="auto"/>
                <w:sz w:val="24"/>
                <w:szCs w:val="24"/>
                <w:highlight w:val="none"/>
                <w:lang w:val="en-US" w:eastAsia="zh-CN"/>
              </w:rPr>
              <w:t>2）本项目生产废水处理设施可行性分析</w:t>
            </w:r>
          </w:p>
          <w:p w14:paraId="73A62FC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eastAsia"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厂区拟新建1座污水处理站，处理能力为</w:t>
            </w:r>
            <w:r>
              <w:rPr>
                <w:rFonts w:hint="eastAsia" w:cs="Times New Roman"/>
                <w:color w:val="auto"/>
                <w:sz w:val="24"/>
                <w:szCs w:val="24"/>
                <w:highlight w:val="none"/>
                <w:lang w:val="en-US" w:eastAsia="zh-CN"/>
              </w:rPr>
              <w:t>6</w:t>
            </w:r>
            <w:r>
              <w:rPr>
                <w:rFonts w:hint="eastAsia" w:ascii="Times New Roman" w:hAnsi="Times New Roman" w:eastAsia="宋体" w:cs="Times New Roman"/>
                <w:color w:val="auto"/>
                <w:sz w:val="24"/>
                <w:szCs w:val="24"/>
                <w:highlight w:val="none"/>
                <w:lang w:val="en-US" w:eastAsia="zh-CN"/>
              </w:rPr>
              <w:t>m</w:t>
            </w:r>
            <w:r>
              <w:rPr>
                <w:rFonts w:hint="eastAsia" w:ascii="Times New Roman" w:hAnsi="Times New Roman" w:eastAsia="宋体" w:cs="Times New Roman"/>
                <w:color w:val="auto"/>
                <w:sz w:val="24"/>
                <w:szCs w:val="24"/>
                <w:highlight w:val="none"/>
                <w:vertAlign w:val="superscript"/>
                <w:lang w:val="en-US" w:eastAsia="zh-CN"/>
              </w:rPr>
              <w:t>3</w:t>
            </w:r>
            <w:r>
              <w:rPr>
                <w:rFonts w:hint="eastAsia" w:ascii="Times New Roman" w:hAnsi="Times New Roman" w:eastAsia="宋体" w:cs="Times New Roman"/>
                <w:color w:val="auto"/>
                <w:sz w:val="24"/>
                <w:szCs w:val="24"/>
                <w:highlight w:val="none"/>
                <w:lang w:val="en-US" w:eastAsia="zh-CN"/>
              </w:rPr>
              <w:t>/d，处理工艺为水解酸化+UASB厌氧处理工艺。</w:t>
            </w:r>
          </w:p>
          <w:p w14:paraId="3C259EEF">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cs="Times New Roman"/>
                <w:b w:val="0"/>
                <w:bCs w:val="0"/>
                <w:color w:val="auto"/>
                <w:sz w:val="24"/>
                <w:highlight w:val="none"/>
                <w:lang w:val="en-US" w:eastAsia="zh-CN"/>
              </w:rPr>
            </w:pPr>
            <w:r>
              <w:rPr>
                <w:rFonts w:hint="eastAsia" w:cs="Times New Roman"/>
                <w:b w:val="0"/>
                <w:bCs w:val="0"/>
                <w:color w:val="auto"/>
                <w:sz w:val="24"/>
                <w:highlight w:val="none"/>
                <w:lang w:val="en-US" w:eastAsia="zh-CN"/>
              </w:rPr>
              <w:t>项目污水处理工艺见下图。</w:t>
            </w:r>
          </w:p>
          <w:p w14:paraId="33B6AB9D">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cs="Times New Roman"/>
                <w:b w:val="0"/>
                <w:bCs w:val="0"/>
                <w:color w:val="auto"/>
                <w:sz w:val="24"/>
                <w:highlight w:val="none"/>
                <w:lang w:val="en-US" w:eastAsia="zh-CN"/>
              </w:rPr>
            </w:pPr>
          </w:p>
          <w:p w14:paraId="5C8FEC89">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cs="Times New Roman"/>
                <w:b w:val="0"/>
                <w:bCs w:val="0"/>
                <w:color w:val="auto"/>
                <w:sz w:val="24"/>
                <w:highlight w:val="none"/>
                <w:lang w:val="en-US" w:eastAsia="zh-CN"/>
              </w:rPr>
            </w:pPr>
          </w:p>
          <w:p w14:paraId="4B6D4FDC">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cs="Times New Roman"/>
                <w:b w:val="0"/>
                <w:bCs w:val="0"/>
                <w:color w:val="auto"/>
                <w:sz w:val="24"/>
                <w:highlight w:val="none"/>
                <w:lang w:val="en-US" w:eastAsia="zh-CN"/>
              </w:rPr>
            </w:pPr>
          </w:p>
          <w:p w14:paraId="2854D826">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cs="Times New Roman"/>
                <w:b w:val="0"/>
                <w:bCs w:val="0"/>
                <w:color w:val="auto"/>
                <w:sz w:val="24"/>
                <w:highlight w:val="none"/>
                <w:lang w:val="en-US" w:eastAsia="zh-CN"/>
              </w:rPr>
            </w:pPr>
          </w:p>
          <w:p w14:paraId="04BEB7A5">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cs="Times New Roman"/>
                <w:b w:val="0"/>
                <w:bCs w:val="0"/>
                <w:color w:val="auto"/>
                <w:sz w:val="24"/>
                <w:highlight w:val="none"/>
                <w:lang w:val="en-US" w:eastAsia="zh-CN"/>
              </w:rPr>
            </w:pPr>
          </w:p>
          <w:p w14:paraId="07F6251F">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cs="Times New Roman"/>
                <w:b w:val="0"/>
                <w:bCs w:val="0"/>
                <w:color w:val="auto"/>
                <w:sz w:val="24"/>
                <w:highlight w:val="none"/>
                <w:lang w:val="en-US" w:eastAsia="zh-CN"/>
              </w:rPr>
            </w:pPr>
          </w:p>
          <w:p w14:paraId="29F59D56">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cs="Times New Roman"/>
                <w:b w:val="0"/>
                <w:bCs w:val="0"/>
                <w:color w:val="auto"/>
                <w:sz w:val="24"/>
                <w:highlight w:val="none"/>
                <w:lang w:val="en-US" w:eastAsia="zh-CN"/>
              </w:rPr>
            </w:pPr>
          </w:p>
          <w:p w14:paraId="0ABA2AAD">
            <w:pPr>
              <w:keepNext w:val="0"/>
              <w:keepLines w:val="0"/>
              <w:pageBreakBefore w:val="0"/>
              <w:widowControl w:val="0"/>
              <w:kinsoku/>
              <w:wordWrap/>
              <w:overflowPunct/>
              <w:topLinePunct w:val="0"/>
              <w:autoSpaceDE w:val="0"/>
              <w:autoSpaceDN w:val="0"/>
              <w:bidi w:val="0"/>
              <w:adjustRightInd/>
              <w:snapToGrid/>
              <w:spacing w:line="360" w:lineRule="auto"/>
              <w:textAlignment w:val="auto"/>
              <w:rPr>
                <w:rFonts w:hint="eastAsia" w:cs="Times New Roman"/>
                <w:b w:val="0"/>
                <w:bCs w:val="0"/>
                <w:color w:val="auto"/>
                <w:sz w:val="24"/>
                <w:highlight w:val="none"/>
                <w:lang w:val="en-US" w:eastAsia="zh-CN"/>
              </w:rPr>
            </w:pPr>
          </w:p>
          <w:p w14:paraId="5C311CB5">
            <w:pPr>
              <w:keepNext w:val="0"/>
              <w:keepLines w:val="0"/>
              <w:pageBreakBefore w:val="0"/>
              <w:widowControl w:val="0"/>
              <w:kinsoku/>
              <w:wordWrap/>
              <w:overflowPunct/>
              <w:topLinePunct w:val="0"/>
              <w:autoSpaceDE w:val="0"/>
              <w:autoSpaceDN w:val="0"/>
              <w:bidi w:val="0"/>
              <w:adjustRightInd/>
              <w:snapToGrid/>
              <w:spacing w:line="360" w:lineRule="auto"/>
              <w:jc w:val="center"/>
              <w:textAlignment w:val="auto"/>
              <w:rPr>
                <w:rFonts w:hint="eastAsia" w:cs="Times New Roman"/>
                <w:b w:val="0"/>
                <w:bCs w:val="0"/>
                <w:color w:val="auto"/>
                <w:sz w:val="24"/>
                <w:highlight w:val="none"/>
                <w:lang w:val="en-US" w:eastAsia="zh-CN"/>
              </w:rPr>
            </w:pPr>
            <w:r>
              <w:rPr>
                <w:color w:val="auto"/>
              </w:rPr>
              <w:drawing>
                <wp:inline distT="0" distB="0" distL="114300" distR="114300">
                  <wp:extent cx="4109085" cy="3311525"/>
                  <wp:effectExtent l="0" t="0" r="5715" b="3175"/>
                  <wp:docPr id="94"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图片 11"/>
                          <pic:cNvPicPr>
                            <a:picLocks noChangeAspect="1"/>
                          </pic:cNvPicPr>
                        </pic:nvPicPr>
                        <pic:blipFill>
                          <a:blip r:embed="rId33"/>
                          <a:stretch>
                            <a:fillRect/>
                          </a:stretch>
                        </pic:blipFill>
                        <pic:spPr>
                          <a:xfrm>
                            <a:off x="0" y="0"/>
                            <a:ext cx="4109085" cy="3311525"/>
                          </a:xfrm>
                          <a:prstGeom prst="rect">
                            <a:avLst/>
                          </a:prstGeom>
                          <a:noFill/>
                          <a:ln>
                            <a:noFill/>
                          </a:ln>
                        </pic:spPr>
                      </pic:pic>
                    </a:graphicData>
                  </a:graphic>
                </wp:inline>
              </w:drawing>
            </w:r>
          </w:p>
          <w:p w14:paraId="6FE59C56">
            <w:pPr>
              <w:keepNext w:val="0"/>
              <w:keepLines w:val="0"/>
              <w:pageBreakBefore w:val="0"/>
              <w:widowControl w:val="0"/>
              <w:shd w:val="clear"/>
              <w:kinsoku/>
              <w:wordWrap/>
              <w:overflowPunct/>
              <w:topLinePunct w:val="0"/>
              <w:autoSpaceDE w:val="0"/>
              <w:autoSpaceDN w:val="0"/>
              <w:bidi w:val="0"/>
              <w:adjustRightInd/>
              <w:snapToGrid/>
              <w:spacing w:line="360" w:lineRule="auto"/>
              <w:ind w:firstLine="422" w:firstLineChars="200"/>
              <w:jc w:val="center"/>
              <w:textAlignment w:val="auto"/>
              <w:rPr>
                <w:rFonts w:hint="default" w:ascii="Times New Roman" w:hAnsi="Times New Roman" w:eastAsia="宋体" w:cs="Times New Roman"/>
                <w:b/>
                <w:bCs/>
                <w:color w:val="auto"/>
                <w:lang w:val="en-US" w:eastAsia="zh-CN"/>
              </w:rPr>
            </w:pPr>
            <w:r>
              <w:rPr>
                <w:rFonts w:hint="default" w:ascii="Times New Roman" w:hAnsi="Times New Roman" w:eastAsia="宋体" w:cs="Times New Roman"/>
                <w:b/>
                <w:bCs/>
                <w:color w:val="auto"/>
                <w:lang w:val="en-US" w:eastAsia="zh-CN"/>
              </w:rPr>
              <w:t>图4</w:t>
            </w:r>
            <w:r>
              <w:rPr>
                <w:rFonts w:hint="eastAsia" w:ascii="Times New Roman" w:hAnsi="Times New Roman" w:eastAsia="宋体" w:cs="Times New Roman"/>
                <w:b/>
                <w:bCs/>
                <w:color w:val="auto"/>
                <w:lang w:val="en-US" w:eastAsia="zh-CN"/>
              </w:rPr>
              <w:t>-</w:t>
            </w:r>
            <w:r>
              <w:rPr>
                <w:rFonts w:hint="default" w:ascii="Times New Roman" w:hAnsi="Times New Roman" w:eastAsia="宋体" w:cs="Times New Roman"/>
                <w:b/>
                <w:bCs/>
                <w:color w:val="auto"/>
                <w:lang w:val="en-US" w:eastAsia="zh-CN"/>
              </w:rPr>
              <w:t>2 项目废水处理工艺流程图</w:t>
            </w:r>
          </w:p>
          <w:p w14:paraId="5ADEB32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eastAsia"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污水处理工艺简介：</w:t>
            </w:r>
          </w:p>
          <w:p w14:paraId="5DE9D0D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eastAsia"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污水先进入调节池，通过潜水搅拌器均质水质、调节水量，池内一用一备的提升泵由液位浮球控制，将污水输送至絮凝沉淀池。池中投加絮凝剂与助凝剂，经混凝反应、重力沉淀去除悬浮物与胶体污染物。</w:t>
            </w:r>
          </w:p>
          <w:p w14:paraId="28AD05E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eastAsia"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絮凝沉淀出水进入水解酸化池，在厌氧微生物作用下分解大分子有机物，提升污水可生化性；后续沉淀池污泥回流至水解酸化池，维持污泥浓度。</w:t>
            </w:r>
          </w:p>
          <w:p w14:paraId="710FF94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eastAsia"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污水汇入集水池，经搅拌均质、pH自动调节后，由提升泵送入UASB厌氧反应器，厌氧菌群深度降解有机物，产生的沼气由三相分离器收集，中间沉淀池污泥回流至反应器。</w:t>
            </w:r>
          </w:p>
          <w:p w14:paraId="3502389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eastAsia"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污水依次流经两级AO生物接触氧化系统：缺氧段完成反硝化脱氮，碳源不足时补充外加碳源；好氧段实现氨氮硝化与生物除磷，两级AO协同保障总氮达标。最终污水进入二沉池进行泥水分离，进一步降低出水悬浮物。</w:t>
            </w:r>
          </w:p>
          <w:p w14:paraId="4744B473">
            <w:pPr>
              <w:pStyle w:val="221"/>
              <w:keepNext w:val="0"/>
              <w:keepLines w:val="0"/>
              <w:pageBreakBefore w:val="0"/>
              <w:widowControl w:val="0"/>
              <w:shd w:val="clear"/>
              <w:kinsoku/>
              <w:wordWrap/>
              <w:overflowPunct/>
              <w:topLinePunct w:val="0"/>
              <w:autoSpaceDE w:val="0"/>
              <w:autoSpaceDN w:val="0"/>
              <w:bidi w:val="0"/>
              <w:snapToGrid/>
              <w:spacing w:line="360" w:lineRule="auto"/>
              <w:ind w:firstLine="480" w:firstLineChars="200"/>
              <w:jc w:val="both"/>
              <w:textAlignment w:val="auto"/>
              <w:rPr>
                <w:rFonts w:hint="eastAsia" w:ascii="Times New Roman" w:hAnsi="Times New Roman" w:eastAsia="宋体" w:cs="Times New Roman"/>
                <w:color w:val="auto"/>
                <w:sz w:val="24"/>
                <w:lang w:val="en-US" w:eastAsia="zh-CN"/>
              </w:rPr>
            </w:pPr>
            <w:r>
              <w:rPr>
                <w:rFonts w:hint="eastAsia" w:ascii="Times New Roman" w:hAnsi="Times New Roman" w:eastAsia="宋体" w:cs="Times New Roman"/>
                <w:color w:val="auto"/>
                <w:sz w:val="24"/>
                <w:lang w:val="en-US" w:eastAsia="zh-CN"/>
              </w:rPr>
              <w:t>根据建设单位污水处理站工艺设计资料，</w:t>
            </w:r>
            <w:r>
              <w:rPr>
                <w:rFonts w:ascii="宋体" w:hAnsi="宋体" w:eastAsia="宋体" w:cs="宋体"/>
                <w:color w:val="auto"/>
                <w:sz w:val="24"/>
                <w:szCs w:val="24"/>
              </w:rPr>
              <w:t>项目厂区污水处理站工艺处理效果预计见下表</w:t>
            </w:r>
            <w:r>
              <w:rPr>
                <w:rFonts w:hint="eastAsia" w:ascii="Times New Roman" w:hAnsi="Times New Roman" w:eastAsia="宋体" w:cs="Times New Roman"/>
                <w:color w:val="auto"/>
                <w:sz w:val="24"/>
                <w:lang w:val="en-US" w:eastAsia="zh-CN"/>
              </w:rPr>
              <w:t>：</w:t>
            </w:r>
          </w:p>
          <w:p w14:paraId="19655CB8">
            <w:pPr>
              <w:pStyle w:val="221"/>
              <w:shd w:val="clear"/>
              <w:jc w:val="center"/>
              <w:rPr>
                <w:rFonts w:hint="default" w:ascii="Times New Roman" w:hAnsi="Times New Roman" w:eastAsia="宋体" w:cs="Times New Roman"/>
                <w:b/>
                <w:bCs/>
                <w:color w:val="auto"/>
                <w:sz w:val="21"/>
                <w:szCs w:val="21"/>
                <w:lang w:val="en-US" w:eastAsia="zh-CN"/>
              </w:rPr>
            </w:pPr>
            <w:r>
              <w:rPr>
                <w:rFonts w:hint="eastAsia" w:ascii="Times New Roman" w:hAnsi="Times New Roman" w:eastAsia="宋体" w:cs="Times New Roman"/>
                <w:b/>
                <w:bCs/>
                <w:color w:val="auto"/>
                <w:sz w:val="21"/>
                <w:szCs w:val="21"/>
                <w:lang w:val="en-US" w:eastAsia="zh-CN"/>
              </w:rPr>
              <w:t>表4-</w:t>
            </w:r>
            <w:r>
              <w:rPr>
                <w:rFonts w:hint="eastAsia" w:ascii="Times New Roman" w:hAnsi="Times New Roman" w:cs="Times New Roman"/>
                <w:b/>
                <w:bCs/>
                <w:color w:val="auto"/>
                <w:sz w:val="21"/>
                <w:szCs w:val="21"/>
                <w:lang w:val="en-US" w:eastAsia="zh-CN"/>
              </w:rPr>
              <w:t>13</w:t>
            </w:r>
            <w:r>
              <w:rPr>
                <w:rFonts w:hint="eastAsia" w:ascii="Times New Roman" w:hAnsi="Times New Roman" w:eastAsia="宋体" w:cs="Times New Roman"/>
                <w:b/>
                <w:bCs/>
                <w:color w:val="auto"/>
                <w:sz w:val="21"/>
                <w:szCs w:val="21"/>
                <w:lang w:val="en-US" w:eastAsia="zh-CN"/>
              </w:rPr>
              <w:t xml:space="preserve"> 污水处理站主要处理效率一览表 </w:t>
            </w:r>
            <w:r>
              <w:rPr>
                <w:rFonts w:hint="eastAsia" w:ascii="Times New Roman" w:hAnsi="Times New Roman" w:eastAsia="宋体" w:cs="Times New Roman"/>
                <w:b/>
                <w:bCs/>
                <w:i w:val="0"/>
                <w:caps w:val="0"/>
                <w:color w:val="auto"/>
                <w:spacing w:val="0"/>
                <w:sz w:val="21"/>
                <w:szCs w:val="21"/>
                <w:highlight w:val="none"/>
                <w:shd w:val="clear" w:color="auto" w:fill="FFFFFF"/>
                <w:vertAlign w:val="baseline"/>
                <w:lang w:val="en-US" w:eastAsia="zh-CN"/>
              </w:rPr>
              <w:t>（单位：mg/L）</w:t>
            </w:r>
          </w:p>
          <w:tbl>
            <w:tblPr>
              <w:tblStyle w:val="41"/>
              <w:tblW w:w="4963" w:type="pct"/>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889"/>
              <w:gridCol w:w="889"/>
              <w:gridCol w:w="1009"/>
              <w:gridCol w:w="991"/>
              <w:gridCol w:w="925"/>
              <w:gridCol w:w="987"/>
              <w:gridCol w:w="1088"/>
              <w:gridCol w:w="1078"/>
            </w:tblGrid>
            <w:tr w14:paraId="47E610C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82" w:hRule="exact"/>
                <w:jc w:val="center"/>
              </w:trPr>
              <w:tc>
                <w:tcPr>
                  <w:tcW w:w="1131" w:type="pct"/>
                  <w:gridSpan w:val="2"/>
                  <w:shd w:val="clear" w:color="auto" w:fill="auto"/>
                  <w:noWrap w:val="0"/>
                  <w:vAlign w:val="center"/>
                </w:tcPr>
                <w:p w14:paraId="204B9CC8">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default" w:ascii="Times New Roman" w:hAnsi="Times New Roman" w:eastAsia="宋体" w:cs="Times New Roman"/>
                      <w:b/>
                      <w:bCs/>
                      <w:i w:val="0"/>
                      <w:caps w:val="0"/>
                      <w:color w:val="auto"/>
                      <w:spacing w:val="0"/>
                      <w:sz w:val="21"/>
                      <w:szCs w:val="21"/>
                      <w:highlight w:val="none"/>
                      <w:shd w:val="clear" w:color="auto" w:fill="FFFFFF"/>
                      <w:vertAlign w:val="baseline"/>
                      <w:lang w:val="en-US" w:eastAsia="zh-CN"/>
                    </w:rPr>
                  </w:pPr>
                  <w:bookmarkStart w:id="16" w:name="_Toc1819"/>
                  <w:r>
                    <w:rPr>
                      <w:rFonts w:hint="eastAsia" w:cs="Times New Roman"/>
                      <w:b/>
                      <w:bCs/>
                      <w:i w:val="0"/>
                      <w:caps w:val="0"/>
                      <w:color w:val="auto"/>
                      <w:spacing w:val="0"/>
                      <w:sz w:val="21"/>
                      <w:szCs w:val="21"/>
                      <w:highlight w:val="none"/>
                      <w:shd w:val="clear" w:color="auto" w:fill="FFFFFF"/>
                      <w:vertAlign w:val="baseline"/>
                      <w:lang w:val="en-US" w:eastAsia="zh-CN"/>
                    </w:rPr>
                    <w:t>处理单元</w:t>
                  </w:r>
                </w:p>
              </w:tc>
              <w:tc>
                <w:tcPr>
                  <w:tcW w:w="642" w:type="pct"/>
                  <w:shd w:val="clear" w:color="auto" w:fill="auto"/>
                  <w:noWrap w:val="0"/>
                  <w:vAlign w:val="center"/>
                </w:tcPr>
                <w:p w14:paraId="21550E15">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default" w:ascii="Times New Roman" w:hAnsi="Times New Roman" w:eastAsia="宋体" w:cs="Times New Roman"/>
                      <w:b/>
                      <w:bCs/>
                      <w:i w:val="0"/>
                      <w:caps w:val="0"/>
                      <w:color w:val="auto"/>
                      <w:spacing w:val="0"/>
                      <w:sz w:val="21"/>
                      <w:szCs w:val="21"/>
                      <w:highlight w:val="none"/>
                      <w:shd w:val="clear" w:color="auto" w:fill="FFFFFF"/>
                      <w:vertAlign w:val="baseline"/>
                      <w:lang w:val="en-US" w:eastAsia="zh-CN"/>
                    </w:rPr>
                  </w:pPr>
                  <w:r>
                    <w:rPr>
                      <w:rFonts w:hint="default" w:ascii="Times New Roman" w:hAnsi="Times New Roman" w:eastAsia="宋体" w:cs="Times New Roman"/>
                      <w:b/>
                      <w:bCs/>
                      <w:i w:val="0"/>
                      <w:caps w:val="0"/>
                      <w:color w:val="auto"/>
                      <w:spacing w:val="0"/>
                      <w:sz w:val="21"/>
                      <w:szCs w:val="21"/>
                      <w:highlight w:val="none"/>
                      <w:shd w:val="clear" w:color="auto" w:fill="FFFFFF"/>
                      <w:vertAlign w:val="baseline"/>
                      <w:lang w:val="en-US" w:eastAsia="zh-CN"/>
                    </w:rPr>
                    <w:t>COD</w:t>
                  </w:r>
                </w:p>
              </w:tc>
              <w:tc>
                <w:tcPr>
                  <w:tcW w:w="630" w:type="pct"/>
                  <w:shd w:val="clear" w:color="auto" w:fill="auto"/>
                  <w:noWrap w:val="0"/>
                  <w:vAlign w:val="center"/>
                </w:tcPr>
                <w:p w14:paraId="5ADD3F5A">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default" w:ascii="Times New Roman" w:hAnsi="Times New Roman" w:eastAsia="宋体" w:cs="Times New Roman"/>
                      <w:b/>
                      <w:bCs/>
                      <w:i w:val="0"/>
                      <w:caps w:val="0"/>
                      <w:color w:val="auto"/>
                      <w:spacing w:val="0"/>
                      <w:sz w:val="21"/>
                      <w:szCs w:val="21"/>
                      <w:highlight w:val="none"/>
                      <w:shd w:val="clear" w:color="auto" w:fill="FFFFFF"/>
                      <w:vertAlign w:val="baseline"/>
                      <w:lang w:val="en-US" w:eastAsia="zh-CN"/>
                    </w:rPr>
                  </w:pPr>
                  <w:r>
                    <w:rPr>
                      <w:rFonts w:hint="default" w:ascii="Times New Roman" w:hAnsi="Times New Roman" w:eastAsia="宋体" w:cs="Times New Roman"/>
                      <w:b/>
                      <w:bCs/>
                      <w:i w:val="0"/>
                      <w:caps w:val="0"/>
                      <w:color w:val="auto"/>
                      <w:spacing w:val="0"/>
                      <w:sz w:val="21"/>
                      <w:szCs w:val="21"/>
                      <w:highlight w:val="none"/>
                      <w:shd w:val="clear" w:color="auto" w:fill="FFFFFF"/>
                      <w:vertAlign w:val="baseline"/>
                      <w:lang w:val="en-US" w:eastAsia="zh-CN"/>
                    </w:rPr>
                    <w:t>BOD</w:t>
                  </w:r>
                  <w:r>
                    <w:rPr>
                      <w:rFonts w:hint="default" w:ascii="Times New Roman" w:hAnsi="Times New Roman" w:eastAsia="宋体" w:cs="Times New Roman"/>
                      <w:b/>
                      <w:bCs/>
                      <w:i w:val="0"/>
                      <w:caps w:val="0"/>
                      <w:color w:val="auto"/>
                      <w:spacing w:val="0"/>
                      <w:sz w:val="21"/>
                      <w:szCs w:val="21"/>
                      <w:highlight w:val="none"/>
                      <w:shd w:val="clear" w:color="auto" w:fill="FFFFFF"/>
                      <w:vertAlign w:val="subscript"/>
                      <w:lang w:val="en-US" w:eastAsia="zh-CN"/>
                    </w:rPr>
                    <w:t>5</w:t>
                  </w:r>
                </w:p>
              </w:tc>
              <w:tc>
                <w:tcPr>
                  <w:tcW w:w="588" w:type="pct"/>
                  <w:shd w:val="clear" w:color="auto" w:fill="auto"/>
                  <w:noWrap w:val="0"/>
                  <w:vAlign w:val="center"/>
                </w:tcPr>
                <w:p w14:paraId="00110E71">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default" w:ascii="Times New Roman" w:hAnsi="Times New Roman" w:eastAsia="宋体" w:cs="Times New Roman"/>
                      <w:b/>
                      <w:bCs/>
                      <w:i w:val="0"/>
                      <w:caps w:val="0"/>
                      <w:color w:val="auto"/>
                      <w:spacing w:val="0"/>
                      <w:sz w:val="21"/>
                      <w:szCs w:val="21"/>
                      <w:highlight w:val="none"/>
                      <w:shd w:val="clear" w:color="auto" w:fill="FFFFFF"/>
                      <w:vertAlign w:val="baseline"/>
                      <w:lang w:val="en-US" w:eastAsia="zh-CN"/>
                    </w:rPr>
                  </w:pPr>
                  <w:r>
                    <w:rPr>
                      <w:rFonts w:hint="default" w:ascii="Times New Roman" w:hAnsi="Times New Roman" w:eastAsia="宋体" w:cs="Times New Roman"/>
                      <w:b/>
                      <w:bCs/>
                      <w:i w:val="0"/>
                      <w:caps w:val="0"/>
                      <w:color w:val="auto"/>
                      <w:spacing w:val="0"/>
                      <w:sz w:val="21"/>
                      <w:szCs w:val="21"/>
                      <w:highlight w:val="none"/>
                      <w:shd w:val="clear" w:color="auto" w:fill="FFFFFF"/>
                      <w:vertAlign w:val="baseline"/>
                      <w:lang w:val="en-US" w:eastAsia="zh-CN"/>
                    </w:rPr>
                    <w:t>氨氮</w:t>
                  </w:r>
                </w:p>
              </w:tc>
              <w:tc>
                <w:tcPr>
                  <w:tcW w:w="628" w:type="pct"/>
                  <w:shd w:val="clear" w:color="auto" w:fill="auto"/>
                  <w:noWrap w:val="0"/>
                  <w:vAlign w:val="center"/>
                </w:tcPr>
                <w:p w14:paraId="0E150359">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default" w:ascii="Times New Roman" w:hAnsi="Times New Roman" w:eastAsia="宋体" w:cs="Times New Roman"/>
                      <w:b/>
                      <w:bCs/>
                      <w:i w:val="0"/>
                      <w:caps w:val="0"/>
                      <w:color w:val="auto"/>
                      <w:spacing w:val="0"/>
                      <w:sz w:val="21"/>
                      <w:szCs w:val="21"/>
                      <w:highlight w:val="none"/>
                      <w:shd w:val="clear" w:color="auto" w:fill="FFFFFF"/>
                      <w:vertAlign w:val="baseline"/>
                      <w:lang w:val="en-US" w:eastAsia="zh-CN"/>
                    </w:rPr>
                  </w:pPr>
                  <w:r>
                    <w:rPr>
                      <w:rFonts w:hint="eastAsia" w:cs="Times New Roman"/>
                      <w:b/>
                      <w:bCs/>
                      <w:i w:val="0"/>
                      <w:caps w:val="0"/>
                      <w:color w:val="auto"/>
                      <w:spacing w:val="0"/>
                      <w:sz w:val="21"/>
                      <w:szCs w:val="21"/>
                      <w:highlight w:val="none"/>
                      <w:shd w:val="clear" w:color="auto" w:fill="FFFFFF"/>
                      <w:vertAlign w:val="baseline"/>
                      <w:lang w:val="en-US" w:eastAsia="zh-CN"/>
                    </w:rPr>
                    <w:t>TN</w:t>
                  </w:r>
                </w:p>
              </w:tc>
              <w:tc>
                <w:tcPr>
                  <w:tcW w:w="692" w:type="pct"/>
                  <w:shd w:val="clear" w:color="auto" w:fill="auto"/>
                  <w:noWrap w:val="0"/>
                  <w:vAlign w:val="center"/>
                </w:tcPr>
                <w:p w14:paraId="21F82DDE">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default" w:ascii="Times New Roman" w:hAnsi="Times New Roman" w:eastAsia="宋体" w:cs="Times New Roman"/>
                      <w:b/>
                      <w:bCs/>
                      <w:i w:val="0"/>
                      <w:caps w:val="0"/>
                      <w:color w:val="auto"/>
                      <w:spacing w:val="0"/>
                      <w:sz w:val="21"/>
                      <w:szCs w:val="21"/>
                      <w:highlight w:val="none"/>
                      <w:shd w:val="clear" w:color="auto" w:fill="FFFFFF"/>
                      <w:vertAlign w:val="baseline"/>
                      <w:lang w:val="en-US" w:eastAsia="zh-CN"/>
                    </w:rPr>
                  </w:pPr>
                  <w:r>
                    <w:rPr>
                      <w:rFonts w:hint="default" w:ascii="Times New Roman" w:hAnsi="Times New Roman" w:eastAsia="宋体" w:cs="Times New Roman"/>
                      <w:b/>
                      <w:bCs/>
                      <w:i w:val="0"/>
                      <w:caps w:val="0"/>
                      <w:color w:val="auto"/>
                      <w:spacing w:val="0"/>
                      <w:sz w:val="21"/>
                      <w:szCs w:val="21"/>
                      <w:highlight w:val="none"/>
                      <w:shd w:val="clear" w:color="auto" w:fill="FFFFFF"/>
                      <w:vertAlign w:val="baseline"/>
                      <w:lang w:val="en-US" w:eastAsia="zh-CN"/>
                    </w:rPr>
                    <w:t>总磷</w:t>
                  </w:r>
                </w:p>
              </w:tc>
              <w:tc>
                <w:tcPr>
                  <w:tcW w:w="686" w:type="pct"/>
                  <w:shd w:val="clear" w:color="auto" w:fill="auto"/>
                  <w:noWrap w:val="0"/>
                  <w:vAlign w:val="center"/>
                </w:tcPr>
                <w:p w14:paraId="51CB3929">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default" w:ascii="Times New Roman" w:hAnsi="Times New Roman" w:eastAsia="宋体" w:cs="Times New Roman"/>
                      <w:b/>
                      <w:bCs/>
                      <w:i w:val="0"/>
                      <w:caps w:val="0"/>
                      <w:color w:val="auto"/>
                      <w:spacing w:val="0"/>
                      <w:sz w:val="21"/>
                      <w:szCs w:val="21"/>
                      <w:highlight w:val="none"/>
                      <w:shd w:val="clear" w:color="auto" w:fill="FFFFFF"/>
                      <w:vertAlign w:val="baseline"/>
                      <w:lang w:val="en-US" w:eastAsia="zh-CN"/>
                    </w:rPr>
                  </w:pPr>
                  <w:r>
                    <w:rPr>
                      <w:rFonts w:hint="default" w:ascii="Times New Roman" w:hAnsi="Times New Roman" w:eastAsia="宋体" w:cs="Times New Roman"/>
                      <w:b/>
                      <w:bCs/>
                      <w:i w:val="0"/>
                      <w:caps w:val="0"/>
                      <w:color w:val="auto"/>
                      <w:spacing w:val="0"/>
                      <w:sz w:val="21"/>
                      <w:szCs w:val="21"/>
                      <w:highlight w:val="none"/>
                      <w:shd w:val="clear" w:color="auto" w:fill="FFFFFF"/>
                      <w:vertAlign w:val="baseline"/>
                      <w:lang w:val="en-US" w:eastAsia="zh-CN"/>
                    </w:rPr>
                    <w:t>SS</w:t>
                  </w:r>
                </w:p>
              </w:tc>
            </w:tr>
            <w:tr w14:paraId="7DC1B54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6" w:hRule="exact"/>
                <w:jc w:val="center"/>
              </w:trPr>
              <w:tc>
                <w:tcPr>
                  <w:tcW w:w="565" w:type="pct"/>
                  <w:vMerge w:val="restart"/>
                  <w:noWrap w:val="0"/>
                  <w:vAlign w:val="center"/>
                </w:tcPr>
                <w:p w14:paraId="640073F2">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default"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pPr>
                  <w:r>
                    <w:rPr>
                      <w:rFonts w:hint="eastAsia" w:cs="Times New Roman"/>
                      <w:b w:val="0"/>
                      <w:bCs w:val="0"/>
                      <w:i w:val="0"/>
                      <w:caps w:val="0"/>
                      <w:color w:val="auto"/>
                      <w:spacing w:val="0"/>
                      <w:sz w:val="21"/>
                      <w:szCs w:val="21"/>
                      <w:highlight w:val="none"/>
                      <w:shd w:val="clear" w:color="auto" w:fill="FFFFFF"/>
                      <w:vertAlign w:val="baseline"/>
                      <w:lang w:val="en-US" w:eastAsia="zh-CN"/>
                    </w:rPr>
                    <w:t>综合调节池</w:t>
                  </w:r>
                </w:p>
              </w:tc>
              <w:tc>
                <w:tcPr>
                  <w:tcW w:w="565" w:type="pct"/>
                  <w:noWrap w:val="0"/>
                  <w:vAlign w:val="center"/>
                </w:tcPr>
                <w:p w14:paraId="22DFA145">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default" w:cs="Times New Roman"/>
                      <w:b w:val="0"/>
                      <w:bCs w:val="0"/>
                      <w:i w:val="0"/>
                      <w:caps w:val="0"/>
                      <w:color w:val="auto"/>
                      <w:spacing w:val="0"/>
                      <w:sz w:val="21"/>
                      <w:szCs w:val="21"/>
                      <w:highlight w:val="none"/>
                      <w:shd w:val="clear" w:color="auto" w:fill="FFFFFF"/>
                      <w:vertAlign w:val="baseline"/>
                      <w:lang w:val="en-US" w:eastAsia="zh-CN"/>
                    </w:rPr>
                  </w:pPr>
                  <w:r>
                    <w:rPr>
                      <w:rFonts w:hint="eastAsia" w:cs="Times New Roman"/>
                      <w:b w:val="0"/>
                      <w:bCs w:val="0"/>
                      <w:i w:val="0"/>
                      <w:caps w:val="0"/>
                      <w:color w:val="auto"/>
                      <w:spacing w:val="0"/>
                      <w:sz w:val="21"/>
                      <w:szCs w:val="21"/>
                      <w:highlight w:val="none"/>
                      <w:shd w:val="clear" w:color="auto" w:fill="FFFFFF"/>
                      <w:vertAlign w:val="baseline"/>
                      <w:lang w:val="en-US" w:eastAsia="zh-CN"/>
                    </w:rPr>
                    <w:t>进水</w:t>
                  </w:r>
                </w:p>
              </w:tc>
              <w:tc>
                <w:tcPr>
                  <w:tcW w:w="642" w:type="pct"/>
                  <w:noWrap w:val="0"/>
                  <w:vAlign w:val="center"/>
                </w:tcPr>
                <w:p w14:paraId="6B9207BE">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default"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pPr>
                  <w:r>
                    <w:rPr>
                      <w:rFonts w:hint="eastAsia" w:ascii="Times New Roman" w:hAnsi="Times New Roman" w:eastAsia="宋体" w:cs="Times New Roman"/>
                      <w:color w:val="auto"/>
                      <w:kern w:val="0"/>
                      <w:sz w:val="21"/>
                      <w:szCs w:val="21"/>
                      <w:lang w:val="en-US" w:eastAsia="zh-CN"/>
                    </w:rPr>
                    <w:t>4619</w:t>
                  </w:r>
                </w:p>
              </w:tc>
              <w:tc>
                <w:tcPr>
                  <w:tcW w:w="630" w:type="pct"/>
                  <w:noWrap w:val="0"/>
                  <w:vAlign w:val="center"/>
                </w:tcPr>
                <w:p w14:paraId="370F7888">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default"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pPr>
                  <w:r>
                    <w:rPr>
                      <w:rFonts w:hint="eastAsia" w:ascii="Times New Roman" w:hAnsi="Times New Roman" w:eastAsia="宋体" w:cs="Times New Roman"/>
                      <w:color w:val="auto"/>
                      <w:kern w:val="0"/>
                      <w:sz w:val="21"/>
                      <w:szCs w:val="21"/>
                      <w:lang w:val="en-US" w:eastAsia="zh-CN"/>
                    </w:rPr>
                    <w:t>1769</w:t>
                  </w:r>
                </w:p>
              </w:tc>
              <w:tc>
                <w:tcPr>
                  <w:tcW w:w="588" w:type="pct"/>
                  <w:noWrap w:val="0"/>
                  <w:vAlign w:val="center"/>
                </w:tcPr>
                <w:p w14:paraId="0F7ADAB7">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default"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pPr>
                  <w:r>
                    <w:rPr>
                      <w:rFonts w:hint="eastAsia" w:ascii="Times New Roman" w:hAnsi="Times New Roman" w:eastAsia="宋体" w:cs="Times New Roman"/>
                      <w:color w:val="auto"/>
                      <w:kern w:val="0"/>
                      <w:sz w:val="21"/>
                      <w:szCs w:val="21"/>
                      <w:lang w:val="en-US" w:eastAsia="zh-CN"/>
                    </w:rPr>
                    <w:t>2.705</w:t>
                  </w:r>
                </w:p>
              </w:tc>
              <w:tc>
                <w:tcPr>
                  <w:tcW w:w="628" w:type="pct"/>
                  <w:noWrap w:val="0"/>
                  <w:vAlign w:val="center"/>
                </w:tcPr>
                <w:p w14:paraId="356209AD">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default"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pPr>
                  <w:r>
                    <w:rPr>
                      <w:rFonts w:hint="eastAsia" w:ascii="Times New Roman" w:hAnsi="Times New Roman" w:eastAsia="宋体" w:cs="Times New Roman"/>
                      <w:color w:val="auto"/>
                      <w:kern w:val="0"/>
                      <w:sz w:val="21"/>
                      <w:szCs w:val="21"/>
                      <w:lang w:val="en-US" w:eastAsia="zh-CN"/>
                    </w:rPr>
                    <w:t>344.3</w:t>
                  </w:r>
                </w:p>
              </w:tc>
              <w:tc>
                <w:tcPr>
                  <w:tcW w:w="692" w:type="pct"/>
                  <w:noWrap w:val="0"/>
                  <w:vAlign w:val="center"/>
                </w:tcPr>
                <w:p w14:paraId="10609488">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default"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pPr>
                  <w:r>
                    <w:rPr>
                      <w:rFonts w:hint="eastAsia" w:ascii="Times New Roman" w:hAnsi="Times New Roman" w:eastAsia="宋体" w:cs="Times New Roman"/>
                      <w:color w:val="auto"/>
                      <w:kern w:val="0"/>
                      <w:sz w:val="21"/>
                      <w:szCs w:val="21"/>
                      <w:lang w:val="en-US" w:eastAsia="zh-CN"/>
                    </w:rPr>
                    <w:t>1.275</w:t>
                  </w:r>
                </w:p>
              </w:tc>
              <w:tc>
                <w:tcPr>
                  <w:tcW w:w="686" w:type="pct"/>
                  <w:noWrap w:val="0"/>
                  <w:vAlign w:val="center"/>
                </w:tcPr>
                <w:p w14:paraId="7931D970">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eastAsia"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pPr>
                  <w:r>
                    <w:rPr>
                      <w:rFonts w:hint="eastAsia" w:ascii="Times New Roman" w:hAnsi="Times New Roman" w:eastAsia="宋体" w:cs="Times New Roman"/>
                      <w:color w:val="auto"/>
                      <w:kern w:val="0"/>
                      <w:sz w:val="21"/>
                      <w:szCs w:val="21"/>
                      <w:lang w:val="en-US" w:eastAsia="zh-CN"/>
                    </w:rPr>
                    <w:t>41.5</w:t>
                  </w:r>
                </w:p>
              </w:tc>
            </w:tr>
            <w:tr w14:paraId="642C144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23" w:hRule="exact"/>
                <w:jc w:val="center"/>
              </w:trPr>
              <w:tc>
                <w:tcPr>
                  <w:tcW w:w="565" w:type="pct"/>
                  <w:vMerge w:val="continue"/>
                  <w:noWrap w:val="0"/>
                  <w:vAlign w:val="center"/>
                </w:tcPr>
                <w:p w14:paraId="548607C4">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eastAsia"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pPr>
                </w:p>
              </w:tc>
              <w:tc>
                <w:tcPr>
                  <w:tcW w:w="565" w:type="pct"/>
                  <w:noWrap w:val="0"/>
                  <w:vAlign w:val="center"/>
                </w:tcPr>
                <w:p w14:paraId="4AC31B2C">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default"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pPr>
                  <w:r>
                    <w:rPr>
                      <w:rFonts w:hint="eastAsia" w:cs="Times New Roman"/>
                      <w:b w:val="0"/>
                      <w:bCs w:val="0"/>
                      <w:i w:val="0"/>
                      <w:caps w:val="0"/>
                      <w:color w:val="auto"/>
                      <w:spacing w:val="0"/>
                      <w:sz w:val="21"/>
                      <w:szCs w:val="21"/>
                      <w:highlight w:val="none"/>
                      <w:shd w:val="clear" w:color="auto" w:fill="FFFFFF"/>
                      <w:vertAlign w:val="baseline"/>
                      <w:lang w:val="en-US" w:eastAsia="zh-CN"/>
                    </w:rPr>
                    <w:t>去除率</w:t>
                  </w:r>
                </w:p>
              </w:tc>
              <w:tc>
                <w:tcPr>
                  <w:tcW w:w="642" w:type="pct"/>
                  <w:noWrap w:val="0"/>
                  <w:vAlign w:val="center"/>
                </w:tcPr>
                <w:p w14:paraId="5AAA583E">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default"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pPr>
                  <w:r>
                    <w:rPr>
                      <w:rFonts w:hint="eastAsia" w:cs="Times New Roman"/>
                      <w:b w:val="0"/>
                      <w:bCs w:val="0"/>
                      <w:i w:val="0"/>
                      <w:caps w:val="0"/>
                      <w:color w:val="auto"/>
                      <w:spacing w:val="0"/>
                      <w:sz w:val="21"/>
                      <w:szCs w:val="21"/>
                      <w:highlight w:val="none"/>
                      <w:shd w:val="clear" w:color="auto" w:fill="FFFFFF"/>
                      <w:vertAlign w:val="baseline"/>
                      <w:lang w:val="en-US" w:eastAsia="zh-CN"/>
                    </w:rPr>
                    <w:t>/</w:t>
                  </w:r>
                </w:p>
              </w:tc>
              <w:tc>
                <w:tcPr>
                  <w:tcW w:w="630" w:type="pct"/>
                  <w:noWrap w:val="0"/>
                  <w:vAlign w:val="center"/>
                </w:tcPr>
                <w:p w14:paraId="2B4388E4">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default"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pPr>
                  <w:r>
                    <w:rPr>
                      <w:rFonts w:hint="eastAsia" w:cs="Times New Roman"/>
                      <w:b w:val="0"/>
                      <w:bCs w:val="0"/>
                      <w:i w:val="0"/>
                      <w:caps w:val="0"/>
                      <w:color w:val="auto"/>
                      <w:spacing w:val="0"/>
                      <w:sz w:val="21"/>
                      <w:szCs w:val="21"/>
                      <w:highlight w:val="none"/>
                      <w:shd w:val="clear" w:color="auto" w:fill="FFFFFF"/>
                      <w:vertAlign w:val="baseline"/>
                      <w:lang w:val="en-US" w:eastAsia="zh-CN"/>
                    </w:rPr>
                    <w:t>/</w:t>
                  </w:r>
                </w:p>
              </w:tc>
              <w:tc>
                <w:tcPr>
                  <w:tcW w:w="588" w:type="pct"/>
                  <w:noWrap w:val="0"/>
                  <w:vAlign w:val="center"/>
                </w:tcPr>
                <w:p w14:paraId="5FBA8EC8">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default"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pPr>
                  <w:r>
                    <w:rPr>
                      <w:rFonts w:hint="eastAsia" w:cs="Times New Roman"/>
                      <w:b w:val="0"/>
                      <w:bCs w:val="0"/>
                      <w:i w:val="0"/>
                      <w:caps w:val="0"/>
                      <w:color w:val="auto"/>
                      <w:spacing w:val="0"/>
                      <w:sz w:val="21"/>
                      <w:szCs w:val="21"/>
                      <w:highlight w:val="none"/>
                      <w:shd w:val="clear" w:color="auto" w:fill="FFFFFF"/>
                      <w:vertAlign w:val="baseline"/>
                      <w:lang w:val="en-US" w:eastAsia="zh-CN"/>
                    </w:rPr>
                    <w:t>/</w:t>
                  </w:r>
                </w:p>
              </w:tc>
              <w:tc>
                <w:tcPr>
                  <w:tcW w:w="628" w:type="pct"/>
                  <w:noWrap w:val="0"/>
                  <w:vAlign w:val="center"/>
                </w:tcPr>
                <w:p w14:paraId="089070F5">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default"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pPr>
                  <w:r>
                    <w:rPr>
                      <w:rFonts w:hint="eastAsia" w:cs="Times New Roman"/>
                      <w:b w:val="0"/>
                      <w:bCs w:val="0"/>
                      <w:i w:val="0"/>
                      <w:caps w:val="0"/>
                      <w:color w:val="auto"/>
                      <w:spacing w:val="0"/>
                      <w:sz w:val="21"/>
                      <w:szCs w:val="21"/>
                      <w:highlight w:val="none"/>
                      <w:shd w:val="clear" w:color="auto" w:fill="FFFFFF"/>
                      <w:vertAlign w:val="baseline"/>
                      <w:lang w:val="en-US" w:eastAsia="zh-CN"/>
                    </w:rPr>
                    <w:t>/</w:t>
                  </w:r>
                </w:p>
              </w:tc>
              <w:tc>
                <w:tcPr>
                  <w:tcW w:w="692" w:type="pct"/>
                  <w:noWrap w:val="0"/>
                  <w:vAlign w:val="center"/>
                </w:tcPr>
                <w:p w14:paraId="766B7685">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default"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pPr>
                  <w:r>
                    <w:rPr>
                      <w:rFonts w:hint="eastAsia" w:cs="Times New Roman"/>
                      <w:b w:val="0"/>
                      <w:bCs w:val="0"/>
                      <w:i w:val="0"/>
                      <w:caps w:val="0"/>
                      <w:color w:val="auto"/>
                      <w:spacing w:val="0"/>
                      <w:sz w:val="21"/>
                      <w:szCs w:val="21"/>
                      <w:highlight w:val="none"/>
                      <w:shd w:val="clear" w:color="auto" w:fill="FFFFFF"/>
                      <w:vertAlign w:val="baseline"/>
                      <w:lang w:val="en-US" w:eastAsia="zh-CN"/>
                    </w:rPr>
                    <w:t>/</w:t>
                  </w:r>
                </w:p>
              </w:tc>
              <w:tc>
                <w:tcPr>
                  <w:tcW w:w="686" w:type="pct"/>
                  <w:noWrap w:val="0"/>
                  <w:vAlign w:val="center"/>
                </w:tcPr>
                <w:p w14:paraId="7057FA91">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default"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pPr>
                  <w:r>
                    <w:rPr>
                      <w:rFonts w:hint="eastAsia" w:cs="Times New Roman"/>
                      <w:b w:val="0"/>
                      <w:bCs w:val="0"/>
                      <w:i w:val="0"/>
                      <w:caps w:val="0"/>
                      <w:color w:val="auto"/>
                      <w:spacing w:val="0"/>
                      <w:sz w:val="21"/>
                      <w:szCs w:val="21"/>
                      <w:highlight w:val="none"/>
                      <w:shd w:val="clear" w:color="auto" w:fill="FFFFFF"/>
                      <w:vertAlign w:val="baseline"/>
                      <w:lang w:val="en-US" w:eastAsia="zh-CN"/>
                    </w:rPr>
                    <w:t>/</w:t>
                  </w:r>
                </w:p>
              </w:tc>
            </w:tr>
            <w:tr w14:paraId="43C4A6D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6" w:hRule="exact"/>
                <w:jc w:val="center"/>
              </w:trPr>
              <w:tc>
                <w:tcPr>
                  <w:tcW w:w="565" w:type="pct"/>
                  <w:vMerge w:val="continue"/>
                  <w:noWrap w:val="0"/>
                  <w:vAlign w:val="center"/>
                </w:tcPr>
                <w:p w14:paraId="0E57783F">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eastAsia"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pPr>
                </w:p>
              </w:tc>
              <w:tc>
                <w:tcPr>
                  <w:tcW w:w="565" w:type="pct"/>
                  <w:noWrap w:val="0"/>
                  <w:vAlign w:val="center"/>
                </w:tcPr>
                <w:p w14:paraId="15E88C57">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default"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pPr>
                  <w:r>
                    <w:rPr>
                      <w:rFonts w:hint="eastAsia" w:cs="Times New Roman"/>
                      <w:b w:val="0"/>
                      <w:bCs w:val="0"/>
                      <w:i w:val="0"/>
                      <w:caps w:val="0"/>
                      <w:color w:val="auto"/>
                      <w:spacing w:val="0"/>
                      <w:sz w:val="21"/>
                      <w:szCs w:val="21"/>
                      <w:highlight w:val="none"/>
                      <w:shd w:val="clear" w:color="auto" w:fill="FFFFFF"/>
                      <w:vertAlign w:val="baseline"/>
                      <w:lang w:val="en-US" w:eastAsia="zh-CN"/>
                    </w:rPr>
                    <w:t>出水</w:t>
                  </w:r>
                </w:p>
              </w:tc>
              <w:tc>
                <w:tcPr>
                  <w:tcW w:w="642" w:type="pct"/>
                  <w:noWrap w:val="0"/>
                  <w:vAlign w:val="center"/>
                </w:tcPr>
                <w:p w14:paraId="146F3BC7">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eastAsia"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pPr>
                  <w:r>
                    <w:rPr>
                      <w:rFonts w:hint="eastAsia" w:ascii="Times New Roman" w:hAnsi="Times New Roman" w:eastAsia="宋体" w:cs="Times New Roman"/>
                      <w:color w:val="auto"/>
                      <w:kern w:val="0"/>
                      <w:sz w:val="21"/>
                      <w:szCs w:val="21"/>
                      <w:lang w:val="en-US" w:eastAsia="zh-CN"/>
                    </w:rPr>
                    <w:t>4619</w:t>
                  </w:r>
                </w:p>
              </w:tc>
              <w:tc>
                <w:tcPr>
                  <w:tcW w:w="630" w:type="pct"/>
                  <w:noWrap w:val="0"/>
                  <w:vAlign w:val="center"/>
                </w:tcPr>
                <w:p w14:paraId="286AA888">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eastAsia"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pPr>
                  <w:r>
                    <w:rPr>
                      <w:rFonts w:hint="eastAsia" w:ascii="Times New Roman" w:hAnsi="Times New Roman" w:eastAsia="宋体" w:cs="Times New Roman"/>
                      <w:color w:val="auto"/>
                      <w:kern w:val="0"/>
                      <w:sz w:val="21"/>
                      <w:szCs w:val="21"/>
                      <w:lang w:val="en-US" w:eastAsia="zh-CN"/>
                    </w:rPr>
                    <w:t>1769</w:t>
                  </w:r>
                </w:p>
              </w:tc>
              <w:tc>
                <w:tcPr>
                  <w:tcW w:w="588" w:type="pct"/>
                  <w:noWrap w:val="0"/>
                  <w:vAlign w:val="center"/>
                </w:tcPr>
                <w:p w14:paraId="648D8A75">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eastAsia"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pPr>
                  <w:r>
                    <w:rPr>
                      <w:rFonts w:hint="eastAsia" w:ascii="Times New Roman" w:hAnsi="Times New Roman" w:eastAsia="宋体" w:cs="Times New Roman"/>
                      <w:color w:val="auto"/>
                      <w:kern w:val="0"/>
                      <w:sz w:val="21"/>
                      <w:szCs w:val="21"/>
                      <w:lang w:val="en-US" w:eastAsia="zh-CN"/>
                    </w:rPr>
                    <w:t>2.705</w:t>
                  </w:r>
                </w:p>
              </w:tc>
              <w:tc>
                <w:tcPr>
                  <w:tcW w:w="628" w:type="pct"/>
                  <w:noWrap w:val="0"/>
                  <w:vAlign w:val="center"/>
                </w:tcPr>
                <w:p w14:paraId="6040357A">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eastAsia"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pPr>
                  <w:r>
                    <w:rPr>
                      <w:rFonts w:hint="eastAsia" w:ascii="Times New Roman" w:hAnsi="Times New Roman" w:eastAsia="宋体" w:cs="Times New Roman"/>
                      <w:color w:val="auto"/>
                      <w:kern w:val="0"/>
                      <w:sz w:val="21"/>
                      <w:szCs w:val="21"/>
                      <w:lang w:val="en-US" w:eastAsia="zh-CN"/>
                    </w:rPr>
                    <w:t>344.3</w:t>
                  </w:r>
                </w:p>
              </w:tc>
              <w:tc>
                <w:tcPr>
                  <w:tcW w:w="692" w:type="pct"/>
                  <w:noWrap w:val="0"/>
                  <w:vAlign w:val="center"/>
                </w:tcPr>
                <w:p w14:paraId="3C6B5F82">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eastAsia"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pPr>
                  <w:r>
                    <w:rPr>
                      <w:rFonts w:hint="eastAsia" w:ascii="Times New Roman" w:hAnsi="Times New Roman" w:eastAsia="宋体" w:cs="Times New Roman"/>
                      <w:color w:val="auto"/>
                      <w:kern w:val="0"/>
                      <w:sz w:val="21"/>
                      <w:szCs w:val="21"/>
                      <w:lang w:val="en-US" w:eastAsia="zh-CN"/>
                    </w:rPr>
                    <w:t>1.275</w:t>
                  </w:r>
                </w:p>
              </w:tc>
              <w:tc>
                <w:tcPr>
                  <w:tcW w:w="686" w:type="pct"/>
                  <w:noWrap w:val="0"/>
                  <w:vAlign w:val="center"/>
                </w:tcPr>
                <w:p w14:paraId="3E26B94B">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eastAsia"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pPr>
                  <w:r>
                    <w:rPr>
                      <w:rFonts w:hint="eastAsia" w:ascii="Times New Roman" w:hAnsi="Times New Roman" w:eastAsia="宋体" w:cs="Times New Roman"/>
                      <w:color w:val="auto"/>
                      <w:kern w:val="0"/>
                      <w:sz w:val="21"/>
                      <w:szCs w:val="21"/>
                      <w:lang w:val="en-US" w:eastAsia="zh-CN"/>
                    </w:rPr>
                    <w:t>41.5</w:t>
                  </w:r>
                </w:p>
              </w:tc>
            </w:tr>
            <w:tr w14:paraId="15ADC9D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6" w:hRule="exact"/>
                <w:jc w:val="center"/>
              </w:trPr>
              <w:tc>
                <w:tcPr>
                  <w:tcW w:w="565" w:type="pct"/>
                  <w:vMerge w:val="restart"/>
                  <w:noWrap w:val="0"/>
                  <w:vAlign w:val="center"/>
                </w:tcPr>
                <w:p w14:paraId="7963BF3D">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default"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pPr>
                  <w:r>
                    <w:rPr>
                      <w:rFonts w:hint="eastAsia"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t>絮凝沉淀</w:t>
                  </w:r>
                </w:p>
              </w:tc>
              <w:tc>
                <w:tcPr>
                  <w:tcW w:w="565" w:type="pct"/>
                  <w:noWrap w:val="0"/>
                  <w:vAlign w:val="center"/>
                </w:tcPr>
                <w:p w14:paraId="394D7A03">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eastAsia"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pPr>
                  <w:r>
                    <w:rPr>
                      <w:rFonts w:hint="eastAsia"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t>进水</w:t>
                  </w:r>
                </w:p>
              </w:tc>
              <w:tc>
                <w:tcPr>
                  <w:tcW w:w="642" w:type="pct"/>
                  <w:shd w:val="clear" w:color="auto" w:fill="auto"/>
                  <w:noWrap w:val="0"/>
                  <w:vAlign w:val="center"/>
                </w:tcPr>
                <w:p w14:paraId="06CE33DA">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eastAsia" w:ascii="Times New Roman" w:hAnsi="Times New Roman" w:eastAsia="宋体" w:cs="Times New Roman"/>
                      <w:b w:val="0"/>
                      <w:bCs w:val="0"/>
                      <w:i w:val="0"/>
                      <w:caps w:val="0"/>
                      <w:color w:val="auto"/>
                      <w:spacing w:val="0"/>
                      <w:kern w:val="2"/>
                      <w:sz w:val="21"/>
                      <w:szCs w:val="21"/>
                      <w:highlight w:val="none"/>
                      <w:shd w:val="clear" w:color="auto" w:fill="FFFFFF"/>
                      <w:vertAlign w:val="baseline"/>
                      <w:lang w:val="en-US" w:eastAsia="zh-CN" w:bidi="ar-SA"/>
                    </w:rPr>
                  </w:pPr>
                  <w:r>
                    <w:rPr>
                      <w:rFonts w:hint="eastAsia" w:ascii="Times New Roman" w:hAnsi="Times New Roman" w:eastAsia="宋体" w:cs="Times New Roman"/>
                      <w:color w:val="auto"/>
                      <w:kern w:val="0"/>
                      <w:sz w:val="21"/>
                      <w:szCs w:val="21"/>
                      <w:lang w:val="en-US" w:eastAsia="zh-CN"/>
                    </w:rPr>
                    <w:t>4619</w:t>
                  </w:r>
                </w:p>
              </w:tc>
              <w:tc>
                <w:tcPr>
                  <w:tcW w:w="630" w:type="pct"/>
                  <w:shd w:val="clear" w:color="auto" w:fill="auto"/>
                  <w:noWrap w:val="0"/>
                  <w:vAlign w:val="center"/>
                </w:tcPr>
                <w:p w14:paraId="6668A983">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eastAsia" w:ascii="Times New Roman" w:hAnsi="Times New Roman" w:eastAsia="宋体" w:cs="Times New Roman"/>
                      <w:b w:val="0"/>
                      <w:bCs w:val="0"/>
                      <w:i w:val="0"/>
                      <w:caps w:val="0"/>
                      <w:color w:val="auto"/>
                      <w:spacing w:val="0"/>
                      <w:kern w:val="2"/>
                      <w:sz w:val="21"/>
                      <w:szCs w:val="21"/>
                      <w:highlight w:val="none"/>
                      <w:shd w:val="clear" w:color="auto" w:fill="FFFFFF"/>
                      <w:vertAlign w:val="baseline"/>
                      <w:lang w:val="en-US" w:eastAsia="zh-CN" w:bidi="ar-SA"/>
                    </w:rPr>
                  </w:pPr>
                  <w:r>
                    <w:rPr>
                      <w:rFonts w:hint="eastAsia" w:ascii="Times New Roman" w:hAnsi="Times New Roman" w:eastAsia="宋体" w:cs="Times New Roman"/>
                      <w:color w:val="auto"/>
                      <w:kern w:val="0"/>
                      <w:sz w:val="21"/>
                      <w:szCs w:val="21"/>
                      <w:lang w:val="en-US" w:eastAsia="zh-CN"/>
                    </w:rPr>
                    <w:t>1769</w:t>
                  </w:r>
                </w:p>
              </w:tc>
              <w:tc>
                <w:tcPr>
                  <w:tcW w:w="588" w:type="pct"/>
                  <w:shd w:val="clear" w:color="auto" w:fill="auto"/>
                  <w:noWrap w:val="0"/>
                  <w:vAlign w:val="center"/>
                </w:tcPr>
                <w:p w14:paraId="7BAFFD2E">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eastAsia" w:ascii="Times New Roman" w:hAnsi="Times New Roman" w:eastAsia="宋体" w:cs="Times New Roman"/>
                      <w:b w:val="0"/>
                      <w:bCs w:val="0"/>
                      <w:i w:val="0"/>
                      <w:caps w:val="0"/>
                      <w:color w:val="auto"/>
                      <w:spacing w:val="0"/>
                      <w:kern w:val="2"/>
                      <w:sz w:val="21"/>
                      <w:szCs w:val="21"/>
                      <w:highlight w:val="none"/>
                      <w:shd w:val="clear" w:color="auto" w:fill="FFFFFF"/>
                      <w:vertAlign w:val="baseline"/>
                      <w:lang w:val="en-US" w:eastAsia="zh-CN" w:bidi="ar-SA"/>
                    </w:rPr>
                  </w:pPr>
                  <w:r>
                    <w:rPr>
                      <w:rFonts w:hint="eastAsia" w:ascii="Times New Roman" w:hAnsi="Times New Roman" w:eastAsia="宋体" w:cs="Times New Roman"/>
                      <w:color w:val="auto"/>
                      <w:kern w:val="0"/>
                      <w:sz w:val="21"/>
                      <w:szCs w:val="21"/>
                      <w:lang w:val="en-US" w:eastAsia="zh-CN"/>
                    </w:rPr>
                    <w:t>2.705</w:t>
                  </w:r>
                </w:p>
              </w:tc>
              <w:tc>
                <w:tcPr>
                  <w:tcW w:w="628" w:type="pct"/>
                  <w:shd w:val="clear" w:color="auto" w:fill="auto"/>
                  <w:noWrap w:val="0"/>
                  <w:vAlign w:val="center"/>
                </w:tcPr>
                <w:p w14:paraId="78E1AB75">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eastAsia" w:ascii="Times New Roman" w:hAnsi="Times New Roman" w:eastAsia="宋体" w:cs="Times New Roman"/>
                      <w:b w:val="0"/>
                      <w:bCs w:val="0"/>
                      <w:i w:val="0"/>
                      <w:caps w:val="0"/>
                      <w:color w:val="auto"/>
                      <w:spacing w:val="0"/>
                      <w:kern w:val="2"/>
                      <w:sz w:val="21"/>
                      <w:szCs w:val="21"/>
                      <w:highlight w:val="none"/>
                      <w:shd w:val="clear" w:color="auto" w:fill="FFFFFF"/>
                      <w:vertAlign w:val="baseline"/>
                      <w:lang w:val="en-US" w:eastAsia="zh-CN" w:bidi="ar-SA"/>
                    </w:rPr>
                  </w:pPr>
                  <w:r>
                    <w:rPr>
                      <w:rFonts w:hint="eastAsia" w:ascii="Times New Roman" w:hAnsi="Times New Roman" w:eastAsia="宋体" w:cs="Times New Roman"/>
                      <w:color w:val="auto"/>
                      <w:kern w:val="0"/>
                      <w:sz w:val="21"/>
                      <w:szCs w:val="21"/>
                      <w:lang w:val="en-US" w:eastAsia="zh-CN"/>
                    </w:rPr>
                    <w:t>344.3</w:t>
                  </w:r>
                </w:p>
              </w:tc>
              <w:tc>
                <w:tcPr>
                  <w:tcW w:w="692" w:type="pct"/>
                  <w:shd w:val="clear" w:color="auto" w:fill="auto"/>
                  <w:noWrap w:val="0"/>
                  <w:vAlign w:val="center"/>
                </w:tcPr>
                <w:p w14:paraId="7F4C701E">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eastAsia" w:ascii="Times New Roman" w:hAnsi="Times New Roman" w:eastAsia="宋体" w:cs="Times New Roman"/>
                      <w:b w:val="0"/>
                      <w:bCs w:val="0"/>
                      <w:i w:val="0"/>
                      <w:caps w:val="0"/>
                      <w:color w:val="auto"/>
                      <w:spacing w:val="0"/>
                      <w:kern w:val="2"/>
                      <w:sz w:val="21"/>
                      <w:szCs w:val="21"/>
                      <w:highlight w:val="none"/>
                      <w:shd w:val="clear" w:color="auto" w:fill="FFFFFF"/>
                      <w:vertAlign w:val="baseline"/>
                      <w:lang w:val="en-US" w:eastAsia="zh-CN" w:bidi="ar-SA"/>
                    </w:rPr>
                  </w:pPr>
                  <w:r>
                    <w:rPr>
                      <w:rFonts w:hint="eastAsia" w:ascii="Times New Roman" w:hAnsi="Times New Roman" w:eastAsia="宋体" w:cs="Times New Roman"/>
                      <w:color w:val="auto"/>
                      <w:kern w:val="0"/>
                      <w:sz w:val="21"/>
                      <w:szCs w:val="21"/>
                      <w:lang w:val="en-US" w:eastAsia="zh-CN"/>
                    </w:rPr>
                    <w:t>1.275</w:t>
                  </w:r>
                </w:p>
              </w:tc>
              <w:tc>
                <w:tcPr>
                  <w:tcW w:w="686" w:type="pct"/>
                  <w:shd w:val="clear" w:color="auto" w:fill="auto"/>
                  <w:noWrap w:val="0"/>
                  <w:vAlign w:val="center"/>
                </w:tcPr>
                <w:p w14:paraId="6BB8DEEF">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eastAsia" w:ascii="Times New Roman" w:hAnsi="Times New Roman" w:eastAsia="宋体" w:cs="Times New Roman"/>
                      <w:b w:val="0"/>
                      <w:bCs w:val="0"/>
                      <w:i w:val="0"/>
                      <w:caps w:val="0"/>
                      <w:color w:val="auto"/>
                      <w:spacing w:val="0"/>
                      <w:kern w:val="2"/>
                      <w:sz w:val="21"/>
                      <w:szCs w:val="21"/>
                      <w:highlight w:val="none"/>
                      <w:shd w:val="clear" w:color="auto" w:fill="FFFFFF"/>
                      <w:vertAlign w:val="baseline"/>
                      <w:lang w:val="en-US" w:eastAsia="zh-CN" w:bidi="ar-SA"/>
                    </w:rPr>
                  </w:pPr>
                  <w:r>
                    <w:rPr>
                      <w:rFonts w:hint="eastAsia" w:ascii="Times New Roman" w:hAnsi="Times New Roman" w:eastAsia="宋体" w:cs="Times New Roman"/>
                      <w:color w:val="auto"/>
                      <w:kern w:val="0"/>
                      <w:sz w:val="21"/>
                      <w:szCs w:val="21"/>
                      <w:lang w:val="en-US" w:eastAsia="zh-CN"/>
                    </w:rPr>
                    <w:t>41.5</w:t>
                  </w:r>
                </w:p>
              </w:tc>
            </w:tr>
            <w:tr w14:paraId="15E664B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6" w:hRule="exact"/>
                <w:jc w:val="center"/>
              </w:trPr>
              <w:tc>
                <w:tcPr>
                  <w:tcW w:w="565" w:type="pct"/>
                  <w:vMerge w:val="continue"/>
                  <w:noWrap w:val="0"/>
                  <w:vAlign w:val="center"/>
                </w:tcPr>
                <w:p w14:paraId="6C1E9B01">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eastAsia"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pPr>
                </w:p>
              </w:tc>
              <w:tc>
                <w:tcPr>
                  <w:tcW w:w="565" w:type="pct"/>
                  <w:noWrap w:val="0"/>
                  <w:vAlign w:val="center"/>
                </w:tcPr>
                <w:p w14:paraId="73723E70">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eastAsia"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pPr>
                  <w:r>
                    <w:rPr>
                      <w:rFonts w:hint="eastAsia"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t>去除率</w:t>
                  </w:r>
                </w:p>
              </w:tc>
              <w:tc>
                <w:tcPr>
                  <w:tcW w:w="642" w:type="pct"/>
                  <w:noWrap w:val="0"/>
                  <w:vAlign w:val="center"/>
                </w:tcPr>
                <w:p w14:paraId="00AC9882">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default"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pPr>
                  <w:r>
                    <w:rPr>
                      <w:rFonts w:hint="eastAsia"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t>5%</w:t>
                  </w:r>
                </w:p>
              </w:tc>
              <w:tc>
                <w:tcPr>
                  <w:tcW w:w="630" w:type="pct"/>
                  <w:noWrap w:val="0"/>
                  <w:vAlign w:val="center"/>
                </w:tcPr>
                <w:p w14:paraId="44833C05">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eastAsia"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t>5%</w:t>
                  </w:r>
                </w:p>
              </w:tc>
              <w:tc>
                <w:tcPr>
                  <w:tcW w:w="588" w:type="pct"/>
                  <w:noWrap w:val="0"/>
                  <w:vAlign w:val="center"/>
                </w:tcPr>
                <w:p w14:paraId="32C19920">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w:t>
                  </w:r>
                </w:p>
              </w:tc>
              <w:tc>
                <w:tcPr>
                  <w:tcW w:w="628" w:type="pct"/>
                  <w:noWrap w:val="0"/>
                  <w:vAlign w:val="center"/>
                </w:tcPr>
                <w:p w14:paraId="41A19700">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w:t>
                  </w:r>
                </w:p>
              </w:tc>
              <w:tc>
                <w:tcPr>
                  <w:tcW w:w="692" w:type="pct"/>
                  <w:noWrap w:val="0"/>
                  <w:vAlign w:val="center"/>
                </w:tcPr>
                <w:p w14:paraId="291BD03A">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80%</w:t>
                  </w:r>
                </w:p>
              </w:tc>
              <w:tc>
                <w:tcPr>
                  <w:tcW w:w="686" w:type="pct"/>
                  <w:noWrap w:val="0"/>
                  <w:vAlign w:val="center"/>
                </w:tcPr>
                <w:p w14:paraId="7663B34A">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w:t>
                  </w:r>
                </w:p>
              </w:tc>
            </w:tr>
            <w:tr w14:paraId="6365A38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6" w:hRule="exact"/>
                <w:jc w:val="center"/>
              </w:trPr>
              <w:tc>
                <w:tcPr>
                  <w:tcW w:w="565" w:type="pct"/>
                  <w:vMerge w:val="continue"/>
                  <w:noWrap w:val="0"/>
                  <w:vAlign w:val="center"/>
                </w:tcPr>
                <w:p w14:paraId="330E749B">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eastAsia"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pPr>
                </w:p>
              </w:tc>
              <w:tc>
                <w:tcPr>
                  <w:tcW w:w="565" w:type="pct"/>
                  <w:noWrap w:val="0"/>
                  <w:vAlign w:val="center"/>
                </w:tcPr>
                <w:p w14:paraId="0AA48D22">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eastAsia"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pPr>
                  <w:r>
                    <w:rPr>
                      <w:rFonts w:hint="eastAsia"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t>出水</w:t>
                  </w:r>
                </w:p>
              </w:tc>
              <w:tc>
                <w:tcPr>
                  <w:tcW w:w="642" w:type="pct"/>
                  <w:noWrap w:val="0"/>
                  <w:vAlign w:val="center"/>
                </w:tcPr>
                <w:p w14:paraId="629D97B9">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default"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pPr>
                  <w:r>
                    <w:rPr>
                      <w:rFonts w:hint="eastAsia"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t>4388.05</w:t>
                  </w:r>
                </w:p>
              </w:tc>
              <w:tc>
                <w:tcPr>
                  <w:tcW w:w="630" w:type="pct"/>
                  <w:noWrap w:val="0"/>
                  <w:vAlign w:val="center"/>
                </w:tcPr>
                <w:p w14:paraId="426FB547">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1680.55</w:t>
                  </w:r>
                </w:p>
              </w:tc>
              <w:tc>
                <w:tcPr>
                  <w:tcW w:w="588" w:type="pct"/>
                  <w:noWrap w:val="0"/>
                  <w:vAlign w:val="center"/>
                </w:tcPr>
                <w:p w14:paraId="2A352349">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eastAsia"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2.705</w:t>
                  </w:r>
                </w:p>
              </w:tc>
              <w:tc>
                <w:tcPr>
                  <w:tcW w:w="628" w:type="pct"/>
                  <w:noWrap w:val="0"/>
                  <w:vAlign w:val="center"/>
                </w:tcPr>
                <w:p w14:paraId="0ABDFDBC">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eastAsia"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344.3</w:t>
                  </w:r>
                </w:p>
              </w:tc>
              <w:tc>
                <w:tcPr>
                  <w:tcW w:w="692" w:type="pct"/>
                  <w:noWrap w:val="0"/>
                  <w:vAlign w:val="center"/>
                </w:tcPr>
                <w:p w14:paraId="13FEDC48">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0.255</w:t>
                  </w:r>
                </w:p>
              </w:tc>
              <w:tc>
                <w:tcPr>
                  <w:tcW w:w="686" w:type="pct"/>
                  <w:noWrap w:val="0"/>
                  <w:vAlign w:val="center"/>
                </w:tcPr>
                <w:p w14:paraId="357211E0">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41.5</w:t>
                  </w:r>
                </w:p>
              </w:tc>
            </w:tr>
            <w:tr w14:paraId="56D3445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6" w:hRule="exact"/>
                <w:jc w:val="center"/>
              </w:trPr>
              <w:tc>
                <w:tcPr>
                  <w:tcW w:w="565" w:type="pct"/>
                  <w:vMerge w:val="restart"/>
                  <w:noWrap w:val="0"/>
                  <w:vAlign w:val="center"/>
                </w:tcPr>
                <w:p w14:paraId="664FBEC0">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eastAsia"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pPr>
                  <w:r>
                    <w:rPr>
                      <w:rFonts w:hint="eastAsia"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t>水解酸化</w:t>
                  </w:r>
                </w:p>
              </w:tc>
              <w:tc>
                <w:tcPr>
                  <w:tcW w:w="565" w:type="pct"/>
                  <w:noWrap w:val="0"/>
                  <w:vAlign w:val="center"/>
                </w:tcPr>
                <w:p w14:paraId="768CE158">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eastAsia"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pPr>
                  <w:r>
                    <w:rPr>
                      <w:rFonts w:hint="eastAsia"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t>进水</w:t>
                  </w:r>
                </w:p>
              </w:tc>
              <w:tc>
                <w:tcPr>
                  <w:tcW w:w="642" w:type="pct"/>
                  <w:shd w:val="clear" w:color="auto" w:fill="auto"/>
                  <w:noWrap w:val="0"/>
                  <w:vAlign w:val="center"/>
                </w:tcPr>
                <w:p w14:paraId="7EEEDA07">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eastAsia" w:ascii="Times New Roman" w:hAnsi="Times New Roman" w:eastAsia="宋体" w:cs="Times New Roman"/>
                      <w:b w:val="0"/>
                      <w:bCs w:val="0"/>
                      <w:i w:val="0"/>
                      <w:caps w:val="0"/>
                      <w:color w:val="auto"/>
                      <w:spacing w:val="0"/>
                      <w:kern w:val="2"/>
                      <w:sz w:val="21"/>
                      <w:szCs w:val="21"/>
                      <w:highlight w:val="none"/>
                      <w:shd w:val="clear" w:color="auto" w:fill="FFFFFF"/>
                      <w:vertAlign w:val="baseline"/>
                      <w:lang w:val="en-US" w:eastAsia="zh-CN" w:bidi="ar-SA"/>
                    </w:rPr>
                  </w:pPr>
                  <w:r>
                    <w:rPr>
                      <w:rFonts w:hint="eastAsia"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t>4388.05</w:t>
                  </w:r>
                </w:p>
              </w:tc>
              <w:tc>
                <w:tcPr>
                  <w:tcW w:w="630" w:type="pct"/>
                  <w:shd w:val="clear" w:color="auto" w:fill="auto"/>
                  <w:noWrap w:val="0"/>
                  <w:vAlign w:val="center"/>
                </w:tcPr>
                <w:p w14:paraId="407CCD25">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eastAsia"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0"/>
                      <w:sz w:val="21"/>
                      <w:szCs w:val="21"/>
                      <w:lang w:val="en-US" w:eastAsia="zh-CN"/>
                    </w:rPr>
                    <w:t>1680.55</w:t>
                  </w:r>
                </w:p>
              </w:tc>
              <w:tc>
                <w:tcPr>
                  <w:tcW w:w="588" w:type="pct"/>
                  <w:shd w:val="clear" w:color="auto" w:fill="auto"/>
                  <w:noWrap w:val="0"/>
                  <w:vAlign w:val="center"/>
                </w:tcPr>
                <w:p w14:paraId="45139D7D">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eastAsia"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0"/>
                      <w:sz w:val="21"/>
                      <w:szCs w:val="21"/>
                      <w:lang w:val="en-US" w:eastAsia="zh-CN"/>
                    </w:rPr>
                    <w:t>2.705</w:t>
                  </w:r>
                </w:p>
              </w:tc>
              <w:tc>
                <w:tcPr>
                  <w:tcW w:w="628" w:type="pct"/>
                  <w:shd w:val="clear" w:color="auto" w:fill="auto"/>
                  <w:noWrap w:val="0"/>
                  <w:vAlign w:val="center"/>
                </w:tcPr>
                <w:p w14:paraId="45BCADE4">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eastAsia"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0"/>
                      <w:sz w:val="21"/>
                      <w:szCs w:val="21"/>
                      <w:lang w:val="en-US" w:eastAsia="zh-CN"/>
                    </w:rPr>
                    <w:t>344.3</w:t>
                  </w:r>
                </w:p>
              </w:tc>
              <w:tc>
                <w:tcPr>
                  <w:tcW w:w="692" w:type="pct"/>
                  <w:shd w:val="clear" w:color="auto" w:fill="auto"/>
                  <w:noWrap w:val="0"/>
                  <w:vAlign w:val="center"/>
                </w:tcPr>
                <w:p w14:paraId="23374217">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eastAsia"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0"/>
                      <w:sz w:val="21"/>
                      <w:szCs w:val="21"/>
                      <w:lang w:val="en-US" w:eastAsia="zh-CN"/>
                    </w:rPr>
                    <w:t>0.255</w:t>
                  </w:r>
                </w:p>
              </w:tc>
              <w:tc>
                <w:tcPr>
                  <w:tcW w:w="686" w:type="pct"/>
                  <w:shd w:val="clear" w:color="auto" w:fill="auto"/>
                  <w:noWrap w:val="0"/>
                  <w:vAlign w:val="center"/>
                </w:tcPr>
                <w:p w14:paraId="43A934A1">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eastAsia"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0"/>
                      <w:sz w:val="21"/>
                      <w:szCs w:val="21"/>
                      <w:lang w:val="en-US" w:eastAsia="zh-CN"/>
                    </w:rPr>
                    <w:t>41.5</w:t>
                  </w:r>
                </w:p>
              </w:tc>
            </w:tr>
            <w:tr w14:paraId="5EC8E0F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6" w:hRule="exact"/>
                <w:jc w:val="center"/>
              </w:trPr>
              <w:tc>
                <w:tcPr>
                  <w:tcW w:w="565" w:type="pct"/>
                  <w:vMerge w:val="continue"/>
                  <w:noWrap w:val="0"/>
                  <w:vAlign w:val="center"/>
                </w:tcPr>
                <w:p w14:paraId="12808BBA">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eastAsia"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pPr>
                </w:p>
              </w:tc>
              <w:tc>
                <w:tcPr>
                  <w:tcW w:w="565" w:type="pct"/>
                  <w:noWrap w:val="0"/>
                  <w:vAlign w:val="center"/>
                </w:tcPr>
                <w:p w14:paraId="24BE52CA">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eastAsia"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pPr>
                  <w:r>
                    <w:rPr>
                      <w:rFonts w:hint="eastAsia"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t>去除率</w:t>
                  </w:r>
                </w:p>
              </w:tc>
              <w:tc>
                <w:tcPr>
                  <w:tcW w:w="642" w:type="pct"/>
                  <w:shd w:val="clear" w:color="auto" w:fill="auto"/>
                  <w:noWrap w:val="0"/>
                  <w:vAlign w:val="center"/>
                </w:tcPr>
                <w:p w14:paraId="6502CDD9">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eastAsia" w:ascii="Times New Roman" w:hAnsi="Times New Roman" w:eastAsia="宋体" w:cs="Times New Roman"/>
                      <w:b w:val="0"/>
                      <w:bCs w:val="0"/>
                      <w:i w:val="0"/>
                      <w:caps w:val="0"/>
                      <w:color w:val="auto"/>
                      <w:spacing w:val="0"/>
                      <w:kern w:val="2"/>
                      <w:sz w:val="21"/>
                      <w:szCs w:val="21"/>
                      <w:highlight w:val="none"/>
                      <w:shd w:val="clear" w:color="auto" w:fill="FFFFFF"/>
                      <w:vertAlign w:val="baseline"/>
                      <w:lang w:val="en-US" w:eastAsia="zh-CN" w:bidi="ar-SA"/>
                    </w:rPr>
                  </w:pPr>
                  <w:r>
                    <w:rPr>
                      <w:rFonts w:hint="eastAsia"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t>5%</w:t>
                  </w:r>
                </w:p>
              </w:tc>
              <w:tc>
                <w:tcPr>
                  <w:tcW w:w="630" w:type="pct"/>
                  <w:shd w:val="clear" w:color="auto" w:fill="auto"/>
                  <w:noWrap w:val="0"/>
                  <w:vAlign w:val="center"/>
                </w:tcPr>
                <w:p w14:paraId="7004430F">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eastAsia"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t>5%</w:t>
                  </w:r>
                </w:p>
              </w:tc>
              <w:tc>
                <w:tcPr>
                  <w:tcW w:w="588" w:type="pct"/>
                  <w:noWrap w:val="0"/>
                  <w:vAlign w:val="center"/>
                </w:tcPr>
                <w:p w14:paraId="22C703AB">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w:t>
                  </w:r>
                </w:p>
              </w:tc>
              <w:tc>
                <w:tcPr>
                  <w:tcW w:w="628" w:type="pct"/>
                  <w:noWrap w:val="0"/>
                  <w:vAlign w:val="center"/>
                </w:tcPr>
                <w:p w14:paraId="38F90DA0">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w:t>
                  </w:r>
                </w:p>
              </w:tc>
              <w:tc>
                <w:tcPr>
                  <w:tcW w:w="692" w:type="pct"/>
                  <w:noWrap w:val="0"/>
                  <w:vAlign w:val="center"/>
                </w:tcPr>
                <w:p w14:paraId="3B979B2A">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w:t>
                  </w:r>
                </w:p>
              </w:tc>
              <w:tc>
                <w:tcPr>
                  <w:tcW w:w="686" w:type="pct"/>
                  <w:noWrap w:val="0"/>
                  <w:vAlign w:val="center"/>
                </w:tcPr>
                <w:p w14:paraId="2EEE8319">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w:t>
                  </w:r>
                </w:p>
              </w:tc>
            </w:tr>
            <w:tr w14:paraId="04F796F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6" w:hRule="exact"/>
                <w:jc w:val="center"/>
              </w:trPr>
              <w:tc>
                <w:tcPr>
                  <w:tcW w:w="565" w:type="pct"/>
                  <w:vMerge w:val="continue"/>
                  <w:noWrap w:val="0"/>
                  <w:vAlign w:val="center"/>
                </w:tcPr>
                <w:p w14:paraId="68D21982">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eastAsia"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pPr>
                </w:p>
              </w:tc>
              <w:tc>
                <w:tcPr>
                  <w:tcW w:w="565" w:type="pct"/>
                  <w:noWrap w:val="0"/>
                  <w:vAlign w:val="center"/>
                </w:tcPr>
                <w:p w14:paraId="4C624BBF">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eastAsia"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pPr>
                  <w:r>
                    <w:rPr>
                      <w:rFonts w:hint="eastAsia"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t>出水</w:t>
                  </w:r>
                </w:p>
              </w:tc>
              <w:tc>
                <w:tcPr>
                  <w:tcW w:w="642" w:type="pct"/>
                  <w:noWrap w:val="0"/>
                  <w:vAlign w:val="center"/>
                </w:tcPr>
                <w:p w14:paraId="614E03B6">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default"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pPr>
                  <w:r>
                    <w:rPr>
                      <w:rFonts w:hint="eastAsia"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t>4168.7</w:t>
                  </w:r>
                </w:p>
              </w:tc>
              <w:tc>
                <w:tcPr>
                  <w:tcW w:w="630" w:type="pct"/>
                  <w:noWrap w:val="0"/>
                  <w:vAlign w:val="center"/>
                </w:tcPr>
                <w:p w14:paraId="21F95F41">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1596.52</w:t>
                  </w:r>
                </w:p>
              </w:tc>
              <w:tc>
                <w:tcPr>
                  <w:tcW w:w="588" w:type="pct"/>
                  <w:noWrap w:val="0"/>
                  <w:vAlign w:val="center"/>
                </w:tcPr>
                <w:p w14:paraId="7666FB77">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eastAsia"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2.705</w:t>
                  </w:r>
                </w:p>
              </w:tc>
              <w:tc>
                <w:tcPr>
                  <w:tcW w:w="628" w:type="pct"/>
                  <w:noWrap w:val="0"/>
                  <w:vAlign w:val="center"/>
                </w:tcPr>
                <w:p w14:paraId="652B56FF">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eastAsia"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344.3</w:t>
                  </w:r>
                </w:p>
              </w:tc>
              <w:tc>
                <w:tcPr>
                  <w:tcW w:w="692" w:type="pct"/>
                  <w:noWrap w:val="0"/>
                  <w:vAlign w:val="center"/>
                </w:tcPr>
                <w:p w14:paraId="5725F832">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eastAsia"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0.255</w:t>
                  </w:r>
                </w:p>
              </w:tc>
              <w:tc>
                <w:tcPr>
                  <w:tcW w:w="686" w:type="pct"/>
                  <w:noWrap w:val="0"/>
                  <w:vAlign w:val="center"/>
                </w:tcPr>
                <w:p w14:paraId="6FF5ABB1">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eastAsia"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41.5</w:t>
                  </w:r>
                </w:p>
              </w:tc>
            </w:tr>
            <w:tr w14:paraId="58E68B1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6" w:hRule="exact"/>
                <w:jc w:val="center"/>
              </w:trPr>
              <w:tc>
                <w:tcPr>
                  <w:tcW w:w="565" w:type="pct"/>
                  <w:vMerge w:val="restart"/>
                  <w:noWrap w:val="0"/>
                  <w:vAlign w:val="center"/>
                </w:tcPr>
                <w:p w14:paraId="12076656">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default"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pPr>
                  <w:r>
                    <w:rPr>
                      <w:rFonts w:hint="eastAsia"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t>UASB</w:t>
                  </w:r>
                </w:p>
              </w:tc>
              <w:tc>
                <w:tcPr>
                  <w:tcW w:w="565" w:type="pct"/>
                  <w:noWrap w:val="0"/>
                  <w:vAlign w:val="center"/>
                </w:tcPr>
                <w:p w14:paraId="23C4075C">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eastAsia"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pPr>
                  <w:r>
                    <w:rPr>
                      <w:rFonts w:hint="eastAsia"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t>进水</w:t>
                  </w:r>
                </w:p>
              </w:tc>
              <w:tc>
                <w:tcPr>
                  <w:tcW w:w="642" w:type="pct"/>
                  <w:shd w:val="clear" w:color="auto" w:fill="auto"/>
                  <w:noWrap w:val="0"/>
                  <w:vAlign w:val="center"/>
                </w:tcPr>
                <w:p w14:paraId="406F5241">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eastAsia" w:ascii="Times New Roman" w:hAnsi="Times New Roman" w:eastAsia="宋体" w:cs="Times New Roman"/>
                      <w:b w:val="0"/>
                      <w:bCs w:val="0"/>
                      <w:i w:val="0"/>
                      <w:caps w:val="0"/>
                      <w:color w:val="auto"/>
                      <w:spacing w:val="0"/>
                      <w:kern w:val="2"/>
                      <w:sz w:val="21"/>
                      <w:szCs w:val="21"/>
                      <w:highlight w:val="none"/>
                      <w:shd w:val="clear" w:color="auto" w:fill="FFFFFF"/>
                      <w:vertAlign w:val="baseline"/>
                      <w:lang w:val="en-US" w:eastAsia="zh-CN" w:bidi="ar-SA"/>
                    </w:rPr>
                  </w:pPr>
                  <w:r>
                    <w:rPr>
                      <w:rFonts w:hint="eastAsia"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t>4168.7</w:t>
                  </w:r>
                </w:p>
              </w:tc>
              <w:tc>
                <w:tcPr>
                  <w:tcW w:w="630" w:type="pct"/>
                  <w:shd w:val="clear" w:color="auto" w:fill="auto"/>
                  <w:noWrap w:val="0"/>
                  <w:vAlign w:val="center"/>
                </w:tcPr>
                <w:p w14:paraId="500C283D">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eastAsia"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0"/>
                      <w:sz w:val="21"/>
                      <w:szCs w:val="21"/>
                      <w:lang w:val="en-US" w:eastAsia="zh-CN"/>
                    </w:rPr>
                    <w:t>1596.52</w:t>
                  </w:r>
                </w:p>
              </w:tc>
              <w:tc>
                <w:tcPr>
                  <w:tcW w:w="588" w:type="pct"/>
                  <w:shd w:val="clear" w:color="auto" w:fill="auto"/>
                  <w:noWrap w:val="0"/>
                  <w:vAlign w:val="center"/>
                </w:tcPr>
                <w:p w14:paraId="652DD724">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eastAsia"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0"/>
                      <w:sz w:val="21"/>
                      <w:szCs w:val="21"/>
                      <w:lang w:val="en-US" w:eastAsia="zh-CN"/>
                    </w:rPr>
                    <w:t>2.705</w:t>
                  </w:r>
                </w:p>
              </w:tc>
              <w:tc>
                <w:tcPr>
                  <w:tcW w:w="628" w:type="pct"/>
                  <w:shd w:val="clear" w:color="auto" w:fill="auto"/>
                  <w:noWrap w:val="0"/>
                  <w:vAlign w:val="center"/>
                </w:tcPr>
                <w:p w14:paraId="3FF5C3D7">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eastAsia"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0"/>
                      <w:sz w:val="21"/>
                      <w:szCs w:val="21"/>
                      <w:lang w:val="en-US" w:eastAsia="zh-CN"/>
                    </w:rPr>
                    <w:t>344.3</w:t>
                  </w:r>
                </w:p>
              </w:tc>
              <w:tc>
                <w:tcPr>
                  <w:tcW w:w="692" w:type="pct"/>
                  <w:shd w:val="clear" w:color="auto" w:fill="auto"/>
                  <w:noWrap w:val="0"/>
                  <w:vAlign w:val="center"/>
                </w:tcPr>
                <w:p w14:paraId="367FFDC9">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eastAsia"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0"/>
                      <w:sz w:val="21"/>
                      <w:szCs w:val="21"/>
                      <w:lang w:val="en-US" w:eastAsia="zh-CN"/>
                    </w:rPr>
                    <w:t>0.255</w:t>
                  </w:r>
                </w:p>
              </w:tc>
              <w:tc>
                <w:tcPr>
                  <w:tcW w:w="686" w:type="pct"/>
                  <w:shd w:val="clear" w:color="auto" w:fill="auto"/>
                  <w:noWrap w:val="0"/>
                  <w:vAlign w:val="center"/>
                </w:tcPr>
                <w:p w14:paraId="0C01CCF2">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eastAsia"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0"/>
                      <w:sz w:val="21"/>
                      <w:szCs w:val="21"/>
                      <w:lang w:val="en-US" w:eastAsia="zh-CN"/>
                    </w:rPr>
                    <w:t>41.5</w:t>
                  </w:r>
                </w:p>
              </w:tc>
            </w:tr>
            <w:tr w14:paraId="206EAD3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6" w:hRule="exact"/>
                <w:jc w:val="center"/>
              </w:trPr>
              <w:tc>
                <w:tcPr>
                  <w:tcW w:w="565" w:type="pct"/>
                  <w:vMerge w:val="continue"/>
                  <w:noWrap w:val="0"/>
                  <w:vAlign w:val="center"/>
                </w:tcPr>
                <w:p w14:paraId="3255AD56">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eastAsia"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pPr>
                </w:p>
              </w:tc>
              <w:tc>
                <w:tcPr>
                  <w:tcW w:w="565" w:type="pct"/>
                  <w:noWrap w:val="0"/>
                  <w:vAlign w:val="center"/>
                </w:tcPr>
                <w:p w14:paraId="155C8620">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eastAsia"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pPr>
                  <w:r>
                    <w:rPr>
                      <w:rFonts w:hint="eastAsia"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t>去除率</w:t>
                  </w:r>
                </w:p>
              </w:tc>
              <w:tc>
                <w:tcPr>
                  <w:tcW w:w="642" w:type="pct"/>
                  <w:noWrap w:val="0"/>
                  <w:vAlign w:val="center"/>
                </w:tcPr>
                <w:p w14:paraId="6D568E17">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default"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pPr>
                  <w:r>
                    <w:rPr>
                      <w:rFonts w:hint="eastAsia"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t>70%</w:t>
                  </w:r>
                </w:p>
              </w:tc>
              <w:tc>
                <w:tcPr>
                  <w:tcW w:w="630" w:type="pct"/>
                  <w:noWrap w:val="0"/>
                  <w:vAlign w:val="center"/>
                </w:tcPr>
                <w:p w14:paraId="378925D5">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eastAsia"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t>70%</w:t>
                  </w:r>
                </w:p>
              </w:tc>
              <w:tc>
                <w:tcPr>
                  <w:tcW w:w="588" w:type="pct"/>
                  <w:noWrap w:val="0"/>
                  <w:vAlign w:val="center"/>
                </w:tcPr>
                <w:p w14:paraId="490D8740">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w:t>
                  </w:r>
                </w:p>
              </w:tc>
              <w:tc>
                <w:tcPr>
                  <w:tcW w:w="628" w:type="pct"/>
                  <w:noWrap w:val="0"/>
                  <w:vAlign w:val="center"/>
                </w:tcPr>
                <w:p w14:paraId="23789FDA">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w:t>
                  </w:r>
                </w:p>
              </w:tc>
              <w:tc>
                <w:tcPr>
                  <w:tcW w:w="692" w:type="pct"/>
                  <w:noWrap w:val="0"/>
                  <w:vAlign w:val="center"/>
                </w:tcPr>
                <w:p w14:paraId="2B5A6A8E">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w:t>
                  </w:r>
                </w:p>
              </w:tc>
              <w:tc>
                <w:tcPr>
                  <w:tcW w:w="686" w:type="pct"/>
                  <w:noWrap w:val="0"/>
                  <w:vAlign w:val="center"/>
                </w:tcPr>
                <w:p w14:paraId="5631B536">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w:t>
                  </w:r>
                </w:p>
              </w:tc>
            </w:tr>
            <w:tr w14:paraId="59A2562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6" w:hRule="exact"/>
                <w:jc w:val="center"/>
              </w:trPr>
              <w:tc>
                <w:tcPr>
                  <w:tcW w:w="565" w:type="pct"/>
                  <w:vMerge w:val="continue"/>
                  <w:noWrap w:val="0"/>
                  <w:vAlign w:val="center"/>
                </w:tcPr>
                <w:p w14:paraId="4D83E1C6">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eastAsia"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pPr>
                </w:p>
              </w:tc>
              <w:tc>
                <w:tcPr>
                  <w:tcW w:w="565" w:type="pct"/>
                  <w:noWrap w:val="0"/>
                  <w:vAlign w:val="center"/>
                </w:tcPr>
                <w:p w14:paraId="61125E96">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eastAsia"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pPr>
                  <w:r>
                    <w:rPr>
                      <w:rFonts w:hint="eastAsia"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t>出水</w:t>
                  </w:r>
                </w:p>
              </w:tc>
              <w:tc>
                <w:tcPr>
                  <w:tcW w:w="642" w:type="pct"/>
                  <w:noWrap w:val="0"/>
                  <w:vAlign w:val="center"/>
                </w:tcPr>
                <w:p w14:paraId="186A3F33">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default"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pPr>
                  <w:r>
                    <w:rPr>
                      <w:rFonts w:hint="eastAsia"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t>1250.61</w:t>
                  </w:r>
                </w:p>
              </w:tc>
              <w:tc>
                <w:tcPr>
                  <w:tcW w:w="630" w:type="pct"/>
                  <w:noWrap w:val="0"/>
                  <w:vAlign w:val="center"/>
                </w:tcPr>
                <w:p w14:paraId="0E99E45D">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479</w:t>
                  </w:r>
                </w:p>
              </w:tc>
              <w:tc>
                <w:tcPr>
                  <w:tcW w:w="588" w:type="pct"/>
                  <w:noWrap w:val="0"/>
                  <w:vAlign w:val="center"/>
                </w:tcPr>
                <w:p w14:paraId="14C45FED">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eastAsia"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2.705</w:t>
                  </w:r>
                </w:p>
              </w:tc>
              <w:tc>
                <w:tcPr>
                  <w:tcW w:w="628" w:type="pct"/>
                  <w:noWrap w:val="0"/>
                  <w:vAlign w:val="center"/>
                </w:tcPr>
                <w:p w14:paraId="6B51F1D9">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eastAsia"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344.3</w:t>
                  </w:r>
                </w:p>
              </w:tc>
              <w:tc>
                <w:tcPr>
                  <w:tcW w:w="692" w:type="pct"/>
                  <w:noWrap w:val="0"/>
                  <w:vAlign w:val="center"/>
                </w:tcPr>
                <w:p w14:paraId="79D640A6">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eastAsia"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0.255</w:t>
                  </w:r>
                </w:p>
              </w:tc>
              <w:tc>
                <w:tcPr>
                  <w:tcW w:w="686" w:type="pct"/>
                  <w:noWrap w:val="0"/>
                  <w:vAlign w:val="center"/>
                </w:tcPr>
                <w:p w14:paraId="0EA78EB2">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eastAsia"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41.5</w:t>
                  </w:r>
                </w:p>
              </w:tc>
            </w:tr>
            <w:tr w14:paraId="0FFE0BB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6" w:hRule="exact"/>
                <w:jc w:val="center"/>
              </w:trPr>
              <w:tc>
                <w:tcPr>
                  <w:tcW w:w="565" w:type="pct"/>
                  <w:vMerge w:val="restart"/>
                  <w:noWrap w:val="0"/>
                  <w:vAlign w:val="center"/>
                </w:tcPr>
                <w:p w14:paraId="2A286D34">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default"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pPr>
                  <w:r>
                    <w:rPr>
                      <w:rFonts w:hint="eastAsia"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t>一级AO</w:t>
                  </w:r>
                </w:p>
              </w:tc>
              <w:tc>
                <w:tcPr>
                  <w:tcW w:w="565" w:type="pct"/>
                  <w:noWrap w:val="0"/>
                  <w:vAlign w:val="center"/>
                </w:tcPr>
                <w:p w14:paraId="3245CC44">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eastAsia"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pPr>
                  <w:r>
                    <w:rPr>
                      <w:rFonts w:hint="eastAsia"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t>进水</w:t>
                  </w:r>
                </w:p>
              </w:tc>
              <w:tc>
                <w:tcPr>
                  <w:tcW w:w="642" w:type="pct"/>
                  <w:noWrap w:val="0"/>
                  <w:vAlign w:val="center"/>
                </w:tcPr>
                <w:p w14:paraId="6CE8CB18">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default"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pPr>
                  <w:r>
                    <w:rPr>
                      <w:rFonts w:hint="eastAsia"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t>1250.61</w:t>
                  </w:r>
                </w:p>
              </w:tc>
              <w:tc>
                <w:tcPr>
                  <w:tcW w:w="630" w:type="pct"/>
                  <w:noWrap w:val="0"/>
                  <w:vAlign w:val="center"/>
                </w:tcPr>
                <w:p w14:paraId="2FF0DBA2">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eastAsia"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479</w:t>
                  </w:r>
                </w:p>
              </w:tc>
              <w:tc>
                <w:tcPr>
                  <w:tcW w:w="588" w:type="pct"/>
                  <w:noWrap w:val="0"/>
                  <w:vAlign w:val="center"/>
                </w:tcPr>
                <w:p w14:paraId="1BDAFCF6">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eastAsia"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2.705</w:t>
                  </w:r>
                </w:p>
              </w:tc>
              <w:tc>
                <w:tcPr>
                  <w:tcW w:w="628" w:type="pct"/>
                  <w:noWrap w:val="0"/>
                  <w:vAlign w:val="center"/>
                </w:tcPr>
                <w:p w14:paraId="6528B891">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eastAsia"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344.3</w:t>
                  </w:r>
                </w:p>
              </w:tc>
              <w:tc>
                <w:tcPr>
                  <w:tcW w:w="692" w:type="pct"/>
                  <w:noWrap w:val="0"/>
                  <w:vAlign w:val="center"/>
                </w:tcPr>
                <w:p w14:paraId="36F4C2F4">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eastAsia"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0.255</w:t>
                  </w:r>
                </w:p>
              </w:tc>
              <w:tc>
                <w:tcPr>
                  <w:tcW w:w="686" w:type="pct"/>
                  <w:noWrap w:val="0"/>
                  <w:vAlign w:val="center"/>
                </w:tcPr>
                <w:p w14:paraId="06894E9A">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eastAsia"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41.5</w:t>
                  </w:r>
                </w:p>
              </w:tc>
            </w:tr>
            <w:tr w14:paraId="6F78BAC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6" w:hRule="exact"/>
                <w:jc w:val="center"/>
              </w:trPr>
              <w:tc>
                <w:tcPr>
                  <w:tcW w:w="565" w:type="pct"/>
                  <w:vMerge w:val="continue"/>
                  <w:noWrap w:val="0"/>
                  <w:vAlign w:val="center"/>
                </w:tcPr>
                <w:p w14:paraId="1500B10A">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eastAsia"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pPr>
                </w:p>
              </w:tc>
              <w:tc>
                <w:tcPr>
                  <w:tcW w:w="565" w:type="pct"/>
                  <w:noWrap w:val="0"/>
                  <w:vAlign w:val="center"/>
                </w:tcPr>
                <w:p w14:paraId="4AFBE854">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eastAsia"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pPr>
                  <w:r>
                    <w:rPr>
                      <w:rFonts w:hint="eastAsia"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t>去除率</w:t>
                  </w:r>
                </w:p>
              </w:tc>
              <w:tc>
                <w:tcPr>
                  <w:tcW w:w="642" w:type="pct"/>
                  <w:noWrap w:val="0"/>
                  <w:vAlign w:val="center"/>
                </w:tcPr>
                <w:p w14:paraId="716EC09F">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default"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pPr>
                  <w:r>
                    <w:rPr>
                      <w:rFonts w:hint="eastAsia"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t>80%</w:t>
                  </w:r>
                </w:p>
              </w:tc>
              <w:tc>
                <w:tcPr>
                  <w:tcW w:w="630" w:type="pct"/>
                  <w:noWrap w:val="0"/>
                  <w:vAlign w:val="center"/>
                </w:tcPr>
                <w:p w14:paraId="19FCE460">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80%</w:t>
                  </w:r>
                </w:p>
              </w:tc>
              <w:tc>
                <w:tcPr>
                  <w:tcW w:w="588" w:type="pct"/>
                  <w:noWrap w:val="0"/>
                  <w:vAlign w:val="center"/>
                </w:tcPr>
                <w:p w14:paraId="36F19B10">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w:t>
                  </w:r>
                </w:p>
              </w:tc>
              <w:tc>
                <w:tcPr>
                  <w:tcW w:w="628" w:type="pct"/>
                  <w:noWrap w:val="0"/>
                  <w:vAlign w:val="center"/>
                </w:tcPr>
                <w:p w14:paraId="65C95C8D">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90%</w:t>
                  </w:r>
                </w:p>
              </w:tc>
              <w:tc>
                <w:tcPr>
                  <w:tcW w:w="692" w:type="pct"/>
                  <w:noWrap w:val="0"/>
                  <w:vAlign w:val="center"/>
                </w:tcPr>
                <w:p w14:paraId="7AD32539">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w:t>
                  </w:r>
                </w:p>
              </w:tc>
              <w:tc>
                <w:tcPr>
                  <w:tcW w:w="686" w:type="pct"/>
                  <w:noWrap w:val="0"/>
                  <w:vAlign w:val="center"/>
                </w:tcPr>
                <w:p w14:paraId="6A600B5D">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w:t>
                  </w:r>
                </w:p>
              </w:tc>
            </w:tr>
            <w:tr w14:paraId="10D9886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6" w:hRule="exact"/>
                <w:jc w:val="center"/>
              </w:trPr>
              <w:tc>
                <w:tcPr>
                  <w:tcW w:w="565" w:type="pct"/>
                  <w:vMerge w:val="continue"/>
                  <w:noWrap w:val="0"/>
                  <w:vAlign w:val="center"/>
                </w:tcPr>
                <w:p w14:paraId="1DC5E508">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eastAsia"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pPr>
                </w:p>
              </w:tc>
              <w:tc>
                <w:tcPr>
                  <w:tcW w:w="565" w:type="pct"/>
                  <w:noWrap w:val="0"/>
                  <w:vAlign w:val="center"/>
                </w:tcPr>
                <w:p w14:paraId="448EEB25">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eastAsia"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pPr>
                  <w:r>
                    <w:rPr>
                      <w:rFonts w:hint="eastAsia"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t>出水</w:t>
                  </w:r>
                </w:p>
              </w:tc>
              <w:tc>
                <w:tcPr>
                  <w:tcW w:w="642" w:type="pct"/>
                  <w:noWrap w:val="0"/>
                  <w:vAlign w:val="center"/>
                </w:tcPr>
                <w:p w14:paraId="16400BA0">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default"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pPr>
                  <w:r>
                    <w:rPr>
                      <w:rFonts w:hint="eastAsia"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t>250.12</w:t>
                  </w:r>
                </w:p>
              </w:tc>
              <w:tc>
                <w:tcPr>
                  <w:tcW w:w="630" w:type="pct"/>
                  <w:noWrap w:val="0"/>
                  <w:vAlign w:val="center"/>
                </w:tcPr>
                <w:p w14:paraId="4B4478A1">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95.8</w:t>
                  </w:r>
                </w:p>
              </w:tc>
              <w:tc>
                <w:tcPr>
                  <w:tcW w:w="588" w:type="pct"/>
                  <w:noWrap w:val="0"/>
                  <w:vAlign w:val="center"/>
                </w:tcPr>
                <w:p w14:paraId="40887B31">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eastAsia"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2.705</w:t>
                  </w:r>
                </w:p>
              </w:tc>
              <w:tc>
                <w:tcPr>
                  <w:tcW w:w="628" w:type="pct"/>
                  <w:noWrap w:val="0"/>
                  <w:vAlign w:val="center"/>
                </w:tcPr>
                <w:p w14:paraId="3E3E91E5">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34.43</w:t>
                  </w:r>
                </w:p>
              </w:tc>
              <w:tc>
                <w:tcPr>
                  <w:tcW w:w="692" w:type="pct"/>
                  <w:noWrap w:val="0"/>
                  <w:vAlign w:val="center"/>
                </w:tcPr>
                <w:p w14:paraId="61F1EB2C">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eastAsia"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0.255</w:t>
                  </w:r>
                </w:p>
              </w:tc>
              <w:tc>
                <w:tcPr>
                  <w:tcW w:w="686" w:type="pct"/>
                  <w:noWrap w:val="0"/>
                  <w:vAlign w:val="center"/>
                </w:tcPr>
                <w:p w14:paraId="68DD374A">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eastAsia"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41.5</w:t>
                  </w:r>
                </w:p>
              </w:tc>
            </w:tr>
            <w:tr w14:paraId="43D93DB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6" w:hRule="exact"/>
                <w:jc w:val="center"/>
              </w:trPr>
              <w:tc>
                <w:tcPr>
                  <w:tcW w:w="565" w:type="pct"/>
                  <w:vMerge w:val="restart"/>
                  <w:noWrap w:val="0"/>
                  <w:vAlign w:val="center"/>
                </w:tcPr>
                <w:p w14:paraId="48B804D4">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eastAsia"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pPr>
                  <w:r>
                    <w:rPr>
                      <w:rFonts w:hint="eastAsia"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t>二级AO</w:t>
                  </w:r>
                </w:p>
              </w:tc>
              <w:tc>
                <w:tcPr>
                  <w:tcW w:w="565" w:type="pct"/>
                  <w:noWrap w:val="0"/>
                  <w:vAlign w:val="center"/>
                </w:tcPr>
                <w:p w14:paraId="45A78760">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eastAsia"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pPr>
                  <w:r>
                    <w:rPr>
                      <w:rFonts w:hint="eastAsia"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t>进水</w:t>
                  </w:r>
                </w:p>
              </w:tc>
              <w:tc>
                <w:tcPr>
                  <w:tcW w:w="642" w:type="pct"/>
                  <w:shd w:val="clear" w:color="auto" w:fill="auto"/>
                  <w:noWrap w:val="0"/>
                  <w:vAlign w:val="center"/>
                </w:tcPr>
                <w:p w14:paraId="253FE11E">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eastAsia" w:ascii="Times New Roman" w:hAnsi="Times New Roman" w:eastAsia="宋体" w:cs="Times New Roman"/>
                      <w:b w:val="0"/>
                      <w:bCs w:val="0"/>
                      <w:i w:val="0"/>
                      <w:caps w:val="0"/>
                      <w:color w:val="auto"/>
                      <w:spacing w:val="0"/>
                      <w:kern w:val="2"/>
                      <w:sz w:val="21"/>
                      <w:szCs w:val="21"/>
                      <w:highlight w:val="none"/>
                      <w:shd w:val="clear" w:color="auto" w:fill="FFFFFF"/>
                      <w:vertAlign w:val="baseline"/>
                      <w:lang w:val="en-US" w:eastAsia="zh-CN" w:bidi="ar-SA"/>
                    </w:rPr>
                  </w:pPr>
                  <w:r>
                    <w:rPr>
                      <w:rFonts w:hint="eastAsia"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t>250.12</w:t>
                  </w:r>
                </w:p>
              </w:tc>
              <w:tc>
                <w:tcPr>
                  <w:tcW w:w="630" w:type="pct"/>
                  <w:shd w:val="clear" w:color="auto" w:fill="auto"/>
                  <w:noWrap w:val="0"/>
                  <w:vAlign w:val="center"/>
                </w:tcPr>
                <w:p w14:paraId="038CCA6F">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eastAsia"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0"/>
                      <w:sz w:val="21"/>
                      <w:szCs w:val="21"/>
                      <w:lang w:val="en-US" w:eastAsia="zh-CN"/>
                    </w:rPr>
                    <w:t>95.8</w:t>
                  </w:r>
                </w:p>
              </w:tc>
              <w:tc>
                <w:tcPr>
                  <w:tcW w:w="588" w:type="pct"/>
                  <w:shd w:val="clear" w:color="auto" w:fill="auto"/>
                  <w:noWrap w:val="0"/>
                  <w:vAlign w:val="center"/>
                </w:tcPr>
                <w:p w14:paraId="46D640F4">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eastAsia"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0"/>
                      <w:sz w:val="21"/>
                      <w:szCs w:val="21"/>
                      <w:lang w:val="en-US" w:eastAsia="zh-CN"/>
                    </w:rPr>
                    <w:t>2.705</w:t>
                  </w:r>
                </w:p>
              </w:tc>
              <w:tc>
                <w:tcPr>
                  <w:tcW w:w="628" w:type="pct"/>
                  <w:shd w:val="clear" w:color="auto" w:fill="auto"/>
                  <w:noWrap w:val="0"/>
                  <w:vAlign w:val="center"/>
                </w:tcPr>
                <w:p w14:paraId="2E52BF96">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eastAsia"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0"/>
                      <w:sz w:val="21"/>
                      <w:szCs w:val="21"/>
                      <w:lang w:val="en-US" w:eastAsia="zh-CN"/>
                    </w:rPr>
                    <w:t>34.43</w:t>
                  </w:r>
                </w:p>
              </w:tc>
              <w:tc>
                <w:tcPr>
                  <w:tcW w:w="692" w:type="pct"/>
                  <w:shd w:val="clear" w:color="auto" w:fill="auto"/>
                  <w:noWrap w:val="0"/>
                  <w:vAlign w:val="center"/>
                </w:tcPr>
                <w:p w14:paraId="76152C6C">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eastAsia"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0"/>
                      <w:sz w:val="21"/>
                      <w:szCs w:val="21"/>
                      <w:lang w:val="en-US" w:eastAsia="zh-CN"/>
                    </w:rPr>
                    <w:t>0.255</w:t>
                  </w:r>
                </w:p>
              </w:tc>
              <w:tc>
                <w:tcPr>
                  <w:tcW w:w="686" w:type="pct"/>
                  <w:shd w:val="clear" w:color="auto" w:fill="auto"/>
                  <w:noWrap w:val="0"/>
                  <w:vAlign w:val="center"/>
                </w:tcPr>
                <w:p w14:paraId="48FBC8C3">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eastAsia"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0"/>
                      <w:sz w:val="21"/>
                      <w:szCs w:val="21"/>
                      <w:lang w:val="en-US" w:eastAsia="zh-CN"/>
                    </w:rPr>
                    <w:t>41.5</w:t>
                  </w:r>
                </w:p>
              </w:tc>
            </w:tr>
            <w:tr w14:paraId="318E68A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6" w:hRule="exact"/>
                <w:jc w:val="center"/>
              </w:trPr>
              <w:tc>
                <w:tcPr>
                  <w:tcW w:w="565" w:type="pct"/>
                  <w:vMerge w:val="continue"/>
                  <w:noWrap w:val="0"/>
                  <w:vAlign w:val="center"/>
                </w:tcPr>
                <w:p w14:paraId="4490B486">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eastAsia"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pPr>
                </w:p>
              </w:tc>
              <w:tc>
                <w:tcPr>
                  <w:tcW w:w="565" w:type="pct"/>
                  <w:noWrap w:val="0"/>
                  <w:vAlign w:val="center"/>
                </w:tcPr>
                <w:p w14:paraId="12CB56DA">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eastAsia"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pPr>
                  <w:r>
                    <w:rPr>
                      <w:rFonts w:hint="eastAsia"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t>去除率</w:t>
                  </w:r>
                </w:p>
              </w:tc>
              <w:tc>
                <w:tcPr>
                  <w:tcW w:w="642" w:type="pct"/>
                  <w:noWrap w:val="0"/>
                  <w:vAlign w:val="center"/>
                </w:tcPr>
                <w:p w14:paraId="11A5E91B">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default"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pPr>
                  <w:r>
                    <w:rPr>
                      <w:rFonts w:hint="eastAsia"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t>80%</w:t>
                  </w:r>
                </w:p>
              </w:tc>
              <w:tc>
                <w:tcPr>
                  <w:tcW w:w="630" w:type="pct"/>
                  <w:noWrap w:val="0"/>
                  <w:vAlign w:val="center"/>
                </w:tcPr>
                <w:p w14:paraId="7477DDDA">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80%</w:t>
                  </w:r>
                </w:p>
              </w:tc>
              <w:tc>
                <w:tcPr>
                  <w:tcW w:w="588" w:type="pct"/>
                  <w:noWrap w:val="0"/>
                  <w:vAlign w:val="center"/>
                </w:tcPr>
                <w:p w14:paraId="57A0FCE9">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w:t>
                  </w:r>
                </w:p>
              </w:tc>
              <w:tc>
                <w:tcPr>
                  <w:tcW w:w="628" w:type="pct"/>
                  <w:noWrap w:val="0"/>
                  <w:vAlign w:val="center"/>
                </w:tcPr>
                <w:p w14:paraId="5AC8AB3A">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70%</w:t>
                  </w:r>
                </w:p>
              </w:tc>
              <w:tc>
                <w:tcPr>
                  <w:tcW w:w="692" w:type="pct"/>
                  <w:noWrap w:val="0"/>
                  <w:vAlign w:val="center"/>
                </w:tcPr>
                <w:p w14:paraId="10B55623">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w:t>
                  </w:r>
                </w:p>
              </w:tc>
              <w:tc>
                <w:tcPr>
                  <w:tcW w:w="686" w:type="pct"/>
                  <w:noWrap w:val="0"/>
                  <w:vAlign w:val="center"/>
                </w:tcPr>
                <w:p w14:paraId="7D1AFA8D">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w:t>
                  </w:r>
                </w:p>
              </w:tc>
            </w:tr>
            <w:tr w14:paraId="232DE2F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6" w:hRule="exact"/>
                <w:jc w:val="center"/>
              </w:trPr>
              <w:tc>
                <w:tcPr>
                  <w:tcW w:w="565" w:type="pct"/>
                  <w:vMerge w:val="continue"/>
                  <w:noWrap w:val="0"/>
                  <w:vAlign w:val="center"/>
                </w:tcPr>
                <w:p w14:paraId="331B441A">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eastAsia"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pPr>
                </w:p>
              </w:tc>
              <w:tc>
                <w:tcPr>
                  <w:tcW w:w="565" w:type="pct"/>
                  <w:noWrap w:val="0"/>
                  <w:vAlign w:val="center"/>
                </w:tcPr>
                <w:p w14:paraId="09837582">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eastAsia"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pPr>
                  <w:r>
                    <w:rPr>
                      <w:rFonts w:hint="eastAsia"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t>出水</w:t>
                  </w:r>
                </w:p>
              </w:tc>
              <w:tc>
                <w:tcPr>
                  <w:tcW w:w="642" w:type="pct"/>
                  <w:noWrap w:val="0"/>
                  <w:vAlign w:val="center"/>
                </w:tcPr>
                <w:p w14:paraId="59244CF2">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default"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pPr>
                  <w:r>
                    <w:rPr>
                      <w:rFonts w:hint="eastAsia"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t>50</w:t>
                  </w:r>
                </w:p>
              </w:tc>
              <w:tc>
                <w:tcPr>
                  <w:tcW w:w="630" w:type="pct"/>
                  <w:noWrap w:val="0"/>
                  <w:vAlign w:val="center"/>
                </w:tcPr>
                <w:p w14:paraId="76C5B558">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19.2</w:t>
                  </w:r>
                </w:p>
              </w:tc>
              <w:tc>
                <w:tcPr>
                  <w:tcW w:w="588" w:type="pct"/>
                  <w:noWrap w:val="0"/>
                  <w:vAlign w:val="center"/>
                </w:tcPr>
                <w:p w14:paraId="48432836">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2.705</w:t>
                  </w:r>
                </w:p>
              </w:tc>
              <w:tc>
                <w:tcPr>
                  <w:tcW w:w="628" w:type="pct"/>
                  <w:noWrap w:val="0"/>
                  <w:vAlign w:val="center"/>
                </w:tcPr>
                <w:p w14:paraId="22297BFC">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10.33</w:t>
                  </w:r>
                </w:p>
              </w:tc>
              <w:tc>
                <w:tcPr>
                  <w:tcW w:w="692" w:type="pct"/>
                  <w:noWrap w:val="0"/>
                  <w:vAlign w:val="center"/>
                </w:tcPr>
                <w:p w14:paraId="1121BEDC">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0.255</w:t>
                  </w:r>
                </w:p>
              </w:tc>
              <w:tc>
                <w:tcPr>
                  <w:tcW w:w="686" w:type="pct"/>
                  <w:noWrap w:val="0"/>
                  <w:vAlign w:val="center"/>
                </w:tcPr>
                <w:p w14:paraId="08590ED8">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41.5</w:t>
                  </w:r>
                </w:p>
              </w:tc>
            </w:tr>
            <w:tr w14:paraId="5AD74DC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131" w:type="pct"/>
                  <w:gridSpan w:val="2"/>
                  <w:noWrap w:val="0"/>
                  <w:vAlign w:val="center"/>
                </w:tcPr>
                <w:p w14:paraId="451DC0F0">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default"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pPr>
                  <w:r>
                    <w:rPr>
                      <w:rFonts w:hint="eastAsia" w:cs="Times New Roman"/>
                      <w:b w:val="0"/>
                      <w:bCs w:val="0"/>
                      <w:i w:val="0"/>
                      <w:caps w:val="0"/>
                      <w:color w:val="auto"/>
                      <w:spacing w:val="0"/>
                      <w:sz w:val="21"/>
                      <w:szCs w:val="21"/>
                      <w:highlight w:val="none"/>
                      <w:shd w:val="clear" w:color="auto" w:fill="FFFFFF"/>
                      <w:vertAlign w:val="baseline"/>
                      <w:lang w:val="en-US" w:eastAsia="zh-CN"/>
                    </w:rPr>
                    <w:t>排放标准</w:t>
                  </w:r>
                </w:p>
              </w:tc>
              <w:tc>
                <w:tcPr>
                  <w:tcW w:w="642" w:type="pct"/>
                  <w:noWrap w:val="0"/>
                  <w:vAlign w:val="center"/>
                </w:tcPr>
                <w:p w14:paraId="0CC70214">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default"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pPr>
                  <w:r>
                    <w:rPr>
                      <w:rFonts w:hint="eastAsia" w:cs="Times New Roman"/>
                      <w:b w:val="0"/>
                      <w:bCs w:val="0"/>
                      <w:i w:val="0"/>
                      <w:caps w:val="0"/>
                      <w:color w:val="auto"/>
                      <w:spacing w:val="0"/>
                      <w:sz w:val="21"/>
                      <w:szCs w:val="21"/>
                      <w:highlight w:val="none"/>
                      <w:shd w:val="clear" w:color="auto" w:fill="FFFFFF"/>
                      <w:vertAlign w:val="baseline"/>
                      <w:lang w:val="en-US" w:eastAsia="zh-CN"/>
                    </w:rPr>
                    <w:t>150</w:t>
                  </w:r>
                </w:p>
              </w:tc>
              <w:tc>
                <w:tcPr>
                  <w:tcW w:w="630" w:type="pct"/>
                  <w:noWrap w:val="0"/>
                  <w:vAlign w:val="center"/>
                </w:tcPr>
                <w:p w14:paraId="1707317B">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eastAsia"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pPr>
                  <w:r>
                    <w:rPr>
                      <w:rFonts w:hint="eastAsia"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t>300</w:t>
                  </w:r>
                </w:p>
              </w:tc>
              <w:tc>
                <w:tcPr>
                  <w:tcW w:w="588" w:type="pct"/>
                  <w:noWrap w:val="0"/>
                  <w:vAlign w:val="center"/>
                </w:tcPr>
                <w:p w14:paraId="1CF2FB19">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default"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pPr>
                  <w:r>
                    <w:rPr>
                      <w:rFonts w:hint="eastAsia" w:cs="Times New Roman"/>
                      <w:b w:val="0"/>
                      <w:bCs w:val="0"/>
                      <w:i w:val="0"/>
                      <w:caps w:val="0"/>
                      <w:color w:val="auto"/>
                      <w:spacing w:val="0"/>
                      <w:sz w:val="21"/>
                      <w:szCs w:val="21"/>
                      <w:highlight w:val="none"/>
                      <w:shd w:val="clear" w:color="auto" w:fill="FFFFFF"/>
                      <w:vertAlign w:val="baseline"/>
                      <w:lang w:val="en-US" w:eastAsia="zh-CN"/>
                    </w:rPr>
                    <w:t>30</w:t>
                  </w:r>
                </w:p>
              </w:tc>
              <w:tc>
                <w:tcPr>
                  <w:tcW w:w="628" w:type="pct"/>
                  <w:noWrap w:val="0"/>
                  <w:vAlign w:val="center"/>
                </w:tcPr>
                <w:p w14:paraId="4DAB35D2">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default"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pPr>
                  <w:r>
                    <w:rPr>
                      <w:rFonts w:hint="eastAsia" w:cs="Times New Roman"/>
                      <w:b w:val="0"/>
                      <w:bCs w:val="0"/>
                      <w:i w:val="0"/>
                      <w:caps w:val="0"/>
                      <w:color w:val="auto"/>
                      <w:spacing w:val="0"/>
                      <w:sz w:val="21"/>
                      <w:szCs w:val="21"/>
                      <w:highlight w:val="none"/>
                      <w:shd w:val="clear" w:color="auto" w:fill="FFFFFF"/>
                      <w:vertAlign w:val="baseline"/>
                      <w:lang w:val="en-US" w:eastAsia="zh-CN"/>
                    </w:rPr>
                    <w:t>40</w:t>
                  </w:r>
                </w:p>
              </w:tc>
              <w:tc>
                <w:tcPr>
                  <w:tcW w:w="692" w:type="pct"/>
                  <w:noWrap w:val="0"/>
                  <w:vAlign w:val="center"/>
                </w:tcPr>
                <w:p w14:paraId="0DF445BB">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default"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pPr>
                  <w:r>
                    <w:rPr>
                      <w:rFonts w:hint="eastAsia" w:cs="Times New Roman"/>
                      <w:b w:val="0"/>
                      <w:bCs w:val="0"/>
                      <w:i w:val="0"/>
                      <w:caps w:val="0"/>
                      <w:color w:val="auto"/>
                      <w:spacing w:val="0"/>
                      <w:sz w:val="21"/>
                      <w:szCs w:val="21"/>
                      <w:highlight w:val="none"/>
                      <w:shd w:val="clear" w:color="auto" w:fill="FFFFFF"/>
                      <w:vertAlign w:val="baseline"/>
                      <w:lang w:val="en-US" w:eastAsia="zh-CN"/>
                    </w:rPr>
                    <w:t>2.0</w:t>
                  </w:r>
                </w:p>
              </w:tc>
              <w:tc>
                <w:tcPr>
                  <w:tcW w:w="686" w:type="pct"/>
                  <w:noWrap w:val="0"/>
                  <w:vAlign w:val="center"/>
                </w:tcPr>
                <w:p w14:paraId="0D4B9A35">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default"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pPr>
                  <w:r>
                    <w:rPr>
                      <w:rFonts w:hint="eastAsia" w:cs="Times New Roman"/>
                      <w:b w:val="0"/>
                      <w:bCs w:val="0"/>
                      <w:i w:val="0"/>
                      <w:caps w:val="0"/>
                      <w:color w:val="auto"/>
                      <w:spacing w:val="0"/>
                      <w:sz w:val="21"/>
                      <w:szCs w:val="21"/>
                      <w:highlight w:val="none"/>
                      <w:shd w:val="clear" w:color="auto" w:fill="FFFFFF"/>
                      <w:vertAlign w:val="baseline"/>
                      <w:lang w:val="en-US" w:eastAsia="zh-CN"/>
                    </w:rPr>
                    <w:t>140</w:t>
                  </w:r>
                </w:p>
              </w:tc>
            </w:tr>
            <w:bookmarkEnd w:id="16"/>
          </w:tbl>
          <w:p w14:paraId="11B51108">
            <w:pPr>
              <w:keepNext w:val="0"/>
              <w:keepLines w:val="0"/>
              <w:pageBreakBefore w:val="0"/>
              <w:widowControl w:val="0"/>
              <w:shd w:val="clear"/>
              <w:kinsoku/>
              <w:wordWrap/>
              <w:overflowPunct/>
              <w:topLinePunct w:val="0"/>
              <w:autoSpaceDE w:val="0"/>
              <w:autoSpaceDN w:val="0"/>
              <w:bidi w:val="0"/>
              <w:adjustRightInd/>
              <w:snapToGrid/>
              <w:spacing w:line="360" w:lineRule="auto"/>
              <w:ind w:firstLine="480" w:firstLineChars="200"/>
              <w:textAlignment w:val="auto"/>
              <w:rPr>
                <w:rFonts w:hint="default" w:ascii="Times New Roman" w:hAnsi="Times New Roman" w:eastAsia="宋体" w:cs="Times New Roman"/>
                <w:b w:val="0"/>
                <w:bCs w:val="0"/>
                <w:color w:val="auto"/>
                <w:sz w:val="24"/>
                <w:highlight w:val="none"/>
                <w:lang w:val="en-US" w:eastAsia="zh-CN"/>
              </w:rPr>
            </w:pPr>
            <w:r>
              <w:rPr>
                <w:rFonts w:hint="eastAsia" w:ascii="Times New Roman" w:hAnsi="Times New Roman" w:eastAsia="宋体" w:cs="Times New Roman"/>
                <w:b w:val="0"/>
                <w:bCs w:val="0"/>
                <w:color w:val="auto"/>
                <w:sz w:val="24"/>
                <w:highlight w:val="none"/>
                <w:lang w:val="en-US" w:eastAsia="zh-CN"/>
              </w:rPr>
              <w:t>综上，项目生产废水经厂区自建污水处理站处理后，COD、SS、</w:t>
            </w:r>
            <w:r>
              <w:rPr>
                <w:rFonts w:hint="eastAsia" w:cs="Times New Roman"/>
                <w:b w:val="0"/>
                <w:bCs w:val="0"/>
                <w:color w:val="auto"/>
                <w:sz w:val="24"/>
                <w:highlight w:val="none"/>
                <w:lang w:val="en-US" w:eastAsia="zh-CN"/>
              </w:rPr>
              <w:t>氨氮</w:t>
            </w:r>
            <w:r>
              <w:rPr>
                <w:rFonts w:hint="eastAsia" w:ascii="Times New Roman" w:hAnsi="Times New Roman" w:eastAsia="宋体" w:cs="Times New Roman"/>
                <w:b w:val="0"/>
                <w:bCs w:val="0"/>
                <w:color w:val="auto"/>
                <w:sz w:val="24"/>
                <w:highlight w:val="none"/>
                <w:lang w:val="en-US" w:eastAsia="zh-CN"/>
              </w:rPr>
              <w:t>、</w:t>
            </w:r>
            <w:r>
              <w:rPr>
                <w:rFonts w:hint="eastAsia" w:cs="Times New Roman"/>
                <w:b w:val="0"/>
                <w:bCs w:val="0"/>
                <w:color w:val="auto"/>
                <w:sz w:val="24"/>
                <w:highlight w:val="none"/>
                <w:lang w:val="en-US" w:eastAsia="zh-CN"/>
              </w:rPr>
              <w:t>TP、TN</w:t>
            </w:r>
            <w:r>
              <w:rPr>
                <w:rFonts w:hint="eastAsia" w:ascii="Times New Roman" w:hAnsi="Times New Roman" w:eastAsia="宋体" w:cs="Times New Roman"/>
                <w:b w:val="0"/>
                <w:bCs w:val="0"/>
                <w:color w:val="auto"/>
                <w:sz w:val="24"/>
                <w:highlight w:val="none"/>
                <w:lang w:val="en-US" w:eastAsia="zh-CN"/>
              </w:rPr>
              <w:t>满足</w:t>
            </w:r>
            <w:r>
              <w:rPr>
                <w:rFonts w:hint="eastAsia" w:ascii="Times New Roman" w:hAnsi="Times New Roman" w:eastAsia="宋体" w:cs="Times New Roman"/>
                <w:color w:val="auto"/>
                <w:sz w:val="24"/>
              </w:rPr>
              <w:t>《</w:t>
            </w:r>
            <w:r>
              <w:rPr>
                <w:rFonts w:hint="eastAsia" w:cs="Times New Roman"/>
                <w:color w:val="auto"/>
                <w:sz w:val="24"/>
                <w:lang w:val="en-US" w:eastAsia="zh-CN"/>
              </w:rPr>
              <w:t>电池工业污染物排放标准</w:t>
            </w:r>
            <w:r>
              <w:rPr>
                <w:rFonts w:hint="eastAsia" w:ascii="Times New Roman" w:hAnsi="Times New Roman" w:eastAsia="宋体" w:cs="Times New Roman"/>
                <w:color w:val="auto"/>
                <w:sz w:val="24"/>
              </w:rPr>
              <w:t>》（GB</w:t>
            </w:r>
            <w:r>
              <w:rPr>
                <w:rFonts w:hint="eastAsia" w:cs="Times New Roman"/>
                <w:color w:val="auto"/>
                <w:sz w:val="24"/>
                <w:lang w:val="en-US" w:eastAsia="zh-CN"/>
              </w:rPr>
              <w:t>30484-2013</w:t>
            </w:r>
            <w:r>
              <w:rPr>
                <w:rFonts w:hint="eastAsia" w:ascii="Times New Roman" w:hAnsi="Times New Roman" w:eastAsia="宋体" w:cs="Times New Roman"/>
                <w:color w:val="auto"/>
                <w:sz w:val="24"/>
              </w:rPr>
              <w:t>）</w:t>
            </w:r>
            <w:r>
              <w:rPr>
                <w:rFonts w:hint="eastAsia" w:cs="Times New Roman"/>
                <w:color w:val="auto"/>
                <w:sz w:val="24"/>
                <w:lang w:val="en-US" w:eastAsia="zh-CN"/>
              </w:rPr>
              <w:t>表2“间接排放”</w:t>
            </w:r>
            <w:r>
              <w:rPr>
                <w:rFonts w:hint="eastAsia" w:ascii="Times New Roman" w:hAnsi="Times New Roman" w:eastAsia="宋体" w:cs="Times New Roman"/>
                <w:color w:val="auto"/>
                <w:sz w:val="24"/>
              </w:rPr>
              <w:t>标准</w:t>
            </w:r>
            <w:r>
              <w:rPr>
                <w:rFonts w:hint="eastAsia" w:cs="Times New Roman"/>
                <w:color w:val="auto"/>
                <w:sz w:val="24"/>
                <w:lang w:val="en-US" w:eastAsia="zh-CN"/>
              </w:rPr>
              <w:t>限值</w:t>
            </w:r>
            <w:r>
              <w:rPr>
                <w:rFonts w:hint="eastAsia" w:ascii="宋体" w:hAnsi="宋体" w:eastAsia="宋体" w:cs="宋体"/>
                <w:b w:val="0"/>
                <w:bCs w:val="0"/>
                <w:color w:val="auto"/>
                <w:kern w:val="0"/>
                <w:sz w:val="24"/>
                <w:szCs w:val="24"/>
                <w:highlight w:val="none"/>
                <w:lang w:val="en-US" w:eastAsia="zh-CN"/>
              </w:rPr>
              <w:t>。</w:t>
            </w:r>
          </w:p>
          <w:p w14:paraId="70DC9AD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3）依托巴中经开区污水处理厂可行性分析</w:t>
            </w:r>
          </w:p>
          <w:p w14:paraId="34051991">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cs="Times New Roman"/>
                <w:color w:val="auto"/>
                <w:sz w:val="24"/>
                <w:szCs w:val="24"/>
              </w:rPr>
              <w:t>巴中经开区污水处理厂位于经开区南侧、河流下游的L13地块内（巴中兴文沙溪村），主要接纳经开区兴文片区的生活污水以及工业废水，占地6.40公顷，目前污水处理厂一期工程（设计规模1.99万</w:t>
            </w:r>
            <w:r>
              <w:rPr>
                <w:rFonts w:hint="default" w:ascii="Times New Roman" w:hAnsi="Times New Roman" w:cs="Times New Roman"/>
                <w:color w:val="auto"/>
                <w:sz w:val="24"/>
                <w:szCs w:val="24"/>
                <w:lang w:eastAsia="zh-CN"/>
              </w:rPr>
              <w:t>m</w:t>
            </w:r>
            <w:r>
              <w:rPr>
                <w:rFonts w:hint="default" w:ascii="Times New Roman" w:hAnsi="Times New Roman" w:cs="Times New Roman"/>
                <w:color w:val="auto"/>
                <w:sz w:val="24"/>
                <w:szCs w:val="24"/>
                <w:vertAlign w:val="superscript"/>
                <w:lang w:eastAsia="zh-CN"/>
              </w:rPr>
              <w:t>3</w:t>
            </w:r>
            <w:r>
              <w:rPr>
                <w:rFonts w:hint="default" w:ascii="Times New Roman" w:hAnsi="Times New Roman" w:cs="Times New Roman"/>
                <w:color w:val="auto"/>
                <w:sz w:val="24"/>
                <w:szCs w:val="24"/>
              </w:rPr>
              <w:t>/d）已建成运行，</w:t>
            </w:r>
            <w:r>
              <w:rPr>
                <w:rFonts w:hint="default" w:ascii="Times New Roman" w:hAnsi="Times New Roman" w:cs="Times New Roman"/>
                <w:bCs/>
                <w:color w:val="auto"/>
                <w:sz w:val="24"/>
                <w:szCs w:val="24"/>
              </w:rPr>
              <w:t>处理工艺为改良型A/A/O工艺，出水满足</w:t>
            </w:r>
            <w:r>
              <w:rPr>
                <w:rFonts w:hint="default" w:ascii="Times New Roman" w:hAnsi="Times New Roman" w:cs="Times New Roman"/>
                <w:color w:val="auto"/>
                <w:sz w:val="24"/>
                <w:szCs w:val="24"/>
              </w:rPr>
              <w:t>《城镇污水处理厂污染物排放标准》（GB18918-2002）中一级A标要求，尾水经专管引至巴河干流（曾口场镇下游）排放</w:t>
            </w:r>
            <w:r>
              <w:rPr>
                <w:rFonts w:hint="default" w:ascii="Times New Roman" w:hAnsi="Times New Roman" w:eastAsia="宋体" w:cs="Times New Roman"/>
                <w:color w:val="auto"/>
                <w:sz w:val="24"/>
                <w:szCs w:val="24"/>
              </w:rPr>
              <w:t>。</w:t>
            </w:r>
          </w:p>
          <w:p w14:paraId="377B7AEF">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ascii="Times New Roman" w:hAnsi="Times New Roman" w:eastAsia="宋体" w:cs="Times New Roman"/>
                <w:bCs/>
                <w:color w:val="auto"/>
                <w:sz w:val="24"/>
                <w:szCs w:val="24"/>
                <w:lang w:val="en-US" w:eastAsia="zh-CN"/>
              </w:rPr>
            </w:pPr>
            <w:r>
              <w:rPr>
                <w:rFonts w:hint="eastAsia" w:ascii="Times New Roman" w:hAnsi="Times New Roman" w:eastAsia="宋体" w:cs="Times New Roman"/>
                <w:bCs/>
                <w:color w:val="auto"/>
                <w:kern w:val="2"/>
                <w:sz w:val="24"/>
                <w:szCs w:val="24"/>
                <w:lang w:val="en-US" w:eastAsia="zh-CN" w:bidi="ar-SA"/>
              </w:rPr>
              <w:t>目前污水处理厂接纳污水量约占最大处理量的50.25%，即约1万m</w:t>
            </w:r>
            <w:r>
              <w:rPr>
                <w:rFonts w:hint="eastAsia" w:ascii="Times New Roman" w:hAnsi="Times New Roman" w:eastAsia="宋体" w:cs="Times New Roman"/>
                <w:bCs/>
                <w:color w:val="auto"/>
                <w:kern w:val="2"/>
                <w:sz w:val="24"/>
                <w:szCs w:val="24"/>
                <w:vertAlign w:val="superscript"/>
                <w:lang w:val="en-US" w:eastAsia="zh-CN" w:bidi="ar-SA"/>
              </w:rPr>
              <w:t>3</w:t>
            </w:r>
            <w:r>
              <w:rPr>
                <w:rFonts w:hint="eastAsia" w:ascii="Times New Roman" w:hAnsi="Times New Roman" w:eastAsia="宋体" w:cs="Times New Roman"/>
                <w:bCs/>
                <w:color w:val="auto"/>
                <w:kern w:val="2"/>
                <w:sz w:val="24"/>
                <w:szCs w:val="24"/>
                <w:lang w:val="en-US" w:eastAsia="zh-CN" w:bidi="ar-SA"/>
              </w:rPr>
              <w:t>/d，还剩余0.99万m</w:t>
            </w:r>
            <w:r>
              <w:rPr>
                <w:rFonts w:hint="eastAsia" w:ascii="Times New Roman" w:hAnsi="Times New Roman" w:eastAsia="宋体" w:cs="Times New Roman"/>
                <w:bCs/>
                <w:color w:val="auto"/>
                <w:kern w:val="2"/>
                <w:sz w:val="24"/>
                <w:szCs w:val="24"/>
                <w:vertAlign w:val="superscript"/>
                <w:lang w:val="en-US" w:eastAsia="zh-CN" w:bidi="ar-SA"/>
              </w:rPr>
              <w:t>3</w:t>
            </w:r>
            <w:r>
              <w:rPr>
                <w:rFonts w:hint="eastAsia" w:ascii="Times New Roman" w:hAnsi="Times New Roman" w:eastAsia="宋体" w:cs="Times New Roman"/>
                <w:bCs/>
                <w:color w:val="auto"/>
                <w:kern w:val="2"/>
                <w:sz w:val="24"/>
                <w:szCs w:val="24"/>
                <w:lang w:val="en-US" w:eastAsia="zh-CN" w:bidi="ar-SA"/>
              </w:rPr>
              <w:t>/d的处理能力，本项目建设后全厂废水日最大排放量共</w:t>
            </w:r>
            <w:r>
              <w:rPr>
                <w:rFonts w:hint="eastAsia" w:cs="Times New Roman"/>
                <w:bCs/>
                <w:color w:val="auto"/>
                <w:kern w:val="2"/>
                <w:sz w:val="24"/>
                <w:szCs w:val="24"/>
                <w:lang w:val="en-US" w:eastAsia="zh-CN" w:bidi="ar-SA"/>
              </w:rPr>
              <w:t>15.78</w:t>
            </w:r>
            <w:r>
              <w:rPr>
                <w:rFonts w:hint="eastAsia" w:ascii="Times New Roman" w:hAnsi="Times New Roman" w:eastAsia="宋体" w:cs="Times New Roman"/>
                <w:bCs/>
                <w:color w:val="auto"/>
                <w:kern w:val="2"/>
                <w:sz w:val="24"/>
                <w:szCs w:val="24"/>
                <w:lang w:val="en-US" w:eastAsia="zh-CN" w:bidi="ar-SA"/>
              </w:rPr>
              <w:t>m</w:t>
            </w:r>
            <w:r>
              <w:rPr>
                <w:rFonts w:hint="eastAsia" w:ascii="Times New Roman" w:hAnsi="Times New Roman" w:eastAsia="宋体" w:cs="Times New Roman"/>
                <w:bCs/>
                <w:color w:val="auto"/>
                <w:kern w:val="2"/>
                <w:sz w:val="24"/>
                <w:szCs w:val="24"/>
                <w:vertAlign w:val="superscript"/>
                <w:lang w:val="en-US" w:eastAsia="zh-CN" w:bidi="ar-SA"/>
              </w:rPr>
              <w:t>3</w:t>
            </w:r>
            <w:r>
              <w:rPr>
                <w:rFonts w:hint="eastAsia" w:ascii="Times New Roman" w:hAnsi="Times New Roman" w:eastAsia="宋体" w:cs="Times New Roman"/>
                <w:bCs/>
                <w:color w:val="auto"/>
                <w:kern w:val="2"/>
                <w:sz w:val="24"/>
                <w:szCs w:val="24"/>
                <w:lang w:val="en-US" w:eastAsia="zh-CN" w:bidi="ar-SA"/>
              </w:rPr>
              <w:t>/d，故</w:t>
            </w:r>
            <w:r>
              <w:rPr>
                <w:rFonts w:hint="default" w:ascii="Times New Roman" w:hAnsi="Times New Roman" w:cs="Times New Roman"/>
                <w:color w:val="auto"/>
                <w:sz w:val="24"/>
                <w:szCs w:val="24"/>
              </w:rPr>
              <w:t>巴中经开区污水处理厂</w:t>
            </w:r>
            <w:r>
              <w:rPr>
                <w:rFonts w:hint="eastAsia" w:ascii="Times New Roman" w:hAnsi="Times New Roman" w:eastAsia="宋体" w:cs="Times New Roman"/>
                <w:bCs/>
                <w:color w:val="auto"/>
                <w:kern w:val="2"/>
                <w:sz w:val="24"/>
                <w:szCs w:val="24"/>
                <w:lang w:val="en-US" w:eastAsia="zh-CN" w:bidi="ar-SA"/>
              </w:rPr>
              <w:t>的剩余处理能力可以满足本项目废水纳入。因此</w:t>
            </w:r>
            <w:r>
              <w:rPr>
                <w:rFonts w:hint="eastAsia" w:ascii="Times New Roman" w:hAnsi="Times New Roman" w:eastAsia="宋体" w:cs="Times New Roman"/>
                <w:bCs/>
                <w:color w:val="auto"/>
                <w:sz w:val="24"/>
                <w:szCs w:val="24"/>
                <w:lang w:val="en-US" w:eastAsia="zh-CN"/>
              </w:rPr>
              <w:t>本项目废水进入</w:t>
            </w:r>
            <w:r>
              <w:rPr>
                <w:rFonts w:hint="default" w:ascii="Times New Roman" w:hAnsi="Times New Roman" w:cs="Times New Roman"/>
                <w:color w:val="auto"/>
                <w:sz w:val="24"/>
                <w:szCs w:val="24"/>
              </w:rPr>
              <w:t>巴中经开区污水处理厂</w:t>
            </w:r>
            <w:r>
              <w:rPr>
                <w:rFonts w:hint="eastAsia" w:ascii="Times New Roman" w:hAnsi="Times New Roman" w:eastAsia="宋体" w:cs="Times New Roman"/>
                <w:bCs/>
                <w:color w:val="auto"/>
                <w:sz w:val="24"/>
                <w:szCs w:val="24"/>
                <w:lang w:val="en-US" w:eastAsia="zh-CN"/>
              </w:rPr>
              <w:t>处理是可行的。</w:t>
            </w:r>
          </w:p>
          <w:p w14:paraId="46D30D1B">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ascii="Times New Roman" w:hAnsi="Times New Roman" w:eastAsia="宋体" w:cs="Times New Roman"/>
                <w:bCs/>
                <w:color w:val="auto"/>
                <w:kern w:val="2"/>
                <w:sz w:val="24"/>
                <w:szCs w:val="24"/>
                <w:lang w:val="en-US" w:eastAsia="zh-CN" w:bidi="ar-SA"/>
              </w:rPr>
            </w:pPr>
            <w:r>
              <w:rPr>
                <w:rFonts w:hint="eastAsia" w:ascii="Times New Roman" w:hAnsi="Times New Roman" w:eastAsia="宋体" w:cs="Times New Roman"/>
                <w:bCs/>
                <w:color w:val="auto"/>
                <w:sz w:val="24"/>
                <w:szCs w:val="24"/>
                <w:lang w:val="en-US" w:eastAsia="zh-CN"/>
              </w:rPr>
              <w:t>综上所述，</w:t>
            </w:r>
            <w:r>
              <w:rPr>
                <w:rFonts w:hint="eastAsia" w:ascii="Times New Roman" w:hAnsi="Times New Roman" w:eastAsia="宋体" w:cs="Times New Roman"/>
                <w:bCs/>
                <w:color w:val="auto"/>
                <w:kern w:val="2"/>
                <w:sz w:val="24"/>
                <w:szCs w:val="24"/>
                <w:lang w:val="en-US" w:eastAsia="zh-CN" w:bidi="ar-SA"/>
              </w:rPr>
              <w:t>项目外排废水经过上述措施后不会对当地地表水环境造成不良影响。</w:t>
            </w:r>
          </w:p>
          <w:p w14:paraId="386AAB9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eastAsia="宋体" w:cs="Times New Roman"/>
                <w:color w:val="auto"/>
                <w:sz w:val="24"/>
                <w:lang w:val="en-US" w:eastAsia="zh-CN"/>
              </w:rPr>
            </w:pPr>
            <w:r>
              <w:rPr>
                <w:rFonts w:hint="default" w:ascii="Times New Roman" w:hAnsi="Times New Roman" w:eastAsia="宋体" w:cs="Times New Roman"/>
                <w:color w:val="auto"/>
                <w:sz w:val="24"/>
                <w:lang w:val="en-US" w:eastAsia="zh-CN"/>
              </w:rPr>
              <w:t>（</w:t>
            </w:r>
            <w:r>
              <w:rPr>
                <w:rFonts w:hint="eastAsia" w:ascii="Times New Roman" w:hAnsi="Times New Roman" w:eastAsia="宋体" w:cs="Times New Roman"/>
                <w:color w:val="auto"/>
                <w:sz w:val="24"/>
                <w:lang w:val="en-US" w:eastAsia="zh-CN"/>
              </w:rPr>
              <w:t>4</w:t>
            </w:r>
            <w:r>
              <w:rPr>
                <w:rFonts w:hint="default" w:ascii="Times New Roman" w:hAnsi="Times New Roman" w:eastAsia="宋体" w:cs="Times New Roman"/>
                <w:color w:val="auto"/>
                <w:sz w:val="24"/>
                <w:lang w:val="en-US" w:eastAsia="zh-CN"/>
              </w:rPr>
              <w:t>）自行监测</w:t>
            </w:r>
          </w:p>
          <w:p w14:paraId="3D259FAA">
            <w:pPr>
              <w:spacing w:line="360" w:lineRule="auto"/>
              <w:ind w:firstLine="480" w:firstLineChars="200"/>
              <w:rPr>
                <w:rFonts w:hint="default" w:ascii="Times New Roman" w:hAnsi="Times New Roman" w:eastAsia="宋体" w:cs="Times New Roman"/>
                <w:color w:val="auto"/>
                <w:sz w:val="24"/>
                <w:szCs w:val="24"/>
                <w:highlight w:val="none"/>
              </w:rPr>
            </w:pPr>
            <w:r>
              <w:rPr>
                <w:rFonts w:hint="eastAsia" w:ascii="Times New Roman" w:hAnsi="Times New Roman" w:eastAsia="宋体" w:cs="Times New Roman"/>
                <w:color w:val="auto"/>
                <w:sz w:val="24"/>
                <w:szCs w:val="24"/>
                <w:highlight w:val="none"/>
              </w:rPr>
              <w:t>为切实控制本</w:t>
            </w:r>
            <w:r>
              <w:rPr>
                <w:rFonts w:ascii="宋体" w:hAnsi="宋体" w:eastAsia="宋体" w:cs="宋体"/>
                <w:color w:val="auto"/>
                <w:sz w:val="24"/>
                <w:szCs w:val="24"/>
                <w:highlight w:val="none"/>
              </w:rPr>
              <w:t>工程治理设施的有效运行和“达标排放”，落实排污总量控制制度，</w:t>
            </w:r>
            <w:r>
              <w:rPr>
                <w:rFonts w:hint="eastAsia"/>
                <w:color w:val="auto"/>
                <w:sz w:val="24"/>
                <w:szCs w:val="24"/>
                <w:highlight w:val="none"/>
              </w:rPr>
              <w:t>参</w:t>
            </w:r>
            <w:r>
              <w:rPr>
                <w:rFonts w:hint="eastAsia" w:ascii="宋体" w:hAnsi="宋体" w:eastAsia="宋体" w:cs="宋体"/>
                <w:color w:val="auto"/>
                <w:sz w:val="24"/>
                <w:szCs w:val="24"/>
                <w:highlight w:val="none"/>
              </w:rPr>
              <w:t>照《</w:t>
            </w:r>
            <w:r>
              <w:rPr>
                <w:rFonts w:hint="default" w:ascii="宋体" w:hAnsi="宋体" w:eastAsia="宋体" w:cs="宋体"/>
                <w:color w:val="auto"/>
                <w:sz w:val="24"/>
                <w:szCs w:val="24"/>
                <w:highlight w:val="none"/>
              </w:rPr>
              <w:t>排污许可证</w:t>
            </w:r>
            <w:r>
              <w:rPr>
                <w:rFonts w:hint="default" w:ascii="Times New Roman" w:hAnsi="Times New Roman" w:eastAsia="宋体" w:cs="Times New Roman"/>
                <w:color w:val="auto"/>
                <w:sz w:val="24"/>
                <w:szCs w:val="24"/>
                <w:highlight w:val="none"/>
              </w:rPr>
              <w:t>申请与核发技术规范 电池工业》（HJ967-2018）</w:t>
            </w:r>
            <w:r>
              <w:rPr>
                <w:rFonts w:hint="eastAsia" w:cs="Times New Roman"/>
                <w:color w:val="auto"/>
                <w:sz w:val="24"/>
                <w:szCs w:val="24"/>
                <w:highlight w:val="none"/>
                <w:lang w:eastAsia="zh-CN"/>
              </w:rPr>
              <w:t>、《</w:t>
            </w:r>
            <w:r>
              <w:rPr>
                <w:rFonts w:hint="eastAsia" w:cs="Times New Roman"/>
                <w:color w:val="auto"/>
                <w:sz w:val="24"/>
                <w:szCs w:val="24"/>
                <w:highlight w:val="none"/>
                <w:lang w:val="en-US" w:eastAsia="zh-CN"/>
              </w:rPr>
              <w:t>排污单位自行监测技术指南 电池工业</w:t>
            </w:r>
            <w:r>
              <w:rPr>
                <w:rFonts w:hint="eastAsia" w:cs="Times New Roman"/>
                <w:color w:val="auto"/>
                <w:sz w:val="24"/>
                <w:szCs w:val="24"/>
                <w:highlight w:val="none"/>
                <w:lang w:eastAsia="zh-CN"/>
              </w:rPr>
              <w:t>》（</w:t>
            </w:r>
            <w:r>
              <w:rPr>
                <w:rFonts w:hint="eastAsia" w:cs="Times New Roman"/>
                <w:color w:val="auto"/>
                <w:sz w:val="24"/>
                <w:szCs w:val="24"/>
                <w:highlight w:val="none"/>
                <w:lang w:val="en-US" w:eastAsia="zh-CN"/>
              </w:rPr>
              <w:t>HJ 1204-2021</w:t>
            </w:r>
            <w:r>
              <w:rPr>
                <w:rFonts w:hint="eastAsia"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w:t>
            </w:r>
            <w:r>
              <w:rPr>
                <w:rFonts w:hint="default" w:ascii="Times New Roman" w:hAnsi="Times New Roman" w:eastAsia="宋体" w:cs="Times New Roman"/>
                <w:color w:val="auto"/>
                <w:sz w:val="24"/>
                <w:szCs w:val="24"/>
                <w:highlight w:val="none"/>
                <w:lang w:val="en-US" w:eastAsia="zh-CN"/>
              </w:rPr>
              <w:t>本项目</w:t>
            </w:r>
            <w:r>
              <w:rPr>
                <w:rFonts w:hint="default" w:ascii="Times New Roman" w:hAnsi="Times New Roman" w:eastAsia="宋体" w:cs="Times New Roman"/>
                <w:color w:val="auto"/>
                <w:sz w:val="24"/>
                <w:szCs w:val="24"/>
                <w:highlight w:val="none"/>
              </w:rPr>
              <w:t>营运期废水监测计划如下：</w:t>
            </w:r>
          </w:p>
          <w:p w14:paraId="5222F90B">
            <w:pPr>
              <w:pStyle w:val="40"/>
              <w:spacing w:after="0"/>
              <w:ind w:left="0" w:leftChars="0" w:firstLine="0" w:firstLineChars="0"/>
              <w:jc w:val="center"/>
              <w:rPr>
                <w:rStyle w:val="48"/>
                <w:rFonts w:hint="default" w:ascii="Times New Roman" w:hAnsi="Times New Roman" w:eastAsia="宋体" w:cs="Times New Roman"/>
                <w:b/>
                <w:bCs/>
                <w:color w:val="auto"/>
                <w:sz w:val="21"/>
                <w:szCs w:val="21"/>
              </w:rPr>
            </w:pPr>
            <w:r>
              <w:rPr>
                <w:rStyle w:val="48"/>
                <w:rFonts w:hint="default" w:ascii="Times New Roman" w:hAnsi="Times New Roman" w:eastAsia="宋体" w:cs="Times New Roman"/>
                <w:b/>
                <w:bCs/>
                <w:color w:val="auto"/>
                <w:sz w:val="21"/>
                <w:szCs w:val="21"/>
              </w:rPr>
              <w:t>表4-</w:t>
            </w:r>
            <w:r>
              <w:rPr>
                <w:rStyle w:val="48"/>
                <w:rFonts w:hint="eastAsia" w:cs="Times New Roman"/>
                <w:b/>
                <w:bCs/>
                <w:color w:val="auto"/>
                <w:sz w:val="21"/>
                <w:szCs w:val="21"/>
                <w:lang w:val="en-US" w:eastAsia="zh-CN"/>
              </w:rPr>
              <w:t>14</w:t>
            </w:r>
            <w:r>
              <w:rPr>
                <w:rStyle w:val="48"/>
                <w:rFonts w:hint="default" w:ascii="Times New Roman" w:hAnsi="Times New Roman" w:eastAsia="宋体" w:cs="Times New Roman"/>
                <w:b/>
                <w:bCs/>
                <w:color w:val="auto"/>
                <w:sz w:val="21"/>
                <w:szCs w:val="21"/>
              </w:rPr>
              <w:t xml:space="preserve"> 项目营运期废水监测方案</w:t>
            </w:r>
          </w:p>
          <w:tbl>
            <w:tblPr>
              <w:tblStyle w:val="41"/>
              <w:tblW w:w="7938"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28" w:type="dxa"/>
                <w:bottom w:w="0" w:type="dxa"/>
                <w:right w:w="28" w:type="dxa"/>
              </w:tblCellMar>
            </w:tblPr>
            <w:tblGrid>
              <w:gridCol w:w="991"/>
              <w:gridCol w:w="2299"/>
              <w:gridCol w:w="953"/>
              <w:gridCol w:w="3695"/>
            </w:tblGrid>
            <w:tr w14:paraId="526EA97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64" w:hRule="atLeast"/>
                <w:jc w:val="center"/>
              </w:trPr>
              <w:tc>
                <w:tcPr>
                  <w:tcW w:w="991" w:type="dxa"/>
                  <w:noWrap w:val="0"/>
                  <w:tcMar>
                    <w:left w:w="0" w:type="dxa"/>
                    <w:right w:w="0" w:type="dxa"/>
                  </w:tcMar>
                  <w:vAlign w:val="center"/>
                </w:tcPr>
                <w:p w14:paraId="123358F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bCs/>
                      <w:color w:val="auto"/>
                      <w:kern w:val="0"/>
                      <w:sz w:val="21"/>
                      <w:szCs w:val="21"/>
                    </w:rPr>
                  </w:pPr>
                  <w:r>
                    <w:rPr>
                      <w:rFonts w:hint="default" w:ascii="Times New Roman" w:hAnsi="Times New Roman" w:cs="Times New Roman"/>
                      <w:b/>
                      <w:bCs/>
                      <w:color w:val="auto"/>
                      <w:kern w:val="0"/>
                      <w:sz w:val="21"/>
                      <w:szCs w:val="21"/>
                    </w:rPr>
                    <w:t>监测点位</w:t>
                  </w:r>
                </w:p>
              </w:tc>
              <w:tc>
                <w:tcPr>
                  <w:tcW w:w="2299" w:type="dxa"/>
                  <w:noWrap w:val="0"/>
                  <w:tcMar>
                    <w:left w:w="0" w:type="dxa"/>
                    <w:right w:w="0" w:type="dxa"/>
                  </w:tcMar>
                  <w:vAlign w:val="center"/>
                </w:tcPr>
                <w:p w14:paraId="3215C7D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bCs/>
                      <w:color w:val="auto"/>
                      <w:kern w:val="0"/>
                      <w:sz w:val="21"/>
                      <w:szCs w:val="21"/>
                    </w:rPr>
                  </w:pPr>
                  <w:r>
                    <w:rPr>
                      <w:rFonts w:hint="default" w:ascii="Times New Roman" w:hAnsi="Times New Roman" w:cs="Times New Roman"/>
                      <w:b/>
                      <w:bCs/>
                      <w:color w:val="auto"/>
                      <w:kern w:val="0"/>
                      <w:sz w:val="21"/>
                      <w:szCs w:val="21"/>
                    </w:rPr>
                    <w:t>监测指标</w:t>
                  </w:r>
                </w:p>
              </w:tc>
              <w:tc>
                <w:tcPr>
                  <w:tcW w:w="953" w:type="dxa"/>
                  <w:noWrap w:val="0"/>
                  <w:tcMar>
                    <w:left w:w="0" w:type="dxa"/>
                    <w:right w:w="0" w:type="dxa"/>
                  </w:tcMar>
                  <w:vAlign w:val="center"/>
                </w:tcPr>
                <w:p w14:paraId="28D75AF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bCs/>
                      <w:color w:val="auto"/>
                      <w:kern w:val="0"/>
                      <w:sz w:val="21"/>
                      <w:szCs w:val="21"/>
                    </w:rPr>
                  </w:pPr>
                  <w:r>
                    <w:rPr>
                      <w:rFonts w:hint="default" w:ascii="Times New Roman" w:hAnsi="Times New Roman" w:cs="Times New Roman"/>
                      <w:b/>
                      <w:bCs/>
                      <w:color w:val="auto"/>
                      <w:kern w:val="0"/>
                      <w:sz w:val="21"/>
                      <w:szCs w:val="21"/>
                    </w:rPr>
                    <w:t>监测频次</w:t>
                  </w:r>
                </w:p>
              </w:tc>
              <w:tc>
                <w:tcPr>
                  <w:tcW w:w="3695" w:type="dxa"/>
                  <w:noWrap w:val="0"/>
                  <w:tcMar>
                    <w:left w:w="0" w:type="dxa"/>
                    <w:right w:w="0" w:type="dxa"/>
                  </w:tcMar>
                  <w:vAlign w:val="center"/>
                </w:tcPr>
                <w:p w14:paraId="7EC9C5A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bCs/>
                      <w:color w:val="auto"/>
                      <w:kern w:val="0"/>
                      <w:sz w:val="21"/>
                      <w:szCs w:val="21"/>
                    </w:rPr>
                  </w:pPr>
                  <w:r>
                    <w:rPr>
                      <w:rFonts w:hint="default" w:ascii="Times New Roman" w:hAnsi="Times New Roman" w:cs="Times New Roman"/>
                      <w:b/>
                      <w:bCs/>
                      <w:color w:val="auto"/>
                      <w:kern w:val="0"/>
                      <w:sz w:val="21"/>
                      <w:szCs w:val="21"/>
                    </w:rPr>
                    <w:t>执行排放标准</w:t>
                  </w:r>
                </w:p>
              </w:tc>
            </w:tr>
            <w:tr w14:paraId="2969132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494" w:hRule="atLeast"/>
                <w:jc w:val="center"/>
              </w:trPr>
              <w:tc>
                <w:tcPr>
                  <w:tcW w:w="991" w:type="dxa"/>
                  <w:noWrap w:val="0"/>
                  <w:tcMar>
                    <w:left w:w="0" w:type="dxa"/>
                    <w:right w:w="0" w:type="dxa"/>
                  </w:tcMar>
                  <w:vAlign w:val="center"/>
                </w:tcPr>
                <w:p w14:paraId="3F6C2ED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lang w:val="en-US" w:eastAsia="zh-CN"/>
                    </w:rPr>
                  </w:pPr>
                  <w:r>
                    <w:rPr>
                      <w:rFonts w:hint="eastAsia" w:cs="Times New Roman"/>
                      <w:color w:val="auto"/>
                      <w:kern w:val="0"/>
                      <w:sz w:val="21"/>
                      <w:szCs w:val="21"/>
                      <w:lang w:val="en-US" w:eastAsia="zh-CN"/>
                    </w:rPr>
                    <w:t>DW001</w:t>
                  </w:r>
                </w:p>
              </w:tc>
              <w:tc>
                <w:tcPr>
                  <w:tcW w:w="2299" w:type="dxa"/>
                  <w:noWrap w:val="0"/>
                  <w:tcMar>
                    <w:left w:w="0" w:type="dxa"/>
                    <w:right w:w="0" w:type="dxa"/>
                  </w:tcMar>
                  <w:vAlign w:val="center"/>
                </w:tcPr>
                <w:p w14:paraId="7EF2A3D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lang w:val="en-US" w:eastAsia="zh-CN"/>
                    </w:rPr>
                  </w:pPr>
                  <w:r>
                    <w:rPr>
                      <w:rFonts w:hint="default" w:ascii="Times New Roman" w:hAnsi="Times New Roman" w:cs="Times New Roman"/>
                      <w:color w:val="auto"/>
                      <w:sz w:val="21"/>
                      <w:szCs w:val="21"/>
                    </w:rPr>
                    <w:t>pH、</w:t>
                  </w:r>
                  <w:r>
                    <w:rPr>
                      <w:rFonts w:hint="default" w:ascii="Times New Roman" w:hAnsi="Times New Roman" w:cs="Times New Roman"/>
                      <w:color w:val="auto"/>
                      <w:sz w:val="21"/>
                      <w:szCs w:val="21"/>
                      <w:lang w:val="en-US" w:eastAsia="zh-CN"/>
                    </w:rPr>
                    <w:t>流量、</w:t>
                  </w:r>
                  <w:r>
                    <w:rPr>
                      <w:rFonts w:hint="default" w:ascii="Times New Roman" w:hAnsi="Times New Roman" w:cs="Times New Roman"/>
                      <w:color w:val="auto"/>
                      <w:sz w:val="21"/>
                      <w:szCs w:val="21"/>
                    </w:rPr>
                    <w:t>COD、SS</w:t>
                  </w:r>
                  <w:r>
                    <w:rPr>
                      <w:rFonts w:hint="default" w:ascii="Times New Roman" w:hAnsi="Times New Roman" w:cs="Times New Roman"/>
                      <w:color w:val="auto"/>
                      <w:sz w:val="21"/>
                      <w:szCs w:val="21"/>
                      <w:lang w:eastAsia="zh-CN"/>
                    </w:rPr>
                    <w:t>、</w:t>
                  </w:r>
                  <w:r>
                    <w:rPr>
                      <w:rFonts w:hint="default" w:ascii="Times New Roman" w:hAnsi="Times New Roman" w:cs="Times New Roman"/>
                      <w:color w:val="auto"/>
                      <w:sz w:val="21"/>
                      <w:szCs w:val="21"/>
                    </w:rPr>
                    <w:t>NH</w:t>
                  </w:r>
                  <w:r>
                    <w:rPr>
                      <w:rFonts w:hint="default" w:ascii="Times New Roman" w:hAnsi="Times New Roman" w:cs="Times New Roman"/>
                      <w:color w:val="auto"/>
                      <w:sz w:val="21"/>
                      <w:szCs w:val="21"/>
                      <w:vertAlign w:val="subscript"/>
                    </w:rPr>
                    <w:t>3</w:t>
                  </w:r>
                  <w:r>
                    <w:rPr>
                      <w:rFonts w:hint="default" w:ascii="Times New Roman" w:hAnsi="Times New Roman" w:cs="Times New Roman"/>
                      <w:color w:val="auto"/>
                      <w:sz w:val="21"/>
                      <w:szCs w:val="21"/>
                    </w:rPr>
                    <w:t>-N</w:t>
                  </w:r>
                  <w:r>
                    <w:rPr>
                      <w:rFonts w:hint="default" w:ascii="Times New Roman" w:hAnsi="Times New Roman" w:cs="Times New Roman"/>
                      <w:color w:val="auto"/>
                      <w:sz w:val="21"/>
                      <w:szCs w:val="21"/>
                      <w:lang w:val="en-US" w:eastAsia="zh-CN"/>
                    </w:rPr>
                    <w:t>、</w:t>
                  </w:r>
                  <w:r>
                    <w:rPr>
                      <w:rFonts w:hint="default" w:ascii="Times New Roman" w:hAnsi="Times New Roman" w:cs="Times New Roman"/>
                      <w:color w:val="auto"/>
                      <w:sz w:val="21"/>
                      <w:szCs w:val="21"/>
                    </w:rPr>
                    <w:t>BOD</w:t>
                  </w:r>
                  <w:r>
                    <w:rPr>
                      <w:rFonts w:hint="default" w:ascii="Times New Roman" w:hAnsi="Times New Roman" w:cs="Times New Roman"/>
                      <w:color w:val="auto"/>
                      <w:sz w:val="21"/>
                      <w:szCs w:val="21"/>
                      <w:vertAlign w:val="subscript"/>
                    </w:rPr>
                    <w:t>5</w:t>
                  </w:r>
                  <w:r>
                    <w:rPr>
                      <w:rFonts w:hint="default" w:ascii="Times New Roman" w:hAnsi="Times New Roman" w:cs="Times New Roman"/>
                      <w:color w:val="auto"/>
                      <w:sz w:val="21"/>
                      <w:szCs w:val="21"/>
                      <w:lang w:val="en-US" w:eastAsia="zh-CN"/>
                    </w:rPr>
                    <w:t>等</w:t>
                  </w:r>
                </w:p>
              </w:tc>
              <w:tc>
                <w:tcPr>
                  <w:tcW w:w="953" w:type="dxa"/>
                  <w:noWrap w:val="0"/>
                  <w:tcMar>
                    <w:left w:w="0" w:type="dxa"/>
                    <w:right w:w="0" w:type="dxa"/>
                  </w:tcMar>
                  <w:vAlign w:val="center"/>
                </w:tcPr>
                <w:p w14:paraId="434CFDB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lang w:val="en-US" w:eastAsia="zh-CN"/>
                    </w:rPr>
                  </w:pPr>
                  <w:r>
                    <w:rPr>
                      <w:rFonts w:hint="eastAsia" w:cs="Times New Roman"/>
                      <w:color w:val="auto"/>
                      <w:kern w:val="0"/>
                      <w:sz w:val="21"/>
                      <w:szCs w:val="21"/>
                      <w:lang w:val="en-US" w:eastAsia="zh-CN"/>
                    </w:rPr>
                    <w:t>1次/季</w:t>
                  </w:r>
                </w:p>
              </w:tc>
              <w:tc>
                <w:tcPr>
                  <w:tcW w:w="3695" w:type="dxa"/>
                  <w:noWrap w:val="0"/>
                  <w:tcMar>
                    <w:left w:w="0" w:type="dxa"/>
                    <w:right w:w="0" w:type="dxa"/>
                  </w:tcMar>
                  <w:vAlign w:val="center"/>
                </w:tcPr>
                <w:p w14:paraId="0DF4FD2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kern w:val="0"/>
                      <w:sz w:val="21"/>
                      <w:szCs w:val="21"/>
                    </w:rPr>
                  </w:pPr>
                  <w:r>
                    <w:rPr>
                      <w:rFonts w:hint="default" w:ascii="Times New Roman" w:hAnsi="Times New Roman" w:eastAsia="宋体" w:cs="Times New Roman"/>
                      <w:color w:val="auto"/>
                      <w:sz w:val="21"/>
                      <w:szCs w:val="21"/>
                      <w:lang w:val="en-US" w:eastAsia="zh-CN"/>
                    </w:rPr>
                    <w:t>《污水综合排放标准》（GB8978-1996）三级标准</w:t>
                  </w:r>
                </w:p>
              </w:tc>
            </w:tr>
            <w:tr w14:paraId="4C29B51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494" w:hRule="atLeast"/>
                <w:jc w:val="center"/>
              </w:trPr>
              <w:tc>
                <w:tcPr>
                  <w:tcW w:w="991" w:type="dxa"/>
                  <w:noWrap w:val="0"/>
                  <w:tcMar>
                    <w:left w:w="0" w:type="dxa"/>
                    <w:right w:w="0" w:type="dxa"/>
                  </w:tcMar>
                  <w:vAlign w:val="center"/>
                </w:tcPr>
                <w:p w14:paraId="6379C17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lang w:val="en-US" w:eastAsia="zh-CN"/>
                    </w:rPr>
                  </w:pPr>
                  <w:r>
                    <w:rPr>
                      <w:rFonts w:hint="eastAsia" w:cs="Times New Roman"/>
                      <w:color w:val="auto"/>
                      <w:kern w:val="0"/>
                      <w:sz w:val="21"/>
                      <w:szCs w:val="21"/>
                      <w:lang w:val="en-US" w:eastAsia="zh-CN"/>
                    </w:rPr>
                    <w:t>DW002</w:t>
                  </w:r>
                </w:p>
              </w:tc>
              <w:tc>
                <w:tcPr>
                  <w:tcW w:w="2299" w:type="dxa"/>
                  <w:noWrap w:val="0"/>
                  <w:tcMar>
                    <w:left w:w="0" w:type="dxa"/>
                    <w:right w:w="0" w:type="dxa"/>
                  </w:tcMar>
                  <w:vAlign w:val="center"/>
                </w:tcPr>
                <w:p w14:paraId="6B86109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pH、</w:t>
                  </w:r>
                  <w:r>
                    <w:rPr>
                      <w:rFonts w:hint="default" w:ascii="Times New Roman" w:hAnsi="Times New Roman" w:cs="Times New Roman"/>
                      <w:color w:val="auto"/>
                      <w:sz w:val="21"/>
                      <w:szCs w:val="21"/>
                      <w:lang w:val="en-US" w:eastAsia="zh-CN"/>
                    </w:rPr>
                    <w:t>流量、</w:t>
                  </w:r>
                  <w:r>
                    <w:rPr>
                      <w:rFonts w:hint="default" w:ascii="Times New Roman" w:hAnsi="Times New Roman" w:cs="Times New Roman"/>
                      <w:color w:val="auto"/>
                      <w:sz w:val="21"/>
                      <w:szCs w:val="21"/>
                    </w:rPr>
                    <w:t>COD、SS</w:t>
                  </w:r>
                  <w:r>
                    <w:rPr>
                      <w:rFonts w:hint="default" w:ascii="Times New Roman" w:hAnsi="Times New Roman" w:cs="Times New Roman"/>
                      <w:color w:val="auto"/>
                      <w:sz w:val="21"/>
                      <w:szCs w:val="21"/>
                      <w:lang w:eastAsia="zh-CN"/>
                    </w:rPr>
                    <w:t>、</w:t>
                  </w:r>
                  <w:r>
                    <w:rPr>
                      <w:rFonts w:hint="default" w:ascii="Times New Roman" w:hAnsi="Times New Roman" w:cs="Times New Roman"/>
                      <w:color w:val="auto"/>
                      <w:sz w:val="21"/>
                      <w:szCs w:val="21"/>
                    </w:rPr>
                    <w:t>NH</w:t>
                  </w:r>
                  <w:r>
                    <w:rPr>
                      <w:rFonts w:hint="default" w:ascii="Times New Roman" w:hAnsi="Times New Roman" w:cs="Times New Roman"/>
                      <w:color w:val="auto"/>
                      <w:sz w:val="21"/>
                      <w:szCs w:val="21"/>
                      <w:vertAlign w:val="subscript"/>
                    </w:rPr>
                    <w:t>3</w:t>
                  </w:r>
                  <w:r>
                    <w:rPr>
                      <w:rFonts w:hint="default" w:ascii="Times New Roman" w:hAnsi="Times New Roman" w:cs="Times New Roman"/>
                      <w:color w:val="auto"/>
                      <w:sz w:val="21"/>
                      <w:szCs w:val="21"/>
                    </w:rPr>
                    <w:t>-N</w:t>
                  </w:r>
                  <w:r>
                    <w:rPr>
                      <w:rFonts w:hint="default" w:ascii="Times New Roman" w:hAnsi="Times New Roman" w:cs="Times New Roman"/>
                      <w:color w:val="auto"/>
                      <w:sz w:val="21"/>
                      <w:szCs w:val="21"/>
                      <w:lang w:val="en-US" w:eastAsia="zh-CN"/>
                    </w:rPr>
                    <w:t>、</w:t>
                  </w:r>
                  <w:r>
                    <w:rPr>
                      <w:rFonts w:hint="default" w:ascii="Times New Roman" w:hAnsi="Times New Roman" w:cs="Times New Roman"/>
                      <w:color w:val="auto"/>
                      <w:sz w:val="21"/>
                      <w:szCs w:val="21"/>
                    </w:rPr>
                    <w:t>BOD</w:t>
                  </w:r>
                  <w:r>
                    <w:rPr>
                      <w:rFonts w:hint="default" w:ascii="Times New Roman" w:hAnsi="Times New Roman" w:cs="Times New Roman"/>
                      <w:color w:val="auto"/>
                      <w:sz w:val="21"/>
                      <w:szCs w:val="21"/>
                      <w:vertAlign w:val="subscript"/>
                    </w:rPr>
                    <w:t>5</w:t>
                  </w:r>
                  <w:r>
                    <w:rPr>
                      <w:rFonts w:hint="default" w:ascii="Times New Roman" w:hAnsi="Times New Roman" w:cs="Times New Roman"/>
                      <w:color w:val="auto"/>
                      <w:sz w:val="21"/>
                      <w:szCs w:val="21"/>
                      <w:lang w:val="en-US" w:eastAsia="zh-CN"/>
                    </w:rPr>
                    <w:t>等</w:t>
                  </w:r>
                </w:p>
              </w:tc>
              <w:tc>
                <w:tcPr>
                  <w:tcW w:w="953" w:type="dxa"/>
                  <w:noWrap w:val="0"/>
                  <w:tcMar>
                    <w:left w:w="0" w:type="dxa"/>
                    <w:right w:w="0" w:type="dxa"/>
                  </w:tcMar>
                  <w:vAlign w:val="center"/>
                </w:tcPr>
                <w:p w14:paraId="00AF40D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lang w:val="en-US" w:eastAsia="zh-CN"/>
                    </w:rPr>
                  </w:pPr>
                  <w:r>
                    <w:rPr>
                      <w:rFonts w:hint="default" w:ascii="Times New Roman" w:hAnsi="Times New Roman" w:cs="Times New Roman"/>
                      <w:color w:val="auto"/>
                      <w:kern w:val="0"/>
                      <w:sz w:val="21"/>
                      <w:szCs w:val="21"/>
                    </w:rPr>
                    <w:t>1次/</w:t>
                  </w:r>
                  <w:r>
                    <w:rPr>
                      <w:rFonts w:hint="default" w:ascii="Times New Roman" w:hAnsi="Times New Roman" w:cs="Times New Roman"/>
                      <w:color w:val="auto"/>
                      <w:kern w:val="0"/>
                      <w:sz w:val="21"/>
                      <w:szCs w:val="21"/>
                      <w:lang w:val="en-US" w:eastAsia="zh-CN"/>
                    </w:rPr>
                    <w:t>半年</w:t>
                  </w:r>
                </w:p>
              </w:tc>
              <w:tc>
                <w:tcPr>
                  <w:tcW w:w="3695" w:type="dxa"/>
                  <w:noWrap w:val="0"/>
                  <w:tcMar>
                    <w:left w:w="0" w:type="dxa"/>
                    <w:right w:w="0" w:type="dxa"/>
                  </w:tcMar>
                  <w:vAlign w:val="center"/>
                </w:tcPr>
                <w:p w14:paraId="06D394F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BOD</w:t>
                  </w:r>
                  <w:r>
                    <w:rPr>
                      <w:rFonts w:hint="default" w:ascii="Times New Roman" w:hAnsi="Times New Roman" w:eastAsia="宋体" w:cs="Times New Roman"/>
                      <w:color w:val="auto"/>
                      <w:sz w:val="21"/>
                      <w:szCs w:val="21"/>
                      <w:vertAlign w:val="subscript"/>
                    </w:rPr>
                    <w:t>5</w:t>
                  </w:r>
                  <w:r>
                    <w:rPr>
                      <w:rFonts w:hint="default" w:ascii="Times New Roman" w:hAnsi="Times New Roman" w:eastAsia="宋体" w:cs="Times New Roman"/>
                      <w:color w:val="auto"/>
                      <w:sz w:val="21"/>
                      <w:szCs w:val="21"/>
                    </w:rPr>
                    <w:t>执行巴中经开区污水处理厂进水水质标准（即《污水综合排放标准》（GB8978-1996）</w:t>
                  </w:r>
                  <w:r>
                    <w:rPr>
                      <w:rFonts w:hint="default" w:ascii="Times New Roman" w:hAnsi="Times New Roman" w:eastAsia="宋体" w:cs="Times New Roman"/>
                      <w:color w:val="auto"/>
                      <w:sz w:val="21"/>
                      <w:szCs w:val="21"/>
                      <w:lang w:eastAsia="zh-CN"/>
                    </w:rPr>
                    <w:t>三级标准</w:t>
                  </w:r>
                  <w:r>
                    <w:rPr>
                      <w:rFonts w:hint="default" w:ascii="Times New Roman" w:hAnsi="Times New Roman" w:eastAsia="宋体" w:cs="Times New Roman"/>
                      <w:color w:val="auto"/>
                      <w:sz w:val="21"/>
                      <w:szCs w:val="21"/>
                    </w:rPr>
                    <w:t>）</w:t>
                  </w:r>
                  <w:r>
                    <w:rPr>
                      <w:rFonts w:hint="default" w:ascii="Times New Roman" w:hAnsi="Times New Roman" w:eastAsia="宋体" w:cs="Times New Roman"/>
                      <w:color w:val="auto"/>
                      <w:sz w:val="21"/>
                      <w:szCs w:val="21"/>
                      <w:lang w:eastAsia="zh-CN"/>
                    </w:rPr>
                    <w:t>，</w:t>
                  </w:r>
                  <w:r>
                    <w:rPr>
                      <w:rFonts w:hint="default" w:ascii="Times New Roman" w:hAnsi="Times New Roman" w:eastAsia="宋体" w:cs="Times New Roman"/>
                      <w:color w:val="auto"/>
                      <w:sz w:val="21"/>
                      <w:szCs w:val="21"/>
                      <w:lang w:val="en-US" w:eastAsia="zh-CN"/>
                    </w:rPr>
                    <w:t>其余指标执行</w:t>
                  </w:r>
                  <w:r>
                    <w:rPr>
                      <w:rFonts w:hint="default" w:ascii="Times New Roman" w:hAnsi="Times New Roman" w:eastAsia="宋体" w:cs="Times New Roman"/>
                      <w:color w:val="auto"/>
                      <w:sz w:val="21"/>
                      <w:szCs w:val="21"/>
                    </w:rPr>
                    <w:t>《电池工业污染物排放标准》（GB 30484-2013）表2中</w:t>
                  </w:r>
                  <w:r>
                    <w:rPr>
                      <w:rFonts w:hint="eastAsia" w:cs="Times New Roman"/>
                      <w:color w:val="auto"/>
                      <w:sz w:val="21"/>
                      <w:szCs w:val="21"/>
                      <w:lang w:eastAsia="zh-CN"/>
                    </w:rPr>
                    <w:t>“</w:t>
                  </w:r>
                  <w:r>
                    <w:rPr>
                      <w:rFonts w:hint="default" w:ascii="Times New Roman" w:hAnsi="Times New Roman" w:eastAsia="宋体" w:cs="Times New Roman"/>
                      <w:color w:val="auto"/>
                      <w:sz w:val="21"/>
                      <w:szCs w:val="21"/>
                    </w:rPr>
                    <w:t>间接排放</w:t>
                  </w:r>
                  <w:r>
                    <w:rPr>
                      <w:rFonts w:hint="eastAsia" w:cs="Times New Roman"/>
                      <w:color w:val="auto"/>
                      <w:sz w:val="21"/>
                      <w:szCs w:val="21"/>
                      <w:lang w:eastAsia="zh-CN"/>
                    </w:rPr>
                    <w:t>”</w:t>
                  </w:r>
                  <w:r>
                    <w:rPr>
                      <w:rFonts w:hint="default" w:ascii="Times New Roman" w:hAnsi="Times New Roman" w:eastAsia="宋体" w:cs="Times New Roman"/>
                      <w:color w:val="auto"/>
                      <w:sz w:val="21"/>
                      <w:szCs w:val="21"/>
                    </w:rPr>
                    <w:t>限值</w:t>
                  </w:r>
                </w:p>
              </w:tc>
            </w:tr>
          </w:tbl>
          <w:p w14:paraId="52A0A23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lang w:val="en-US" w:eastAsia="zh-CN"/>
              </w:rPr>
              <w:t>3</w:t>
            </w: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lang w:val="en-US" w:eastAsia="zh-CN"/>
              </w:rPr>
              <w:t>噪声</w:t>
            </w:r>
          </w:p>
          <w:p w14:paraId="48A3F3AA">
            <w:pPr>
              <w:keepNext w:val="0"/>
              <w:keepLines w:val="0"/>
              <w:pageBreakBefore w:val="0"/>
              <w:widowControl w:val="0"/>
              <w:kinsoku/>
              <w:wordWrap/>
              <w:overflowPunct/>
              <w:topLinePunct w:val="0"/>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（1）</w:t>
            </w:r>
            <w:r>
              <w:rPr>
                <w:rFonts w:hint="eastAsia" w:ascii="Times New Roman" w:hAnsi="Times New Roman"/>
                <w:b w:val="0"/>
                <w:bCs w:val="0"/>
                <w:color w:val="auto"/>
                <w:sz w:val="24"/>
                <w:highlight w:val="none"/>
              </w:rPr>
              <w:t>声环境保护目标</w:t>
            </w:r>
          </w:p>
          <w:p w14:paraId="5A238FDF">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ascii="Times New Roman" w:hAnsi="Times New Roman" w:eastAsia="宋体" w:cs="Times New Roman"/>
                <w:color w:val="auto"/>
                <w:sz w:val="24"/>
                <w:szCs w:val="24"/>
                <w:lang w:eastAsia="zh-CN"/>
              </w:rPr>
            </w:pPr>
            <w:r>
              <w:rPr>
                <w:rFonts w:hint="eastAsia"/>
                <w:color w:val="auto"/>
                <w:sz w:val="24"/>
              </w:rPr>
              <w:t>根据《建设项目环境影响报告表编制技术指南（污染影响类）》（试行）的要求，厂界外周边50米范围内存在声环境保护目标的建设项目，应监测保护目标声环境质量现状并评价达标情况。本项目周边50m范围内</w:t>
            </w:r>
            <w:r>
              <w:rPr>
                <w:rFonts w:hint="eastAsia"/>
                <w:color w:val="auto"/>
                <w:sz w:val="24"/>
                <w:lang w:val="en-US" w:eastAsia="zh-CN"/>
              </w:rPr>
              <w:t>无</w:t>
            </w:r>
            <w:r>
              <w:rPr>
                <w:rFonts w:hint="eastAsia"/>
                <w:color w:val="auto"/>
                <w:sz w:val="24"/>
              </w:rPr>
              <w:t>声环境保护目标</w:t>
            </w:r>
            <w:r>
              <w:rPr>
                <w:rFonts w:hint="eastAsia"/>
                <w:color w:val="auto"/>
                <w:sz w:val="24"/>
                <w:lang w:eastAsia="zh-CN"/>
              </w:rPr>
              <w:t>。</w:t>
            </w:r>
          </w:p>
          <w:p w14:paraId="03BCA2B4">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ascii="Times New Roman" w:hAnsi="Times New Roman" w:eastAsia="宋体" w:cs="Times New Roman"/>
                <w:color w:val="auto"/>
                <w:sz w:val="24"/>
                <w:szCs w:val="24"/>
                <w:lang w:eastAsia="zh-CN"/>
              </w:rPr>
            </w:pPr>
            <w:r>
              <w:rPr>
                <w:rFonts w:hint="eastAsia" w:ascii="Times New Roman" w:hAnsi="Times New Roman" w:cs="Times New Roman"/>
                <w:color w:val="auto"/>
                <w:sz w:val="24"/>
                <w:szCs w:val="24"/>
                <w:lang w:eastAsia="zh-CN"/>
              </w:rPr>
              <w:t>（</w:t>
            </w:r>
            <w:r>
              <w:rPr>
                <w:rFonts w:hint="eastAsia" w:ascii="Times New Roman" w:hAnsi="Times New Roman" w:cs="Times New Roman"/>
                <w:color w:val="auto"/>
                <w:sz w:val="24"/>
                <w:szCs w:val="24"/>
                <w:lang w:val="en-US" w:eastAsia="zh-CN"/>
              </w:rPr>
              <w:t>2</w:t>
            </w:r>
            <w:r>
              <w:rPr>
                <w:rFonts w:hint="eastAsia" w:ascii="Times New Roman" w:hAnsi="Times New Roman" w:cs="Times New Roman"/>
                <w:color w:val="auto"/>
                <w:sz w:val="24"/>
                <w:szCs w:val="24"/>
                <w:lang w:eastAsia="zh-CN"/>
              </w:rPr>
              <w:t>）</w:t>
            </w:r>
            <w:r>
              <w:rPr>
                <w:rFonts w:hint="eastAsia" w:ascii="Times New Roman" w:hAnsi="Times New Roman"/>
                <w:b w:val="0"/>
                <w:bCs w:val="0"/>
                <w:color w:val="auto"/>
                <w:sz w:val="24"/>
                <w:highlight w:val="none"/>
              </w:rPr>
              <w:t>噪声源强</w:t>
            </w:r>
          </w:p>
          <w:p w14:paraId="4829CF5C">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ascii="Times New Roman" w:hAnsi="Times New Roman" w:eastAsia="宋体" w:cs="Times New Roman"/>
                <w:color w:val="auto"/>
                <w:sz w:val="24"/>
                <w:highlight w:val="none"/>
                <w:lang w:val="en-US" w:eastAsia="zh-CN"/>
              </w:rPr>
            </w:pPr>
            <w:r>
              <w:rPr>
                <w:rFonts w:hint="eastAsia" w:ascii="Times New Roman" w:hAnsi="Times New Roman" w:eastAsia="宋体" w:cs="Times New Roman"/>
                <w:color w:val="auto"/>
                <w:sz w:val="24"/>
                <w:highlight w:val="none"/>
                <w:lang w:val="en-US" w:eastAsia="zh-CN"/>
              </w:rPr>
              <w:t>本项目噪声源主要来自设备运行噪声、风机噪声、空压机</w:t>
            </w:r>
            <w:r>
              <w:rPr>
                <w:rFonts w:hint="eastAsia" w:cs="Times New Roman"/>
                <w:color w:val="auto"/>
                <w:sz w:val="24"/>
                <w:highlight w:val="none"/>
                <w:lang w:val="en-US" w:eastAsia="zh-CN"/>
              </w:rPr>
              <w:t>、制氮机</w:t>
            </w:r>
            <w:r>
              <w:rPr>
                <w:rFonts w:hint="eastAsia" w:ascii="Times New Roman" w:hAnsi="Times New Roman" w:eastAsia="宋体" w:cs="Times New Roman"/>
                <w:color w:val="auto"/>
                <w:sz w:val="24"/>
                <w:highlight w:val="none"/>
                <w:lang w:val="en-US" w:eastAsia="zh-CN"/>
              </w:rPr>
              <w:t>等，噪声源强在</w:t>
            </w:r>
            <w:r>
              <w:rPr>
                <w:rFonts w:hint="eastAsia" w:cs="Times New Roman"/>
                <w:color w:val="auto"/>
                <w:sz w:val="24"/>
                <w:highlight w:val="none"/>
                <w:lang w:val="en-US" w:eastAsia="zh-CN"/>
              </w:rPr>
              <w:t>70</w:t>
            </w:r>
            <w:r>
              <w:rPr>
                <w:rFonts w:hint="default" w:ascii="Times New Roman" w:hAnsi="Times New Roman" w:eastAsia="宋体" w:cs="Times New Roman"/>
                <w:color w:val="auto"/>
                <w:sz w:val="24"/>
                <w:highlight w:val="none"/>
                <w:lang w:val="en-US" w:eastAsia="zh-CN"/>
              </w:rPr>
              <w:t>~</w:t>
            </w:r>
            <w:r>
              <w:rPr>
                <w:rFonts w:hint="eastAsia" w:cs="Times New Roman"/>
                <w:color w:val="auto"/>
                <w:sz w:val="24"/>
                <w:highlight w:val="none"/>
                <w:lang w:val="en-US" w:eastAsia="zh-CN"/>
              </w:rPr>
              <w:t>9</w:t>
            </w:r>
            <w:r>
              <w:rPr>
                <w:rFonts w:hint="eastAsia" w:ascii="Times New Roman" w:hAnsi="Times New Roman" w:eastAsia="宋体" w:cs="Times New Roman"/>
                <w:color w:val="auto"/>
                <w:sz w:val="24"/>
                <w:highlight w:val="none"/>
                <w:lang w:val="en-US" w:eastAsia="zh-CN"/>
              </w:rPr>
              <w:t>5dB（A）之间</w:t>
            </w:r>
            <w:r>
              <w:rPr>
                <w:rFonts w:hint="eastAsia" w:cs="Times New Roman"/>
                <w:color w:val="auto"/>
                <w:sz w:val="24"/>
                <w:highlight w:val="none"/>
                <w:lang w:val="en-US" w:eastAsia="zh-CN"/>
              </w:rPr>
              <w:t>。</w:t>
            </w:r>
          </w:p>
          <w:p w14:paraId="0DADCD4D">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cs="Times New Roman"/>
                <w:color w:val="auto"/>
                <w:sz w:val="24"/>
                <w:highlight w:val="none"/>
                <w:lang w:val="en-US" w:eastAsia="zh-CN"/>
              </w:rPr>
            </w:pPr>
            <w:r>
              <w:rPr>
                <w:rFonts w:hint="eastAsia" w:cs="Times New Roman"/>
                <w:color w:val="auto"/>
                <w:sz w:val="24"/>
                <w:highlight w:val="none"/>
                <w:lang w:val="en-US" w:eastAsia="zh-CN"/>
              </w:rPr>
              <w:t>（3）噪声源强调查清单参数</w:t>
            </w:r>
          </w:p>
          <w:p w14:paraId="7984891C">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根据《环境影响评价技术导则 声环境》（HJ2.4-2021）附录B的公式计算设备噪声的室内边界及室外建筑噪声</w:t>
            </w:r>
            <w:r>
              <w:rPr>
                <w:rFonts w:hint="eastAsia" w:cs="Times New Roman"/>
                <w:color w:val="auto"/>
                <w:sz w:val="24"/>
                <w:szCs w:val="24"/>
                <w:highlight w:val="none"/>
                <w:lang w:val="en-US" w:eastAsia="zh-CN"/>
              </w:rPr>
              <w:t>。</w:t>
            </w:r>
          </w:p>
          <w:p w14:paraId="0BC48180">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ascii="Times New Roman" w:hAnsi="Times New Roman" w:eastAsia="宋体" w:cs="Times New Roman"/>
                <w:b w:val="0"/>
                <w:bCs w:val="0"/>
                <w:color w:val="auto"/>
                <w:sz w:val="24"/>
                <w:highlight w:val="none"/>
                <w:lang w:val="en-US" w:eastAsia="zh-CN"/>
              </w:rPr>
            </w:pPr>
            <w:r>
              <w:rPr>
                <w:rFonts w:hint="eastAsia" w:ascii="Times New Roman" w:hAnsi="Times New Roman" w:eastAsia="宋体" w:cs="Times New Roman"/>
                <w:b w:val="0"/>
                <w:bCs w:val="0"/>
                <w:color w:val="auto"/>
                <w:sz w:val="24"/>
                <w:highlight w:val="none"/>
                <w:lang w:val="en-US" w:eastAsia="zh-CN"/>
              </w:rPr>
              <w:t>1）室内边界声级计算公式</w:t>
            </w:r>
          </w:p>
          <w:p w14:paraId="205E2E72">
            <w:pPr>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计算某一室内声源靠近围护结构处产生的倍频带声压级或A声级的公式如下：</w:t>
            </w:r>
          </w:p>
          <w:p w14:paraId="6B10D875">
            <w:pPr>
              <w:keepNext w:val="0"/>
              <w:keepLines w:val="0"/>
              <w:pageBreakBefore w:val="0"/>
              <w:widowControl w:val="0"/>
              <w:kinsoku/>
              <w:wordWrap/>
              <w:overflowPunct/>
              <w:topLinePunct w:val="0"/>
              <w:autoSpaceDE w:val="0"/>
              <w:autoSpaceDN w:val="0"/>
              <w:bidi w:val="0"/>
              <w:adjustRightInd w:val="0"/>
              <w:snapToGrid/>
              <w:spacing w:line="360" w:lineRule="auto"/>
              <w:ind w:firstLine="420" w:firstLineChars="200"/>
              <w:jc w:val="center"/>
              <w:textAlignment w:val="auto"/>
              <w:rPr>
                <w:rFonts w:hint="eastAsia"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1"/>
                <w:szCs w:val="21"/>
                <w:highlight w:val="none"/>
              </w:rPr>
              <w:drawing>
                <wp:inline distT="0" distB="0" distL="114300" distR="114300">
                  <wp:extent cx="2105025" cy="546100"/>
                  <wp:effectExtent l="0" t="0" r="9525" b="6350"/>
                  <wp:docPr id="16"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2"/>
                          <pic:cNvPicPr>
                            <a:picLocks noChangeAspect="1"/>
                          </pic:cNvPicPr>
                        </pic:nvPicPr>
                        <pic:blipFill>
                          <a:blip r:embed="rId34"/>
                          <a:stretch>
                            <a:fillRect/>
                          </a:stretch>
                        </pic:blipFill>
                        <pic:spPr>
                          <a:xfrm>
                            <a:off x="0" y="0"/>
                            <a:ext cx="2105025" cy="546100"/>
                          </a:xfrm>
                          <a:prstGeom prst="rect">
                            <a:avLst/>
                          </a:prstGeom>
                          <a:noFill/>
                          <a:ln>
                            <a:noFill/>
                          </a:ln>
                        </pic:spPr>
                      </pic:pic>
                    </a:graphicData>
                  </a:graphic>
                </wp:inline>
              </w:drawing>
            </w:r>
          </w:p>
          <w:p w14:paraId="1DE34CAB">
            <w:pPr>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式中：L</w:t>
            </w:r>
            <w:r>
              <w:rPr>
                <w:rFonts w:hint="eastAsia" w:ascii="Times New Roman" w:hAnsi="Times New Roman" w:eastAsia="宋体" w:cs="Times New Roman"/>
                <w:color w:val="auto"/>
                <w:sz w:val="24"/>
                <w:szCs w:val="24"/>
                <w:highlight w:val="none"/>
                <w:vertAlign w:val="subscript"/>
                <w:lang w:val="en-US" w:eastAsia="zh-CN"/>
              </w:rPr>
              <w:t>P1</w:t>
            </w:r>
            <w:r>
              <w:rPr>
                <w:rFonts w:hint="eastAsia" w:ascii="Times New Roman" w:hAnsi="Times New Roman" w:eastAsia="宋体" w:cs="Times New Roman"/>
                <w:color w:val="auto"/>
                <w:sz w:val="24"/>
                <w:szCs w:val="24"/>
                <w:highlight w:val="none"/>
                <w:lang w:val="en-US" w:eastAsia="zh-CN"/>
              </w:rPr>
              <w:t>—靠近开口处（或窗户）室内某倍频带的声压级或A声级，dB；</w:t>
            </w:r>
          </w:p>
          <w:p w14:paraId="7025F370">
            <w:pPr>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textAlignment w:val="auto"/>
              <w:rPr>
                <w:rFonts w:hint="eastAsia"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Q—指向性因数；通常对无指向性声源，当声源放在房间中心时，Q=1；当放在一面墙的中心时，Q=2；当放在两面墙夹角处时，Q=4；当放在三面墙夹角处时，Q=8；</w:t>
            </w:r>
          </w:p>
          <w:p w14:paraId="66A21285">
            <w:pPr>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textAlignment w:val="auto"/>
              <w:rPr>
                <w:rFonts w:hint="eastAsia"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R—房间常数；R=Sa/（1-a），S为房间内表面面积，m</w:t>
            </w:r>
            <w:r>
              <w:rPr>
                <w:rFonts w:hint="eastAsia" w:ascii="Times New Roman" w:hAnsi="Times New Roman" w:eastAsia="宋体" w:cs="Times New Roman"/>
                <w:color w:val="auto"/>
                <w:sz w:val="24"/>
                <w:szCs w:val="24"/>
                <w:highlight w:val="none"/>
                <w:vertAlign w:val="superscript"/>
                <w:lang w:val="en-US" w:eastAsia="zh-CN"/>
              </w:rPr>
              <w:t>2</w:t>
            </w:r>
            <w:r>
              <w:rPr>
                <w:rFonts w:hint="eastAsia" w:ascii="Times New Roman" w:hAnsi="Times New Roman" w:eastAsia="宋体" w:cs="Times New Roman"/>
                <w:color w:val="auto"/>
                <w:sz w:val="24"/>
                <w:szCs w:val="24"/>
                <w:highlight w:val="none"/>
                <w:lang w:val="en-US" w:eastAsia="zh-CN"/>
              </w:rPr>
              <w:t>；α为平均吸声系数；</w:t>
            </w:r>
          </w:p>
          <w:p w14:paraId="11A12A0D">
            <w:pPr>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r—声源到靠近围护结构某点处的距离，m。</w:t>
            </w:r>
          </w:p>
          <w:p w14:paraId="202869E9">
            <w:pPr>
              <w:keepNext w:val="0"/>
              <w:keepLines w:val="0"/>
              <w:pageBreakBefore w:val="0"/>
              <w:widowControl w:val="0"/>
              <w:shd w:val="clear"/>
              <w:kinsoku/>
              <w:wordWrap/>
              <w:overflowPunct/>
              <w:topLinePunct w:val="0"/>
              <w:autoSpaceDE w:val="0"/>
              <w:autoSpaceDN w:val="0"/>
              <w:bidi w:val="0"/>
              <w:adjustRightInd/>
              <w:snapToGrid/>
              <w:spacing w:line="360" w:lineRule="auto"/>
              <w:ind w:firstLine="480" w:firstLineChars="200"/>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本项目生产车间为钢筋框架结构，参考《环境工程手册 环境噪声控制卷》（2000年）中表4-1常用建筑材料类的吸声系数，地面为混凝土刷漆，吸声系数取0.07，厂房均为钢板结构，吸声系数取低值0.01，参数取值详见下表：</w:t>
            </w:r>
          </w:p>
          <w:p w14:paraId="3BE3476D">
            <w:pPr>
              <w:shd w:val="clear"/>
              <w:autoSpaceDE w:val="0"/>
              <w:autoSpaceDN w:val="0"/>
              <w:adjustRightInd w:val="0"/>
              <w:spacing w:line="240" w:lineRule="auto"/>
              <w:jc w:val="center"/>
              <w:rPr>
                <w:rFonts w:hint="default"/>
                <w:color w:val="auto"/>
                <w:sz w:val="21"/>
                <w:szCs w:val="21"/>
                <w:highlight w:val="none"/>
                <w:lang w:val="en-US"/>
              </w:rPr>
            </w:pPr>
            <w:r>
              <w:rPr>
                <w:b/>
                <w:bCs/>
                <w:color w:val="auto"/>
                <w:kern w:val="0"/>
                <w:sz w:val="21"/>
                <w:szCs w:val="21"/>
                <w:highlight w:val="none"/>
              </w:rPr>
              <w:t>表</w:t>
            </w:r>
            <w:r>
              <w:rPr>
                <w:rFonts w:hint="eastAsia"/>
                <w:b/>
                <w:bCs/>
                <w:color w:val="auto"/>
                <w:kern w:val="0"/>
                <w:sz w:val="21"/>
                <w:szCs w:val="21"/>
                <w:highlight w:val="none"/>
              </w:rPr>
              <w:t>4-</w:t>
            </w:r>
            <w:r>
              <w:rPr>
                <w:rFonts w:hint="eastAsia"/>
                <w:b/>
                <w:bCs/>
                <w:color w:val="auto"/>
                <w:kern w:val="0"/>
                <w:sz w:val="21"/>
                <w:szCs w:val="21"/>
                <w:highlight w:val="none"/>
                <w:lang w:val="en-US" w:eastAsia="zh-CN"/>
              </w:rPr>
              <w:t>15 本项目噪声计算参数一览表</w:t>
            </w:r>
          </w:p>
          <w:tbl>
            <w:tblPr>
              <w:tblStyle w:val="42"/>
              <w:tblW w:w="4999"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127"/>
              <w:gridCol w:w="1129"/>
              <w:gridCol w:w="891"/>
              <w:gridCol w:w="1372"/>
              <w:gridCol w:w="1132"/>
              <w:gridCol w:w="1131"/>
              <w:gridCol w:w="1131"/>
            </w:tblGrid>
            <w:tr w14:paraId="50D815F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712" w:type="pct"/>
                  <w:tcBorders>
                    <w:tl2br w:val="nil"/>
                    <w:tr2bl w:val="nil"/>
                  </w:tcBorders>
                  <w:shd w:val="clear" w:color="auto" w:fill="auto"/>
                  <w:noWrap w:val="0"/>
                  <w:vAlign w:val="center"/>
                </w:tcPr>
                <w:p w14:paraId="10FE25C5">
                  <w:pPr>
                    <w:pStyle w:val="208"/>
                    <w:keepNext w:val="0"/>
                    <w:keepLines w:val="0"/>
                    <w:pageBreakBefore w:val="0"/>
                    <w:widowControl w:val="0"/>
                    <w:shd w:val="clear"/>
                    <w:kinsoku/>
                    <w:wordWrap/>
                    <w:overflowPunct/>
                    <w:topLinePunct w:val="0"/>
                    <w:autoSpaceDE/>
                    <w:autoSpaceDN/>
                    <w:bidi w:val="0"/>
                    <w:adjustRightInd/>
                    <w:snapToGrid/>
                    <w:spacing w:before="0" w:line="280" w:lineRule="exact"/>
                    <w:ind w:left="0" w:leftChars="0" w:firstLine="0" w:firstLineChars="0"/>
                    <w:jc w:val="center"/>
                    <w:textAlignment w:val="auto"/>
                    <w:rPr>
                      <w:rFonts w:hint="default" w:ascii="Times New Roman" w:hAnsi="Times New Roman" w:eastAsia="宋体" w:cs="Times New Roman"/>
                      <w:b/>
                      <w:bCs/>
                      <w:color w:val="auto"/>
                      <w:sz w:val="21"/>
                      <w:szCs w:val="21"/>
                      <w:highlight w:val="none"/>
                      <w:vertAlign w:val="baseline"/>
                      <w:lang w:val="en-US" w:eastAsia="zh-CN"/>
                    </w:rPr>
                  </w:pPr>
                  <w:r>
                    <w:rPr>
                      <w:rFonts w:hint="default" w:ascii="Times New Roman" w:hAnsi="Times New Roman" w:cs="Times New Roman"/>
                      <w:b/>
                      <w:bCs/>
                      <w:color w:val="auto"/>
                      <w:sz w:val="21"/>
                      <w:szCs w:val="21"/>
                      <w:highlight w:val="none"/>
                      <w:vertAlign w:val="baseline"/>
                      <w:lang w:val="en-US" w:eastAsia="zh-CN"/>
                    </w:rPr>
                    <w:t>生产车间</w:t>
                  </w:r>
                </w:p>
              </w:tc>
              <w:tc>
                <w:tcPr>
                  <w:tcW w:w="1276" w:type="pct"/>
                  <w:gridSpan w:val="2"/>
                  <w:tcBorders>
                    <w:tl2br w:val="nil"/>
                    <w:tr2bl w:val="nil"/>
                  </w:tcBorders>
                  <w:shd w:val="clear" w:color="auto" w:fill="auto"/>
                  <w:noWrap w:val="0"/>
                  <w:vAlign w:val="center"/>
                </w:tcPr>
                <w:p w14:paraId="49601289">
                  <w:pPr>
                    <w:pStyle w:val="208"/>
                    <w:keepNext w:val="0"/>
                    <w:keepLines w:val="0"/>
                    <w:pageBreakBefore w:val="0"/>
                    <w:widowControl w:val="0"/>
                    <w:shd w:val="clear"/>
                    <w:kinsoku/>
                    <w:wordWrap/>
                    <w:overflowPunct/>
                    <w:topLinePunct w:val="0"/>
                    <w:autoSpaceDE/>
                    <w:autoSpaceDN/>
                    <w:bidi w:val="0"/>
                    <w:adjustRightInd/>
                    <w:snapToGrid/>
                    <w:spacing w:before="0" w:line="280" w:lineRule="exact"/>
                    <w:ind w:left="0" w:leftChars="0" w:firstLine="0" w:firstLineChars="0"/>
                    <w:jc w:val="center"/>
                    <w:textAlignment w:val="auto"/>
                    <w:rPr>
                      <w:rFonts w:hint="default" w:ascii="Times New Roman" w:hAnsi="Times New Roman" w:eastAsia="宋体" w:cs="Times New Roman"/>
                      <w:b/>
                      <w:bCs/>
                      <w:color w:val="auto"/>
                      <w:sz w:val="21"/>
                      <w:szCs w:val="21"/>
                      <w:highlight w:val="none"/>
                      <w:vertAlign w:val="baseline"/>
                      <w:lang w:val="en-US" w:eastAsia="zh-CN"/>
                    </w:rPr>
                  </w:pPr>
                  <w:r>
                    <w:rPr>
                      <w:rFonts w:hint="default" w:ascii="Times New Roman" w:hAnsi="Times New Roman" w:cs="Times New Roman"/>
                      <w:b/>
                      <w:bCs/>
                      <w:color w:val="auto"/>
                      <w:sz w:val="21"/>
                      <w:szCs w:val="21"/>
                      <w:highlight w:val="none"/>
                      <w:vertAlign w:val="baseline"/>
                      <w:lang w:val="en-US" w:eastAsia="zh-CN"/>
                    </w:rPr>
                    <w:t>吸声系数</w:t>
                  </w:r>
                </w:p>
              </w:tc>
              <w:tc>
                <w:tcPr>
                  <w:tcW w:w="1582" w:type="pct"/>
                  <w:gridSpan w:val="2"/>
                  <w:tcBorders>
                    <w:tl2br w:val="nil"/>
                    <w:tr2bl w:val="nil"/>
                  </w:tcBorders>
                  <w:shd w:val="clear" w:color="auto" w:fill="auto"/>
                  <w:noWrap w:val="0"/>
                  <w:vAlign w:val="center"/>
                </w:tcPr>
                <w:p w14:paraId="0A25FD4C">
                  <w:pPr>
                    <w:pStyle w:val="208"/>
                    <w:keepNext w:val="0"/>
                    <w:keepLines w:val="0"/>
                    <w:pageBreakBefore w:val="0"/>
                    <w:widowControl w:val="0"/>
                    <w:shd w:val="clear"/>
                    <w:kinsoku/>
                    <w:wordWrap/>
                    <w:overflowPunct/>
                    <w:topLinePunct w:val="0"/>
                    <w:autoSpaceDE/>
                    <w:autoSpaceDN/>
                    <w:bidi w:val="0"/>
                    <w:adjustRightInd/>
                    <w:snapToGrid/>
                    <w:spacing w:before="0" w:line="280" w:lineRule="exact"/>
                    <w:ind w:left="0" w:leftChars="0" w:firstLine="0" w:firstLineChars="0"/>
                    <w:jc w:val="center"/>
                    <w:textAlignment w:val="auto"/>
                    <w:rPr>
                      <w:rFonts w:hint="default" w:ascii="Times New Roman" w:hAnsi="Times New Roman" w:eastAsia="宋体" w:cs="Times New Roman"/>
                      <w:b/>
                      <w:bCs/>
                      <w:color w:val="auto"/>
                      <w:sz w:val="21"/>
                      <w:szCs w:val="21"/>
                      <w:highlight w:val="none"/>
                      <w:vertAlign w:val="baseline"/>
                      <w:lang w:val="en-US" w:eastAsia="zh-CN"/>
                    </w:rPr>
                  </w:pPr>
                  <w:r>
                    <w:rPr>
                      <w:rFonts w:hint="default" w:ascii="Times New Roman" w:hAnsi="Times New Roman" w:cs="Times New Roman"/>
                      <w:b/>
                      <w:bCs/>
                      <w:color w:val="auto"/>
                      <w:sz w:val="21"/>
                      <w:szCs w:val="21"/>
                      <w:highlight w:val="none"/>
                      <w:vertAlign w:val="baseline"/>
                      <w:lang w:val="en-US" w:eastAsia="zh-CN"/>
                    </w:rPr>
                    <w:t>S房间表面积（m</w:t>
                  </w:r>
                  <w:r>
                    <w:rPr>
                      <w:rFonts w:hint="default" w:ascii="Times New Roman" w:hAnsi="Times New Roman" w:cs="Times New Roman"/>
                      <w:b/>
                      <w:bCs/>
                      <w:color w:val="auto"/>
                      <w:sz w:val="21"/>
                      <w:szCs w:val="21"/>
                      <w:highlight w:val="none"/>
                      <w:vertAlign w:val="superscript"/>
                      <w:lang w:val="en-US" w:eastAsia="zh-CN"/>
                    </w:rPr>
                    <w:t>2</w:t>
                  </w:r>
                  <w:r>
                    <w:rPr>
                      <w:rFonts w:hint="default" w:ascii="Times New Roman" w:hAnsi="Times New Roman" w:cs="Times New Roman"/>
                      <w:b/>
                      <w:bCs/>
                      <w:color w:val="auto"/>
                      <w:sz w:val="21"/>
                      <w:szCs w:val="21"/>
                      <w:highlight w:val="none"/>
                      <w:vertAlign w:val="baseline"/>
                      <w:lang w:val="en-US" w:eastAsia="zh-CN"/>
                    </w:rPr>
                    <w:t>）</w:t>
                  </w:r>
                </w:p>
              </w:tc>
              <w:tc>
                <w:tcPr>
                  <w:tcW w:w="714" w:type="pct"/>
                  <w:tcBorders>
                    <w:tl2br w:val="nil"/>
                    <w:tr2bl w:val="nil"/>
                  </w:tcBorders>
                  <w:shd w:val="clear" w:color="auto" w:fill="auto"/>
                  <w:noWrap w:val="0"/>
                  <w:vAlign w:val="center"/>
                </w:tcPr>
                <w:p w14:paraId="366FD7EA">
                  <w:pPr>
                    <w:pStyle w:val="208"/>
                    <w:keepNext w:val="0"/>
                    <w:keepLines w:val="0"/>
                    <w:pageBreakBefore w:val="0"/>
                    <w:widowControl w:val="0"/>
                    <w:shd w:val="clear"/>
                    <w:kinsoku/>
                    <w:wordWrap/>
                    <w:overflowPunct/>
                    <w:topLinePunct w:val="0"/>
                    <w:autoSpaceDE/>
                    <w:autoSpaceDN/>
                    <w:bidi w:val="0"/>
                    <w:adjustRightInd/>
                    <w:snapToGrid/>
                    <w:spacing w:before="0" w:line="280" w:lineRule="exact"/>
                    <w:ind w:left="0" w:leftChars="0" w:firstLine="0" w:firstLineChars="0"/>
                    <w:jc w:val="center"/>
                    <w:textAlignment w:val="auto"/>
                    <w:rPr>
                      <w:rFonts w:hint="default" w:ascii="Times New Roman" w:hAnsi="Times New Roman" w:eastAsia="宋体" w:cs="Times New Roman"/>
                      <w:b/>
                      <w:bCs/>
                      <w:color w:val="auto"/>
                      <w:sz w:val="21"/>
                      <w:szCs w:val="21"/>
                      <w:highlight w:val="none"/>
                      <w:vertAlign w:val="baseline"/>
                      <w:lang w:val="en-US" w:eastAsia="zh-CN"/>
                    </w:rPr>
                  </w:pPr>
                  <w:r>
                    <w:rPr>
                      <w:rFonts w:hint="eastAsia" w:ascii="Times New Roman" w:hAnsi="Times New Roman" w:cs="Times New Roman"/>
                      <w:b/>
                      <w:bCs/>
                      <w:color w:val="auto"/>
                      <w:sz w:val="21"/>
                      <w:szCs w:val="21"/>
                      <w:highlight w:val="none"/>
                      <w:vertAlign w:val="baseline"/>
                      <w:lang w:val="en-US" w:eastAsia="zh-CN"/>
                    </w:rPr>
                    <w:t>平均吸声系数</w:t>
                  </w:r>
                </w:p>
              </w:tc>
              <w:tc>
                <w:tcPr>
                  <w:tcW w:w="714" w:type="pct"/>
                  <w:tcBorders>
                    <w:tl2br w:val="nil"/>
                    <w:tr2bl w:val="nil"/>
                  </w:tcBorders>
                  <w:shd w:val="clear" w:color="auto" w:fill="auto"/>
                  <w:noWrap w:val="0"/>
                  <w:vAlign w:val="center"/>
                </w:tcPr>
                <w:p w14:paraId="0CE958F3">
                  <w:pPr>
                    <w:pStyle w:val="208"/>
                    <w:keepNext w:val="0"/>
                    <w:keepLines w:val="0"/>
                    <w:pageBreakBefore w:val="0"/>
                    <w:widowControl w:val="0"/>
                    <w:shd w:val="clear"/>
                    <w:kinsoku/>
                    <w:wordWrap/>
                    <w:overflowPunct/>
                    <w:topLinePunct w:val="0"/>
                    <w:autoSpaceDE/>
                    <w:autoSpaceDN/>
                    <w:bidi w:val="0"/>
                    <w:adjustRightInd/>
                    <w:snapToGrid/>
                    <w:spacing w:before="0" w:line="280" w:lineRule="exact"/>
                    <w:ind w:left="0" w:leftChars="0" w:firstLine="0" w:firstLineChars="0"/>
                    <w:jc w:val="center"/>
                    <w:textAlignment w:val="auto"/>
                    <w:rPr>
                      <w:rFonts w:hint="default" w:ascii="Times New Roman" w:hAnsi="Times New Roman" w:cs="Times New Roman"/>
                      <w:b/>
                      <w:bCs/>
                      <w:color w:val="auto"/>
                      <w:sz w:val="21"/>
                      <w:szCs w:val="21"/>
                      <w:highlight w:val="none"/>
                      <w:vertAlign w:val="baseline"/>
                      <w:lang w:val="en-US" w:eastAsia="zh-CN"/>
                    </w:rPr>
                  </w:pPr>
                  <w:r>
                    <w:rPr>
                      <w:rFonts w:hint="eastAsia" w:ascii="Times New Roman" w:hAnsi="Times New Roman" w:cs="Times New Roman"/>
                      <w:b/>
                      <w:bCs/>
                      <w:color w:val="auto"/>
                      <w:sz w:val="21"/>
                      <w:szCs w:val="21"/>
                      <w:highlight w:val="none"/>
                      <w:vertAlign w:val="baseline"/>
                      <w:lang w:val="en-US" w:eastAsia="zh-CN"/>
                    </w:rPr>
                    <w:t>房间常数</w:t>
                  </w:r>
                </w:p>
              </w:tc>
            </w:tr>
            <w:tr w14:paraId="7B0DDD0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712" w:type="pct"/>
                  <w:vMerge w:val="restart"/>
                  <w:tcBorders>
                    <w:tl2br w:val="nil"/>
                    <w:tr2bl w:val="nil"/>
                  </w:tcBorders>
                  <w:noWrap w:val="0"/>
                  <w:vAlign w:val="center"/>
                </w:tcPr>
                <w:p w14:paraId="601E58F3">
                  <w:pPr>
                    <w:pStyle w:val="208"/>
                    <w:keepNext w:val="0"/>
                    <w:keepLines w:val="0"/>
                    <w:pageBreakBefore w:val="0"/>
                    <w:widowControl w:val="0"/>
                    <w:shd w:val="clear"/>
                    <w:kinsoku/>
                    <w:wordWrap/>
                    <w:overflowPunct/>
                    <w:topLinePunct w:val="0"/>
                    <w:autoSpaceDE/>
                    <w:autoSpaceDN/>
                    <w:bidi w:val="0"/>
                    <w:adjustRightInd/>
                    <w:snapToGrid/>
                    <w:spacing w:before="0" w:line="280" w:lineRule="exact"/>
                    <w:ind w:left="0" w:leftChars="0"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eastAsia" w:ascii="Times New Roman" w:hAnsi="Times New Roman" w:cs="Times New Roman"/>
                      <w:color w:val="auto"/>
                      <w:sz w:val="21"/>
                      <w:szCs w:val="21"/>
                      <w:highlight w:val="none"/>
                      <w:vertAlign w:val="baseline"/>
                      <w:lang w:val="en-US" w:eastAsia="zh-CN"/>
                    </w:rPr>
                    <w:t>生产车间</w:t>
                  </w:r>
                </w:p>
              </w:tc>
              <w:tc>
                <w:tcPr>
                  <w:tcW w:w="713" w:type="pct"/>
                  <w:tcBorders>
                    <w:tl2br w:val="nil"/>
                    <w:tr2bl w:val="nil"/>
                  </w:tcBorders>
                  <w:noWrap w:val="0"/>
                  <w:vAlign w:val="center"/>
                </w:tcPr>
                <w:p w14:paraId="79F974E9">
                  <w:pPr>
                    <w:pStyle w:val="208"/>
                    <w:keepNext w:val="0"/>
                    <w:keepLines w:val="0"/>
                    <w:pageBreakBefore w:val="0"/>
                    <w:widowControl w:val="0"/>
                    <w:shd w:val="clear"/>
                    <w:kinsoku/>
                    <w:wordWrap/>
                    <w:overflowPunct/>
                    <w:topLinePunct w:val="0"/>
                    <w:autoSpaceDE/>
                    <w:autoSpaceDN/>
                    <w:bidi w:val="0"/>
                    <w:adjustRightInd/>
                    <w:snapToGrid/>
                    <w:spacing w:before="0" w:line="280" w:lineRule="exact"/>
                    <w:ind w:left="0" w:leftChars="0" w:firstLine="0" w:firstLineChars="0"/>
                    <w:jc w:val="center"/>
                    <w:textAlignment w:val="auto"/>
                    <w:rPr>
                      <w:rFonts w:hint="eastAsia" w:ascii="Times New Roman" w:hAnsi="Times New Roman" w:eastAsia="宋体" w:cs="Times New Roman"/>
                      <w:color w:val="auto"/>
                      <w:sz w:val="21"/>
                      <w:szCs w:val="21"/>
                      <w:highlight w:val="none"/>
                      <w:vertAlign w:val="baseline"/>
                      <w:lang w:val="en-US" w:eastAsia="zh-CN"/>
                    </w:rPr>
                  </w:pPr>
                  <w:r>
                    <w:rPr>
                      <w:rFonts w:hint="eastAsia" w:ascii="Times New Roman" w:hAnsi="Times New Roman" w:cs="Times New Roman"/>
                      <w:color w:val="auto"/>
                      <w:sz w:val="21"/>
                      <w:szCs w:val="21"/>
                      <w:highlight w:val="none"/>
                      <w:vertAlign w:val="baseline"/>
                      <w:lang w:val="en-US" w:eastAsia="zh-CN"/>
                    </w:rPr>
                    <w:t>顶面</w:t>
                  </w:r>
                </w:p>
              </w:tc>
              <w:tc>
                <w:tcPr>
                  <w:tcW w:w="562" w:type="pct"/>
                  <w:tcBorders>
                    <w:tl2br w:val="nil"/>
                    <w:tr2bl w:val="nil"/>
                  </w:tcBorders>
                  <w:noWrap w:val="0"/>
                  <w:vAlign w:val="center"/>
                </w:tcPr>
                <w:p w14:paraId="3595297D">
                  <w:pPr>
                    <w:pStyle w:val="208"/>
                    <w:keepNext w:val="0"/>
                    <w:keepLines w:val="0"/>
                    <w:pageBreakBefore w:val="0"/>
                    <w:widowControl w:val="0"/>
                    <w:shd w:val="clear"/>
                    <w:kinsoku/>
                    <w:wordWrap/>
                    <w:overflowPunct/>
                    <w:topLinePunct w:val="0"/>
                    <w:autoSpaceDE/>
                    <w:autoSpaceDN/>
                    <w:bidi w:val="0"/>
                    <w:adjustRightInd/>
                    <w:snapToGrid/>
                    <w:spacing w:before="0" w:line="280" w:lineRule="exact"/>
                    <w:ind w:left="0" w:leftChars="0"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eastAsia" w:ascii="Times New Roman" w:hAnsi="Times New Roman" w:eastAsia="宋体" w:cs="Times New Roman"/>
                      <w:color w:val="auto"/>
                      <w:sz w:val="21"/>
                      <w:szCs w:val="21"/>
                      <w:highlight w:val="none"/>
                      <w:vertAlign w:val="baseline"/>
                      <w:lang w:val="en-US" w:eastAsia="zh-CN"/>
                    </w:rPr>
                    <w:t>0.01</w:t>
                  </w:r>
                </w:p>
              </w:tc>
              <w:tc>
                <w:tcPr>
                  <w:tcW w:w="866" w:type="pct"/>
                  <w:tcBorders>
                    <w:tl2br w:val="nil"/>
                    <w:tr2bl w:val="nil"/>
                  </w:tcBorders>
                  <w:noWrap w:val="0"/>
                  <w:vAlign w:val="center"/>
                </w:tcPr>
                <w:p w14:paraId="4AB86B49">
                  <w:pPr>
                    <w:pStyle w:val="208"/>
                    <w:keepNext w:val="0"/>
                    <w:keepLines w:val="0"/>
                    <w:pageBreakBefore w:val="0"/>
                    <w:widowControl w:val="0"/>
                    <w:shd w:val="clear"/>
                    <w:kinsoku/>
                    <w:wordWrap/>
                    <w:overflowPunct/>
                    <w:topLinePunct w:val="0"/>
                    <w:autoSpaceDE/>
                    <w:autoSpaceDN/>
                    <w:bidi w:val="0"/>
                    <w:adjustRightInd/>
                    <w:snapToGrid/>
                    <w:spacing w:before="0" w:line="280" w:lineRule="exact"/>
                    <w:ind w:left="0" w:leftChars="0" w:firstLine="0" w:firstLineChars="0"/>
                    <w:jc w:val="center"/>
                    <w:textAlignment w:val="auto"/>
                    <w:rPr>
                      <w:rFonts w:hint="default" w:ascii="Times New Roman" w:hAnsi="Times New Roman" w:cs="Times New Roman"/>
                      <w:color w:val="auto"/>
                      <w:sz w:val="21"/>
                      <w:szCs w:val="21"/>
                      <w:highlight w:val="none"/>
                      <w:vertAlign w:val="baseline"/>
                      <w:lang w:val="en-US"/>
                    </w:rPr>
                  </w:pPr>
                  <w:r>
                    <w:rPr>
                      <w:rFonts w:hint="eastAsia" w:ascii="Times New Roman" w:hAnsi="Times New Roman" w:cs="Times New Roman"/>
                      <w:color w:val="auto"/>
                      <w:sz w:val="21"/>
                      <w:szCs w:val="21"/>
                      <w:highlight w:val="none"/>
                      <w:vertAlign w:val="baseline"/>
                      <w:lang w:val="en-US" w:eastAsia="zh-CN"/>
                    </w:rPr>
                    <w:t>顶面</w:t>
                  </w:r>
                </w:p>
              </w:tc>
              <w:tc>
                <w:tcPr>
                  <w:tcW w:w="715" w:type="pct"/>
                  <w:tcBorders>
                    <w:tl2br w:val="nil"/>
                    <w:tr2bl w:val="nil"/>
                  </w:tcBorders>
                  <w:noWrap w:val="0"/>
                  <w:vAlign w:val="center"/>
                </w:tcPr>
                <w:p w14:paraId="4318896E">
                  <w:pPr>
                    <w:pStyle w:val="208"/>
                    <w:keepNext w:val="0"/>
                    <w:keepLines w:val="0"/>
                    <w:pageBreakBefore w:val="0"/>
                    <w:widowControl w:val="0"/>
                    <w:shd w:val="clear"/>
                    <w:kinsoku/>
                    <w:wordWrap/>
                    <w:overflowPunct/>
                    <w:topLinePunct w:val="0"/>
                    <w:autoSpaceDE/>
                    <w:autoSpaceDN/>
                    <w:bidi w:val="0"/>
                    <w:adjustRightInd/>
                    <w:snapToGrid/>
                    <w:spacing w:before="0" w:line="280" w:lineRule="exact"/>
                    <w:ind w:left="0" w:leftChars="0"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eastAsia" w:ascii="Times New Roman" w:cs="Times New Roman"/>
                      <w:color w:val="auto"/>
                      <w:sz w:val="21"/>
                      <w:szCs w:val="21"/>
                      <w:highlight w:val="none"/>
                      <w:vertAlign w:val="baseline"/>
                      <w:lang w:val="en-US" w:eastAsia="zh-CN"/>
                    </w:rPr>
                    <w:t>16112</w:t>
                  </w:r>
                </w:p>
              </w:tc>
              <w:tc>
                <w:tcPr>
                  <w:tcW w:w="714" w:type="pct"/>
                  <w:vMerge w:val="restart"/>
                  <w:tcBorders>
                    <w:tl2br w:val="nil"/>
                    <w:tr2bl w:val="nil"/>
                  </w:tcBorders>
                  <w:noWrap w:val="0"/>
                  <w:vAlign w:val="center"/>
                </w:tcPr>
                <w:p w14:paraId="5BDAFC63">
                  <w:pPr>
                    <w:pStyle w:val="208"/>
                    <w:keepNext w:val="0"/>
                    <w:keepLines w:val="0"/>
                    <w:pageBreakBefore w:val="0"/>
                    <w:widowControl w:val="0"/>
                    <w:shd w:val="clear"/>
                    <w:kinsoku/>
                    <w:wordWrap/>
                    <w:overflowPunct/>
                    <w:topLinePunct w:val="0"/>
                    <w:autoSpaceDE/>
                    <w:autoSpaceDN/>
                    <w:bidi w:val="0"/>
                    <w:adjustRightInd/>
                    <w:snapToGrid/>
                    <w:spacing w:before="0" w:line="280" w:lineRule="exact"/>
                    <w:ind w:left="0" w:leftChars="0"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eastAsia" w:ascii="Times New Roman" w:cs="Times New Roman"/>
                      <w:color w:val="auto"/>
                      <w:sz w:val="21"/>
                      <w:szCs w:val="21"/>
                      <w:highlight w:val="none"/>
                      <w:vertAlign w:val="baseline"/>
                      <w:lang w:val="en-US" w:eastAsia="zh-CN"/>
                    </w:rPr>
                    <w:t>0.03</w:t>
                  </w:r>
                </w:p>
              </w:tc>
              <w:tc>
                <w:tcPr>
                  <w:tcW w:w="714" w:type="pct"/>
                  <w:vMerge w:val="restart"/>
                  <w:tcBorders>
                    <w:tl2br w:val="nil"/>
                    <w:tr2bl w:val="nil"/>
                  </w:tcBorders>
                  <w:noWrap w:val="0"/>
                  <w:vAlign w:val="center"/>
                </w:tcPr>
                <w:p w14:paraId="73F4D15B">
                  <w:pPr>
                    <w:pStyle w:val="208"/>
                    <w:keepNext w:val="0"/>
                    <w:keepLines w:val="0"/>
                    <w:pageBreakBefore w:val="0"/>
                    <w:widowControl w:val="0"/>
                    <w:shd w:val="clear"/>
                    <w:kinsoku/>
                    <w:wordWrap/>
                    <w:overflowPunct/>
                    <w:topLinePunct w:val="0"/>
                    <w:autoSpaceDE/>
                    <w:autoSpaceDN/>
                    <w:bidi w:val="0"/>
                    <w:adjustRightInd/>
                    <w:snapToGrid/>
                    <w:spacing w:before="0" w:line="280" w:lineRule="exact"/>
                    <w:ind w:left="0" w:leftChars="0" w:firstLine="0" w:firstLineChars="0"/>
                    <w:jc w:val="center"/>
                    <w:textAlignment w:val="auto"/>
                    <w:rPr>
                      <w:rFonts w:hint="default" w:ascii="Times New Roman" w:hAnsi="Times New Roman" w:cs="Times New Roman"/>
                      <w:color w:val="auto"/>
                      <w:sz w:val="21"/>
                      <w:szCs w:val="21"/>
                      <w:highlight w:val="none"/>
                      <w:vertAlign w:val="baseline"/>
                      <w:lang w:val="en-US" w:eastAsia="zh-CN"/>
                    </w:rPr>
                  </w:pPr>
                  <w:r>
                    <w:rPr>
                      <w:rFonts w:hint="eastAsia" w:ascii="Times New Roman" w:cs="Times New Roman"/>
                      <w:color w:val="auto"/>
                      <w:sz w:val="21"/>
                      <w:szCs w:val="21"/>
                      <w:highlight w:val="none"/>
                      <w:vertAlign w:val="baseline"/>
                      <w:lang w:val="en-US" w:eastAsia="zh-CN"/>
                    </w:rPr>
                    <w:t>1336.23</w:t>
                  </w:r>
                </w:p>
              </w:tc>
            </w:tr>
            <w:tr w14:paraId="5245908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712" w:type="pct"/>
                  <w:vMerge w:val="continue"/>
                  <w:tcBorders>
                    <w:tl2br w:val="nil"/>
                    <w:tr2bl w:val="nil"/>
                  </w:tcBorders>
                  <w:noWrap w:val="0"/>
                  <w:vAlign w:val="center"/>
                </w:tcPr>
                <w:p w14:paraId="60738836">
                  <w:pPr>
                    <w:pStyle w:val="208"/>
                    <w:keepNext w:val="0"/>
                    <w:keepLines w:val="0"/>
                    <w:pageBreakBefore w:val="0"/>
                    <w:widowControl w:val="0"/>
                    <w:shd w:val="clear"/>
                    <w:kinsoku/>
                    <w:wordWrap/>
                    <w:overflowPunct/>
                    <w:topLinePunct w:val="0"/>
                    <w:autoSpaceDE/>
                    <w:autoSpaceDN/>
                    <w:bidi w:val="0"/>
                    <w:adjustRightInd/>
                    <w:snapToGrid/>
                    <w:spacing w:before="0" w:line="280" w:lineRule="exact"/>
                    <w:ind w:left="0" w:leftChars="0" w:firstLine="0" w:firstLineChars="0"/>
                    <w:jc w:val="center"/>
                    <w:textAlignment w:val="auto"/>
                    <w:rPr>
                      <w:rFonts w:hint="default" w:ascii="Times New Roman" w:hAnsi="Times New Roman" w:cs="Times New Roman"/>
                      <w:color w:val="auto"/>
                      <w:sz w:val="21"/>
                      <w:szCs w:val="21"/>
                      <w:highlight w:val="none"/>
                      <w:vertAlign w:val="baseline"/>
                      <w:lang w:val="en-US"/>
                    </w:rPr>
                  </w:pPr>
                </w:p>
              </w:tc>
              <w:tc>
                <w:tcPr>
                  <w:tcW w:w="713" w:type="pct"/>
                  <w:tcBorders>
                    <w:tl2br w:val="nil"/>
                    <w:tr2bl w:val="nil"/>
                  </w:tcBorders>
                  <w:noWrap w:val="0"/>
                  <w:vAlign w:val="center"/>
                </w:tcPr>
                <w:p w14:paraId="33C1E208">
                  <w:pPr>
                    <w:pStyle w:val="208"/>
                    <w:keepNext w:val="0"/>
                    <w:keepLines w:val="0"/>
                    <w:pageBreakBefore w:val="0"/>
                    <w:widowControl w:val="0"/>
                    <w:shd w:val="clear"/>
                    <w:kinsoku/>
                    <w:wordWrap/>
                    <w:overflowPunct/>
                    <w:topLinePunct w:val="0"/>
                    <w:autoSpaceDE/>
                    <w:autoSpaceDN/>
                    <w:bidi w:val="0"/>
                    <w:adjustRightInd/>
                    <w:snapToGrid/>
                    <w:spacing w:before="0" w:line="280" w:lineRule="exact"/>
                    <w:ind w:left="0" w:leftChars="0" w:firstLine="0" w:firstLineChars="0"/>
                    <w:jc w:val="center"/>
                    <w:textAlignment w:val="auto"/>
                    <w:rPr>
                      <w:rFonts w:hint="eastAsia" w:ascii="Times New Roman" w:hAnsi="Times New Roman" w:eastAsia="宋体" w:cs="Times New Roman"/>
                      <w:color w:val="auto"/>
                      <w:sz w:val="21"/>
                      <w:szCs w:val="21"/>
                      <w:highlight w:val="none"/>
                      <w:vertAlign w:val="baseline"/>
                      <w:lang w:val="en-US" w:eastAsia="zh-CN"/>
                    </w:rPr>
                  </w:pPr>
                  <w:r>
                    <w:rPr>
                      <w:rFonts w:hint="eastAsia" w:ascii="Times New Roman" w:hAnsi="Times New Roman" w:cs="Times New Roman"/>
                      <w:color w:val="auto"/>
                      <w:sz w:val="21"/>
                      <w:szCs w:val="21"/>
                      <w:highlight w:val="none"/>
                      <w:vertAlign w:val="baseline"/>
                      <w:lang w:val="en-US" w:eastAsia="zh-CN"/>
                    </w:rPr>
                    <w:t>墙面</w:t>
                  </w:r>
                </w:p>
              </w:tc>
              <w:tc>
                <w:tcPr>
                  <w:tcW w:w="562" w:type="pct"/>
                  <w:tcBorders>
                    <w:tl2br w:val="nil"/>
                    <w:tr2bl w:val="nil"/>
                  </w:tcBorders>
                  <w:noWrap w:val="0"/>
                  <w:vAlign w:val="center"/>
                </w:tcPr>
                <w:p w14:paraId="7A9EF8C6">
                  <w:pPr>
                    <w:pStyle w:val="208"/>
                    <w:keepNext w:val="0"/>
                    <w:keepLines w:val="0"/>
                    <w:pageBreakBefore w:val="0"/>
                    <w:widowControl w:val="0"/>
                    <w:shd w:val="clear"/>
                    <w:kinsoku/>
                    <w:wordWrap/>
                    <w:overflowPunct/>
                    <w:topLinePunct w:val="0"/>
                    <w:autoSpaceDE/>
                    <w:autoSpaceDN/>
                    <w:bidi w:val="0"/>
                    <w:adjustRightInd/>
                    <w:snapToGrid/>
                    <w:spacing w:before="0" w:line="280" w:lineRule="exact"/>
                    <w:ind w:left="0" w:leftChars="0"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eastAsia" w:ascii="Times New Roman" w:hAnsi="Times New Roman" w:eastAsia="宋体" w:cs="Times New Roman"/>
                      <w:color w:val="auto"/>
                      <w:sz w:val="21"/>
                      <w:szCs w:val="21"/>
                      <w:highlight w:val="none"/>
                      <w:vertAlign w:val="baseline"/>
                      <w:lang w:val="en-US" w:eastAsia="zh-CN"/>
                    </w:rPr>
                    <w:t>0.01</w:t>
                  </w:r>
                </w:p>
              </w:tc>
              <w:tc>
                <w:tcPr>
                  <w:tcW w:w="866" w:type="pct"/>
                  <w:tcBorders>
                    <w:tl2br w:val="nil"/>
                    <w:tr2bl w:val="nil"/>
                  </w:tcBorders>
                  <w:noWrap w:val="0"/>
                  <w:vAlign w:val="center"/>
                </w:tcPr>
                <w:p w14:paraId="5E585BBA">
                  <w:pPr>
                    <w:pStyle w:val="208"/>
                    <w:keepNext w:val="0"/>
                    <w:keepLines w:val="0"/>
                    <w:pageBreakBefore w:val="0"/>
                    <w:widowControl w:val="0"/>
                    <w:shd w:val="clear"/>
                    <w:kinsoku/>
                    <w:wordWrap/>
                    <w:overflowPunct/>
                    <w:topLinePunct w:val="0"/>
                    <w:autoSpaceDE/>
                    <w:autoSpaceDN/>
                    <w:bidi w:val="0"/>
                    <w:adjustRightInd/>
                    <w:snapToGrid/>
                    <w:spacing w:before="0" w:line="280" w:lineRule="exact"/>
                    <w:ind w:left="0" w:leftChars="0" w:firstLine="0" w:firstLineChars="0"/>
                    <w:jc w:val="center"/>
                    <w:textAlignment w:val="auto"/>
                    <w:rPr>
                      <w:rFonts w:hint="default" w:ascii="Times New Roman" w:hAnsi="Times New Roman" w:cs="Times New Roman"/>
                      <w:color w:val="auto"/>
                      <w:sz w:val="21"/>
                      <w:szCs w:val="21"/>
                      <w:highlight w:val="none"/>
                      <w:vertAlign w:val="baseline"/>
                      <w:lang w:val="en-US"/>
                    </w:rPr>
                  </w:pPr>
                  <w:r>
                    <w:rPr>
                      <w:rFonts w:hint="eastAsia" w:ascii="Times New Roman" w:hAnsi="Times New Roman" w:cs="Times New Roman"/>
                      <w:color w:val="auto"/>
                      <w:sz w:val="21"/>
                      <w:szCs w:val="21"/>
                      <w:highlight w:val="none"/>
                      <w:vertAlign w:val="baseline"/>
                      <w:lang w:val="en-US" w:eastAsia="zh-CN"/>
                    </w:rPr>
                    <w:t>厂房钢材结构（四周）</w:t>
                  </w:r>
                </w:p>
              </w:tc>
              <w:tc>
                <w:tcPr>
                  <w:tcW w:w="715" w:type="pct"/>
                  <w:tcBorders>
                    <w:tl2br w:val="nil"/>
                    <w:tr2bl w:val="nil"/>
                  </w:tcBorders>
                  <w:noWrap w:val="0"/>
                  <w:vAlign w:val="center"/>
                </w:tcPr>
                <w:p w14:paraId="76E5FE65">
                  <w:pPr>
                    <w:pStyle w:val="208"/>
                    <w:keepNext w:val="0"/>
                    <w:keepLines w:val="0"/>
                    <w:pageBreakBefore w:val="0"/>
                    <w:widowControl w:val="0"/>
                    <w:shd w:val="clear"/>
                    <w:kinsoku/>
                    <w:wordWrap/>
                    <w:overflowPunct/>
                    <w:topLinePunct w:val="0"/>
                    <w:autoSpaceDE/>
                    <w:autoSpaceDN/>
                    <w:bidi w:val="0"/>
                    <w:adjustRightInd/>
                    <w:snapToGrid/>
                    <w:spacing w:before="0" w:line="280" w:lineRule="exact"/>
                    <w:ind w:left="0" w:leftChars="0"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eastAsia" w:ascii="Times New Roman" w:cs="Times New Roman"/>
                      <w:color w:val="auto"/>
                      <w:sz w:val="21"/>
                      <w:szCs w:val="21"/>
                      <w:highlight w:val="none"/>
                      <w:vertAlign w:val="baseline"/>
                      <w:lang w:val="en-US" w:eastAsia="zh-CN"/>
                    </w:rPr>
                    <w:t>10980.62</w:t>
                  </w:r>
                </w:p>
              </w:tc>
              <w:tc>
                <w:tcPr>
                  <w:tcW w:w="714" w:type="pct"/>
                  <w:vMerge w:val="continue"/>
                  <w:tcBorders>
                    <w:tl2br w:val="nil"/>
                    <w:tr2bl w:val="nil"/>
                  </w:tcBorders>
                  <w:noWrap w:val="0"/>
                  <w:vAlign w:val="center"/>
                </w:tcPr>
                <w:p w14:paraId="4162BC9B">
                  <w:pPr>
                    <w:pStyle w:val="208"/>
                    <w:keepNext w:val="0"/>
                    <w:keepLines w:val="0"/>
                    <w:pageBreakBefore w:val="0"/>
                    <w:widowControl w:val="0"/>
                    <w:shd w:val="clear"/>
                    <w:kinsoku/>
                    <w:wordWrap/>
                    <w:overflowPunct/>
                    <w:topLinePunct w:val="0"/>
                    <w:autoSpaceDE/>
                    <w:autoSpaceDN/>
                    <w:bidi w:val="0"/>
                    <w:adjustRightInd/>
                    <w:snapToGrid/>
                    <w:spacing w:before="0" w:line="280" w:lineRule="exact"/>
                    <w:ind w:left="0" w:leftChars="0" w:firstLine="0" w:firstLineChars="0"/>
                    <w:jc w:val="center"/>
                    <w:textAlignment w:val="auto"/>
                    <w:rPr>
                      <w:rFonts w:hint="default" w:ascii="Times New Roman" w:hAnsi="Times New Roman" w:cs="Times New Roman"/>
                      <w:color w:val="auto"/>
                      <w:sz w:val="21"/>
                      <w:szCs w:val="21"/>
                      <w:highlight w:val="none"/>
                      <w:vertAlign w:val="baseline"/>
                      <w:lang w:val="en-US"/>
                    </w:rPr>
                  </w:pPr>
                </w:p>
              </w:tc>
              <w:tc>
                <w:tcPr>
                  <w:tcW w:w="714" w:type="pct"/>
                  <w:vMerge w:val="continue"/>
                  <w:tcBorders>
                    <w:tl2br w:val="nil"/>
                    <w:tr2bl w:val="nil"/>
                  </w:tcBorders>
                  <w:noWrap w:val="0"/>
                  <w:vAlign w:val="center"/>
                </w:tcPr>
                <w:p w14:paraId="34DB247A">
                  <w:pPr>
                    <w:pStyle w:val="208"/>
                    <w:keepNext w:val="0"/>
                    <w:keepLines w:val="0"/>
                    <w:pageBreakBefore w:val="0"/>
                    <w:widowControl w:val="0"/>
                    <w:shd w:val="clear"/>
                    <w:kinsoku/>
                    <w:wordWrap/>
                    <w:overflowPunct/>
                    <w:topLinePunct w:val="0"/>
                    <w:autoSpaceDE/>
                    <w:autoSpaceDN/>
                    <w:bidi w:val="0"/>
                    <w:adjustRightInd/>
                    <w:snapToGrid/>
                    <w:spacing w:before="0" w:line="280" w:lineRule="exact"/>
                    <w:ind w:left="0" w:leftChars="0" w:firstLine="0" w:firstLineChars="0"/>
                    <w:jc w:val="center"/>
                    <w:textAlignment w:val="auto"/>
                    <w:rPr>
                      <w:rFonts w:hint="default" w:ascii="Times New Roman" w:hAnsi="Times New Roman" w:cs="Times New Roman"/>
                      <w:color w:val="auto"/>
                      <w:sz w:val="21"/>
                      <w:szCs w:val="21"/>
                      <w:highlight w:val="none"/>
                      <w:vertAlign w:val="baseline"/>
                      <w:lang w:val="en-US"/>
                    </w:rPr>
                  </w:pPr>
                </w:p>
              </w:tc>
            </w:tr>
            <w:tr w14:paraId="21AF74D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712" w:type="pct"/>
                  <w:vMerge w:val="continue"/>
                  <w:tcBorders>
                    <w:tl2br w:val="nil"/>
                    <w:tr2bl w:val="nil"/>
                  </w:tcBorders>
                  <w:noWrap w:val="0"/>
                  <w:vAlign w:val="center"/>
                </w:tcPr>
                <w:p w14:paraId="6C1634F0">
                  <w:pPr>
                    <w:pStyle w:val="208"/>
                    <w:keepNext w:val="0"/>
                    <w:keepLines w:val="0"/>
                    <w:pageBreakBefore w:val="0"/>
                    <w:widowControl w:val="0"/>
                    <w:shd w:val="clear"/>
                    <w:kinsoku/>
                    <w:wordWrap/>
                    <w:overflowPunct/>
                    <w:topLinePunct w:val="0"/>
                    <w:autoSpaceDE/>
                    <w:autoSpaceDN/>
                    <w:bidi w:val="0"/>
                    <w:adjustRightInd/>
                    <w:snapToGrid/>
                    <w:spacing w:before="0" w:line="280" w:lineRule="exact"/>
                    <w:ind w:left="0" w:leftChars="0" w:firstLine="0" w:firstLineChars="0"/>
                    <w:jc w:val="center"/>
                    <w:textAlignment w:val="auto"/>
                    <w:rPr>
                      <w:rFonts w:hint="default" w:ascii="Times New Roman" w:hAnsi="Times New Roman" w:cs="Times New Roman"/>
                      <w:color w:val="auto"/>
                      <w:sz w:val="21"/>
                      <w:szCs w:val="21"/>
                      <w:highlight w:val="none"/>
                      <w:vertAlign w:val="baseline"/>
                      <w:lang w:val="en-US"/>
                    </w:rPr>
                  </w:pPr>
                </w:p>
              </w:tc>
              <w:tc>
                <w:tcPr>
                  <w:tcW w:w="713" w:type="pct"/>
                  <w:tcBorders>
                    <w:tl2br w:val="nil"/>
                    <w:tr2bl w:val="nil"/>
                  </w:tcBorders>
                  <w:noWrap w:val="0"/>
                  <w:vAlign w:val="center"/>
                </w:tcPr>
                <w:p w14:paraId="54539857">
                  <w:pPr>
                    <w:pStyle w:val="208"/>
                    <w:keepNext w:val="0"/>
                    <w:keepLines w:val="0"/>
                    <w:pageBreakBefore w:val="0"/>
                    <w:widowControl w:val="0"/>
                    <w:shd w:val="clear"/>
                    <w:kinsoku/>
                    <w:wordWrap/>
                    <w:overflowPunct/>
                    <w:topLinePunct w:val="0"/>
                    <w:autoSpaceDE/>
                    <w:autoSpaceDN/>
                    <w:bidi w:val="0"/>
                    <w:adjustRightInd/>
                    <w:snapToGrid/>
                    <w:spacing w:before="0" w:line="280" w:lineRule="exact"/>
                    <w:ind w:left="0" w:leftChars="0" w:firstLine="0" w:firstLineChars="0"/>
                    <w:jc w:val="center"/>
                    <w:textAlignment w:val="auto"/>
                    <w:rPr>
                      <w:rFonts w:hint="eastAsia" w:ascii="Times New Roman" w:hAnsi="Times New Roman" w:eastAsia="宋体" w:cs="Times New Roman"/>
                      <w:color w:val="auto"/>
                      <w:sz w:val="21"/>
                      <w:szCs w:val="21"/>
                      <w:highlight w:val="none"/>
                      <w:vertAlign w:val="baseline"/>
                      <w:lang w:val="en-US" w:eastAsia="zh-CN"/>
                    </w:rPr>
                  </w:pPr>
                  <w:r>
                    <w:rPr>
                      <w:rFonts w:hint="eastAsia" w:ascii="Times New Roman" w:hAnsi="Times New Roman" w:cs="Times New Roman"/>
                      <w:color w:val="auto"/>
                      <w:sz w:val="21"/>
                      <w:szCs w:val="21"/>
                      <w:highlight w:val="none"/>
                      <w:vertAlign w:val="baseline"/>
                      <w:lang w:val="en-US" w:eastAsia="zh-CN"/>
                    </w:rPr>
                    <w:t>地面</w:t>
                  </w:r>
                </w:p>
              </w:tc>
              <w:tc>
                <w:tcPr>
                  <w:tcW w:w="562" w:type="pct"/>
                  <w:tcBorders>
                    <w:tl2br w:val="nil"/>
                    <w:tr2bl w:val="nil"/>
                  </w:tcBorders>
                  <w:noWrap w:val="0"/>
                  <w:vAlign w:val="center"/>
                </w:tcPr>
                <w:p w14:paraId="6CEDA8F8">
                  <w:pPr>
                    <w:pStyle w:val="208"/>
                    <w:keepNext w:val="0"/>
                    <w:keepLines w:val="0"/>
                    <w:pageBreakBefore w:val="0"/>
                    <w:widowControl w:val="0"/>
                    <w:shd w:val="clear"/>
                    <w:kinsoku/>
                    <w:wordWrap/>
                    <w:overflowPunct/>
                    <w:topLinePunct w:val="0"/>
                    <w:autoSpaceDE/>
                    <w:autoSpaceDN/>
                    <w:bidi w:val="0"/>
                    <w:adjustRightInd/>
                    <w:snapToGrid/>
                    <w:spacing w:before="0" w:line="280" w:lineRule="exact"/>
                    <w:ind w:left="0" w:leftChars="0"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eastAsia" w:ascii="Times New Roman" w:hAnsi="Times New Roman" w:eastAsia="宋体" w:cs="Times New Roman"/>
                      <w:color w:val="auto"/>
                      <w:sz w:val="21"/>
                      <w:szCs w:val="21"/>
                      <w:highlight w:val="none"/>
                      <w:vertAlign w:val="baseline"/>
                      <w:lang w:val="en-US" w:eastAsia="zh-CN"/>
                    </w:rPr>
                    <w:t>0.07</w:t>
                  </w:r>
                </w:p>
              </w:tc>
              <w:tc>
                <w:tcPr>
                  <w:tcW w:w="866" w:type="pct"/>
                  <w:tcBorders>
                    <w:tl2br w:val="nil"/>
                    <w:tr2bl w:val="nil"/>
                  </w:tcBorders>
                  <w:noWrap w:val="0"/>
                  <w:vAlign w:val="center"/>
                </w:tcPr>
                <w:p w14:paraId="0D2167A0">
                  <w:pPr>
                    <w:pStyle w:val="208"/>
                    <w:keepNext w:val="0"/>
                    <w:keepLines w:val="0"/>
                    <w:pageBreakBefore w:val="0"/>
                    <w:widowControl w:val="0"/>
                    <w:shd w:val="clear"/>
                    <w:kinsoku/>
                    <w:wordWrap/>
                    <w:overflowPunct/>
                    <w:topLinePunct w:val="0"/>
                    <w:autoSpaceDE/>
                    <w:autoSpaceDN/>
                    <w:bidi w:val="0"/>
                    <w:adjustRightInd/>
                    <w:snapToGrid/>
                    <w:spacing w:before="0" w:line="280" w:lineRule="exact"/>
                    <w:ind w:left="0" w:leftChars="0" w:firstLine="0" w:firstLineChars="0"/>
                    <w:jc w:val="center"/>
                    <w:textAlignment w:val="auto"/>
                    <w:rPr>
                      <w:rFonts w:hint="default" w:ascii="Times New Roman" w:hAnsi="Times New Roman" w:cs="Times New Roman"/>
                      <w:color w:val="auto"/>
                      <w:sz w:val="21"/>
                      <w:szCs w:val="21"/>
                      <w:highlight w:val="none"/>
                      <w:vertAlign w:val="baseline"/>
                      <w:lang w:val="en-US"/>
                    </w:rPr>
                  </w:pPr>
                  <w:r>
                    <w:rPr>
                      <w:rFonts w:hint="eastAsia" w:ascii="Times New Roman" w:hAnsi="Times New Roman" w:cs="Times New Roman"/>
                      <w:color w:val="auto"/>
                      <w:sz w:val="21"/>
                      <w:szCs w:val="21"/>
                      <w:highlight w:val="none"/>
                      <w:vertAlign w:val="baseline"/>
                      <w:lang w:val="en-US" w:eastAsia="zh-CN"/>
                    </w:rPr>
                    <w:t>地面</w:t>
                  </w:r>
                </w:p>
              </w:tc>
              <w:tc>
                <w:tcPr>
                  <w:tcW w:w="715" w:type="pct"/>
                  <w:tcBorders>
                    <w:tl2br w:val="nil"/>
                    <w:tr2bl w:val="nil"/>
                  </w:tcBorders>
                  <w:noWrap w:val="0"/>
                  <w:vAlign w:val="center"/>
                </w:tcPr>
                <w:p w14:paraId="49F45A1C">
                  <w:pPr>
                    <w:pStyle w:val="208"/>
                    <w:keepNext w:val="0"/>
                    <w:keepLines w:val="0"/>
                    <w:pageBreakBefore w:val="0"/>
                    <w:widowControl w:val="0"/>
                    <w:shd w:val="clear"/>
                    <w:kinsoku/>
                    <w:wordWrap/>
                    <w:overflowPunct/>
                    <w:topLinePunct w:val="0"/>
                    <w:autoSpaceDE/>
                    <w:autoSpaceDN/>
                    <w:bidi w:val="0"/>
                    <w:adjustRightInd/>
                    <w:snapToGrid/>
                    <w:spacing w:before="0" w:line="280" w:lineRule="exact"/>
                    <w:ind w:left="0" w:leftChars="0" w:firstLine="0" w:firstLineChars="0"/>
                    <w:jc w:val="center"/>
                    <w:textAlignment w:val="auto"/>
                    <w:rPr>
                      <w:rFonts w:hint="default" w:ascii="Times New Roman" w:hAnsi="Times New Roman" w:cs="Times New Roman"/>
                      <w:color w:val="auto"/>
                      <w:sz w:val="21"/>
                      <w:szCs w:val="21"/>
                      <w:highlight w:val="none"/>
                      <w:vertAlign w:val="baseline"/>
                      <w:lang w:val="en-US"/>
                    </w:rPr>
                  </w:pPr>
                  <w:r>
                    <w:rPr>
                      <w:rFonts w:hint="eastAsia" w:ascii="Times New Roman" w:cs="Times New Roman"/>
                      <w:color w:val="auto"/>
                      <w:sz w:val="21"/>
                      <w:szCs w:val="21"/>
                      <w:highlight w:val="none"/>
                      <w:vertAlign w:val="baseline"/>
                      <w:lang w:val="en-US" w:eastAsia="zh-CN"/>
                    </w:rPr>
                    <w:t>16112</w:t>
                  </w:r>
                </w:p>
              </w:tc>
              <w:tc>
                <w:tcPr>
                  <w:tcW w:w="714" w:type="pct"/>
                  <w:vMerge w:val="continue"/>
                  <w:tcBorders>
                    <w:tl2br w:val="nil"/>
                    <w:tr2bl w:val="nil"/>
                  </w:tcBorders>
                  <w:noWrap w:val="0"/>
                  <w:vAlign w:val="center"/>
                </w:tcPr>
                <w:p w14:paraId="6E8131D1">
                  <w:pPr>
                    <w:pStyle w:val="208"/>
                    <w:keepNext w:val="0"/>
                    <w:keepLines w:val="0"/>
                    <w:pageBreakBefore w:val="0"/>
                    <w:widowControl w:val="0"/>
                    <w:shd w:val="clear"/>
                    <w:kinsoku/>
                    <w:wordWrap/>
                    <w:overflowPunct/>
                    <w:topLinePunct w:val="0"/>
                    <w:autoSpaceDE/>
                    <w:autoSpaceDN/>
                    <w:bidi w:val="0"/>
                    <w:adjustRightInd/>
                    <w:snapToGrid/>
                    <w:spacing w:before="0" w:line="280" w:lineRule="exact"/>
                    <w:ind w:left="0" w:leftChars="0" w:firstLine="0" w:firstLineChars="0"/>
                    <w:jc w:val="center"/>
                    <w:textAlignment w:val="auto"/>
                    <w:rPr>
                      <w:rFonts w:hint="default" w:ascii="Times New Roman" w:hAnsi="Times New Roman" w:cs="Times New Roman"/>
                      <w:color w:val="auto"/>
                      <w:sz w:val="21"/>
                      <w:szCs w:val="21"/>
                      <w:highlight w:val="none"/>
                      <w:vertAlign w:val="baseline"/>
                      <w:lang w:val="en-US"/>
                    </w:rPr>
                  </w:pPr>
                </w:p>
              </w:tc>
              <w:tc>
                <w:tcPr>
                  <w:tcW w:w="714" w:type="pct"/>
                  <w:vMerge w:val="continue"/>
                  <w:tcBorders>
                    <w:tl2br w:val="nil"/>
                    <w:tr2bl w:val="nil"/>
                  </w:tcBorders>
                  <w:noWrap w:val="0"/>
                  <w:vAlign w:val="center"/>
                </w:tcPr>
                <w:p w14:paraId="1BF51843">
                  <w:pPr>
                    <w:pStyle w:val="208"/>
                    <w:keepNext w:val="0"/>
                    <w:keepLines w:val="0"/>
                    <w:pageBreakBefore w:val="0"/>
                    <w:widowControl w:val="0"/>
                    <w:shd w:val="clear"/>
                    <w:kinsoku/>
                    <w:wordWrap/>
                    <w:overflowPunct/>
                    <w:topLinePunct w:val="0"/>
                    <w:autoSpaceDE/>
                    <w:autoSpaceDN/>
                    <w:bidi w:val="0"/>
                    <w:adjustRightInd/>
                    <w:snapToGrid/>
                    <w:spacing w:before="0" w:line="280" w:lineRule="exact"/>
                    <w:ind w:left="0" w:leftChars="0" w:firstLine="0" w:firstLineChars="0"/>
                    <w:jc w:val="center"/>
                    <w:textAlignment w:val="auto"/>
                    <w:rPr>
                      <w:rFonts w:hint="default" w:ascii="Times New Roman" w:hAnsi="Times New Roman" w:cs="Times New Roman"/>
                      <w:color w:val="auto"/>
                      <w:sz w:val="21"/>
                      <w:szCs w:val="21"/>
                      <w:highlight w:val="none"/>
                      <w:vertAlign w:val="baseline"/>
                      <w:lang w:val="en-US"/>
                    </w:rPr>
                  </w:pPr>
                </w:p>
              </w:tc>
            </w:tr>
          </w:tbl>
          <w:p w14:paraId="3DC00CD9">
            <w:pPr>
              <w:keepNext w:val="0"/>
              <w:keepLines w:val="0"/>
              <w:pageBreakBefore w:val="0"/>
              <w:widowControl w:val="0"/>
              <w:shd w:val="clear"/>
              <w:kinsoku/>
              <w:wordWrap/>
              <w:overflowPunct/>
              <w:topLinePunct w:val="0"/>
              <w:autoSpaceDE w:val="0"/>
              <w:autoSpaceDN w:val="0"/>
              <w:bidi w:val="0"/>
              <w:adjustRightInd w:val="0"/>
              <w:snapToGrid/>
              <w:spacing w:before="313" w:beforeLines="100" w:line="360" w:lineRule="auto"/>
              <w:ind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由上表可知，本项目房间常数</w:t>
            </w:r>
            <w:r>
              <w:rPr>
                <w:rFonts w:hint="eastAsia" w:cs="Times New Roman"/>
                <w:color w:val="auto"/>
                <w:sz w:val="24"/>
                <w:szCs w:val="24"/>
                <w:highlight w:val="none"/>
                <w:lang w:val="en-US" w:eastAsia="zh-CN"/>
              </w:rPr>
              <w:t>约</w:t>
            </w:r>
            <w:r>
              <w:rPr>
                <w:rFonts w:hint="eastAsia" w:ascii="Times New Roman" w:hAnsi="Times New Roman" w:eastAsia="宋体" w:cs="Times New Roman"/>
                <w:color w:val="auto"/>
                <w:sz w:val="24"/>
                <w:szCs w:val="24"/>
                <w:highlight w:val="none"/>
                <w:lang w:val="en-US" w:eastAsia="zh-CN"/>
              </w:rPr>
              <w:t>为</w:t>
            </w:r>
            <w:r>
              <w:rPr>
                <w:rFonts w:hint="eastAsia" w:cs="Times New Roman"/>
                <w:color w:val="auto"/>
                <w:sz w:val="24"/>
                <w:szCs w:val="24"/>
                <w:highlight w:val="none"/>
                <w:lang w:val="en-US" w:eastAsia="zh-CN"/>
              </w:rPr>
              <w:t>1336.23</w:t>
            </w:r>
            <w:r>
              <w:rPr>
                <w:rFonts w:hint="eastAsia" w:ascii="Times New Roman" w:hAnsi="Times New Roman" w:eastAsia="宋体" w:cs="Times New Roman"/>
                <w:color w:val="auto"/>
                <w:sz w:val="24"/>
                <w:szCs w:val="24"/>
                <w:highlight w:val="none"/>
                <w:lang w:val="en-US" w:eastAsia="zh-CN"/>
              </w:rPr>
              <w:t>。</w:t>
            </w:r>
          </w:p>
          <w:p w14:paraId="168F39A5">
            <w:pPr>
              <w:shd w:val="clear"/>
              <w:autoSpaceDE w:val="0"/>
              <w:autoSpaceDN w:val="0"/>
              <w:adjustRightInd w:val="0"/>
              <w:spacing w:line="360" w:lineRule="auto"/>
              <w:ind w:firstLine="960" w:firstLineChars="400"/>
              <w:rPr>
                <w:rFonts w:hint="default"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L</w:t>
            </w:r>
            <w:r>
              <w:rPr>
                <w:rFonts w:hint="eastAsia" w:ascii="Times New Roman" w:hAnsi="Times New Roman" w:eastAsia="宋体" w:cs="Times New Roman"/>
                <w:color w:val="auto"/>
                <w:sz w:val="24"/>
                <w:szCs w:val="24"/>
                <w:highlight w:val="none"/>
                <w:vertAlign w:val="subscript"/>
                <w:lang w:val="en-US" w:eastAsia="zh-CN"/>
              </w:rPr>
              <w:t>W</w:t>
            </w:r>
            <w:r>
              <w:rPr>
                <w:rFonts w:hint="eastAsia" w:ascii="Times New Roman" w:hAnsi="Times New Roman" w:eastAsia="宋体" w:cs="Times New Roman"/>
                <w:color w:val="auto"/>
                <w:sz w:val="24"/>
                <w:szCs w:val="24"/>
                <w:highlight w:val="none"/>
                <w:lang w:val="en-US" w:eastAsia="zh-CN"/>
              </w:rPr>
              <w:t>—点声源声功率级（A计权或倍频带），dB；</w:t>
            </w:r>
          </w:p>
          <w:p w14:paraId="1A3D7406">
            <w:pPr>
              <w:autoSpaceDE w:val="0"/>
              <w:autoSpaceDN w:val="0"/>
              <w:adjustRightInd w:val="0"/>
              <w:spacing w:line="360" w:lineRule="auto"/>
              <w:ind w:firstLine="480" w:firstLineChars="200"/>
              <w:rPr>
                <w:rFonts w:hint="default"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声源处于半自由声场，按如下公式计算：</w:t>
            </w:r>
          </w:p>
          <w:p w14:paraId="6D839E41">
            <w:pPr>
              <w:keepNext w:val="0"/>
              <w:keepLines w:val="0"/>
              <w:pageBreakBefore w:val="0"/>
              <w:widowControl w:val="0"/>
              <w:kinsoku/>
              <w:wordWrap/>
              <w:overflowPunct/>
              <w:topLinePunct w:val="0"/>
              <w:autoSpaceDE/>
              <w:autoSpaceDN/>
              <w:bidi w:val="0"/>
              <w:adjustRightInd w:val="0"/>
              <w:snapToGrid w:val="0"/>
              <w:spacing w:before="63" w:beforeLines="20" w:after="63" w:afterLines="20" w:line="360" w:lineRule="auto"/>
              <w:ind w:right="0"/>
              <w:jc w:val="center"/>
              <w:textAlignment w:val="auto"/>
              <w:rPr>
                <w:rFonts w:hint="default" w:ascii="Times New Roman" w:hAnsi="Times New Roman" w:eastAsia="宋体" w:cs="Times New Roman"/>
                <w:color w:val="auto"/>
                <w:sz w:val="22"/>
                <w:szCs w:val="22"/>
                <w:highlight w:val="none"/>
              </w:rPr>
            </w:pPr>
            <w:r>
              <w:rPr>
                <w:rFonts w:ascii="Times New Roman" w:hAnsi="Times New Roman"/>
                <w:i/>
                <w:color w:val="auto"/>
                <w:position w:val="2"/>
                <w:sz w:val="28"/>
                <w:szCs w:val="28"/>
                <w:highlight w:val="none"/>
              </w:rPr>
              <w:t>L</w:t>
            </w:r>
            <w:r>
              <w:rPr>
                <w:rFonts w:hint="eastAsia" w:ascii="Times New Roman" w:hAnsi="Times New Roman"/>
                <w:i w:val="0"/>
                <w:iCs/>
                <w:color w:val="auto"/>
                <w:position w:val="-4"/>
                <w:sz w:val="28"/>
                <w:szCs w:val="28"/>
                <w:highlight w:val="none"/>
                <w:vertAlign w:val="subscript"/>
                <w:lang w:val="en-US" w:eastAsia="zh-CN"/>
              </w:rPr>
              <w:t>A</w:t>
            </w:r>
            <w:r>
              <w:rPr>
                <w:rFonts w:ascii="Symbol" w:hAnsi="Symbol"/>
                <w:color w:val="auto"/>
                <w:sz w:val="28"/>
                <w:szCs w:val="28"/>
                <w:highlight w:val="none"/>
              </w:rPr>
              <w:t></w:t>
            </w:r>
            <w:r>
              <w:rPr>
                <w:rFonts w:ascii="Times New Roman" w:hAnsi="Times New Roman"/>
                <w:i/>
                <w:color w:val="auto"/>
                <w:position w:val="2"/>
                <w:sz w:val="28"/>
                <w:szCs w:val="28"/>
                <w:highlight w:val="none"/>
              </w:rPr>
              <w:t>r</w:t>
            </w:r>
            <w:r>
              <w:rPr>
                <w:rFonts w:ascii="Symbol" w:hAnsi="Symbol"/>
                <w:color w:val="auto"/>
                <w:sz w:val="28"/>
                <w:szCs w:val="28"/>
                <w:highlight w:val="none"/>
              </w:rPr>
              <w:t></w:t>
            </w:r>
            <w:r>
              <w:rPr>
                <w:rFonts w:ascii="Symbol" w:hAnsi="Symbol"/>
                <w:color w:val="auto"/>
                <w:position w:val="2"/>
                <w:sz w:val="28"/>
                <w:szCs w:val="28"/>
                <w:highlight w:val="none"/>
              </w:rPr>
              <w:t></w:t>
            </w:r>
            <w:r>
              <w:rPr>
                <w:rFonts w:ascii="Times New Roman" w:hAnsi="Times New Roman"/>
                <w:i/>
                <w:color w:val="auto"/>
                <w:position w:val="2"/>
                <w:sz w:val="28"/>
                <w:szCs w:val="28"/>
                <w:highlight w:val="none"/>
              </w:rPr>
              <w:t>L</w:t>
            </w:r>
            <w:r>
              <w:rPr>
                <w:rFonts w:hint="eastAsia" w:ascii="Times New Roman" w:hAnsi="Times New Roman"/>
                <w:i w:val="0"/>
                <w:iCs/>
                <w:color w:val="auto"/>
                <w:position w:val="-4"/>
                <w:sz w:val="28"/>
                <w:szCs w:val="28"/>
                <w:highlight w:val="none"/>
                <w:vertAlign w:val="subscript"/>
                <w:lang w:val="en-US" w:eastAsia="zh-CN"/>
              </w:rPr>
              <w:t>A</w:t>
            </w:r>
            <w:r>
              <w:rPr>
                <w:rFonts w:ascii="Times New Roman" w:hAnsi="Times New Roman"/>
                <w:i/>
                <w:color w:val="auto"/>
                <w:position w:val="-4"/>
                <w:sz w:val="28"/>
                <w:szCs w:val="28"/>
                <w:highlight w:val="none"/>
              </w:rPr>
              <w:t>w</w:t>
            </w:r>
            <w:r>
              <w:rPr>
                <w:rFonts w:ascii="Symbol" w:hAnsi="Symbol"/>
                <w:color w:val="auto"/>
                <w:position w:val="2"/>
                <w:sz w:val="28"/>
                <w:szCs w:val="28"/>
                <w:highlight w:val="none"/>
              </w:rPr>
              <w:t></w:t>
            </w:r>
            <w:r>
              <w:rPr>
                <w:rFonts w:ascii="Times New Roman" w:hAnsi="Times New Roman"/>
                <w:color w:val="auto"/>
                <w:position w:val="2"/>
                <w:sz w:val="28"/>
                <w:szCs w:val="28"/>
                <w:highlight w:val="none"/>
              </w:rPr>
              <w:t>20lg</w:t>
            </w:r>
            <w:r>
              <w:rPr>
                <w:rFonts w:ascii="Times New Roman" w:hAnsi="Times New Roman"/>
                <w:i/>
                <w:color w:val="auto"/>
                <w:position w:val="2"/>
                <w:sz w:val="28"/>
                <w:szCs w:val="28"/>
                <w:highlight w:val="none"/>
              </w:rPr>
              <w:t>r</w:t>
            </w:r>
            <w:r>
              <w:rPr>
                <w:rFonts w:ascii="Symbol" w:hAnsi="Symbol"/>
                <w:color w:val="auto"/>
                <w:position w:val="2"/>
                <w:sz w:val="28"/>
                <w:szCs w:val="28"/>
                <w:highlight w:val="none"/>
              </w:rPr>
              <w:t></w:t>
            </w:r>
            <w:r>
              <w:rPr>
                <w:rFonts w:ascii="Times New Roman" w:hAnsi="Times New Roman"/>
                <w:color w:val="auto"/>
                <w:position w:val="2"/>
                <w:sz w:val="28"/>
                <w:szCs w:val="28"/>
                <w:highlight w:val="none"/>
              </w:rPr>
              <w:t>8</w:t>
            </w:r>
          </w:p>
          <w:p w14:paraId="10A19040">
            <w:pPr>
              <w:autoSpaceDE w:val="0"/>
              <w:autoSpaceDN w:val="0"/>
              <w:adjustRightInd w:val="0"/>
              <w:spacing w:line="360" w:lineRule="auto"/>
              <w:ind w:firstLine="480" w:firstLineChars="200"/>
              <w:rPr>
                <w:rFonts w:hint="eastAsia"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式中：LA（R）—距声源r处的A声级，dB（A）；</w:t>
            </w:r>
          </w:p>
          <w:p w14:paraId="2CFE9CEC">
            <w:pPr>
              <w:autoSpaceDE w:val="0"/>
              <w:autoSpaceDN w:val="0"/>
              <w:adjustRightInd w:val="0"/>
              <w:spacing w:line="360" w:lineRule="auto"/>
              <w:ind w:firstLine="1200" w:firstLineChars="500"/>
              <w:rPr>
                <w:rFonts w:hint="eastAsia"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L</w:t>
            </w:r>
            <w:r>
              <w:rPr>
                <w:rFonts w:hint="eastAsia" w:ascii="Times New Roman" w:hAnsi="Times New Roman" w:eastAsia="宋体" w:cs="Times New Roman"/>
                <w:color w:val="auto"/>
                <w:sz w:val="24"/>
                <w:szCs w:val="24"/>
                <w:highlight w:val="none"/>
                <w:vertAlign w:val="subscript"/>
                <w:lang w:val="en-US" w:eastAsia="zh-CN"/>
              </w:rPr>
              <w:t>AW</w:t>
            </w:r>
            <w:r>
              <w:rPr>
                <w:rFonts w:hint="eastAsia" w:ascii="Times New Roman" w:hAnsi="Times New Roman" w:eastAsia="宋体" w:cs="Times New Roman"/>
                <w:color w:val="auto"/>
                <w:sz w:val="24"/>
                <w:szCs w:val="24"/>
                <w:highlight w:val="none"/>
                <w:lang w:val="en-US" w:eastAsia="zh-CN"/>
              </w:rPr>
              <w:t>—点声源A计权声功率级，dB；</w:t>
            </w:r>
          </w:p>
          <w:p w14:paraId="1265A0FD">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r—预测点距声源的距离。（对声源取1）；</w:t>
            </w:r>
          </w:p>
          <w:p w14:paraId="43EC1DE8">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ascii="Times New Roman" w:hAnsi="Times New Roman" w:eastAsia="宋体" w:cs="Times New Roman"/>
                <w:b w:val="0"/>
                <w:bCs w:val="0"/>
                <w:color w:val="auto"/>
                <w:sz w:val="24"/>
                <w:highlight w:val="none"/>
                <w:lang w:val="en-US" w:eastAsia="zh-CN"/>
              </w:rPr>
            </w:pPr>
            <w:r>
              <w:rPr>
                <w:rFonts w:hint="eastAsia" w:ascii="Times New Roman" w:hAnsi="Times New Roman" w:eastAsia="宋体" w:cs="Times New Roman"/>
                <w:b w:val="0"/>
                <w:bCs w:val="0"/>
                <w:color w:val="auto"/>
                <w:sz w:val="24"/>
                <w:highlight w:val="none"/>
                <w:lang w:val="en-US" w:eastAsia="zh-CN"/>
              </w:rPr>
              <w:t>2）建筑物隔声量</w:t>
            </w:r>
          </w:p>
          <w:p w14:paraId="619E1062">
            <w:pPr>
              <w:keepNext w:val="0"/>
              <w:keepLines w:val="0"/>
              <w:pageBreakBefore w:val="0"/>
              <w:widowControl w:val="0"/>
              <w:kinsoku/>
              <w:wordWrap/>
              <w:overflowPunct/>
              <w:topLinePunct w:val="0"/>
              <w:autoSpaceDE w:val="0"/>
              <w:autoSpaceDN w:val="0"/>
              <w:bidi w:val="0"/>
              <w:adjustRightInd w:val="0"/>
              <w:spacing w:line="360" w:lineRule="auto"/>
              <w:ind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根据《环境影响评价技术导则 声环境》（HJ2.4-2021）附录B.1.3室内声源等效室外声源声功率级计算方法，</w:t>
            </w:r>
            <w:r>
              <w:rPr>
                <w:rFonts w:hint="eastAsia" w:cs="Times New Roman"/>
                <w:color w:val="auto"/>
                <w:sz w:val="24"/>
                <w:szCs w:val="24"/>
                <w:highlight w:val="none"/>
                <w:lang w:val="en-US" w:eastAsia="zh-CN"/>
              </w:rPr>
              <w:t>公式</w:t>
            </w:r>
            <w:r>
              <w:rPr>
                <w:rFonts w:hint="eastAsia" w:ascii="Times New Roman" w:hAnsi="Times New Roman" w:eastAsia="宋体" w:cs="Times New Roman"/>
                <w:color w:val="auto"/>
                <w:sz w:val="24"/>
                <w:szCs w:val="24"/>
                <w:highlight w:val="none"/>
                <w:lang w:val="en-US" w:eastAsia="zh-CN"/>
              </w:rPr>
              <w:t>如下：</w:t>
            </w:r>
          </w:p>
          <w:p w14:paraId="25E392E7">
            <w:pPr>
              <w:pStyle w:val="222"/>
              <w:keepNext w:val="0"/>
              <w:keepLines w:val="0"/>
              <w:pageBreakBefore w:val="0"/>
              <w:widowControl w:val="0"/>
              <w:kinsoku/>
              <w:wordWrap/>
              <w:overflowPunct/>
              <w:topLinePunct w:val="0"/>
              <w:autoSpaceDE/>
              <w:autoSpaceDN/>
              <w:bidi w:val="0"/>
              <w:adjustRightInd/>
              <w:snapToGrid w:val="0"/>
              <w:spacing w:line="360" w:lineRule="auto"/>
              <w:ind w:left="0" w:leftChars="0" w:firstLine="480" w:firstLineChars="200"/>
              <w:jc w:val="center"/>
              <w:textAlignment w:val="auto"/>
              <w:rPr>
                <w:rFonts w:hint="default" w:cs="Times New Roman"/>
                <w:color w:val="auto"/>
                <w:sz w:val="21"/>
                <w:szCs w:val="21"/>
                <w:highlight w:val="none"/>
                <w:lang w:val="en-US" w:eastAsia="zh-CN"/>
              </w:rPr>
            </w:pPr>
            <w:r>
              <w:rPr>
                <w:rFonts w:hint="eastAsia" w:cs="Times New Roman"/>
                <w:color w:val="auto"/>
                <w:highlight w:val="none"/>
                <w:lang w:val="en-US" w:eastAsia="zh-CN"/>
              </w:rPr>
              <w:t>L</w:t>
            </w:r>
            <w:r>
              <w:rPr>
                <w:rFonts w:hint="eastAsia" w:cs="Times New Roman"/>
                <w:color w:val="auto"/>
                <w:highlight w:val="none"/>
                <w:vertAlign w:val="subscript"/>
                <w:lang w:val="en-US" w:eastAsia="zh-CN"/>
              </w:rPr>
              <w:t>p2</w:t>
            </w:r>
            <w:r>
              <w:rPr>
                <w:rFonts w:hint="eastAsia" w:cs="Times New Roman"/>
                <w:color w:val="auto"/>
                <w:highlight w:val="none"/>
                <w:lang w:val="en-US" w:eastAsia="zh-CN"/>
              </w:rPr>
              <w:t>=L</w:t>
            </w:r>
            <w:r>
              <w:rPr>
                <w:rFonts w:hint="eastAsia" w:cs="Times New Roman"/>
                <w:color w:val="auto"/>
                <w:highlight w:val="none"/>
                <w:vertAlign w:val="subscript"/>
                <w:lang w:val="en-US" w:eastAsia="zh-CN"/>
              </w:rPr>
              <w:t>p1</w:t>
            </w:r>
            <w:r>
              <w:rPr>
                <w:rFonts w:hint="eastAsia" w:cs="Times New Roman"/>
                <w:color w:val="auto"/>
                <w:highlight w:val="none"/>
                <w:lang w:val="en-US" w:eastAsia="zh-CN"/>
              </w:rPr>
              <w:t>-（TL+6）</w:t>
            </w:r>
          </w:p>
          <w:p w14:paraId="2C3A51DE">
            <w:pPr>
              <w:keepNext w:val="0"/>
              <w:keepLines w:val="0"/>
              <w:pageBreakBefore w:val="0"/>
              <w:widowControl w:val="0"/>
              <w:kinsoku/>
              <w:wordWrap/>
              <w:overflowPunct/>
              <w:topLinePunct w:val="0"/>
              <w:autoSpaceDE w:val="0"/>
              <w:autoSpaceDN w:val="0"/>
              <w:bidi w:val="0"/>
              <w:adjustRightInd w:val="0"/>
              <w:spacing w:line="360" w:lineRule="auto"/>
              <w:ind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式中：L</w:t>
            </w:r>
            <w:r>
              <w:rPr>
                <w:rFonts w:hint="eastAsia" w:ascii="Times New Roman" w:hAnsi="Times New Roman" w:eastAsia="宋体" w:cs="Times New Roman"/>
                <w:color w:val="auto"/>
                <w:sz w:val="24"/>
                <w:szCs w:val="24"/>
                <w:highlight w:val="none"/>
                <w:vertAlign w:val="subscript"/>
                <w:lang w:val="en-US" w:eastAsia="zh-CN"/>
              </w:rPr>
              <w:t>P1</w:t>
            </w:r>
            <w:r>
              <w:rPr>
                <w:rFonts w:hint="eastAsia" w:ascii="Times New Roman" w:hAnsi="Times New Roman" w:eastAsia="宋体" w:cs="Times New Roman"/>
                <w:color w:val="auto"/>
                <w:sz w:val="24"/>
                <w:szCs w:val="24"/>
                <w:highlight w:val="none"/>
                <w:lang w:val="en-US" w:eastAsia="zh-CN"/>
              </w:rPr>
              <w:t>—靠近开口处（或窗户）室内某倍频带的声压级或A声级，dB；</w:t>
            </w:r>
          </w:p>
          <w:p w14:paraId="09515F76">
            <w:pPr>
              <w:keepNext w:val="0"/>
              <w:keepLines w:val="0"/>
              <w:pageBreakBefore w:val="0"/>
              <w:widowControl w:val="0"/>
              <w:kinsoku/>
              <w:wordWrap/>
              <w:overflowPunct/>
              <w:topLinePunct w:val="0"/>
              <w:autoSpaceDE w:val="0"/>
              <w:autoSpaceDN w:val="0"/>
              <w:bidi w:val="0"/>
              <w:adjustRightInd w:val="0"/>
              <w:spacing w:line="360" w:lineRule="auto"/>
              <w:ind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L</w:t>
            </w:r>
            <w:r>
              <w:rPr>
                <w:rFonts w:hint="eastAsia" w:ascii="Times New Roman" w:hAnsi="Times New Roman" w:eastAsia="宋体" w:cs="Times New Roman"/>
                <w:color w:val="auto"/>
                <w:sz w:val="24"/>
                <w:szCs w:val="24"/>
                <w:highlight w:val="none"/>
                <w:vertAlign w:val="subscript"/>
                <w:lang w:val="en-US" w:eastAsia="zh-CN"/>
              </w:rPr>
              <w:t>P2</w:t>
            </w:r>
            <w:r>
              <w:rPr>
                <w:rFonts w:hint="eastAsia" w:ascii="Times New Roman" w:hAnsi="Times New Roman" w:eastAsia="宋体" w:cs="Times New Roman"/>
                <w:color w:val="auto"/>
                <w:sz w:val="24"/>
                <w:szCs w:val="24"/>
                <w:highlight w:val="none"/>
                <w:lang w:val="en-US" w:eastAsia="zh-CN"/>
              </w:rPr>
              <w:t>—靠近开口处（或窗户）室外某倍频带的声压级或A声级，dB；</w:t>
            </w:r>
          </w:p>
          <w:p w14:paraId="42469990">
            <w:pPr>
              <w:keepNext w:val="0"/>
              <w:keepLines w:val="0"/>
              <w:pageBreakBefore w:val="0"/>
              <w:widowControl w:val="0"/>
              <w:kinsoku/>
              <w:wordWrap/>
              <w:overflowPunct/>
              <w:topLinePunct w:val="0"/>
              <w:autoSpaceDE w:val="0"/>
              <w:autoSpaceDN w:val="0"/>
              <w:bidi w:val="0"/>
              <w:adjustRightInd w:val="0"/>
              <w:spacing w:line="360" w:lineRule="auto"/>
              <w:ind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TL—隔窗（或窗户）倍频带或A声级的隔声量，dB。</w:t>
            </w:r>
          </w:p>
          <w:p w14:paraId="2BC1A0BD">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default" w:ascii="Times New Roman" w:hAnsi="Times New Roman" w:eastAsia="宋体" w:cs="Times New Roman"/>
                <w:b w:val="0"/>
                <w:bCs w:val="0"/>
                <w:color w:val="auto"/>
                <w:sz w:val="24"/>
                <w:highlight w:val="none"/>
                <w:lang w:val="en-US" w:eastAsia="zh-CN"/>
              </w:rPr>
            </w:pPr>
            <w:r>
              <w:rPr>
                <w:rFonts w:hint="eastAsia" w:ascii="Times New Roman" w:hAnsi="Times New Roman" w:eastAsia="宋体" w:cs="Times New Roman"/>
                <w:color w:val="auto"/>
                <w:sz w:val="24"/>
                <w:szCs w:val="24"/>
                <w:highlight w:val="none"/>
                <w:lang w:val="en-US" w:eastAsia="zh-CN"/>
              </w:rPr>
              <w:t>本项目</w:t>
            </w:r>
            <w:r>
              <w:rPr>
                <w:rFonts w:hint="eastAsia" w:ascii="Times New Roman" w:hAnsi="Times New Roman" w:eastAsia="宋体" w:cs="Times New Roman"/>
                <w:b w:val="0"/>
                <w:bCs w:val="0"/>
                <w:color w:val="auto"/>
                <w:kern w:val="0"/>
                <w:sz w:val="24"/>
                <w:szCs w:val="24"/>
                <w:highlight w:val="none"/>
                <w:lang w:val="en-US" w:eastAsia="zh-CN" w:bidi="ar-SA"/>
              </w:rPr>
              <w:t>为钢筋混凝土框架结构，根据《环境工程手册 环境噪声控制卷》（2000年）中表4-15可知，厂房窗户为中空玻璃，无乳胶条，隔声量为18.3dB。因此，本项目厂房的隔声量TL取18.3dB</w:t>
            </w:r>
            <w:r>
              <w:rPr>
                <w:rFonts w:hint="eastAsia" w:cs="Times New Roman"/>
                <w:b w:val="0"/>
                <w:bCs w:val="0"/>
                <w:color w:val="auto"/>
                <w:kern w:val="0"/>
                <w:sz w:val="24"/>
                <w:szCs w:val="24"/>
                <w:highlight w:val="none"/>
                <w:lang w:val="en-US" w:eastAsia="zh-CN" w:bidi="ar-SA"/>
              </w:rPr>
              <w:t>。</w:t>
            </w:r>
          </w:p>
          <w:p w14:paraId="69C06330">
            <w:pPr>
              <w:pStyle w:val="66"/>
              <w:spacing w:line="360" w:lineRule="auto"/>
              <w:rPr>
                <w:rFonts w:hint="eastAsia"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根据以上公式计算，本项目噪声源强调查清单见下表</w:t>
            </w:r>
            <w:r>
              <w:rPr>
                <w:rFonts w:hint="eastAsia" w:cs="Times New Roman"/>
                <w:color w:val="auto"/>
                <w:sz w:val="24"/>
                <w:szCs w:val="24"/>
                <w:highlight w:val="none"/>
                <w:lang w:val="en-US" w:eastAsia="zh-CN"/>
              </w:rPr>
              <w:t>。</w:t>
            </w:r>
          </w:p>
          <w:p w14:paraId="7A7B5D96">
            <w:pPr>
              <w:pStyle w:val="66"/>
              <w:spacing w:line="360" w:lineRule="auto"/>
              <w:rPr>
                <w:rFonts w:hint="eastAsia" w:cs="Times New Roman"/>
                <w:color w:val="auto"/>
                <w:sz w:val="24"/>
                <w:szCs w:val="24"/>
                <w:highlight w:val="none"/>
                <w:lang w:val="en-US" w:eastAsia="zh-CN"/>
              </w:rPr>
            </w:pPr>
          </w:p>
          <w:p w14:paraId="56B00FA5">
            <w:pPr>
              <w:pStyle w:val="66"/>
              <w:spacing w:line="360" w:lineRule="auto"/>
              <w:rPr>
                <w:rFonts w:hint="eastAsia" w:cs="Times New Roman"/>
                <w:color w:val="auto"/>
                <w:sz w:val="24"/>
                <w:szCs w:val="24"/>
                <w:highlight w:val="none"/>
                <w:lang w:val="en-US" w:eastAsia="zh-CN"/>
              </w:rPr>
            </w:pPr>
          </w:p>
          <w:p w14:paraId="68EE4362">
            <w:pPr>
              <w:pStyle w:val="66"/>
              <w:spacing w:line="360" w:lineRule="auto"/>
              <w:rPr>
                <w:rFonts w:hint="eastAsia" w:cs="Times New Roman"/>
                <w:color w:val="auto"/>
                <w:sz w:val="24"/>
                <w:szCs w:val="24"/>
                <w:highlight w:val="none"/>
                <w:lang w:val="en-US" w:eastAsia="zh-CN"/>
              </w:rPr>
            </w:pPr>
          </w:p>
          <w:p w14:paraId="2151B6F4">
            <w:pPr>
              <w:pStyle w:val="66"/>
              <w:spacing w:line="360" w:lineRule="auto"/>
              <w:rPr>
                <w:rFonts w:hint="eastAsia" w:cs="Times New Roman"/>
                <w:color w:val="auto"/>
                <w:sz w:val="24"/>
                <w:szCs w:val="24"/>
                <w:highlight w:val="none"/>
                <w:lang w:val="en-US" w:eastAsia="zh-CN"/>
              </w:rPr>
            </w:pPr>
          </w:p>
          <w:p w14:paraId="3D8DBCDA">
            <w:pPr>
              <w:pStyle w:val="66"/>
              <w:spacing w:line="360" w:lineRule="auto"/>
              <w:rPr>
                <w:rFonts w:hint="eastAsia" w:cs="Times New Roman"/>
                <w:color w:val="auto"/>
                <w:sz w:val="24"/>
                <w:szCs w:val="24"/>
                <w:highlight w:val="none"/>
                <w:lang w:val="en-US" w:eastAsia="zh-CN"/>
              </w:rPr>
            </w:pPr>
          </w:p>
          <w:p w14:paraId="29F8C3FE">
            <w:pPr>
              <w:pStyle w:val="66"/>
              <w:spacing w:line="360" w:lineRule="auto"/>
              <w:rPr>
                <w:rFonts w:hint="eastAsia" w:cs="Times New Roman"/>
                <w:color w:val="auto"/>
                <w:sz w:val="24"/>
                <w:szCs w:val="24"/>
                <w:highlight w:val="none"/>
                <w:lang w:val="en-US" w:eastAsia="zh-CN"/>
              </w:rPr>
            </w:pPr>
          </w:p>
          <w:p w14:paraId="4E05FF97">
            <w:pPr>
              <w:pStyle w:val="66"/>
              <w:spacing w:line="360" w:lineRule="auto"/>
              <w:rPr>
                <w:rFonts w:hint="eastAsia" w:cs="Times New Roman"/>
                <w:color w:val="auto"/>
                <w:sz w:val="24"/>
                <w:szCs w:val="24"/>
                <w:highlight w:val="none"/>
                <w:lang w:val="en-US" w:eastAsia="zh-CN"/>
              </w:rPr>
            </w:pPr>
          </w:p>
          <w:p w14:paraId="05E50724">
            <w:pPr>
              <w:pStyle w:val="66"/>
              <w:spacing w:line="360" w:lineRule="auto"/>
              <w:rPr>
                <w:rFonts w:hint="eastAsia" w:cs="Times New Roman"/>
                <w:color w:val="auto"/>
                <w:sz w:val="24"/>
                <w:szCs w:val="24"/>
                <w:highlight w:val="none"/>
                <w:lang w:val="en-US" w:eastAsia="zh-CN"/>
              </w:rPr>
            </w:pPr>
          </w:p>
          <w:p w14:paraId="206F44F7">
            <w:pPr>
              <w:pStyle w:val="66"/>
              <w:spacing w:line="360" w:lineRule="auto"/>
              <w:rPr>
                <w:rFonts w:hint="eastAsia" w:cs="Times New Roman"/>
                <w:color w:val="auto"/>
                <w:sz w:val="24"/>
                <w:szCs w:val="24"/>
                <w:highlight w:val="none"/>
                <w:lang w:val="en-US" w:eastAsia="zh-CN"/>
              </w:rPr>
            </w:pPr>
          </w:p>
          <w:p w14:paraId="0894EF3A">
            <w:pPr>
              <w:pStyle w:val="66"/>
              <w:spacing w:line="360" w:lineRule="auto"/>
              <w:rPr>
                <w:rFonts w:hint="eastAsia" w:cs="Times New Roman"/>
                <w:color w:val="auto"/>
                <w:sz w:val="24"/>
                <w:szCs w:val="24"/>
                <w:highlight w:val="none"/>
                <w:lang w:val="en-US" w:eastAsia="zh-CN"/>
              </w:rPr>
            </w:pPr>
          </w:p>
          <w:p w14:paraId="1BD45EDE">
            <w:pPr>
              <w:pStyle w:val="66"/>
              <w:spacing w:line="360" w:lineRule="auto"/>
              <w:rPr>
                <w:rFonts w:hint="eastAsia" w:cs="Times New Roman"/>
                <w:color w:val="auto"/>
                <w:sz w:val="24"/>
                <w:szCs w:val="24"/>
                <w:highlight w:val="none"/>
                <w:lang w:val="en-US" w:eastAsia="zh-CN"/>
              </w:rPr>
            </w:pPr>
          </w:p>
          <w:p w14:paraId="6130A796">
            <w:pPr>
              <w:pStyle w:val="66"/>
              <w:spacing w:line="360" w:lineRule="auto"/>
              <w:rPr>
                <w:rFonts w:hint="eastAsia" w:cs="Times New Roman"/>
                <w:color w:val="auto"/>
                <w:sz w:val="24"/>
                <w:szCs w:val="24"/>
                <w:highlight w:val="none"/>
                <w:lang w:val="en-US" w:eastAsia="zh-CN"/>
              </w:rPr>
            </w:pPr>
          </w:p>
          <w:p w14:paraId="14747947">
            <w:pPr>
              <w:pStyle w:val="66"/>
              <w:spacing w:line="360" w:lineRule="auto"/>
              <w:rPr>
                <w:rFonts w:hint="eastAsia" w:cs="Times New Roman"/>
                <w:color w:val="auto"/>
                <w:sz w:val="24"/>
                <w:szCs w:val="24"/>
                <w:highlight w:val="none"/>
                <w:lang w:val="en-US" w:eastAsia="zh-CN"/>
              </w:rPr>
            </w:pPr>
          </w:p>
          <w:p w14:paraId="0582F6E7">
            <w:pPr>
              <w:pStyle w:val="66"/>
              <w:spacing w:line="360" w:lineRule="auto"/>
              <w:rPr>
                <w:rFonts w:hint="eastAsia" w:cs="Times New Roman"/>
                <w:color w:val="auto"/>
                <w:sz w:val="24"/>
                <w:szCs w:val="24"/>
                <w:highlight w:val="none"/>
                <w:lang w:val="en-US" w:eastAsia="zh-CN"/>
              </w:rPr>
            </w:pPr>
          </w:p>
          <w:p w14:paraId="0EB70957">
            <w:pPr>
              <w:pStyle w:val="66"/>
              <w:spacing w:line="360" w:lineRule="auto"/>
              <w:rPr>
                <w:rFonts w:hint="eastAsia" w:cs="Times New Roman"/>
                <w:color w:val="auto"/>
                <w:sz w:val="24"/>
                <w:szCs w:val="24"/>
                <w:highlight w:val="none"/>
                <w:lang w:val="en-US" w:eastAsia="zh-CN"/>
              </w:rPr>
            </w:pPr>
          </w:p>
        </w:tc>
      </w:tr>
    </w:tbl>
    <w:p w14:paraId="07DD741B">
      <w:pPr>
        <w:pStyle w:val="68"/>
        <w:rPr>
          <w:color w:val="auto"/>
        </w:rPr>
        <w:sectPr>
          <w:pgSz w:w="11906" w:h="16838"/>
          <w:pgMar w:top="1701" w:right="1531" w:bottom="1701" w:left="1531" w:header="851" w:footer="1021" w:gutter="0"/>
          <w:cols w:space="720" w:num="1"/>
          <w:docGrid w:linePitch="312" w:charSpace="0"/>
        </w:sectPr>
      </w:pPr>
    </w:p>
    <w:p w14:paraId="36EF2575">
      <w:pPr>
        <w:pStyle w:val="68"/>
        <w:rPr>
          <w:rFonts w:hint="default" w:ascii="Times New Roman" w:hAnsi="Times New Roman" w:eastAsia="宋体" w:cs="Times New Roman"/>
          <w:b/>
          <w:bCs/>
          <w:color w:val="auto"/>
        </w:rPr>
      </w:pPr>
      <w:r>
        <w:rPr>
          <w:rFonts w:hint="default" w:ascii="Times New Roman" w:hAnsi="Times New Roman" w:eastAsia="宋体" w:cs="Times New Roman"/>
          <w:b/>
          <w:bCs/>
          <w:color w:val="auto"/>
        </w:rPr>
        <w:t>表4-</w:t>
      </w:r>
      <w:r>
        <w:rPr>
          <w:rFonts w:hint="eastAsia" w:eastAsia="宋体" w:cs="Times New Roman"/>
          <w:b/>
          <w:bCs/>
          <w:color w:val="auto"/>
          <w:lang w:val="en-US" w:eastAsia="zh-CN"/>
        </w:rPr>
        <w:t>16</w:t>
      </w:r>
      <w:r>
        <w:rPr>
          <w:rFonts w:hint="default" w:ascii="Times New Roman" w:hAnsi="Times New Roman" w:eastAsia="宋体" w:cs="Times New Roman"/>
          <w:b/>
          <w:bCs/>
          <w:color w:val="auto"/>
        </w:rPr>
        <w:t xml:space="preserve">  </w:t>
      </w:r>
      <w:r>
        <w:rPr>
          <w:rFonts w:hint="eastAsia" w:ascii="Times New Roman" w:hAnsi="Times New Roman" w:eastAsia="宋体" w:cs="Times New Roman"/>
          <w:b/>
          <w:bCs/>
          <w:color w:val="auto"/>
          <w:kern w:val="0"/>
          <w:sz w:val="21"/>
          <w:szCs w:val="21"/>
          <w:highlight w:val="none"/>
          <w:lang w:val="en-US" w:eastAsia="zh-CN"/>
        </w:rPr>
        <w:t>室内噪声设备与室内边界距离及建筑物外距离一览表（单位：dB（A））</w:t>
      </w:r>
    </w:p>
    <w:tbl>
      <w:tblPr>
        <w:tblStyle w:val="41"/>
        <w:tblW w:w="13937"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427"/>
        <w:gridCol w:w="1428"/>
        <w:gridCol w:w="537"/>
        <w:gridCol w:w="537"/>
        <w:gridCol w:w="537"/>
        <w:gridCol w:w="558"/>
        <w:gridCol w:w="537"/>
        <w:gridCol w:w="537"/>
        <w:gridCol w:w="542"/>
        <w:gridCol w:w="558"/>
        <w:gridCol w:w="542"/>
        <w:gridCol w:w="542"/>
        <w:gridCol w:w="542"/>
        <w:gridCol w:w="555"/>
        <w:gridCol w:w="542"/>
        <w:gridCol w:w="897"/>
        <w:gridCol w:w="746"/>
        <w:gridCol w:w="689"/>
        <w:gridCol w:w="838"/>
        <w:gridCol w:w="750"/>
        <w:gridCol w:w="1096"/>
      </w:tblGrid>
      <w:tr w14:paraId="208CC72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427" w:type="dxa"/>
            <w:vMerge w:val="restart"/>
            <w:shd w:val="clear" w:color="auto" w:fill="auto"/>
            <w:noWrap w:val="0"/>
            <w:vAlign w:val="center"/>
          </w:tcPr>
          <w:p w14:paraId="0D90CF20">
            <w:pPr>
              <w:spacing w:line="280" w:lineRule="exact"/>
              <w:jc w:val="center"/>
              <w:rPr>
                <w:rFonts w:ascii="Times New Roman" w:hAnsi="Times New Roman"/>
                <w:b/>
                <w:bCs/>
                <w:color w:val="auto"/>
                <w:szCs w:val="21"/>
                <w:highlight w:val="none"/>
              </w:rPr>
            </w:pPr>
            <w:r>
              <w:rPr>
                <w:rFonts w:hint="eastAsia" w:ascii="Times New Roman" w:hAnsi="Times New Roman"/>
                <w:b/>
                <w:bCs/>
                <w:color w:val="auto"/>
                <w:szCs w:val="21"/>
                <w:highlight w:val="none"/>
              </w:rPr>
              <w:t>序号</w:t>
            </w:r>
          </w:p>
        </w:tc>
        <w:tc>
          <w:tcPr>
            <w:tcW w:w="1428" w:type="dxa"/>
            <w:vMerge w:val="restart"/>
            <w:shd w:val="clear" w:color="auto" w:fill="auto"/>
            <w:noWrap w:val="0"/>
            <w:vAlign w:val="center"/>
          </w:tcPr>
          <w:p w14:paraId="45E4AA09">
            <w:pPr>
              <w:spacing w:line="280" w:lineRule="exact"/>
              <w:jc w:val="center"/>
              <w:rPr>
                <w:rFonts w:ascii="Times New Roman" w:hAnsi="Times New Roman"/>
                <w:b/>
                <w:bCs/>
                <w:color w:val="auto"/>
                <w:szCs w:val="21"/>
                <w:highlight w:val="none"/>
              </w:rPr>
            </w:pPr>
            <w:r>
              <w:rPr>
                <w:rFonts w:hint="eastAsia" w:ascii="Times New Roman" w:hAnsi="Times New Roman"/>
                <w:b/>
                <w:bCs/>
                <w:color w:val="auto"/>
                <w:szCs w:val="21"/>
                <w:highlight w:val="none"/>
              </w:rPr>
              <w:t>声源名称</w:t>
            </w:r>
          </w:p>
        </w:tc>
        <w:tc>
          <w:tcPr>
            <w:tcW w:w="537" w:type="dxa"/>
            <w:vMerge w:val="restart"/>
            <w:shd w:val="clear" w:color="auto" w:fill="auto"/>
            <w:noWrap w:val="0"/>
            <w:vAlign w:val="center"/>
          </w:tcPr>
          <w:p w14:paraId="741135D8">
            <w:pPr>
              <w:spacing w:line="280" w:lineRule="exact"/>
              <w:jc w:val="center"/>
              <w:rPr>
                <w:rFonts w:ascii="Times New Roman" w:hAnsi="Times New Roman"/>
                <w:b/>
                <w:bCs/>
                <w:color w:val="auto"/>
                <w:szCs w:val="21"/>
                <w:highlight w:val="none"/>
              </w:rPr>
            </w:pPr>
            <w:r>
              <w:rPr>
                <w:rFonts w:hint="eastAsia" w:ascii="Times New Roman" w:hAnsi="Times New Roman"/>
                <w:b/>
                <w:bCs/>
                <w:color w:val="auto"/>
                <w:szCs w:val="21"/>
                <w:highlight w:val="none"/>
              </w:rPr>
              <w:t>源强</w:t>
            </w:r>
          </w:p>
        </w:tc>
        <w:tc>
          <w:tcPr>
            <w:tcW w:w="1632" w:type="dxa"/>
            <w:gridSpan w:val="3"/>
            <w:vMerge w:val="restart"/>
            <w:shd w:val="clear" w:color="auto" w:fill="auto"/>
            <w:noWrap w:val="0"/>
            <w:vAlign w:val="center"/>
          </w:tcPr>
          <w:p w14:paraId="7872DD99">
            <w:pPr>
              <w:spacing w:line="280" w:lineRule="exact"/>
              <w:jc w:val="center"/>
              <w:rPr>
                <w:rFonts w:ascii="Times New Roman" w:hAnsi="Times New Roman"/>
                <w:b/>
                <w:bCs/>
                <w:color w:val="auto"/>
                <w:szCs w:val="21"/>
                <w:highlight w:val="none"/>
              </w:rPr>
            </w:pPr>
            <w:r>
              <w:rPr>
                <w:rFonts w:hint="eastAsia" w:ascii="Times New Roman" w:hAnsi="Times New Roman"/>
                <w:b/>
                <w:bCs/>
                <w:color w:val="auto"/>
                <w:szCs w:val="21"/>
                <w:highlight w:val="none"/>
              </w:rPr>
              <w:t>空间相对位置/m</w:t>
            </w:r>
          </w:p>
        </w:tc>
        <w:tc>
          <w:tcPr>
            <w:tcW w:w="4355" w:type="dxa"/>
            <w:gridSpan w:val="8"/>
            <w:shd w:val="clear" w:color="auto" w:fill="auto"/>
            <w:noWrap w:val="0"/>
            <w:vAlign w:val="center"/>
          </w:tcPr>
          <w:p w14:paraId="40EF5BE0">
            <w:pPr>
              <w:spacing w:line="280" w:lineRule="exact"/>
              <w:jc w:val="center"/>
              <w:rPr>
                <w:rFonts w:ascii="Times New Roman" w:hAnsi="Times New Roman"/>
                <w:b/>
                <w:bCs/>
                <w:color w:val="auto"/>
                <w:szCs w:val="21"/>
                <w:highlight w:val="none"/>
              </w:rPr>
            </w:pPr>
            <w:r>
              <w:rPr>
                <w:rFonts w:hint="eastAsia" w:ascii="Times New Roman" w:hAnsi="Times New Roman"/>
                <w:b/>
                <w:bCs/>
                <w:color w:val="auto"/>
                <w:szCs w:val="21"/>
                <w:highlight w:val="none"/>
              </w:rPr>
              <w:t>室内边界噪声</w:t>
            </w:r>
          </w:p>
        </w:tc>
        <w:tc>
          <w:tcPr>
            <w:tcW w:w="542" w:type="dxa"/>
            <w:vMerge w:val="restart"/>
            <w:shd w:val="clear" w:color="auto" w:fill="auto"/>
            <w:noWrap w:val="0"/>
            <w:vAlign w:val="center"/>
          </w:tcPr>
          <w:p w14:paraId="44EF5C45">
            <w:pPr>
              <w:spacing w:line="280" w:lineRule="exact"/>
              <w:jc w:val="center"/>
              <w:rPr>
                <w:rFonts w:ascii="Times New Roman" w:hAnsi="Times New Roman"/>
                <w:b/>
                <w:bCs/>
                <w:color w:val="auto"/>
                <w:szCs w:val="21"/>
                <w:highlight w:val="none"/>
              </w:rPr>
            </w:pPr>
            <w:r>
              <w:rPr>
                <w:rFonts w:hint="eastAsia" w:ascii="Times New Roman" w:hAnsi="Times New Roman"/>
                <w:b/>
                <w:bCs/>
                <w:color w:val="auto"/>
                <w:szCs w:val="21"/>
                <w:highlight w:val="none"/>
              </w:rPr>
              <w:t>运行时段</w:t>
            </w:r>
          </w:p>
        </w:tc>
        <w:tc>
          <w:tcPr>
            <w:tcW w:w="897" w:type="dxa"/>
            <w:vMerge w:val="restart"/>
            <w:shd w:val="clear" w:color="auto" w:fill="auto"/>
            <w:noWrap w:val="0"/>
            <w:vAlign w:val="center"/>
          </w:tcPr>
          <w:p w14:paraId="315C47F4">
            <w:pPr>
              <w:spacing w:line="280" w:lineRule="exact"/>
              <w:jc w:val="center"/>
              <w:rPr>
                <w:rFonts w:ascii="Times New Roman" w:hAnsi="Times New Roman"/>
                <w:b/>
                <w:bCs/>
                <w:color w:val="auto"/>
                <w:szCs w:val="21"/>
                <w:highlight w:val="none"/>
              </w:rPr>
            </w:pPr>
            <w:r>
              <w:rPr>
                <w:rFonts w:hint="eastAsia" w:ascii="Times New Roman" w:hAnsi="Times New Roman"/>
                <w:b/>
                <w:bCs/>
                <w:color w:val="auto"/>
                <w:szCs w:val="21"/>
                <w:highlight w:val="none"/>
              </w:rPr>
              <w:t>建筑插入损失</w:t>
            </w:r>
          </w:p>
        </w:tc>
        <w:tc>
          <w:tcPr>
            <w:tcW w:w="4119" w:type="dxa"/>
            <w:gridSpan w:val="5"/>
            <w:shd w:val="clear" w:color="auto" w:fill="auto"/>
            <w:noWrap w:val="0"/>
            <w:vAlign w:val="center"/>
          </w:tcPr>
          <w:p w14:paraId="3B02B2F9">
            <w:pPr>
              <w:spacing w:line="280" w:lineRule="exact"/>
              <w:jc w:val="center"/>
              <w:rPr>
                <w:rFonts w:ascii="Times New Roman" w:hAnsi="Times New Roman"/>
                <w:b/>
                <w:bCs/>
                <w:color w:val="auto"/>
                <w:szCs w:val="21"/>
                <w:highlight w:val="none"/>
              </w:rPr>
            </w:pPr>
            <w:r>
              <w:rPr>
                <w:rFonts w:hint="eastAsia" w:ascii="Times New Roman" w:hAnsi="Times New Roman"/>
                <w:b/>
                <w:bCs/>
                <w:color w:val="auto"/>
                <w:szCs w:val="21"/>
                <w:highlight w:val="none"/>
              </w:rPr>
              <w:t>建筑物外噪声</w:t>
            </w:r>
          </w:p>
        </w:tc>
      </w:tr>
      <w:tr w14:paraId="687CB46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27" w:type="dxa"/>
            <w:vMerge w:val="continue"/>
            <w:shd w:val="clear" w:color="auto" w:fill="auto"/>
            <w:noWrap w:val="0"/>
            <w:vAlign w:val="center"/>
          </w:tcPr>
          <w:p w14:paraId="18422279">
            <w:pPr>
              <w:spacing w:line="280" w:lineRule="exact"/>
              <w:jc w:val="center"/>
              <w:rPr>
                <w:rFonts w:ascii="Times New Roman" w:hAnsi="Times New Roman"/>
                <w:b/>
                <w:bCs/>
                <w:color w:val="auto"/>
                <w:szCs w:val="21"/>
                <w:highlight w:val="none"/>
              </w:rPr>
            </w:pPr>
          </w:p>
        </w:tc>
        <w:tc>
          <w:tcPr>
            <w:tcW w:w="1428" w:type="dxa"/>
            <w:vMerge w:val="continue"/>
            <w:shd w:val="clear" w:color="auto" w:fill="auto"/>
            <w:noWrap w:val="0"/>
            <w:vAlign w:val="center"/>
          </w:tcPr>
          <w:p w14:paraId="4BF424C3">
            <w:pPr>
              <w:spacing w:line="280" w:lineRule="exact"/>
              <w:jc w:val="center"/>
              <w:rPr>
                <w:rFonts w:ascii="Times New Roman" w:hAnsi="Times New Roman"/>
                <w:b/>
                <w:bCs/>
                <w:color w:val="auto"/>
                <w:szCs w:val="21"/>
                <w:highlight w:val="none"/>
              </w:rPr>
            </w:pPr>
          </w:p>
        </w:tc>
        <w:tc>
          <w:tcPr>
            <w:tcW w:w="537" w:type="dxa"/>
            <w:vMerge w:val="continue"/>
            <w:shd w:val="clear" w:color="auto" w:fill="auto"/>
            <w:noWrap w:val="0"/>
            <w:vAlign w:val="center"/>
          </w:tcPr>
          <w:p w14:paraId="6E718403">
            <w:pPr>
              <w:spacing w:line="280" w:lineRule="exact"/>
              <w:jc w:val="center"/>
              <w:rPr>
                <w:rFonts w:ascii="Times New Roman" w:hAnsi="Times New Roman"/>
                <w:b/>
                <w:bCs/>
                <w:color w:val="auto"/>
                <w:szCs w:val="21"/>
                <w:highlight w:val="none"/>
              </w:rPr>
            </w:pPr>
          </w:p>
        </w:tc>
        <w:tc>
          <w:tcPr>
            <w:tcW w:w="1632" w:type="dxa"/>
            <w:gridSpan w:val="3"/>
            <w:vMerge w:val="continue"/>
            <w:shd w:val="clear" w:color="auto" w:fill="auto"/>
            <w:noWrap w:val="0"/>
            <w:vAlign w:val="center"/>
          </w:tcPr>
          <w:p w14:paraId="585B921A">
            <w:pPr>
              <w:spacing w:line="280" w:lineRule="exact"/>
              <w:jc w:val="center"/>
              <w:rPr>
                <w:rFonts w:ascii="Times New Roman" w:hAnsi="Times New Roman"/>
                <w:b/>
                <w:bCs/>
                <w:color w:val="auto"/>
                <w:szCs w:val="21"/>
                <w:highlight w:val="none"/>
              </w:rPr>
            </w:pPr>
          </w:p>
        </w:tc>
        <w:tc>
          <w:tcPr>
            <w:tcW w:w="2174" w:type="dxa"/>
            <w:gridSpan w:val="4"/>
            <w:shd w:val="clear" w:color="auto" w:fill="auto"/>
            <w:noWrap w:val="0"/>
            <w:vAlign w:val="center"/>
          </w:tcPr>
          <w:p w14:paraId="05C44FC2">
            <w:pPr>
              <w:spacing w:line="280" w:lineRule="exact"/>
              <w:jc w:val="center"/>
              <w:rPr>
                <w:rFonts w:ascii="Times New Roman" w:hAnsi="Times New Roman"/>
                <w:b/>
                <w:bCs/>
                <w:color w:val="auto"/>
                <w:szCs w:val="21"/>
                <w:highlight w:val="none"/>
              </w:rPr>
            </w:pPr>
            <w:r>
              <w:rPr>
                <w:rFonts w:hint="eastAsia" w:ascii="Times New Roman" w:hAnsi="Times New Roman"/>
                <w:b/>
                <w:bCs/>
                <w:color w:val="auto"/>
                <w:szCs w:val="21"/>
                <w:highlight w:val="none"/>
              </w:rPr>
              <w:t>距室内边界距离</w:t>
            </w:r>
          </w:p>
        </w:tc>
        <w:tc>
          <w:tcPr>
            <w:tcW w:w="2181" w:type="dxa"/>
            <w:gridSpan w:val="4"/>
            <w:shd w:val="clear" w:color="auto" w:fill="auto"/>
            <w:noWrap w:val="0"/>
            <w:vAlign w:val="center"/>
          </w:tcPr>
          <w:p w14:paraId="615C7429">
            <w:pPr>
              <w:spacing w:line="280" w:lineRule="exact"/>
              <w:jc w:val="center"/>
              <w:rPr>
                <w:rFonts w:ascii="Times New Roman" w:hAnsi="Times New Roman"/>
                <w:b/>
                <w:bCs/>
                <w:color w:val="auto"/>
                <w:szCs w:val="21"/>
                <w:highlight w:val="none"/>
              </w:rPr>
            </w:pPr>
            <w:r>
              <w:rPr>
                <w:rFonts w:hint="eastAsia" w:ascii="Times New Roman" w:hAnsi="Times New Roman"/>
                <w:b/>
                <w:bCs/>
                <w:color w:val="auto"/>
                <w:szCs w:val="21"/>
                <w:highlight w:val="none"/>
              </w:rPr>
              <w:t>室内边界声级</w:t>
            </w:r>
          </w:p>
        </w:tc>
        <w:tc>
          <w:tcPr>
            <w:tcW w:w="542" w:type="dxa"/>
            <w:vMerge w:val="continue"/>
            <w:shd w:val="clear" w:color="auto" w:fill="auto"/>
            <w:noWrap w:val="0"/>
            <w:vAlign w:val="center"/>
          </w:tcPr>
          <w:p w14:paraId="3488DA83">
            <w:pPr>
              <w:spacing w:line="280" w:lineRule="exact"/>
              <w:jc w:val="center"/>
              <w:rPr>
                <w:rFonts w:ascii="Times New Roman" w:hAnsi="Times New Roman"/>
                <w:b/>
                <w:bCs/>
                <w:color w:val="auto"/>
                <w:szCs w:val="21"/>
                <w:highlight w:val="none"/>
              </w:rPr>
            </w:pPr>
          </w:p>
        </w:tc>
        <w:tc>
          <w:tcPr>
            <w:tcW w:w="897" w:type="dxa"/>
            <w:vMerge w:val="continue"/>
            <w:shd w:val="clear" w:color="auto" w:fill="auto"/>
            <w:noWrap w:val="0"/>
            <w:vAlign w:val="center"/>
          </w:tcPr>
          <w:p w14:paraId="7DB898DE">
            <w:pPr>
              <w:spacing w:line="280" w:lineRule="exact"/>
              <w:jc w:val="center"/>
              <w:rPr>
                <w:rFonts w:ascii="Times New Roman" w:hAnsi="Times New Roman"/>
                <w:b/>
                <w:bCs/>
                <w:color w:val="auto"/>
                <w:szCs w:val="21"/>
                <w:highlight w:val="none"/>
              </w:rPr>
            </w:pPr>
          </w:p>
        </w:tc>
        <w:tc>
          <w:tcPr>
            <w:tcW w:w="3023" w:type="dxa"/>
            <w:gridSpan w:val="4"/>
            <w:shd w:val="clear" w:color="auto" w:fill="auto"/>
            <w:noWrap w:val="0"/>
            <w:vAlign w:val="center"/>
          </w:tcPr>
          <w:p w14:paraId="1D43DCDC">
            <w:pPr>
              <w:spacing w:line="280" w:lineRule="exact"/>
              <w:jc w:val="center"/>
              <w:rPr>
                <w:rFonts w:ascii="Times New Roman" w:hAnsi="Times New Roman"/>
                <w:b/>
                <w:bCs/>
                <w:color w:val="auto"/>
                <w:szCs w:val="21"/>
                <w:highlight w:val="none"/>
              </w:rPr>
            </w:pPr>
            <w:r>
              <w:rPr>
                <w:rFonts w:hint="eastAsia" w:ascii="Times New Roman" w:hAnsi="Times New Roman"/>
                <w:b/>
                <w:bCs/>
                <w:color w:val="auto"/>
                <w:szCs w:val="21"/>
                <w:highlight w:val="none"/>
              </w:rPr>
              <w:t>声压级</w:t>
            </w:r>
          </w:p>
        </w:tc>
        <w:tc>
          <w:tcPr>
            <w:tcW w:w="1096" w:type="dxa"/>
            <w:vMerge w:val="restart"/>
            <w:shd w:val="clear" w:color="auto" w:fill="auto"/>
            <w:noWrap w:val="0"/>
            <w:vAlign w:val="center"/>
          </w:tcPr>
          <w:p w14:paraId="7A67DB7B">
            <w:pPr>
              <w:spacing w:line="280" w:lineRule="exact"/>
              <w:jc w:val="center"/>
              <w:rPr>
                <w:rFonts w:ascii="Times New Roman" w:hAnsi="Times New Roman"/>
                <w:b/>
                <w:bCs/>
                <w:color w:val="auto"/>
                <w:szCs w:val="21"/>
                <w:highlight w:val="none"/>
              </w:rPr>
            </w:pPr>
            <w:r>
              <w:rPr>
                <w:rFonts w:hint="eastAsia" w:ascii="Times New Roman" w:hAnsi="Times New Roman"/>
                <w:b/>
                <w:bCs/>
                <w:color w:val="auto"/>
                <w:szCs w:val="21"/>
                <w:highlight w:val="none"/>
              </w:rPr>
              <w:t>建筑物外距离/m</w:t>
            </w:r>
          </w:p>
        </w:tc>
      </w:tr>
      <w:tr w14:paraId="0053E79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27" w:type="dxa"/>
            <w:vMerge w:val="continue"/>
            <w:shd w:val="clear" w:color="auto" w:fill="auto"/>
            <w:noWrap w:val="0"/>
            <w:vAlign w:val="center"/>
          </w:tcPr>
          <w:p w14:paraId="4542CB8F">
            <w:pPr>
              <w:spacing w:line="280" w:lineRule="exact"/>
              <w:jc w:val="center"/>
              <w:rPr>
                <w:rFonts w:ascii="Times New Roman" w:hAnsi="Times New Roman"/>
                <w:b/>
                <w:bCs/>
                <w:color w:val="auto"/>
                <w:szCs w:val="21"/>
                <w:highlight w:val="none"/>
              </w:rPr>
            </w:pPr>
          </w:p>
        </w:tc>
        <w:tc>
          <w:tcPr>
            <w:tcW w:w="1428" w:type="dxa"/>
            <w:vMerge w:val="continue"/>
            <w:shd w:val="clear" w:color="auto" w:fill="auto"/>
            <w:noWrap w:val="0"/>
            <w:vAlign w:val="center"/>
          </w:tcPr>
          <w:p w14:paraId="7D4824A7">
            <w:pPr>
              <w:spacing w:line="280" w:lineRule="exact"/>
              <w:jc w:val="center"/>
              <w:rPr>
                <w:rFonts w:ascii="Times New Roman" w:hAnsi="Times New Roman"/>
                <w:b/>
                <w:bCs/>
                <w:color w:val="auto"/>
                <w:szCs w:val="21"/>
                <w:highlight w:val="none"/>
              </w:rPr>
            </w:pPr>
          </w:p>
        </w:tc>
        <w:tc>
          <w:tcPr>
            <w:tcW w:w="537" w:type="dxa"/>
            <w:vMerge w:val="continue"/>
            <w:shd w:val="clear" w:color="auto" w:fill="auto"/>
            <w:noWrap w:val="0"/>
            <w:vAlign w:val="center"/>
          </w:tcPr>
          <w:p w14:paraId="680C5148">
            <w:pPr>
              <w:spacing w:line="280" w:lineRule="exact"/>
              <w:jc w:val="center"/>
              <w:rPr>
                <w:rFonts w:ascii="Times New Roman" w:hAnsi="Times New Roman"/>
                <w:b/>
                <w:bCs/>
                <w:color w:val="auto"/>
                <w:szCs w:val="21"/>
                <w:highlight w:val="none"/>
              </w:rPr>
            </w:pPr>
          </w:p>
        </w:tc>
        <w:tc>
          <w:tcPr>
            <w:tcW w:w="537" w:type="dxa"/>
            <w:shd w:val="clear" w:color="auto" w:fill="auto"/>
            <w:noWrap w:val="0"/>
            <w:vAlign w:val="center"/>
          </w:tcPr>
          <w:p w14:paraId="4578FF8D">
            <w:pPr>
              <w:spacing w:line="280" w:lineRule="exact"/>
              <w:jc w:val="center"/>
              <w:rPr>
                <w:rFonts w:ascii="Times New Roman" w:hAnsi="Times New Roman"/>
                <w:b/>
                <w:bCs/>
                <w:color w:val="auto"/>
                <w:szCs w:val="21"/>
                <w:highlight w:val="none"/>
              </w:rPr>
            </w:pPr>
            <w:r>
              <w:rPr>
                <w:rFonts w:hint="eastAsia" w:ascii="Times New Roman" w:hAnsi="Times New Roman"/>
                <w:b/>
                <w:bCs/>
                <w:color w:val="auto"/>
                <w:szCs w:val="21"/>
                <w:highlight w:val="none"/>
              </w:rPr>
              <w:t>X</w:t>
            </w:r>
          </w:p>
        </w:tc>
        <w:tc>
          <w:tcPr>
            <w:tcW w:w="537" w:type="dxa"/>
            <w:shd w:val="clear" w:color="auto" w:fill="auto"/>
            <w:noWrap w:val="0"/>
            <w:vAlign w:val="center"/>
          </w:tcPr>
          <w:p w14:paraId="7BE6466C">
            <w:pPr>
              <w:spacing w:line="280" w:lineRule="exact"/>
              <w:jc w:val="center"/>
              <w:rPr>
                <w:rFonts w:ascii="Times New Roman" w:hAnsi="Times New Roman"/>
                <w:b/>
                <w:bCs/>
                <w:color w:val="auto"/>
                <w:szCs w:val="21"/>
                <w:highlight w:val="none"/>
              </w:rPr>
            </w:pPr>
            <w:r>
              <w:rPr>
                <w:rFonts w:hint="eastAsia" w:ascii="Times New Roman" w:hAnsi="Times New Roman"/>
                <w:b/>
                <w:bCs/>
                <w:color w:val="auto"/>
                <w:szCs w:val="21"/>
                <w:highlight w:val="none"/>
              </w:rPr>
              <w:t>Y</w:t>
            </w:r>
          </w:p>
        </w:tc>
        <w:tc>
          <w:tcPr>
            <w:tcW w:w="558" w:type="dxa"/>
            <w:shd w:val="clear" w:color="auto" w:fill="auto"/>
            <w:noWrap w:val="0"/>
            <w:vAlign w:val="center"/>
          </w:tcPr>
          <w:p w14:paraId="5497D1D2">
            <w:pPr>
              <w:spacing w:line="280" w:lineRule="exact"/>
              <w:jc w:val="center"/>
              <w:rPr>
                <w:rFonts w:ascii="Times New Roman" w:hAnsi="Times New Roman"/>
                <w:b/>
                <w:bCs/>
                <w:color w:val="auto"/>
                <w:szCs w:val="21"/>
                <w:highlight w:val="none"/>
              </w:rPr>
            </w:pPr>
            <w:r>
              <w:rPr>
                <w:rFonts w:hint="eastAsia" w:ascii="Times New Roman" w:hAnsi="Times New Roman"/>
                <w:b/>
                <w:bCs/>
                <w:color w:val="auto"/>
                <w:szCs w:val="21"/>
                <w:highlight w:val="none"/>
              </w:rPr>
              <w:t>Z</w:t>
            </w:r>
          </w:p>
        </w:tc>
        <w:tc>
          <w:tcPr>
            <w:tcW w:w="537" w:type="dxa"/>
            <w:shd w:val="clear" w:color="auto" w:fill="auto"/>
            <w:noWrap w:val="0"/>
            <w:vAlign w:val="center"/>
          </w:tcPr>
          <w:p w14:paraId="52CF4333">
            <w:pPr>
              <w:spacing w:line="280" w:lineRule="exact"/>
              <w:jc w:val="center"/>
              <w:rPr>
                <w:rFonts w:ascii="Times New Roman" w:hAnsi="Times New Roman"/>
                <w:b/>
                <w:bCs/>
                <w:color w:val="auto"/>
                <w:szCs w:val="21"/>
                <w:highlight w:val="none"/>
              </w:rPr>
            </w:pPr>
            <w:r>
              <w:rPr>
                <w:rFonts w:hint="eastAsia" w:ascii="Times New Roman" w:hAnsi="Times New Roman"/>
                <w:b/>
                <w:bCs/>
                <w:color w:val="auto"/>
                <w:szCs w:val="21"/>
                <w:highlight w:val="none"/>
              </w:rPr>
              <w:t>东</w:t>
            </w:r>
          </w:p>
        </w:tc>
        <w:tc>
          <w:tcPr>
            <w:tcW w:w="537" w:type="dxa"/>
            <w:shd w:val="clear" w:color="auto" w:fill="auto"/>
            <w:noWrap w:val="0"/>
            <w:vAlign w:val="center"/>
          </w:tcPr>
          <w:p w14:paraId="15BDB927">
            <w:pPr>
              <w:spacing w:line="280" w:lineRule="exact"/>
              <w:jc w:val="center"/>
              <w:rPr>
                <w:rFonts w:ascii="Times New Roman" w:hAnsi="Times New Roman"/>
                <w:b/>
                <w:bCs/>
                <w:color w:val="auto"/>
                <w:szCs w:val="21"/>
                <w:highlight w:val="none"/>
              </w:rPr>
            </w:pPr>
            <w:r>
              <w:rPr>
                <w:rFonts w:hint="eastAsia" w:ascii="Times New Roman" w:hAnsi="Times New Roman"/>
                <w:b/>
                <w:bCs/>
                <w:color w:val="auto"/>
                <w:szCs w:val="21"/>
                <w:highlight w:val="none"/>
              </w:rPr>
              <w:t>南</w:t>
            </w:r>
          </w:p>
        </w:tc>
        <w:tc>
          <w:tcPr>
            <w:tcW w:w="542" w:type="dxa"/>
            <w:shd w:val="clear" w:color="auto" w:fill="auto"/>
            <w:noWrap w:val="0"/>
            <w:vAlign w:val="center"/>
          </w:tcPr>
          <w:p w14:paraId="34E77559">
            <w:pPr>
              <w:spacing w:line="280" w:lineRule="exact"/>
              <w:jc w:val="center"/>
              <w:rPr>
                <w:rFonts w:ascii="Times New Roman" w:hAnsi="Times New Roman"/>
                <w:b/>
                <w:bCs/>
                <w:color w:val="auto"/>
                <w:szCs w:val="21"/>
                <w:highlight w:val="none"/>
              </w:rPr>
            </w:pPr>
            <w:r>
              <w:rPr>
                <w:rFonts w:hint="eastAsia" w:ascii="Times New Roman" w:hAnsi="Times New Roman"/>
                <w:b/>
                <w:bCs/>
                <w:color w:val="auto"/>
                <w:szCs w:val="21"/>
                <w:highlight w:val="none"/>
              </w:rPr>
              <w:t>西</w:t>
            </w:r>
          </w:p>
        </w:tc>
        <w:tc>
          <w:tcPr>
            <w:tcW w:w="558" w:type="dxa"/>
            <w:shd w:val="clear" w:color="auto" w:fill="auto"/>
            <w:noWrap w:val="0"/>
            <w:vAlign w:val="center"/>
          </w:tcPr>
          <w:p w14:paraId="1E2C9E94">
            <w:pPr>
              <w:spacing w:line="280" w:lineRule="exact"/>
              <w:jc w:val="center"/>
              <w:rPr>
                <w:rFonts w:ascii="Times New Roman" w:hAnsi="Times New Roman"/>
                <w:b/>
                <w:bCs/>
                <w:color w:val="auto"/>
                <w:szCs w:val="21"/>
                <w:highlight w:val="none"/>
              </w:rPr>
            </w:pPr>
            <w:r>
              <w:rPr>
                <w:rFonts w:hint="eastAsia" w:ascii="Times New Roman" w:hAnsi="Times New Roman"/>
                <w:b/>
                <w:bCs/>
                <w:color w:val="auto"/>
                <w:szCs w:val="21"/>
                <w:highlight w:val="none"/>
              </w:rPr>
              <w:t>北</w:t>
            </w:r>
          </w:p>
        </w:tc>
        <w:tc>
          <w:tcPr>
            <w:tcW w:w="542" w:type="dxa"/>
            <w:shd w:val="clear" w:color="auto" w:fill="auto"/>
            <w:noWrap w:val="0"/>
            <w:vAlign w:val="center"/>
          </w:tcPr>
          <w:p w14:paraId="3D3D4C5F">
            <w:pPr>
              <w:spacing w:line="280" w:lineRule="exact"/>
              <w:jc w:val="center"/>
              <w:rPr>
                <w:rFonts w:ascii="Times New Roman" w:hAnsi="Times New Roman"/>
                <w:b/>
                <w:bCs/>
                <w:color w:val="auto"/>
                <w:szCs w:val="21"/>
                <w:highlight w:val="none"/>
              </w:rPr>
            </w:pPr>
            <w:r>
              <w:rPr>
                <w:rFonts w:hint="eastAsia" w:ascii="Times New Roman" w:hAnsi="Times New Roman"/>
                <w:b/>
                <w:bCs/>
                <w:color w:val="auto"/>
                <w:szCs w:val="21"/>
                <w:highlight w:val="none"/>
              </w:rPr>
              <w:t>东</w:t>
            </w:r>
          </w:p>
        </w:tc>
        <w:tc>
          <w:tcPr>
            <w:tcW w:w="542" w:type="dxa"/>
            <w:shd w:val="clear" w:color="auto" w:fill="auto"/>
            <w:noWrap w:val="0"/>
            <w:vAlign w:val="center"/>
          </w:tcPr>
          <w:p w14:paraId="37EBE2B7">
            <w:pPr>
              <w:spacing w:line="280" w:lineRule="exact"/>
              <w:jc w:val="center"/>
              <w:rPr>
                <w:rFonts w:ascii="Times New Roman" w:hAnsi="Times New Roman"/>
                <w:b/>
                <w:bCs/>
                <w:color w:val="auto"/>
                <w:szCs w:val="21"/>
                <w:highlight w:val="none"/>
              </w:rPr>
            </w:pPr>
            <w:r>
              <w:rPr>
                <w:rFonts w:hint="eastAsia" w:ascii="Times New Roman" w:hAnsi="Times New Roman"/>
                <w:b/>
                <w:bCs/>
                <w:color w:val="auto"/>
                <w:szCs w:val="21"/>
                <w:highlight w:val="none"/>
              </w:rPr>
              <w:t>南</w:t>
            </w:r>
          </w:p>
        </w:tc>
        <w:tc>
          <w:tcPr>
            <w:tcW w:w="542" w:type="dxa"/>
            <w:shd w:val="clear" w:color="auto" w:fill="auto"/>
            <w:noWrap w:val="0"/>
            <w:vAlign w:val="center"/>
          </w:tcPr>
          <w:p w14:paraId="21834D58">
            <w:pPr>
              <w:spacing w:line="280" w:lineRule="exact"/>
              <w:jc w:val="center"/>
              <w:rPr>
                <w:rFonts w:ascii="Times New Roman" w:hAnsi="Times New Roman"/>
                <w:b/>
                <w:bCs/>
                <w:color w:val="auto"/>
                <w:szCs w:val="21"/>
                <w:highlight w:val="none"/>
              </w:rPr>
            </w:pPr>
            <w:r>
              <w:rPr>
                <w:rFonts w:hint="eastAsia" w:ascii="Times New Roman" w:hAnsi="Times New Roman"/>
                <w:b/>
                <w:bCs/>
                <w:color w:val="auto"/>
                <w:szCs w:val="21"/>
                <w:highlight w:val="none"/>
              </w:rPr>
              <w:t>西</w:t>
            </w:r>
          </w:p>
        </w:tc>
        <w:tc>
          <w:tcPr>
            <w:tcW w:w="555" w:type="dxa"/>
            <w:shd w:val="clear" w:color="auto" w:fill="auto"/>
            <w:noWrap w:val="0"/>
            <w:vAlign w:val="center"/>
          </w:tcPr>
          <w:p w14:paraId="1965159B">
            <w:pPr>
              <w:spacing w:line="280" w:lineRule="exact"/>
              <w:jc w:val="center"/>
              <w:rPr>
                <w:rFonts w:ascii="Times New Roman" w:hAnsi="Times New Roman"/>
                <w:b/>
                <w:bCs/>
                <w:color w:val="auto"/>
                <w:szCs w:val="21"/>
                <w:highlight w:val="none"/>
              </w:rPr>
            </w:pPr>
            <w:r>
              <w:rPr>
                <w:rFonts w:hint="eastAsia" w:ascii="Times New Roman" w:hAnsi="Times New Roman"/>
                <w:b/>
                <w:bCs/>
                <w:color w:val="auto"/>
                <w:szCs w:val="21"/>
                <w:highlight w:val="none"/>
              </w:rPr>
              <w:t>北</w:t>
            </w:r>
          </w:p>
        </w:tc>
        <w:tc>
          <w:tcPr>
            <w:tcW w:w="542" w:type="dxa"/>
            <w:vMerge w:val="continue"/>
            <w:shd w:val="clear" w:color="auto" w:fill="auto"/>
            <w:noWrap w:val="0"/>
            <w:vAlign w:val="center"/>
          </w:tcPr>
          <w:p w14:paraId="70802BD8">
            <w:pPr>
              <w:spacing w:line="280" w:lineRule="exact"/>
              <w:jc w:val="center"/>
              <w:rPr>
                <w:rFonts w:ascii="Times New Roman" w:hAnsi="Times New Roman"/>
                <w:b/>
                <w:bCs/>
                <w:color w:val="auto"/>
                <w:szCs w:val="21"/>
                <w:highlight w:val="none"/>
              </w:rPr>
            </w:pPr>
          </w:p>
        </w:tc>
        <w:tc>
          <w:tcPr>
            <w:tcW w:w="897" w:type="dxa"/>
            <w:vMerge w:val="continue"/>
            <w:shd w:val="clear" w:color="auto" w:fill="auto"/>
            <w:noWrap w:val="0"/>
            <w:vAlign w:val="center"/>
          </w:tcPr>
          <w:p w14:paraId="5C674DE4">
            <w:pPr>
              <w:spacing w:line="280" w:lineRule="exact"/>
              <w:jc w:val="center"/>
              <w:rPr>
                <w:rFonts w:ascii="Times New Roman" w:hAnsi="Times New Roman"/>
                <w:b/>
                <w:bCs/>
                <w:color w:val="auto"/>
                <w:szCs w:val="21"/>
                <w:highlight w:val="none"/>
              </w:rPr>
            </w:pPr>
          </w:p>
        </w:tc>
        <w:tc>
          <w:tcPr>
            <w:tcW w:w="746" w:type="dxa"/>
            <w:shd w:val="clear" w:color="auto" w:fill="auto"/>
            <w:noWrap w:val="0"/>
            <w:vAlign w:val="center"/>
          </w:tcPr>
          <w:p w14:paraId="5FE1DE88">
            <w:pPr>
              <w:spacing w:line="280" w:lineRule="exact"/>
              <w:jc w:val="center"/>
              <w:rPr>
                <w:rFonts w:ascii="Times New Roman" w:hAnsi="Times New Roman"/>
                <w:b/>
                <w:bCs/>
                <w:color w:val="auto"/>
                <w:szCs w:val="21"/>
                <w:highlight w:val="none"/>
              </w:rPr>
            </w:pPr>
            <w:r>
              <w:rPr>
                <w:rFonts w:hint="eastAsia" w:ascii="Times New Roman" w:hAnsi="Times New Roman"/>
                <w:b/>
                <w:bCs/>
                <w:color w:val="auto"/>
                <w:szCs w:val="21"/>
                <w:highlight w:val="none"/>
              </w:rPr>
              <w:t>东</w:t>
            </w:r>
          </w:p>
        </w:tc>
        <w:tc>
          <w:tcPr>
            <w:tcW w:w="689" w:type="dxa"/>
            <w:shd w:val="clear" w:color="auto" w:fill="auto"/>
            <w:noWrap w:val="0"/>
            <w:vAlign w:val="center"/>
          </w:tcPr>
          <w:p w14:paraId="13FF95E0">
            <w:pPr>
              <w:spacing w:line="280" w:lineRule="exact"/>
              <w:jc w:val="center"/>
              <w:rPr>
                <w:rFonts w:ascii="Times New Roman" w:hAnsi="Times New Roman"/>
                <w:b/>
                <w:bCs/>
                <w:color w:val="auto"/>
                <w:szCs w:val="21"/>
                <w:highlight w:val="none"/>
              </w:rPr>
            </w:pPr>
            <w:r>
              <w:rPr>
                <w:rFonts w:hint="eastAsia" w:ascii="Times New Roman" w:hAnsi="Times New Roman"/>
                <w:b/>
                <w:bCs/>
                <w:color w:val="auto"/>
                <w:szCs w:val="21"/>
                <w:highlight w:val="none"/>
              </w:rPr>
              <w:t>南</w:t>
            </w:r>
          </w:p>
        </w:tc>
        <w:tc>
          <w:tcPr>
            <w:tcW w:w="838" w:type="dxa"/>
            <w:shd w:val="clear" w:color="auto" w:fill="auto"/>
            <w:noWrap w:val="0"/>
            <w:vAlign w:val="center"/>
          </w:tcPr>
          <w:p w14:paraId="6DE4E804">
            <w:pPr>
              <w:spacing w:line="280" w:lineRule="exact"/>
              <w:jc w:val="center"/>
              <w:rPr>
                <w:rFonts w:ascii="Times New Roman" w:hAnsi="Times New Roman"/>
                <w:b/>
                <w:bCs/>
                <w:color w:val="auto"/>
                <w:szCs w:val="21"/>
                <w:highlight w:val="none"/>
              </w:rPr>
            </w:pPr>
            <w:r>
              <w:rPr>
                <w:rFonts w:hint="eastAsia" w:ascii="Times New Roman" w:hAnsi="Times New Roman"/>
                <w:b/>
                <w:bCs/>
                <w:color w:val="auto"/>
                <w:szCs w:val="21"/>
                <w:highlight w:val="none"/>
              </w:rPr>
              <w:t>西</w:t>
            </w:r>
          </w:p>
        </w:tc>
        <w:tc>
          <w:tcPr>
            <w:tcW w:w="750" w:type="dxa"/>
            <w:shd w:val="clear" w:color="auto" w:fill="auto"/>
            <w:noWrap w:val="0"/>
            <w:vAlign w:val="center"/>
          </w:tcPr>
          <w:p w14:paraId="1B076245">
            <w:pPr>
              <w:spacing w:line="280" w:lineRule="exact"/>
              <w:jc w:val="center"/>
              <w:rPr>
                <w:rFonts w:ascii="Times New Roman" w:hAnsi="Times New Roman"/>
                <w:b/>
                <w:bCs/>
                <w:color w:val="auto"/>
                <w:szCs w:val="21"/>
                <w:highlight w:val="none"/>
              </w:rPr>
            </w:pPr>
            <w:r>
              <w:rPr>
                <w:rFonts w:hint="eastAsia" w:ascii="Times New Roman" w:hAnsi="Times New Roman"/>
                <w:b/>
                <w:bCs/>
                <w:color w:val="auto"/>
                <w:szCs w:val="21"/>
                <w:highlight w:val="none"/>
              </w:rPr>
              <w:t>北</w:t>
            </w:r>
          </w:p>
        </w:tc>
        <w:tc>
          <w:tcPr>
            <w:tcW w:w="1096" w:type="dxa"/>
            <w:vMerge w:val="continue"/>
            <w:shd w:val="clear" w:color="auto" w:fill="auto"/>
            <w:noWrap w:val="0"/>
            <w:vAlign w:val="center"/>
          </w:tcPr>
          <w:p w14:paraId="2809F822">
            <w:pPr>
              <w:spacing w:line="280" w:lineRule="exact"/>
              <w:jc w:val="center"/>
              <w:rPr>
                <w:rFonts w:ascii="Times New Roman" w:hAnsi="Times New Roman"/>
                <w:color w:val="auto"/>
                <w:szCs w:val="21"/>
                <w:highlight w:val="none"/>
              </w:rPr>
            </w:pPr>
          </w:p>
        </w:tc>
      </w:tr>
      <w:tr w14:paraId="026E3E3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27" w:type="dxa"/>
            <w:shd w:val="clear" w:color="auto" w:fill="auto"/>
            <w:noWrap w:val="0"/>
            <w:vAlign w:val="center"/>
          </w:tcPr>
          <w:p w14:paraId="07D594D9">
            <w:pPr>
              <w:spacing w:line="280" w:lineRule="exact"/>
              <w:jc w:val="center"/>
              <w:rPr>
                <w:rFonts w:hint="default" w:ascii="Times New Roman" w:hAnsi="Times New Roman" w:eastAsia="宋体"/>
                <w:color w:val="auto"/>
                <w:szCs w:val="21"/>
                <w:highlight w:val="none"/>
                <w:lang w:val="en-US" w:eastAsia="zh-CN"/>
              </w:rPr>
            </w:pPr>
            <w:r>
              <w:rPr>
                <w:rFonts w:hint="eastAsia"/>
                <w:color w:val="auto"/>
                <w:szCs w:val="21"/>
                <w:highlight w:val="none"/>
                <w:lang w:val="en-US" w:eastAsia="zh-CN"/>
              </w:rPr>
              <w:t>1</w:t>
            </w:r>
          </w:p>
        </w:tc>
        <w:tc>
          <w:tcPr>
            <w:tcW w:w="1428" w:type="dxa"/>
            <w:shd w:val="clear" w:color="auto" w:fill="auto"/>
            <w:noWrap w:val="0"/>
            <w:vAlign w:val="center"/>
          </w:tcPr>
          <w:p w14:paraId="78F5A8AB">
            <w:pPr>
              <w:spacing w:line="280" w:lineRule="exact"/>
              <w:jc w:val="center"/>
              <w:rPr>
                <w:rFonts w:hint="default" w:ascii="Times New Roman" w:hAnsi="Times New Roman" w:eastAsia="宋体"/>
                <w:color w:val="auto"/>
                <w:szCs w:val="21"/>
                <w:highlight w:val="none"/>
                <w:lang w:val="en-US" w:eastAsia="zh-CN"/>
              </w:rPr>
            </w:pPr>
            <w:r>
              <w:rPr>
                <w:rFonts w:hint="default" w:ascii="Times New Roman" w:hAnsi="Times New Roman" w:cs="Times New Roman"/>
                <w:color w:val="auto"/>
                <w:szCs w:val="21"/>
                <w:highlight w:val="none"/>
              </w:rPr>
              <w:t>正极</w:t>
            </w:r>
            <w:r>
              <w:rPr>
                <w:rFonts w:hint="default" w:ascii="Times New Roman" w:hAnsi="Times New Roman" w:cs="Times New Roman"/>
                <w:color w:val="auto"/>
                <w:szCs w:val="21"/>
                <w:highlight w:val="none"/>
                <w:lang w:val="en-US" w:eastAsia="zh-CN"/>
              </w:rPr>
              <w:t>匀浆</w:t>
            </w:r>
            <w:r>
              <w:rPr>
                <w:rFonts w:hint="default" w:ascii="Times New Roman" w:hAnsi="Times New Roman" w:cs="Times New Roman"/>
                <w:color w:val="auto"/>
                <w:szCs w:val="21"/>
                <w:highlight w:val="none"/>
              </w:rPr>
              <w:t>系统</w:t>
            </w:r>
            <w:r>
              <w:rPr>
                <w:rFonts w:hint="default" w:ascii="Times New Roman" w:hAnsi="Times New Roman" w:cs="Times New Roman"/>
                <w:color w:val="auto"/>
                <w:szCs w:val="21"/>
                <w:highlight w:val="none"/>
                <w:lang w:val="en-US" w:eastAsia="zh-CN"/>
              </w:rPr>
              <w:t>1#</w:t>
            </w:r>
          </w:p>
        </w:tc>
        <w:tc>
          <w:tcPr>
            <w:tcW w:w="537" w:type="dxa"/>
            <w:shd w:val="clear" w:color="auto" w:fill="auto"/>
            <w:noWrap w:val="0"/>
            <w:vAlign w:val="center"/>
          </w:tcPr>
          <w:p w14:paraId="2E3CA279">
            <w:pPr>
              <w:spacing w:line="280" w:lineRule="exact"/>
              <w:jc w:val="center"/>
              <w:rPr>
                <w:rFonts w:hint="default" w:ascii="Times New Roman" w:hAnsi="Times New Roman" w:eastAsia="宋体"/>
                <w:color w:val="auto"/>
                <w:szCs w:val="21"/>
                <w:highlight w:val="none"/>
                <w:lang w:val="en-US" w:eastAsia="zh-CN"/>
              </w:rPr>
            </w:pPr>
            <w:r>
              <w:rPr>
                <w:rFonts w:hint="eastAsia"/>
                <w:color w:val="auto"/>
                <w:szCs w:val="21"/>
                <w:highlight w:val="none"/>
                <w:lang w:val="en-US" w:eastAsia="zh-CN"/>
              </w:rPr>
              <w:t>80</w:t>
            </w:r>
          </w:p>
        </w:tc>
        <w:tc>
          <w:tcPr>
            <w:tcW w:w="537" w:type="dxa"/>
            <w:shd w:val="clear" w:color="auto" w:fill="auto"/>
            <w:noWrap w:val="0"/>
            <w:vAlign w:val="center"/>
          </w:tcPr>
          <w:p w14:paraId="09646E03">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43.21</w:t>
            </w:r>
          </w:p>
        </w:tc>
        <w:tc>
          <w:tcPr>
            <w:tcW w:w="537" w:type="dxa"/>
            <w:shd w:val="clear" w:color="auto" w:fill="auto"/>
            <w:noWrap w:val="0"/>
            <w:vAlign w:val="center"/>
          </w:tcPr>
          <w:p w14:paraId="3400A4C7">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43.29</w:t>
            </w:r>
          </w:p>
        </w:tc>
        <w:tc>
          <w:tcPr>
            <w:tcW w:w="558" w:type="dxa"/>
            <w:shd w:val="clear" w:color="auto" w:fill="auto"/>
            <w:noWrap w:val="0"/>
            <w:vAlign w:val="center"/>
          </w:tcPr>
          <w:p w14:paraId="7DA34280">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1.4</w:t>
            </w:r>
          </w:p>
        </w:tc>
        <w:tc>
          <w:tcPr>
            <w:tcW w:w="537" w:type="dxa"/>
            <w:shd w:val="clear" w:color="auto" w:fill="auto"/>
            <w:noWrap w:val="0"/>
            <w:vAlign w:val="center"/>
          </w:tcPr>
          <w:p w14:paraId="56D41E75">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33.7</w:t>
            </w:r>
          </w:p>
        </w:tc>
        <w:tc>
          <w:tcPr>
            <w:tcW w:w="537" w:type="dxa"/>
            <w:shd w:val="clear" w:color="auto" w:fill="auto"/>
            <w:noWrap w:val="0"/>
            <w:vAlign w:val="center"/>
          </w:tcPr>
          <w:p w14:paraId="5F7376C5">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26.5</w:t>
            </w:r>
          </w:p>
        </w:tc>
        <w:tc>
          <w:tcPr>
            <w:tcW w:w="542" w:type="dxa"/>
            <w:shd w:val="clear" w:color="auto" w:fill="auto"/>
            <w:noWrap w:val="0"/>
            <w:vAlign w:val="center"/>
          </w:tcPr>
          <w:p w14:paraId="44768757">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55.9</w:t>
            </w:r>
          </w:p>
        </w:tc>
        <w:tc>
          <w:tcPr>
            <w:tcW w:w="558" w:type="dxa"/>
            <w:shd w:val="clear" w:color="auto" w:fill="auto"/>
            <w:noWrap w:val="0"/>
            <w:vAlign w:val="center"/>
          </w:tcPr>
          <w:p w14:paraId="14BDAE1E">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140.7</w:t>
            </w:r>
          </w:p>
        </w:tc>
        <w:tc>
          <w:tcPr>
            <w:tcW w:w="542" w:type="dxa"/>
            <w:shd w:val="clear" w:color="auto" w:fill="auto"/>
            <w:noWrap w:val="0"/>
            <w:vAlign w:val="center"/>
          </w:tcPr>
          <w:p w14:paraId="619DA6C7">
            <w:pPr>
              <w:spacing w:line="280" w:lineRule="exact"/>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 xml:space="preserve">54.9 </w:t>
            </w:r>
          </w:p>
        </w:tc>
        <w:tc>
          <w:tcPr>
            <w:tcW w:w="542" w:type="dxa"/>
            <w:shd w:val="clear" w:color="auto" w:fill="auto"/>
            <w:noWrap w:val="0"/>
            <w:vAlign w:val="center"/>
          </w:tcPr>
          <w:p w14:paraId="6D73F366">
            <w:pPr>
              <w:spacing w:line="280" w:lineRule="exact"/>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 xml:space="preserve">54.9 </w:t>
            </w:r>
          </w:p>
        </w:tc>
        <w:tc>
          <w:tcPr>
            <w:tcW w:w="542" w:type="dxa"/>
            <w:shd w:val="clear" w:color="auto" w:fill="auto"/>
            <w:noWrap w:val="0"/>
            <w:vAlign w:val="center"/>
          </w:tcPr>
          <w:p w14:paraId="7B43657B">
            <w:pPr>
              <w:spacing w:line="280" w:lineRule="exact"/>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 xml:space="preserve">54.8 </w:t>
            </w:r>
          </w:p>
        </w:tc>
        <w:tc>
          <w:tcPr>
            <w:tcW w:w="555" w:type="dxa"/>
            <w:shd w:val="clear" w:color="auto" w:fill="auto"/>
            <w:noWrap w:val="0"/>
            <w:vAlign w:val="center"/>
          </w:tcPr>
          <w:p w14:paraId="2E25EE25">
            <w:pPr>
              <w:spacing w:line="280" w:lineRule="exact"/>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 xml:space="preserve">54.8 </w:t>
            </w:r>
          </w:p>
        </w:tc>
        <w:tc>
          <w:tcPr>
            <w:tcW w:w="542" w:type="dxa"/>
            <w:vMerge w:val="restart"/>
            <w:shd w:val="clear" w:color="auto" w:fill="auto"/>
            <w:noWrap w:val="0"/>
            <w:vAlign w:val="center"/>
          </w:tcPr>
          <w:p w14:paraId="1800994D">
            <w:pPr>
              <w:spacing w:line="280" w:lineRule="exact"/>
              <w:jc w:val="center"/>
              <w:rPr>
                <w:rFonts w:hint="default" w:ascii="Times New Roman" w:hAnsi="Times New Roman" w:eastAsia="宋体"/>
                <w:color w:val="auto"/>
                <w:szCs w:val="21"/>
                <w:highlight w:val="none"/>
                <w:lang w:val="en-US" w:eastAsia="zh-CN"/>
              </w:rPr>
            </w:pPr>
            <w:r>
              <w:rPr>
                <w:rFonts w:hint="eastAsia" w:ascii="Times New Roman" w:hAnsi="Times New Roman" w:eastAsia="宋体"/>
                <w:color w:val="auto"/>
                <w:szCs w:val="21"/>
                <w:highlight w:val="none"/>
                <w:lang w:val="en-US" w:eastAsia="zh-CN"/>
              </w:rPr>
              <w:t>昼、夜间</w:t>
            </w:r>
          </w:p>
        </w:tc>
        <w:tc>
          <w:tcPr>
            <w:tcW w:w="897" w:type="dxa"/>
            <w:shd w:val="clear" w:color="auto" w:fill="auto"/>
            <w:noWrap w:val="0"/>
            <w:vAlign w:val="center"/>
          </w:tcPr>
          <w:p w14:paraId="0C8D8526">
            <w:pPr>
              <w:spacing w:line="280" w:lineRule="exact"/>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24.3</w:t>
            </w:r>
          </w:p>
        </w:tc>
        <w:tc>
          <w:tcPr>
            <w:tcW w:w="746" w:type="dxa"/>
            <w:shd w:val="clear" w:color="auto" w:fill="auto"/>
            <w:noWrap w:val="0"/>
            <w:vAlign w:val="center"/>
          </w:tcPr>
          <w:p w14:paraId="5067B6A3">
            <w:pPr>
              <w:spacing w:line="280" w:lineRule="exact"/>
              <w:jc w:val="center"/>
              <w:rPr>
                <w:rFonts w:hint="default" w:cs="Times New Roman"/>
                <w:color w:val="auto"/>
                <w:szCs w:val="21"/>
                <w:highlight w:val="none"/>
                <w:lang w:val="en-US" w:eastAsia="zh-CN"/>
              </w:rPr>
            </w:pPr>
            <w:r>
              <w:rPr>
                <w:rFonts w:hint="eastAsia" w:cs="Times New Roman"/>
                <w:color w:val="auto"/>
                <w:szCs w:val="21"/>
                <w:highlight w:val="none"/>
                <w:lang w:val="en-US" w:eastAsia="zh-CN"/>
              </w:rPr>
              <w:t>30.6</w:t>
            </w:r>
          </w:p>
        </w:tc>
        <w:tc>
          <w:tcPr>
            <w:tcW w:w="689" w:type="dxa"/>
            <w:shd w:val="clear" w:color="auto" w:fill="auto"/>
            <w:noWrap w:val="0"/>
            <w:vAlign w:val="center"/>
          </w:tcPr>
          <w:p w14:paraId="1640C557">
            <w:pPr>
              <w:spacing w:line="280" w:lineRule="exact"/>
              <w:jc w:val="center"/>
              <w:rPr>
                <w:rFonts w:hint="default" w:cs="Times New Roman"/>
                <w:color w:val="auto"/>
                <w:szCs w:val="21"/>
                <w:highlight w:val="none"/>
                <w:lang w:val="en-US" w:eastAsia="zh-CN"/>
              </w:rPr>
            </w:pPr>
            <w:r>
              <w:rPr>
                <w:rFonts w:hint="eastAsia" w:cs="Times New Roman"/>
                <w:color w:val="auto"/>
                <w:szCs w:val="21"/>
                <w:highlight w:val="none"/>
                <w:lang w:val="en-US" w:eastAsia="zh-CN"/>
              </w:rPr>
              <w:t>30.6</w:t>
            </w:r>
          </w:p>
        </w:tc>
        <w:tc>
          <w:tcPr>
            <w:tcW w:w="838" w:type="dxa"/>
            <w:shd w:val="clear" w:color="auto" w:fill="auto"/>
            <w:noWrap w:val="0"/>
            <w:vAlign w:val="center"/>
          </w:tcPr>
          <w:p w14:paraId="1D956774">
            <w:pPr>
              <w:spacing w:line="280" w:lineRule="exact"/>
              <w:jc w:val="center"/>
              <w:rPr>
                <w:rFonts w:hint="default" w:cs="Times New Roman"/>
                <w:color w:val="auto"/>
                <w:szCs w:val="21"/>
                <w:highlight w:val="none"/>
                <w:lang w:val="en-US" w:eastAsia="zh-CN"/>
              </w:rPr>
            </w:pPr>
            <w:r>
              <w:rPr>
                <w:rFonts w:hint="eastAsia" w:cs="Times New Roman"/>
                <w:color w:val="auto"/>
                <w:szCs w:val="21"/>
                <w:highlight w:val="none"/>
                <w:lang w:val="en-US" w:eastAsia="zh-CN"/>
              </w:rPr>
              <w:t>30.5</w:t>
            </w:r>
          </w:p>
        </w:tc>
        <w:tc>
          <w:tcPr>
            <w:tcW w:w="750" w:type="dxa"/>
            <w:shd w:val="clear" w:color="auto" w:fill="auto"/>
            <w:noWrap w:val="0"/>
            <w:vAlign w:val="center"/>
          </w:tcPr>
          <w:p w14:paraId="0A242681">
            <w:pPr>
              <w:spacing w:line="280" w:lineRule="exact"/>
              <w:jc w:val="center"/>
              <w:rPr>
                <w:rFonts w:hint="default" w:cs="Times New Roman"/>
                <w:color w:val="auto"/>
                <w:szCs w:val="21"/>
                <w:highlight w:val="none"/>
                <w:lang w:val="en-US" w:eastAsia="zh-CN"/>
              </w:rPr>
            </w:pPr>
            <w:r>
              <w:rPr>
                <w:rFonts w:hint="eastAsia" w:cs="Times New Roman"/>
                <w:color w:val="auto"/>
                <w:szCs w:val="21"/>
                <w:highlight w:val="none"/>
                <w:lang w:val="en-US" w:eastAsia="zh-CN"/>
              </w:rPr>
              <w:t>30.5</w:t>
            </w:r>
          </w:p>
        </w:tc>
        <w:tc>
          <w:tcPr>
            <w:tcW w:w="1096" w:type="dxa"/>
            <w:shd w:val="clear" w:color="auto" w:fill="auto"/>
            <w:noWrap w:val="0"/>
            <w:vAlign w:val="center"/>
          </w:tcPr>
          <w:p w14:paraId="3CE00E48">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1</w:t>
            </w:r>
          </w:p>
        </w:tc>
      </w:tr>
      <w:tr w14:paraId="28888E1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812" w:hRule="atLeast"/>
          <w:jc w:val="center"/>
        </w:trPr>
        <w:tc>
          <w:tcPr>
            <w:tcW w:w="427" w:type="dxa"/>
            <w:shd w:val="clear" w:color="auto" w:fill="auto"/>
            <w:noWrap w:val="0"/>
            <w:vAlign w:val="center"/>
          </w:tcPr>
          <w:p w14:paraId="5AF55C59">
            <w:pPr>
              <w:spacing w:line="280" w:lineRule="exact"/>
              <w:jc w:val="center"/>
              <w:rPr>
                <w:rFonts w:hint="default" w:ascii="Times New Roman" w:hAnsi="Times New Roman"/>
                <w:color w:val="auto"/>
                <w:szCs w:val="21"/>
                <w:highlight w:val="none"/>
                <w:lang w:val="en-US" w:eastAsia="zh-CN"/>
              </w:rPr>
            </w:pPr>
            <w:r>
              <w:rPr>
                <w:rFonts w:hint="eastAsia"/>
                <w:color w:val="auto"/>
                <w:szCs w:val="21"/>
                <w:highlight w:val="none"/>
                <w:lang w:val="en-US" w:eastAsia="zh-CN"/>
              </w:rPr>
              <w:t>2</w:t>
            </w:r>
          </w:p>
        </w:tc>
        <w:tc>
          <w:tcPr>
            <w:tcW w:w="1428" w:type="dxa"/>
            <w:shd w:val="clear" w:color="auto" w:fill="auto"/>
            <w:noWrap w:val="0"/>
            <w:vAlign w:val="center"/>
          </w:tcPr>
          <w:p w14:paraId="0B275DEC">
            <w:pPr>
              <w:spacing w:line="280" w:lineRule="exact"/>
              <w:jc w:val="center"/>
              <w:rPr>
                <w:rFonts w:hint="default" w:ascii="Times New Roman" w:hAnsi="Times New Roman"/>
                <w:color w:val="auto"/>
                <w:szCs w:val="21"/>
                <w:highlight w:val="none"/>
                <w:lang w:val="en-US" w:eastAsia="zh-CN"/>
              </w:rPr>
            </w:pPr>
            <w:r>
              <w:rPr>
                <w:rFonts w:hint="default" w:ascii="Times New Roman" w:hAnsi="Times New Roman" w:cs="Times New Roman"/>
                <w:color w:val="auto"/>
                <w:szCs w:val="21"/>
                <w:highlight w:val="none"/>
              </w:rPr>
              <w:t>正极</w:t>
            </w:r>
            <w:r>
              <w:rPr>
                <w:rFonts w:hint="default" w:ascii="Times New Roman" w:hAnsi="Times New Roman" w:cs="Times New Roman"/>
                <w:color w:val="auto"/>
                <w:szCs w:val="21"/>
                <w:highlight w:val="none"/>
                <w:lang w:val="en-US" w:eastAsia="zh-CN"/>
              </w:rPr>
              <w:t>匀浆</w:t>
            </w:r>
            <w:r>
              <w:rPr>
                <w:rFonts w:hint="default" w:ascii="Times New Roman" w:hAnsi="Times New Roman" w:cs="Times New Roman"/>
                <w:color w:val="auto"/>
                <w:szCs w:val="21"/>
                <w:highlight w:val="none"/>
              </w:rPr>
              <w:t>系统</w:t>
            </w:r>
            <w:r>
              <w:rPr>
                <w:rFonts w:hint="eastAsia" w:ascii="Times New Roman" w:hAnsi="Times New Roman" w:cs="Times New Roman"/>
                <w:color w:val="auto"/>
                <w:szCs w:val="21"/>
                <w:highlight w:val="none"/>
                <w:lang w:val="en-US" w:eastAsia="zh-CN"/>
              </w:rPr>
              <w:t>2</w:t>
            </w:r>
            <w:r>
              <w:rPr>
                <w:rFonts w:hint="default" w:ascii="Times New Roman" w:hAnsi="Times New Roman" w:cs="Times New Roman"/>
                <w:color w:val="auto"/>
                <w:szCs w:val="21"/>
                <w:highlight w:val="none"/>
                <w:lang w:val="en-US" w:eastAsia="zh-CN"/>
              </w:rPr>
              <w:t>#</w:t>
            </w:r>
          </w:p>
        </w:tc>
        <w:tc>
          <w:tcPr>
            <w:tcW w:w="537" w:type="dxa"/>
            <w:shd w:val="clear" w:color="auto" w:fill="auto"/>
            <w:noWrap w:val="0"/>
            <w:vAlign w:val="center"/>
          </w:tcPr>
          <w:p w14:paraId="385A504A">
            <w:pPr>
              <w:spacing w:line="280" w:lineRule="exact"/>
              <w:jc w:val="center"/>
              <w:rPr>
                <w:rFonts w:hint="default" w:ascii="Times New Roman" w:hAnsi="Times New Roman"/>
                <w:color w:val="auto"/>
                <w:szCs w:val="21"/>
                <w:highlight w:val="none"/>
                <w:lang w:val="en-US" w:eastAsia="zh-CN"/>
              </w:rPr>
            </w:pPr>
            <w:r>
              <w:rPr>
                <w:rFonts w:hint="eastAsia"/>
                <w:color w:val="auto"/>
                <w:szCs w:val="21"/>
                <w:highlight w:val="none"/>
                <w:lang w:val="en-US" w:eastAsia="zh-CN"/>
              </w:rPr>
              <w:t>80</w:t>
            </w:r>
          </w:p>
        </w:tc>
        <w:tc>
          <w:tcPr>
            <w:tcW w:w="537" w:type="dxa"/>
            <w:shd w:val="clear" w:color="auto" w:fill="auto"/>
            <w:noWrap w:val="0"/>
            <w:vAlign w:val="center"/>
          </w:tcPr>
          <w:p w14:paraId="4A174A4C">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42.02</w:t>
            </w:r>
          </w:p>
        </w:tc>
        <w:tc>
          <w:tcPr>
            <w:tcW w:w="537" w:type="dxa"/>
            <w:shd w:val="clear" w:color="auto" w:fill="auto"/>
            <w:noWrap w:val="0"/>
            <w:vAlign w:val="center"/>
          </w:tcPr>
          <w:p w14:paraId="2550403F">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46.37</w:t>
            </w:r>
          </w:p>
        </w:tc>
        <w:tc>
          <w:tcPr>
            <w:tcW w:w="558" w:type="dxa"/>
            <w:shd w:val="clear" w:color="auto" w:fill="auto"/>
            <w:noWrap w:val="0"/>
            <w:vAlign w:val="center"/>
          </w:tcPr>
          <w:p w14:paraId="2EE78414">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1.4</w:t>
            </w:r>
          </w:p>
        </w:tc>
        <w:tc>
          <w:tcPr>
            <w:tcW w:w="537" w:type="dxa"/>
            <w:shd w:val="clear" w:color="auto" w:fill="auto"/>
            <w:noWrap w:val="0"/>
            <w:vAlign w:val="center"/>
          </w:tcPr>
          <w:p w14:paraId="6DB1AC11">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34.0</w:t>
            </w:r>
          </w:p>
        </w:tc>
        <w:tc>
          <w:tcPr>
            <w:tcW w:w="537" w:type="dxa"/>
            <w:shd w:val="clear" w:color="auto" w:fill="auto"/>
            <w:noWrap w:val="0"/>
            <w:vAlign w:val="center"/>
          </w:tcPr>
          <w:p w14:paraId="00A7F40F">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30.6</w:t>
            </w:r>
          </w:p>
        </w:tc>
        <w:tc>
          <w:tcPr>
            <w:tcW w:w="542" w:type="dxa"/>
            <w:shd w:val="clear" w:color="auto" w:fill="auto"/>
            <w:noWrap w:val="0"/>
            <w:vAlign w:val="center"/>
          </w:tcPr>
          <w:p w14:paraId="61839CAE">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55.7</w:t>
            </w:r>
          </w:p>
        </w:tc>
        <w:tc>
          <w:tcPr>
            <w:tcW w:w="558" w:type="dxa"/>
            <w:shd w:val="clear" w:color="auto" w:fill="auto"/>
            <w:noWrap w:val="0"/>
            <w:vAlign w:val="center"/>
          </w:tcPr>
          <w:p w14:paraId="7C246835">
            <w:pPr>
              <w:spacing w:line="280" w:lineRule="exact"/>
              <w:jc w:val="both"/>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120.2</w:t>
            </w:r>
          </w:p>
        </w:tc>
        <w:tc>
          <w:tcPr>
            <w:tcW w:w="542" w:type="dxa"/>
            <w:shd w:val="clear" w:color="auto" w:fill="auto"/>
            <w:noWrap w:val="0"/>
            <w:vAlign w:val="center"/>
          </w:tcPr>
          <w:p w14:paraId="56A7D98C">
            <w:pPr>
              <w:spacing w:line="280" w:lineRule="exact"/>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 xml:space="preserve">54.9 </w:t>
            </w:r>
          </w:p>
        </w:tc>
        <w:tc>
          <w:tcPr>
            <w:tcW w:w="542" w:type="dxa"/>
            <w:shd w:val="clear" w:color="auto" w:fill="auto"/>
            <w:noWrap w:val="0"/>
            <w:vAlign w:val="center"/>
          </w:tcPr>
          <w:p w14:paraId="50CE559A">
            <w:pPr>
              <w:spacing w:line="280" w:lineRule="exact"/>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 xml:space="preserve">54.9 </w:t>
            </w:r>
          </w:p>
        </w:tc>
        <w:tc>
          <w:tcPr>
            <w:tcW w:w="542" w:type="dxa"/>
            <w:shd w:val="clear" w:color="auto" w:fill="auto"/>
            <w:noWrap w:val="0"/>
            <w:vAlign w:val="center"/>
          </w:tcPr>
          <w:p w14:paraId="2298C1FA">
            <w:pPr>
              <w:spacing w:line="280" w:lineRule="exact"/>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 xml:space="preserve">54.8 </w:t>
            </w:r>
          </w:p>
        </w:tc>
        <w:tc>
          <w:tcPr>
            <w:tcW w:w="555" w:type="dxa"/>
            <w:shd w:val="clear" w:color="auto" w:fill="auto"/>
            <w:noWrap w:val="0"/>
            <w:vAlign w:val="center"/>
          </w:tcPr>
          <w:p w14:paraId="07343649">
            <w:pPr>
              <w:spacing w:line="280" w:lineRule="exact"/>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 xml:space="preserve">54.8 </w:t>
            </w:r>
          </w:p>
        </w:tc>
        <w:tc>
          <w:tcPr>
            <w:tcW w:w="542" w:type="dxa"/>
            <w:vMerge w:val="continue"/>
            <w:shd w:val="clear" w:color="auto" w:fill="auto"/>
            <w:noWrap w:val="0"/>
            <w:vAlign w:val="center"/>
          </w:tcPr>
          <w:p w14:paraId="60B06212">
            <w:pPr>
              <w:spacing w:line="280" w:lineRule="exact"/>
              <w:jc w:val="center"/>
              <w:rPr>
                <w:rFonts w:hint="default" w:ascii="Times New Roman" w:hAnsi="Times New Roman" w:eastAsia="宋体"/>
                <w:color w:val="auto"/>
                <w:szCs w:val="21"/>
                <w:highlight w:val="none"/>
                <w:lang w:val="en-US" w:eastAsia="zh-CN"/>
              </w:rPr>
            </w:pPr>
          </w:p>
        </w:tc>
        <w:tc>
          <w:tcPr>
            <w:tcW w:w="897" w:type="dxa"/>
            <w:shd w:val="clear" w:color="auto" w:fill="auto"/>
            <w:noWrap w:val="0"/>
            <w:vAlign w:val="center"/>
          </w:tcPr>
          <w:p w14:paraId="446EE537">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24.3</w:t>
            </w:r>
          </w:p>
        </w:tc>
        <w:tc>
          <w:tcPr>
            <w:tcW w:w="746" w:type="dxa"/>
            <w:shd w:val="clear" w:color="auto" w:fill="auto"/>
            <w:noWrap w:val="0"/>
            <w:vAlign w:val="center"/>
          </w:tcPr>
          <w:p w14:paraId="354433AA">
            <w:pPr>
              <w:spacing w:line="280" w:lineRule="exact"/>
              <w:jc w:val="center"/>
              <w:rPr>
                <w:rFonts w:hint="default" w:cs="Times New Roman"/>
                <w:color w:val="auto"/>
                <w:szCs w:val="21"/>
                <w:highlight w:val="none"/>
                <w:lang w:val="en-US" w:eastAsia="zh-CN"/>
              </w:rPr>
            </w:pPr>
            <w:r>
              <w:rPr>
                <w:rFonts w:hint="eastAsia" w:cs="Times New Roman"/>
                <w:color w:val="auto"/>
                <w:szCs w:val="21"/>
                <w:highlight w:val="none"/>
                <w:lang w:val="en-US" w:eastAsia="zh-CN"/>
              </w:rPr>
              <w:t>30.6</w:t>
            </w:r>
          </w:p>
        </w:tc>
        <w:tc>
          <w:tcPr>
            <w:tcW w:w="689" w:type="dxa"/>
            <w:shd w:val="clear" w:color="auto" w:fill="auto"/>
            <w:noWrap w:val="0"/>
            <w:vAlign w:val="center"/>
          </w:tcPr>
          <w:p w14:paraId="3E226BCA">
            <w:pPr>
              <w:spacing w:line="280" w:lineRule="exact"/>
              <w:jc w:val="center"/>
              <w:rPr>
                <w:rFonts w:hint="default" w:cs="Times New Roman"/>
                <w:color w:val="auto"/>
                <w:szCs w:val="21"/>
                <w:highlight w:val="none"/>
                <w:lang w:val="en-US" w:eastAsia="zh-CN"/>
              </w:rPr>
            </w:pPr>
            <w:r>
              <w:rPr>
                <w:rFonts w:hint="eastAsia" w:cs="Times New Roman"/>
                <w:color w:val="auto"/>
                <w:szCs w:val="21"/>
                <w:highlight w:val="none"/>
                <w:lang w:val="en-US" w:eastAsia="zh-CN"/>
              </w:rPr>
              <w:t>30.6</w:t>
            </w:r>
          </w:p>
        </w:tc>
        <w:tc>
          <w:tcPr>
            <w:tcW w:w="838" w:type="dxa"/>
            <w:shd w:val="clear" w:color="auto" w:fill="auto"/>
            <w:noWrap w:val="0"/>
            <w:vAlign w:val="center"/>
          </w:tcPr>
          <w:p w14:paraId="1BD84B06">
            <w:pPr>
              <w:spacing w:line="280" w:lineRule="exact"/>
              <w:jc w:val="center"/>
              <w:rPr>
                <w:rFonts w:hint="default" w:cs="Times New Roman"/>
                <w:color w:val="auto"/>
                <w:szCs w:val="21"/>
                <w:highlight w:val="none"/>
                <w:lang w:val="en-US" w:eastAsia="zh-CN"/>
              </w:rPr>
            </w:pPr>
            <w:r>
              <w:rPr>
                <w:rFonts w:hint="eastAsia" w:cs="Times New Roman"/>
                <w:color w:val="auto"/>
                <w:szCs w:val="21"/>
                <w:highlight w:val="none"/>
                <w:lang w:val="en-US" w:eastAsia="zh-CN"/>
              </w:rPr>
              <w:t>30.5</w:t>
            </w:r>
          </w:p>
        </w:tc>
        <w:tc>
          <w:tcPr>
            <w:tcW w:w="750" w:type="dxa"/>
            <w:shd w:val="clear" w:color="auto" w:fill="auto"/>
            <w:noWrap w:val="0"/>
            <w:vAlign w:val="center"/>
          </w:tcPr>
          <w:p w14:paraId="1950E391">
            <w:pPr>
              <w:spacing w:line="280" w:lineRule="exact"/>
              <w:jc w:val="center"/>
              <w:rPr>
                <w:rFonts w:hint="default" w:cs="Times New Roman"/>
                <w:color w:val="auto"/>
                <w:szCs w:val="21"/>
                <w:highlight w:val="none"/>
                <w:lang w:val="en-US" w:eastAsia="zh-CN"/>
              </w:rPr>
            </w:pPr>
            <w:r>
              <w:rPr>
                <w:rFonts w:hint="eastAsia" w:cs="Times New Roman"/>
                <w:color w:val="auto"/>
                <w:szCs w:val="21"/>
                <w:highlight w:val="none"/>
                <w:lang w:val="en-US" w:eastAsia="zh-CN"/>
              </w:rPr>
              <w:t>30.5</w:t>
            </w:r>
          </w:p>
        </w:tc>
        <w:tc>
          <w:tcPr>
            <w:tcW w:w="1096" w:type="dxa"/>
            <w:shd w:val="clear" w:color="auto" w:fill="auto"/>
            <w:noWrap w:val="0"/>
            <w:vAlign w:val="center"/>
          </w:tcPr>
          <w:p w14:paraId="05D0EA22">
            <w:pPr>
              <w:spacing w:line="280" w:lineRule="exact"/>
              <w:jc w:val="center"/>
              <w:rPr>
                <w:rFonts w:hint="eastAsia"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1</w:t>
            </w:r>
          </w:p>
        </w:tc>
      </w:tr>
      <w:tr w14:paraId="05D6FEF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27" w:type="dxa"/>
            <w:shd w:val="clear" w:color="auto" w:fill="auto"/>
            <w:noWrap w:val="0"/>
            <w:vAlign w:val="center"/>
          </w:tcPr>
          <w:p w14:paraId="490BBB25">
            <w:pPr>
              <w:spacing w:line="280" w:lineRule="exact"/>
              <w:jc w:val="center"/>
              <w:rPr>
                <w:rFonts w:hint="default" w:ascii="Times New Roman" w:hAnsi="Times New Roman"/>
                <w:color w:val="auto"/>
                <w:szCs w:val="21"/>
                <w:highlight w:val="none"/>
                <w:lang w:val="en-US" w:eastAsia="zh-CN"/>
              </w:rPr>
            </w:pPr>
            <w:r>
              <w:rPr>
                <w:rFonts w:hint="eastAsia"/>
                <w:color w:val="auto"/>
                <w:szCs w:val="21"/>
                <w:highlight w:val="none"/>
                <w:lang w:val="en-US" w:eastAsia="zh-CN"/>
              </w:rPr>
              <w:t>3</w:t>
            </w:r>
          </w:p>
        </w:tc>
        <w:tc>
          <w:tcPr>
            <w:tcW w:w="1428" w:type="dxa"/>
            <w:shd w:val="clear" w:color="auto" w:fill="auto"/>
            <w:noWrap w:val="0"/>
            <w:vAlign w:val="center"/>
          </w:tcPr>
          <w:p w14:paraId="15817FF1">
            <w:pPr>
              <w:keepNext w:val="0"/>
              <w:keepLines w:val="0"/>
              <w:pageBreakBefore w:val="0"/>
              <w:widowControl w:val="0"/>
              <w:kinsoku/>
              <w:wordWrap/>
              <w:overflowPunct/>
              <w:topLinePunct w:val="0"/>
              <w:autoSpaceDE w:val="0"/>
              <w:autoSpaceDN w:val="0"/>
              <w:bidi w:val="0"/>
              <w:adjustRightInd w:val="0"/>
              <w:snapToGrid w:val="0"/>
              <w:spacing w:line="280" w:lineRule="exact"/>
              <w:jc w:val="center"/>
              <w:textAlignment w:val="auto"/>
              <w:rPr>
                <w:rFonts w:hint="default" w:ascii="Times New Roman" w:hAnsi="Times New Roman"/>
                <w:color w:val="auto"/>
                <w:szCs w:val="21"/>
                <w:highlight w:val="none"/>
                <w:lang w:val="en-US" w:eastAsia="zh-CN"/>
              </w:rPr>
            </w:pPr>
            <w:r>
              <w:rPr>
                <w:rFonts w:hint="default" w:ascii="Times New Roman" w:hAnsi="Times New Roman" w:cs="Times New Roman"/>
                <w:color w:val="auto"/>
                <w:szCs w:val="21"/>
                <w:highlight w:val="none"/>
              </w:rPr>
              <w:t>正极</w:t>
            </w:r>
            <w:r>
              <w:rPr>
                <w:rFonts w:hint="default" w:ascii="Times New Roman" w:hAnsi="Times New Roman" w:cs="Times New Roman"/>
                <w:color w:val="auto"/>
                <w:szCs w:val="21"/>
                <w:highlight w:val="none"/>
                <w:lang w:val="en-US" w:eastAsia="zh-CN"/>
              </w:rPr>
              <w:t>匀浆</w:t>
            </w:r>
            <w:r>
              <w:rPr>
                <w:rFonts w:hint="default" w:ascii="Times New Roman" w:hAnsi="Times New Roman" w:cs="Times New Roman"/>
                <w:color w:val="auto"/>
                <w:szCs w:val="21"/>
                <w:highlight w:val="none"/>
              </w:rPr>
              <w:t>系统</w:t>
            </w:r>
            <w:r>
              <w:rPr>
                <w:rFonts w:hint="eastAsia" w:ascii="Times New Roman" w:hAnsi="Times New Roman" w:cs="Times New Roman"/>
                <w:color w:val="auto"/>
                <w:szCs w:val="21"/>
                <w:highlight w:val="none"/>
                <w:lang w:val="en-US" w:eastAsia="zh-CN"/>
              </w:rPr>
              <w:t>3</w:t>
            </w:r>
            <w:r>
              <w:rPr>
                <w:rFonts w:hint="default" w:ascii="Times New Roman" w:hAnsi="Times New Roman" w:cs="Times New Roman"/>
                <w:color w:val="auto"/>
                <w:szCs w:val="21"/>
                <w:highlight w:val="none"/>
                <w:lang w:val="en-US" w:eastAsia="zh-CN"/>
              </w:rPr>
              <w:t>#</w:t>
            </w:r>
          </w:p>
        </w:tc>
        <w:tc>
          <w:tcPr>
            <w:tcW w:w="537" w:type="dxa"/>
            <w:shd w:val="clear" w:color="auto" w:fill="auto"/>
            <w:noWrap w:val="0"/>
            <w:vAlign w:val="center"/>
          </w:tcPr>
          <w:p w14:paraId="2A148538">
            <w:pPr>
              <w:spacing w:line="280" w:lineRule="exact"/>
              <w:jc w:val="center"/>
              <w:rPr>
                <w:rFonts w:hint="default" w:ascii="Times New Roman" w:hAnsi="Times New Roman"/>
                <w:color w:val="auto"/>
                <w:szCs w:val="21"/>
                <w:highlight w:val="none"/>
                <w:lang w:val="en-US" w:eastAsia="zh-CN"/>
              </w:rPr>
            </w:pPr>
            <w:r>
              <w:rPr>
                <w:rFonts w:hint="eastAsia"/>
                <w:color w:val="auto"/>
                <w:szCs w:val="21"/>
                <w:highlight w:val="none"/>
                <w:lang w:val="en-US" w:eastAsia="zh-CN"/>
              </w:rPr>
              <w:t>80</w:t>
            </w:r>
          </w:p>
        </w:tc>
        <w:tc>
          <w:tcPr>
            <w:tcW w:w="537" w:type="dxa"/>
            <w:shd w:val="clear" w:color="auto" w:fill="auto"/>
            <w:noWrap w:val="0"/>
            <w:vAlign w:val="center"/>
          </w:tcPr>
          <w:p w14:paraId="37217B23">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41.13</w:t>
            </w:r>
          </w:p>
        </w:tc>
        <w:tc>
          <w:tcPr>
            <w:tcW w:w="537" w:type="dxa"/>
            <w:shd w:val="clear" w:color="auto" w:fill="auto"/>
            <w:noWrap w:val="0"/>
            <w:vAlign w:val="center"/>
          </w:tcPr>
          <w:p w14:paraId="46951475">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49.35</w:t>
            </w:r>
          </w:p>
        </w:tc>
        <w:tc>
          <w:tcPr>
            <w:tcW w:w="558" w:type="dxa"/>
            <w:shd w:val="clear" w:color="auto" w:fill="auto"/>
            <w:noWrap w:val="0"/>
            <w:vAlign w:val="center"/>
          </w:tcPr>
          <w:p w14:paraId="5EA22051">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1.4</w:t>
            </w:r>
          </w:p>
        </w:tc>
        <w:tc>
          <w:tcPr>
            <w:tcW w:w="537" w:type="dxa"/>
            <w:shd w:val="clear" w:color="auto" w:fill="auto"/>
            <w:noWrap w:val="0"/>
            <w:vAlign w:val="center"/>
          </w:tcPr>
          <w:p w14:paraId="705BC3FF">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35.6</w:t>
            </w:r>
          </w:p>
        </w:tc>
        <w:tc>
          <w:tcPr>
            <w:tcW w:w="537" w:type="dxa"/>
            <w:shd w:val="clear" w:color="auto" w:fill="auto"/>
            <w:noWrap w:val="0"/>
            <w:vAlign w:val="center"/>
          </w:tcPr>
          <w:p w14:paraId="1453D55E">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33.8</w:t>
            </w:r>
          </w:p>
        </w:tc>
        <w:tc>
          <w:tcPr>
            <w:tcW w:w="542" w:type="dxa"/>
            <w:shd w:val="clear" w:color="auto" w:fill="auto"/>
            <w:noWrap w:val="0"/>
            <w:vAlign w:val="center"/>
          </w:tcPr>
          <w:p w14:paraId="2B911AC7">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56.2</w:t>
            </w:r>
          </w:p>
        </w:tc>
        <w:tc>
          <w:tcPr>
            <w:tcW w:w="558" w:type="dxa"/>
            <w:shd w:val="clear" w:color="auto" w:fill="auto"/>
            <w:noWrap w:val="0"/>
            <w:vAlign w:val="center"/>
          </w:tcPr>
          <w:p w14:paraId="6AE42798">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117.2</w:t>
            </w:r>
          </w:p>
        </w:tc>
        <w:tc>
          <w:tcPr>
            <w:tcW w:w="542" w:type="dxa"/>
            <w:shd w:val="clear" w:color="auto" w:fill="auto"/>
            <w:noWrap w:val="0"/>
            <w:vAlign w:val="center"/>
          </w:tcPr>
          <w:p w14:paraId="22A88513">
            <w:pPr>
              <w:spacing w:line="280" w:lineRule="exact"/>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 xml:space="preserve">54.9 </w:t>
            </w:r>
          </w:p>
        </w:tc>
        <w:tc>
          <w:tcPr>
            <w:tcW w:w="542" w:type="dxa"/>
            <w:shd w:val="clear" w:color="auto" w:fill="auto"/>
            <w:noWrap w:val="0"/>
            <w:vAlign w:val="center"/>
          </w:tcPr>
          <w:p w14:paraId="038A8280">
            <w:pPr>
              <w:spacing w:line="280" w:lineRule="exact"/>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 xml:space="preserve">54.9 </w:t>
            </w:r>
          </w:p>
        </w:tc>
        <w:tc>
          <w:tcPr>
            <w:tcW w:w="542" w:type="dxa"/>
            <w:shd w:val="clear" w:color="auto" w:fill="auto"/>
            <w:noWrap w:val="0"/>
            <w:vAlign w:val="center"/>
          </w:tcPr>
          <w:p w14:paraId="4C771F24">
            <w:pPr>
              <w:spacing w:line="280" w:lineRule="exact"/>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 xml:space="preserve">54.8 </w:t>
            </w:r>
          </w:p>
        </w:tc>
        <w:tc>
          <w:tcPr>
            <w:tcW w:w="555" w:type="dxa"/>
            <w:shd w:val="clear" w:color="auto" w:fill="auto"/>
            <w:noWrap w:val="0"/>
            <w:vAlign w:val="center"/>
          </w:tcPr>
          <w:p w14:paraId="2AB3B6EB">
            <w:pPr>
              <w:spacing w:line="280" w:lineRule="exact"/>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 xml:space="preserve">54.8 </w:t>
            </w:r>
          </w:p>
        </w:tc>
        <w:tc>
          <w:tcPr>
            <w:tcW w:w="542" w:type="dxa"/>
            <w:vMerge w:val="continue"/>
            <w:shd w:val="clear" w:color="auto" w:fill="auto"/>
            <w:noWrap w:val="0"/>
            <w:vAlign w:val="center"/>
          </w:tcPr>
          <w:p w14:paraId="65588346">
            <w:pPr>
              <w:spacing w:line="280" w:lineRule="exact"/>
              <w:jc w:val="center"/>
              <w:rPr>
                <w:rFonts w:hint="default" w:ascii="Times New Roman" w:hAnsi="Times New Roman" w:eastAsia="宋体"/>
                <w:color w:val="auto"/>
                <w:szCs w:val="21"/>
                <w:highlight w:val="none"/>
                <w:lang w:val="en-US" w:eastAsia="zh-CN"/>
              </w:rPr>
            </w:pPr>
          </w:p>
        </w:tc>
        <w:tc>
          <w:tcPr>
            <w:tcW w:w="897" w:type="dxa"/>
            <w:shd w:val="clear" w:color="auto" w:fill="auto"/>
            <w:noWrap w:val="0"/>
            <w:vAlign w:val="center"/>
          </w:tcPr>
          <w:p w14:paraId="501B2946">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24.3</w:t>
            </w:r>
          </w:p>
        </w:tc>
        <w:tc>
          <w:tcPr>
            <w:tcW w:w="746" w:type="dxa"/>
            <w:shd w:val="clear" w:color="auto" w:fill="auto"/>
            <w:noWrap w:val="0"/>
            <w:vAlign w:val="center"/>
          </w:tcPr>
          <w:p w14:paraId="734C89AD">
            <w:pPr>
              <w:spacing w:line="280" w:lineRule="exact"/>
              <w:jc w:val="center"/>
              <w:rPr>
                <w:rFonts w:hint="default" w:cs="Times New Roman"/>
                <w:color w:val="auto"/>
                <w:szCs w:val="21"/>
                <w:highlight w:val="none"/>
                <w:lang w:val="en-US" w:eastAsia="zh-CN"/>
              </w:rPr>
            </w:pPr>
            <w:r>
              <w:rPr>
                <w:rFonts w:hint="eastAsia" w:cs="Times New Roman"/>
                <w:color w:val="auto"/>
                <w:szCs w:val="21"/>
                <w:highlight w:val="none"/>
                <w:lang w:val="en-US" w:eastAsia="zh-CN"/>
              </w:rPr>
              <w:t>30.6</w:t>
            </w:r>
          </w:p>
        </w:tc>
        <w:tc>
          <w:tcPr>
            <w:tcW w:w="689" w:type="dxa"/>
            <w:shd w:val="clear" w:color="auto" w:fill="auto"/>
            <w:noWrap w:val="0"/>
            <w:vAlign w:val="center"/>
          </w:tcPr>
          <w:p w14:paraId="67F85B53">
            <w:pPr>
              <w:spacing w:line="280" w:lineRule="exact"/>
              <w:jc w:val="center"/>
              <w:rPr>
                <w:rFonts w:hint="default" w:cs="Times New Roman"/>
                <w:color w:val="auto"/>
                <w:szCs w:val="21"/>
                <w:highlight w:val="none"/>
                <w:lang w:val="en-US" w:eastAsia="zh-CN"/>
              </w:rPr>
            </w:pPr>
            <w:r>
              <w:rPr>
                <w:rFonts w:hint="eastAsia" w:cs="Times New Roman"/>
                <w:color w:val="auto"/>
                <w:szCs w:val="21"/>
                <w:highlight w:val="none"/>
                <w:lang w:val="en-US" w:eastAsia="zh-CN"/>
              </w:rPr>
              <w:t>30.6</w:t>
            </w:r>
          </w:p>
        </w:tc>
        <w:tc>
          <w:tcPr>
            <w:tcW w:w="838" w:type="dxa"/>
            <w:shd w:val="clear" w:color="auto" w:fill="auto"/>
            <w:noWrap w:val="0"/>
            <w:vAlign w:val="center"/>
          </w:tcPr>
          <w:p w14:paraId="1D2D2366">
            <w:pPr>
              <w:spacing w:line="280" w:lineRule="exact"/>
              <w:jc w:val="center"/>
              <w:rPr>
                <w:rFonts w:hint="default" w:cs="Times New Roman"/>
                <w:color w:val="auto"/>
                <w:szCs w:val="21"/>
                <w:highlight w:val="none"/>
                <w:lang w:val="en-US" w:eastAsia="zh-CN"/>
              </w:rPr>
            </w:pPr>
            <w:r>
              <w:rPr>
                <w:rFonts w:hint="eastAsia" w:cs="Times New Roman"/>
                <w:color w:val="auto"/>
                <w:szCs w:val="21"/>
                <w:highlight w:val="none"/>
                <w:lang w:val="en-US" w:eastAsia="zh-CN"/>
              </w:rPr>
              <w:t>30.5</w:t>
            </w:r>
          </w:p>
        </w:tc>
        <w:tc>
          <w:tcPr>
            <w:tcW w:w="750" w:type="dxa"/>
            <w:shd w:val="clear" w:color="auto" w:fill="auto"/>
            <w:noWrap w:val="0"/>
            <w:vAlign w:val="center"/>
          </w:tcPr>
          <w:p w14:paraId="50A90F97">
            <w:pPr>
              <w:spacing w:line="280" w:lineRule="exact"/>
              <w:jc w:val="center"/>
              <w:rPr>
                <w:rFonts w:hint="default" w:cs="Times New Roman"/>
                <w:color w:val="auto"/>
                <w:szCs w:val="21"/>
                <w:highlight w:val="none"/>
                <w:lang w:val="en-US" w:eastAsia="zh-CN"/>
              </w:rPr>
            </w:pPr>
            <w:r>
              <w:rPr>
                <w:rFonts w:hint="eastAsia" w:cs="Times New Roman"/>
                <w:color w:val="auto"/>
                <w:szCs w:val="21"/>
                <w:highlight w:val="none"/>
                <w:lang w:val="en-US" w:eastAsia="zh-CN"/>
              </w:rPr>
              <w:t>30.5</w:t>
            </w:r>
          </w:p>
        </w:tc>
        <w:tc>
          <w:tcPr>
            <w:tcW w:w="1096" w:type="dxa"/>
            <w:shd w:val="clear" w:color="auto" w:fill="auto"/>
            <w:noWrap w:val="0"/>
            <w:vAlign w:val="center"/>
          </w:tcPr>
          <w:p w14:paraId="3A6C0C03">
            <w:pPr>
              <w:spacing w:line="280" w:lineRule="exact"/>
              <w:jc w:val="center"/>
              <w:rPr>
                <w:rFonts w:hint="eastAsia"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1</w:t>
            </w:r>
          </w:p>
        </w:tc>
      </w:tr>
      <w:tr w14:paraId="5435851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27" w:type="dxa"/>
            <w:shd w:val="clear" w:color="auto" w:fill="auto"/>
            <w:noWrap w:val="0"/>
            <w:vAlign w:val="center"/>
          </w:tcPr>
          <w:p w14:paraId="4B3CE01F">
            <w:pPr>
              <w:spacing w:line="280" w:lineRule="exact"/>
              <w:jc w:val="center"/>
              <w:rPr>
                <w:rFonts w:hint="default" w:ascii="Times New Roman" w:hAnsi="Times New Roman"/>
                <w:color w:val="auto"/>
                <w:szCs w:val="21"/>
                <w:highlight w:val="none"/>
                <w:lang w:val="en-US" w:eastAsia="zh-CN"/>
              </w:rPr>
            </w:pPr>
            <w:r>
              <w:rPr>
                <w:rFonts w:hint="eastAsia"/>
                <w:color w:val="auto"/>
                <w:szCs w:val="21"/>
                <w:highlight w:val="none"/>
                <w:lang w:val="en-US" w:eastAsia="zh-CN"/>
              </w:rPr>
              <w:t>4</w:t>
            </w:r>
          </w:p>
        </w:tc>
        <w:tc>
          <w:tcPr>
            <w:tcW w:w="1428" w:type="dxa"/>
            <w:shd w:val="clear" w:color="auto" w:fill="auto"/>
            <w:noWrap w:val="0"/>
            <w:vAlign w:val="center"/>
          </w:tcPr>
          <w:p w14:paraId="2137030C">
            <w:pPr>
              <w:keepNext w:val="0"/>
              <w:keepLines w:val="0"/>
              <w:pageBreakBefore w:val="0"/>
              <w:widowControl w:val="0"/>
              <w:kinsoku/>
              <w:wordWrap/>
              <w:overflowPunct/>
              <w:topLinePunct w:val="0"/>
              <w:autoSpaceDE w:val="0"/>
              <w:autoSpaceDN w:val="0"/>
              <w:bidi w:val="0"/>
              <w:adjustRightInd w:val="0"/>
              <w:snapToGrid w:val="0"/>
              <w:spacing w:line="280" w:lineRule="exact"/>
              <w:jc w:val="center"/>
              <w:textAlignment w:val="auto"/>
              <w:rPr>
                <w:rFonts w:hint="eastAsia" w:ascii="Times New Roman" w:hAnsi="Times New Roman"/>
                <w:color w:val="auto"/>
                <w:szCs w:val="21"/>
                <w:highlight w:val="none"/>
                <w:lang w:val="en-US" w:eastAsia="zh-CN"/>
              </w:rPr>
            </w:pPr>
            <w:r>
              <w:rPr>
                <w:rFonts w:hint="default" w:ascii="Times New Roman" w:hAnsi="Times New Roman" w:cs="Times New Roman"/>
                <w:color w:val="auto"/>
                <w:szCs w:val="21"/>
                <w:highlight w:val="none"/>
              </w:rPr>
              <w:t>正极</w:t>
            </w:r>
            <w:r>
              <w:rPr>
                <w:rFonts w:hint="default" w:ascii="Times New Roman" w:hAnsi="Times New Roman" w:cs="Times New Roman"/>
                <w:color w:val="auto"/>
                <w:szCs w:val="21"/>
                <w:highlight w:val="none"/>
                <w:lang w:val="en-US" w:eastAsia="zh-CN"/>
              </w:rPr>
              <w:t>匀浆</w:t>
            </w:r>
            <w:r>
              <w:rPr>
                <w:rFonts w:hint="default" w:ascii="Times New Roman" w:hAnsi="Times New Roman" w:cs="Times New Roman"/>
                <w:color w:val="auto"/>
                <w:szCs w:val="21"/>
                <w:highlight w:val="none"/>
              </w:rPr>
              <w:t>系统</w:t>
            </w:r>
            <w:r>
              <w:rPr>
                <w:rFonts w:hint="eastAsia" w:ascii="Times New Roman" w:hAnsi="Times New Roman" w:cs="Times New Roman"/>
                <w:color w:val="auto"/>
                <w:szCs w:val="21"/>
                <w:highlight w:val="none"/>
                <w:lang w:val="en-US" w:eastAsia="zh-CN"/>
              </w:rPr>
              <w:t>4</w:t>
            </w:r>
            <w:r>
              <w:rPr>
                <w:rFonts w:hint="default" w:ascii="Times New Roman" w:hAnsi="Times New Roman" w:cs="Times New Roman"/>
                <w:color w:val="auto"/>
                <w:szCs w:val="21"/>
                <w:highlight w:val="none"/>
                <w:lang w:val="en-US" w:eastAsia="zh-CN"/>
              </w:rPr>
              <w:t>#</w:t>
            </w:r>
          </w:p>
        </w:tc>
        <w:tc>
          <w:tcPr>
            <w:tcW w:w="537" w:type="dxa"/>
            <w:shd w:val="clear" w:color="auto" w:fill="auto"/>
            <w:noWrap w:val="0"/>
            <w:vAlign w:val="center"/>
          </w:tcPr>
          <w:p w14:paraId="762DB0AC">
            <w:pPr>
              <w:spacing w:line="280" w:lineRule="exact"/>
              <w:jc w:val="center"/>
              <w:rPr>
                <w:rFonts w:hint="default" w:ascii="Times New Roman" w:hAnsi="Times New Roman"/>
                <w:color w:val="auto"/>
                <w:szCs w:val="21"/>
                <w:highlight w:val="none"/>
                <w:lang w:val="en-US" w:eastAsia="zh-CN"/>
              </w:rPr>
            </w:pPr>
            <w:r>
              <w:rPr>
                <w:rFonts w:hint="eastAsia"/>
                <w:color w:val="auto"/>
                <w:szCs w:val="21"/>
                <w:highlight w:val="none"/>
                <w:lang w:val="en-US" w:eastAsia="zh-CN"/>
              </w:rPr>
              <w:t>80</w:t>
            </w:r>
          </w:p>
        </w:tc>
        <w:tc>
          <w:tcPr>
            <w:tcW w:w="537" w:type="dxa"/>
            <w:shd w:val="clear" w:color="auto" w:fill="auto"/>
            <w:noWrap w:val="0"/>
            <w:vAlign w:val="center"/>
          </w:tcPr>
          <w:p w14:paraId="55D2BC62">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40.09</w:t>
            </w:r>
          </w:p>
        </w:tc>
        <w:tc>
          <w:tcPr>
            <w:tcW w:w="537" w:type="dxa"/>
            <w:shd w:val="clear" w:color="auto" w:fill="auto"/>
            <w:noWrap w:val="0"/>
            <w:vAlign w:val="center"/>
          </w:tcPr>
          <w:p w14:paraId="0F3B6931">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51.67</w:t>
            </w:r>
          </w:p>
        </w:tc>
        <w:tc>
          <w:tcPr>
            <w:tcW w:w="558" w:type="dxa"/>
            <w:shd w:val="clear" w:color="auto" w:fill="auto"/>
            <w:noWrap w:val="0"/>
            <w:vAlign w:val="center"/>
          </w:tcPr>
          <w:p w14:paraId="2E6A5183">
            <w:pPr>
              <w:spacing w:line="280" w:lineRule="exact"/>
              <w:jc w:val="center"/>
              <w:rPr>
                <w:rFonts w:hint="eastAsia"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1.4</w:t>
            </w:r>
          </w:p>
        </w:tc>
        <w:tc>
          <w:tcPr>
            <w:tcW w:w="537" w:type="dxa"/>
            <w:shd w:val="clear" w:color="auto" w:fill="auto"/>
            <w:noWrap w:val="0"/>
            <w:vAlign w:val="center"/>
          </w:tcPr>
          <w:p w14:paraId="742D69B7">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34.6</w:t>
            </w:r>
          </w:p>
        </w:tc>
        <w:tc>
          <w:tcPr>
            <w:tcW w:w="537" w:type="dxa"/>
            <w:shd w:val="clear" w:color="auto" w:fill="auto"/>
            <w:noWrap w:val="0"/>
            <w:vAlign w:val="center"/>
          </w:tcPr>
          <w:p w14:paraId="4EF0AD65">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37.6</w:t>
            </w:r>
          </w:p>
        </w:tc>
        <w:tc>
          <w:tcPr>
            <w:tcW w:w="542" w:type="dxa"/>
            <w:shd w:val="clear" w:color="auto" w:fill="auto"/>
            <w:noWrap w:val="0"/>
            <w:vAlign w:val="center"/>
          </w:tcPr>
          <w:p w14:paraId="0F795A5D">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54.6</w:t>
            </w:r>
          </w:p>
        </w:tc>
        <w:tc>
          <w:tcPr>
            <w:tcW w:w="558" w:type="dxa"/>
            <w:shd w:val="clear" w:color="auto" w:fill="auto"/>
            <w:noWrap w:val="0"/>
            <w:vAlign w:val="center"/>
          </w:tcPr>
          <w:p w14:paraId="4129A452">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137.4</w:t>
            </w:r>
          </w:p>
        </w:tc>
        <w:tc>
          <w:tcPr>
            <w:tcW w:w="542" w:type="dxa"/>
            <w:shd w:val="clear" w:color="auto" w:fill="auto"/>
            <w:noWrap w:val="0"/>
            <w:vAlign w:val="center"/>
          </w:tcPr>
          <w:p w14:paraId="5D75D22F">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 xml:space="preserve">54.9 </w:t>
            </w:r>
          </w:p>
        </w:tc>
        <w:tc>
          <w:tcPr>
            <w:tcW w:w="542" w:type="dxa"/>
            <w:shd w:val="clear" w:color="auto" w:fill="auto"/>
            <w:noWrap w:val="0"/>
            <w:vAlign w:val="center"/>
          </w:tcPr>
          <w:p w14:paraId="18D1D83F">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 xml:space="preserve">54.8 </w:t>
            </w:r>
          </w:p>
        </w:tc>
        <w:tc>
          <w:tcPr>
            <w:tcW w:w="542" w:type="dxa"/>
            <w:shd w:val="clear" w:color="auto" w:fill="auto"/>
            <w:noWrap w:val="0"/>
            <w:vAlign w:val="center"/>
          </w:tcPr>
          <w:p w14:paraId="5A821C65">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 xml:space="preserve">54.8 </w:t>
            </w:r>
          </w:p>
        </w:tc>
        <w:tc>
          <w:tcPr>
            <w:tcW w:w="555" w:type="dxa"/>
            <w:shd w:val="clear" w:color="auto" w:fill="auto"/>
            <w:noWrap w:val="0"/>
            <w:vAlign w:val="center"/>
          </w:tcPr>
          <w:p w14:paraId="47003AB3">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 xml:space="preserve">54.8 </w:t>
            </w:r>
          </w:p>
        </w:tc>
        <w:tc>
          <w:tcPr>
            <w:tcW w:w="542" w:type="dxa"/>
            <w:vMerge w:val="continue"/>
            <w:shd w:val="clear" w:color="auto" w:fill="auto"/>
            <w:noWrap w:val="0"/>
            <w:vAlign w:val="center"/>
          </w:tcPr>
          <w:p w14:paraId="504D4533">
            <w:pPr>
              <w:spacing w:line="280" w:lineRule="exact"/>
              <w:jc w:val="center"/>
              <w:rPr>
                <w:rFonts w:hint="default" w:ascii="Times New Roman" w:hAnsi="Times New Roman" w:eastAsia="宋体"/>
                <w:color w:val="auto"/>
                <w:szCs w:val="21"/>
                <w:highlight w:val="none"/>
                <w:lang w:val="en-US" w:eastAsia="zh-CN"/>
              </w:rPr>
            </w:pPr>
          </w:p>
        </w:tc>
        <w:tc>
          <w:tcPr>
            <w:tcW w:w="897" w:type="dxa"/>
            <w:shd w:val="clear" w:color="auto" w:fill="auto"/>
            <w:noWrap w:val="0"/>
            <w:vAlign w:val="center"/>
          </w:tcPr>
          <w:p w14:paraId="44E234D7">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24.3</w:t>
            </w:r>
          </w:p>
        </w:tc>
        <w:tc>
          <w:tcPr>
            <w:tcW w:w="746" w:type="dxa"/>
            <w:shd w:val="clear" w:color="auto" w:fill="auto"/>
            <w:noWrap w:val="0"/>
            <w:vAlign w:val="center"/>
          </w:tcPr>
          <w:p w14:paraId="73E3C7A2">
            <w:pPr>
              <w:spacing w:line="280" w:lineRule="exact"/>
              <w:jc w:val="center"/>
              <w:rPr>
                <w:rFonts w:hint="eastAsia" w:cs="Times New Roman"/>
                <w:color w:val="auto"/>
                <w:szCs w:val="21"/>
                <w:highlight w:val="none"/>
                <w:lang w:val="en-US" w:eastAsia="zh-CN"/>
              </w:rPr>
            </w:pPr>
            <w:r>
              <w:rPr>
                <w:rFonts w:hint="eastAsia" w:cs="Times New Roman"/>
                <w:color w:val="auto"/>
                <w:szCs w:val="21"/>
                <w:highlight w:val="none"/>
                <w:lang w:val="en-US" w:eastAsia="zh-CN"/>
              </w:rPr>
              <w:t>30.6</w:t>
            </w:r>
          </w:p>
        </w:tc>
        <w:tc>
          <w:tcPr>
            <w:tcW w:w="689" w:type="dxa"/>
            <w:shd w:val="clear" w:color="auto" w:fill="auto"/>
            <w:noWrap w:val="0"/>
            <w:vAlign w:val="center"/>
          </w:tcPr>
          <w:p w14:paraId="60EAB193">
            <w:pPr>
              <w:spacing w:line="280" w:lineRule="exact"/>
              <w:jc w:val="center"/>
              <w:rPr>
                <w:rFonts w:hint="eastAsia" w:cs="Times New Roman"/>
                <w:color w:val="auto"/>
                <w:szCs w:val="21"/>
                <w:highlight w:val="none"/>
                <w:lang w:val="en-US" w:eastAsia="zh-CN"/>
              </w:rPr>
            </w:pPr>
            <w:r>
              <w:rPr>
                <w:rFonts w:hint="eastAsia" w:cs="Times New Roman"/>
                <w:color w:val="auto"/>
                <w:szCs w:val="21"/>
                <w:highlight w:val="none"/>
                <w:lang w:val="en-US" w:eastAsia="zh-CN"/>
              </w:rPr>
              <w:t>30.5</w:t>
            </w:r>
          </w:p>
        </w:tc>
        <w:tc>
          <w:tcPr>
            <w:tcW w:w="838" w:type="dxa"/>
            <w:shd w:val="clear" w:color="auto" w:fill="auto"/>
            <w:noWrap w:val="0"/>
            <w:vAlign w:val="center"/>
          </w:tcPr>
          <w:p w14:paraId="769C9494">
            <w:pPr>
              <w:spacing w:line="280" w:lineRule="exact"/>
              <w:jc w:val="center"/>
              <w:rPr>
                <w:rFonts w:hint="eastAsia" w:cs="Times New Roman"/>
                <w:color w:val="auto"/>
                <w:szCs w:val="21"/>
                <w:highlight w:val="none"/>
                <w:lang w:val="en-US" w:eastAsia="zh-CN"/>
              </w:rPr>
            </w:pPr>
            <w:r>
              <w:rPr>
                <w:rFonts w:hint="eastAsia" w:cs="Times New Roman"/>
                <w:color w:val="auto"/>
                <w:szCs w:val="21"/>
                <w:highlight w:val="none"/>
                <w:lang w:val="en-US" w:eastAsia="zh-CN"/>
              </w:rPr>
              <w:t>30.5</w:t>
            </w:r>
          </w:p>
        </w:tc>
        <w:tc>
          <w:tcPr>
            <w:tcW w:w="750" w:type="dxa"/>
            <w:shd w:val="clear" w:color="auto" w:fill="auto"/>
            <w:noWrap w:val="0"/>
            <w:vAlign w:val="center"/>
          </w:tcPr>
          <w:p w14:paraId="3F219BBD">
            <w:pPr>
              <w:spacing w:line="280" w:lineRule="exact"/>
              <w:jc w:val="center"/>
              <w:rPr>
                <w:rFonts w:hint="eastAsia" w:cs="Times New Roman"/>
                <w:color w:val="auto"/>
                <w:szCs w:val="21"/>
                <w:highlight w:val="none"/>
                <w:lang w:val="en-US" w:eastAsia="zh-CN"/>
              </w:rPr>
            </w:pPr>
            <w:r>
              <w:rPr>
                <w:rFonts w:hint="eastAsia" w:cs="Times New Roman"/>
                <w:color w:val="auto"/>
                <w:szCs w:val="21"/>
                <w:highlight w:val="none"/>
                <w:lang w:val="en-US" w:eastAsia="zh-CN"/>
              </w:rPr>
              <w:t>30.5</w:t>
            </w:r>
          </w:p>
        </w:tc>
        <w:tc>
          <w:tcPr>
            <w:tcW w:w="1096" w:type="dxa"/>
            <w:shd w:val="clear" w:color="auto" w:fill="auto"/>
            <w:noWrap w:val="0"/>
            <w:vAlign w:val="center"/>
          </w:tcPr>
          <w:p w14:paraId="36D7E02A">
            <w:pPr>
              <w:spacing w:line="280" w:lineRule="exact"/>
              <w:jc w:val="center"/>
              <w:rPr>
                <w:rFonts w:hint="eastAsia"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1</w:t>
            </w:r>
          </w:p>
        </w:tc>
      </w:tr>
      <w:tr w14:paraId="543E33D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27" w:type="dxa"/>
            <w:shd w:val="clear" w:color="auto" w:fill="auto"/>
            <w:noWrap w:val="0"/>
            <w:vAlign w:val="center"/>
          </w:tcPr>
          <w:p w14:paraId="13611F0F">
            <w:pPr>
              <w:spacing w:line="280" w:lineRule="exact"/>
              <w:jc w:val="center"/>
              <w:rPr>
                <w:rFonts w:hint="default" w:ascii="Times New Roman" w:hAnsi="Times New Roman"/>
                <w:color w:val="auto"/>
                <w:szCs w:val="21"/>
                <w:highlight w:val="none"/>
                <w:lang w:val="en-US" w:eastAsia="zh-CN"/>
              </w:rPr>
            </w:pPr>
            <w:r>
              <w:rPr>
                <w:rFonts w:hint="eastAsia"/>
                <w:color w:val="auto"/>
                <w:szCs w:val="21"/>
                <w:highlight w:val="none"/>
                <w:lang w:val="en-US" w:eastAsia="zh-CN"/>
              </w:rPr>
              <w:t>5</w:t>
            </w:r>
          </w:p>
        </w:tc>
        <w:tc>
          <w:tcPr>
            <w:tcW w:w="1428" w:type="dxa"/>
            <w:shd w:val="clear" w:color="auto" w:fill="auto"/>
            <w:noWrap w:val="0"/>
            <w:vAlign w:val="center"/>
          </w:tcPr>
          <w:p w14:paraId="6489C221">
            <w:pPr>
              <w:keepNext w:val="0"/>
              <w:keepLines w:val="0"/>
              <w:pageBreakBefore w:val="0"/>
              <w:widowControl w:val="0"/>
              <w:kinsoku/>
              <w:wordWrap/>
              <w:overflowPunct/>
              <w:topLinePunct w:val="0"/>
              <w:autoSpaceDE w:val="0"/>
              <w:autoSpaceDN w:val="0"/>
              <w:bidi w:val="0"/>
              <w:adjustRightInd w:val="0"/>
              <w:snapToGrid w:val="0"/>
              <w:spacing w:line="280" w:lineRule="exact"/>
              <w:jc w:val="center"/>
              <w:textAlignment w:val="auto"/>
              <w:rPr>
                <w:rFonts w:hint="default" w:ascii="Times New Roman" w:hAnsi="Times New Roman"/>
                <w:color w:val="auto"/>
                <w:szCs w:val="21"/>
                <w:highlight w:val="none"/>
                <w:lang w:val="en-US" w:eastAsia="zh-CN"/>
              </w:rPr>
            </w:pPr>
            <w:r>
              <w:rPr>
                <w:rFonts w:hint="default" w:ascii="Times New Roman" w:hAnsi="Times New Roman" w:cs="Times New Roman"/>
                <w:color w:val="auto"/>
                <w:szCs w:val="21"/>
                <w:highlight w:val="none"/>
              </w:rPr>
              <w:t>正极</w:t>
            </w:r>
            <w:r>
              <w:rPr>
                <w:rFonts w:hint="default" w:ascii="Times New Roman" w:hAnsi="Times New Roman" w:cs="Times New Roman"/>
                <w:color w:val="auto"/>
                <w:szCs w:val="21"/>
                <w:highlight w:val="none"/>
                <w:lang w:val="en-US" w:eastAsia="zh-CN"/>
              </w:rPr>
              <w:t>匀浆</w:t>
            </w:r>
            <w:r>
              <w:rPr>
                <w:rFonts w:hint="default" w:ascii="Times New Roman" w:hAnsi="Times New Roman" w:cs="Times New Roman"/>
                <w:color w:val="auto"/>
                <w:szCs w:val="21"/>
                <w:highlight w:val="none"/>
              </w:rPr>
              <w:t>系统</w:t>
            </w:r>
            <w:r>
              <w:rPr>
                <w:rFonts w:hint="eastAsia" w:ascii="Times New Roman" w:hAnsi="Times New Roman" w:cs="Times New Roman"/>
                <w:color w:val="auto"/>
                <w:szCs w:val="21"/>
                <w:highlight w:val="none"/>
                <w:lang w:val="en-US" w:eastAsia="zh-CN"/>
              </w:rPr>
              <w:t>5</w:t>
            </w:r>
            <w:r>
              <w:rPr>
                <w:rFonts w:hint="default" w:ascii="Times New Roman" w:hAnsi="Times New Roman" w:cs="Times New Roman"/>
                <w:color w:val="auto"/>
                <w:szCs w:val="21"/>
                <w:highlight w:val="none"/>
                <w:lang w:val="en-US" w:eastAsia="zh-CN"/>
              </w:rPr>
              <w:t>#</w:t>
            </w:r>
          </w:p>
        </w:tc>
        <w:tc>
          <w:tcPr>
            <w:tcW w:w="537" w:type="dxa"/>
            <w:shd w:val="clear" w:color="auto" w:fill="auto"/>
            <w:noWrap w:val="0"/>
            <w:vAlign w:val="center"/>
          </w:tcPr>
          <w:p w14:paraId="5B7F4D4A">
            <w:pPr>
              <w:spacing w:line="280" w:lineRule="exact"/>
              <w:jc w:val="center"/>
              <w:rPr>
                <w:rFonts w:hint="default" w:ascii="Times New Roman" w:hAnsi="Times New Roman"/>
                <w:color w:val="auto"/>
                <w:szCs w:val="21"/>
                <w:highlight w:val="none"/>
                <w:lang w:val="en-US" w:eastAsia="zh-CN"/>
              </w:rPr>
            </w:pPr>
            <w:r>
              <w:rPr>
                <w:rFonts w:hint="eastAsia"/>
                <w:color w:val="auto"/>
                <w:szCs w:val="21"/>
                <w:highlight w:val="none"/>
                <w:lang w:val="en-US" w:eastAsia="zh-CN"/>
              </w:rPr>
              <w:t>80</w:t>
            </w:r>
          </w:p>
        </w:tc>
        <w:tc>
          <w:tcPr>
            <w:tcW w:w="537" w:type="dxa"/>
            <w:shd w:val="clear" w:color="auto" w:fill="auto"/>
            <w:noWrap w:val="0"/>
            <w:vAlign w:val="center"/>
          </w:tcPr>
          <w:p w14:paraId="00DC6039">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39.51</w:t>
            </w:r>
          </w:p>
        </w:tc>
        <w:tc>
          <w:tcPr>
            <w:tcW w:w="537" w:type="dxa"/>
            <w:shd w:val="clear" w:color="auto" w:fill="auto"/>
            <w:noWrap w:val="0"/>
            <w:vAlign w:val="center"/>
          </w:tcPr>
          <w:p w14:paraId="4F449EB6">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53.11</w:t>
            </w:r>
          </w:p>
        </w:tc>
        <w:tc>
          <w:tcPr>
            <w:tcW w:w="558" w:type="dxa"/>
            <w:shd w:val="clear" w:color="auto" w:fill="auto"/>
            <w:noWrap w:val="0"/>
            <w:vAlign w:val="center"/>
          </w:tcPr>
          <w:p w14:paraId="537A858C">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1.4</w:t>
            </w:r>
          </w:p>
        </w:tc>
        <w:tc>
          <w:tcPr>
            <w:tcW w:w="537" w:type="dxa"/>
            <w:shd w:val="clear" w:color="auto" w:fill="auto"/>
            <w:noWrap w:val="0"/>
            <w:vAlign w:val="center"/>
          </w:tcPr>
          <w:p w14:paraId="48666AC0">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34.3</w:t>
            </w:r>
          </w:p>
        </w:tc>
        <w:tc>
          <w:tcPr>
            <w:tcW w:w="537" w:type="dxa"/>
            <w:shd w:val="clear" w:color="auto" w:fill="auto"/>
            <w:noWrap w:val="0"/>
            <w:vAlign w:val="center"/>
          </w:tcPr>
          <w:p w14:paraId="772D57A1">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39.0</w:t>
            </w:r>
          </w:p>
        </w:tc>
        <w:tc>
          <w:tcPr>
            <w:tcW w:w="542" w:type="dxa"/>
            <w:shd w:val="clear" w:color="auto" w:fill="auto"/>
            <w:noWrap w:val="0"/>
            <w:vAlign w:val="center"/>
          </w:tcPr>
          <w:p w14:paraId="121A09B6">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55.1</w:t>
            </w:r>
          </w:p>
        </w:tc>
        <w:tc>
          <w:tcPr>
            <w:tcW w:w="558" w:type="dxa"/>
            <w:shd w:val="clear" w:color="auto" w:fill="auto"/>
            <w:noWrap w:val="0"/>
            <w:vAlign w:val="center"/>
          </w:tcPr>
          <w:p w14:paraId="2D1E654D">
            <w:pPr>
              <w:spacing w:line="280" w:lineRule="exact"/>
              <w:jc w:val="center"/>
              <w:rPr>
                <w:rFonts w:hint="default"/>
                <w:color w:val="auto"/>
                <w:highlight w:val="none"/>
                <w:lang w:val="en-US" w:eastAsia="zh-CN"/>
              </w:rPr>
            </w:pPr>
            <w:r>
              <w:rPr>
                <w:rFonts w:hint="eastAsia"/>
                <w:color w:val="auto"/>
                <w:highlight w:val="none"/>
                <w:lang w:val="en-US" w:eastAsia="zh-CN"/>
              </w:rPr>
              <w:t>138.1</w:t>
            </w:r>
          </w:p>
        </w:tc>
        <w:tc>
          <w:tcPr>
            <w:tcW w:w="542" w:type="dxa"/>
            <w:shd w:val="clear" w:color="auto" w:fill="auto"/>
            <w:noWrap w:val="0"/>
            <w:vAlign w:val="center"/>
          </w:tcPr>
          <w:p w14:paraId="0B2BF686">
            <w:pPr>
              <w:spacing w:line="280" w:lineRule="exact"/>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 xml:space="preserve">54.9 </w:t>
            </w:r>
          </w:p>
        </w:tc>
        <w:tc>
          <w:tcPr>
            <w:tcW w:w="542" w:type="dxa"/>
            <w:shd w:val="clear" w:color="auto" w:fill="auto"/>
            <w:noWrap w:val="0"/>
            <w:vAlign w:val="center"/>
          </w:tcPr>
          <w:p w14:paraId="11FD3C7A">
            <w:pPr>
              <w:spacing w:line="280" w:lineRule="exact"/>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 xml:space="preserve">54.8 </w:t>
            </w:r>
          </w:p>
        </w:tc>
        <w:tc>
          <w:tcPr>
            <w:tcW w:w="542" w:type="dxa"/>
            <w:shd w:val="clear" w:color="auto" w:fill="auto"/>
            <w:noWrap w:val="0"/>
            <w:vAlign w:val="center"/>
          </w:tcPr>
          <w:p w14:paraId="0A87C902">
            <w:pPr>
              <w:spacing w:line="280" w:lineRule="exact"/>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 xml:space="preserve">54.8 </w:t>
            </w:r>
          </w:p>
        </w:tc>
        <w:tc>
          <w:tcPr>
            <w:tcW w:w="555" w:type="dxa"/>
            <w:shd w:val="clear" w:color="auto" w:fill="auto"/>
            <w:noWrap w:val="0"/>
            <w:vAlign w:val="center"/>
          </w:tcPr>
          <w:p w14:paraId="2FA8A997">
            <w:pPr>
              <w:spacing w:line="280" w:lineRule="exact"/>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 xml:space="preserve">54.8 </w:t>
            </w:r>
          </w:p>
        </w:tc>
        <w:tc>
          <w:tcPr>
            <w:tcW w:w="542" w:type="dxa"/>
            <w:vMerge w:val="continue"/>
            <w:shd w:val="clear" w:color="auto" w:fill="auto"/>
            <w:noWrap w:val="0"/>
            <w:vAlign w:val="center"/>
          </w:tcPr>
          <w:p w14:paraId="53266A9B">
            <w:pPr>
              <w:spacing w:line="280" w:lineRule="exact"/>
              <w:jc w:val="center"/>
              <w:rPr>
                <w:rFonts w:hint="default" w:ascii="Times New Roman" w:hAnsi="Times New Roman" w:eastAsia="宋体"/>
                <w:color w:val="auto"/>
                <w:szCs w:val="21"/>
                <w:highlight w:val="none"/>
                <w:lang w:val="en-US" w:eastAsia="zh-CN"/>
              </w:rPr>
            </w:pPr>
          </w:p>
        </w:tc>
        <w:tc>
          <w:tcPr>
            <w:tcW w:w="897" w:type="dxa"/>
            <w:shd w:val="clear" w:color="auto" w:fill="auto"/>
            <w:noWrap w:val="0"/>
            <w:vAlign w:val="center"/>
          </w:tcPr>
          <w:p w14:paraId="313E5E62">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24.3</w:t>
            </w:r>
          </w:p>
        </w:tc>
        <w:tc>
          <w:tcPr>
            <w:tcW w:w="746" w:type="dxa"/>
            <w:shd w:val="clear" w:color="auto" w:fill="auto"/>
            <w:noWrap w:val="0"/>
            <w:vAlign w:val="center"/>
          </w:tcPr>
          <w:p w14:paraId="690620D5">
            <w:pPr>
              <w:spacing w:line="280" w:lineRule="exact"/>
              <w:jc w:val="center"/>
              <w:rPr>
                <w:rFonts w:hint="default" w:cs="Times New Roman"/>
                <w:color w:val="auto"/>
                <w:szCs w:val="21"/>
                <w:highlight w:val="none"/>
                <w:lang w:val="en-US" w:eastAsia="zh-CN"/>
              </w:rPr>
            </w:pPr>
            <w:r>
              <w:rPr>
                <w:rFonts w:hint="eastAsia" w:cs="Times New Roman"/>
                <w:color w:val="auto"/>
                <w:szCs w:val="21"/>
                <w:highlight w:val="none"/>
                <w:lang w:val="en-US" w:eastAsia="zh-CN"/>
              </w:rPr>
              <w:t>30.6</w:t>
            </w:r>
          </w:p>
        </w:tc>
        <w:tc>
          <w:tcPr>
            <w:tcW w:w="689" w:type="dxa"/>
            <w:shd w:val="clear" w:color="auto" w:fill="auto"/>
            <w:noWrap w:val="0"/>
            <w:vAlign w:val="center"/>
          </w:tcPr>
          <w:p w14:paraId="1B9D7CFC">
            <w:pPr>
              <w:spacing w:line="280" w:lineRule="exact"/>
              <w:jc w:val="center"/>
              <w:rPr>
                <w:rFonts w:hint="default" w:cs="Times New Roman"/>
                <w:color w:val="auto"/>
                <w:szCs w:val="21"/>
                <w:highlight w:val="none"/>
                <w:lang w:val="en-US" w:eastAsia="zh-CN"/>
              </w:rPr>
            </w:pPr>
            <w:r>
              <w:rPr>
                <w:rFonts w:hint="eastAsia" w:cs="Times New Roman"/>
                <w:color w:val="auto"/>
                <w:szCs w:val="21"/>
                <w:highlight w:val="none"/>
                <w:lang w:val="en-US" w:eastAsia="zh-CN"/>
              </w:rPr>
              <w:t>30.5</w:t>
            </w:r>
          </w:p>
        </w:tc>
        <w:tc>
          <w:tcPr>
            <w:tcW w:w="838" w:type="dxa"/>
            <w:shd w:val="clear" w:color="auto" w:fill="auto"/>
            <w:noWrap w:val="0"/>
            <w:vAlign w:val="center"/>
          </w:tcPr>
          <w:p w14:paraId="4C7DBCCD">
            <w:pPr>
              <w:spacing w:line="280" w:lineRule="exact"/>
              <w:jc w:val="center"/>
              <w:rPr>
                <w:rFonts w:hint="default" w:cs="Times New Roman"/>
                <w:color w:val="auto"/>
                <w:szCs w:val="21"/>
                <w:highlight w:val="none"/>
                <w:lang w:val="en-US" w:eastAsia="zh-CN"/>
              </w:rPr>
            </w:pPr>
            <w:r>
              <w:rPr>
                <w:rFonts w:hint="eastAsia" w:cs="Times New Roman"/>
                <w:color w:val="auto"/>
                <w:szCs w:val="21"/>
                <w:highlight w:val="none"/>
                <w:lang w:val="en-US" w:eastAsia="zh-CN"/>
              </w:rPr>
              <w:t>30.5</w:t>
            </w:r>
          </w:p>
        </w:tc>
        <w:tc>
          <w:tcPr>
            <w:tcW w:w="750" w:type="dxa"/>
            <w:shd w:val="clear" w:color="auto" w:fill="auto"/>
            <w:noWrap w:val="0"/>
            <w:vAlign w:val="center"/>
          </w:tcPr>
          <w:p w14:paraId="15461A76">
            <w:pPr>
              <w:spacing w:line="280" w:lineRule="exact"/>
              <w:jc w:val="center"/>
              <w:rPr>
                <w:rFonts w:hint="default" w:cs="Times New Roman"/>
                <w:color w:val="auto"/>
                <w:szCs w:val="21"/>
                <w:highlight w:val="none"/>
                <w:lang w:val="en-US" w:eastAsia="zh-CN"/>
              </w:rPr>
            </w:pPr>
            <w:r>
              <w:rPr>
                <w:rFonts w:hint="eastAsia" w:cs="Times New Roman"/>
                <w:color w:val="auto"/>
                <w:szCs w:val="21"/>
                <w:highlight w:val="none"/>
                <w:lang w:val="en-US" w:eastAsia="zh-CN"/>
              </w:rPr>
              <w:t>30.5</w:t>
            </w:r>
          </w:p>
        </w:tc>
        <w:tc>
          <w:tcPr>
            <w:tcW w:w="1096" w:type="dxa"/>
            <w:shd w:val="clear" w:color="auto" w:fill="auto"/>
            <w:noWrap w:val="0"/>
            <w:vAlign w:val="center"/>
          </w:tcPr>
          <w:p w14:paraId="194DFD94">
            <w:pPr>
              <w:spacing w:line="280" w:lineRule="exact"/>
              <w:jc w:val="center"/>
              <w:rPr>
                <w:rFonts w:hint="eastAsia"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1</w:t>
            </w:r>
          </w:p>
        </w:tc>
      </w:tr>
      <w:tr w14:paraId="18172D0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27" w:type="dxa"/>
            <w:shd w:val="clear" w:color="auto" w:fill="auto"/>
            <w:noWrap w:val="0"/>
            <w:vAlign w:val="center"/>
          </w:tcPr>
          <w:p w14:paraId="148144DE">
            <w:pPr>
              <w:spacing w:line="280" w:lineRule="exact"/>
              <w:jc w:val="center"/>
              <w:rPr>
                <w:rFonts w:hint="default" w:ascii="Times New Roman" w:hAnsi="Times New Roman"/>
                <w:color w:val="auto"/>
                <w:szCs w:val="21"/>
                <w:highlight w:val="none"/>
                <w:lang w:val="en-US" w:eastAsia="zh-CN"/>
              </w:rPr>
            </w:pPr>
            <w:r>
              <w:rPr>
                <w:rFonts w:hint="eastAsia"/>
                <w:color w:val="auto"/>
                <w:szCs w:val="21"/>
                <w:highlight w:val="none"/>
                <w:lang w:val="en-US" w:eastAsia="zh-CN"/>
              </w:rPr>
              <w:t>6</w:t>
            </w:r>
          </w:p>
        </w:tc>
        <w:tc>
          <w:tcPr>
            <w:tcW w:w="1428" w:type="dxa"/>
            <w:shd w:val="clear" w:color="auto" w:fill="auto"/>
            <w:noWrap w:val="0"/>
            <w:vAlign w:val="center"/>
          </w:tcPr>
          <w:p w14:paraId="4AA851FA">
            <w:pPr>
              <w:keepNext w:val="0"/>
              <w:keepLines w:val="0"/>
              <w:pageBreakBefore w:val="0"/>
              <w:widowControl w:val="0"/>
              <w:kinsoku/>
              <w:wordWrap/>
              <w:overflowPunct/>
              <w:topLinePunct w:val="0"/>
              <w:autoSpaceDE w:val="0"/>
              <w:autoSpaceDN w:val="0"/>
              <w:bidi w:val="0"/>
              <w:adjustRightInd w:val="0"/>
              <w:snapToGrid w:val="0"/>
              <w:spacing w:line="280" w:lineRule="exact"/>
              <w:jc w:val="center"/>
              <w:textAlignment w:val="auto"/>
              <w:rPr>
                <w:rFonts w:hint="default" w:ascii="Times New Roman" w:hAnsi="Times New Roman" w:eastAsia="宋体" w:cs="Times New Roman"/>
                <w:b w:val="0"/>
                <w:bCs w:val="0"/>
                <w:color w:val="auto"/>
                <w:kern w:val="0"/>
                <w:sz w:val="21"/>
                <w:szCs w:val="21"/>
                <w:highlight w:val="none"/>
                <w:vertAlign w:val="baseline"/>
                <w:lang w:val="en-US" w:eastAsia="zh-CN"/>
              </w:rPr>
            </w:pPr>
            <w:r>
              <w:rPr>
                <w:rFonts w:hint="default" w:ascii="Times New Roman" w:hAnsi="Times New Roman" w:cs="Times New Roman"/>
                <w:color w:val="auto"/>
                <w:szCs w:val="21"/>
                <w:highlight w:val="none"/>
              </w:rPr>
              <w:t>正极</w:t>
            </w:r>
            <w:r>
              <w:rPr>
                <w:rFonts w:hint="default" w:ascii="Times New Roman" w:hAnsi="Times New Roman" w:cs="Times New Roman"/>
                <w:color w:val="auto"/>
                <w:szCs w:val="21"/>
                <w:highlight w:val="none"/>
                <w:lang w:val="en-US" w:eastAsia="zh-CN"/>
              </w:rPr>
              <w:t>匀浆</w:t>
            </w:r>
            <w:r>
              <w:rPr>
                <w:rFonts w:hint="default" w:ascii="Times New Roman" w:hAnsi="Times New Roman" w:cs="Times New Roman"/>
                <w:color w:val="auto"/>
                <w:szCs w:val="21"/>
                <w:highlight w:val="none"/>
              </w:rPr>
              <w:t>系统</w:t>
            </w:r>
            <w:r>
              <w:rPr>
                <w:rFonts w:hint="eastAsia" w:ascii="Times New Roman" w:hAnsi="Times New Roman" w:cs="Times New Roman"/>
                <w:color w:val="auto"/>
                <w:szCs w:val="21"/>
                <w:highlight w:val="none"/>
                <w:lang w:val="en-US" w:eastAsia="zh-CN"/>
              </w:rPr>
              <w:t>6</w:t>
            </w:r>
            <w:r>
              <w:rPr>
                <w:rFonts w:hint="default" w:ascii="Times New Roman" w:hAnsi="Times New Roman" w:cs="Times New Roman"/>
                <w:color w:val="auto"/>
                <w:szCs w:val="21"/>
                <w:highlight w:val="none"/>
                <w:lang w:val="en-US" w:eastAsia="zh-CN"/>
              </w:rPr>
              <w:t>#</w:t>
            </w:r>
          </w:p>
        </w:tc>
        <w:tc>
          <w:tcPr>
            <w:tcW w:w="537" w:type="dxa"/>
            <w:shd w:val="clear" w:color="auto" w:fill="auto"/>
            <w:noWrap w:val="0"/>
            <w:vAlign w:val="center"/>
          </w:tcPr>
          <w:p w14:paraId="58EC480C">
            <w:pPr>
              <w:spacing w:line="280" w:lineRule="exact"/>
              <w:jc w:val="center"/>
              <w:rPr>
                <w:rFonts w:hint="eastAsia" w:ascii="Times New Roman" w:hAnsi="Times New Roman"/>
                <w:color w:val="auto"/>
                <w:szCs w:val="21"/>
                <w:highlight w:val="none"/>
                <w:lang w:val="en-US" w:eastAsia="zh-CN"/>
              </w:rPr>
            </w:pPr>
            <w:r>
              <w:rPr>
                <w:rFonts w:hint="eastAsia"/>
                <w:color w:val="auto"/>
                <w:szCs w:val="21"/>
                <w:highlight w:val="none"/>
                <w:lang w:val="en-US" w:eastAsia="zh-CN"/>
              </w:rPr>
              <w:t>80</w:t>
            </w:r>
          </w:p>
        </w:tc>
        <w:tc>
          <w:tcPr>
            <w:tcW w:w="537" w:type="dxa"/>
            <w:shd w:val="clear" w:color="auto" w:fill="auto"/>
            <w:noWrap w:val="0"/>
            <w:vAlign w:val="center"/>
          </w:tcPr>
          <w:p w14:paraId="2A467F8A">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38.93</w:t>
            </w:r>
          </w:p>
        </w:tc>
        <w:tc>
          <w:tcPr>
            <w:tcW w:w="537" w:type="dxa"/>
            <w:shd w:val="clear" w:color="auto" w:fill="auto"/>
            <w:noWrap w:val="0"/>
            <w:vAlign w:val="center"/>
          </w:tcPr>
          <w:p w14:paraId="2CCDA38A">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54.85</w:t>
            </w:r>
          </w:p>
        </w:tc>
        <w:tc>
          <w:tcPr>
            <w:tcW w:w="558" w:type="dxa"/>
            <w:shd w:val="clear" w:color="auto" w:fill="auto"/>
            <w:noWrap w:val="0"/>
            <w:vAlign w:val="center"/>
          </w:tcPr>
          <w:p w14:paraId="6BEEC628">
            <w:pPr>
              <w:spacing w:line="280" w:lineRule="exact"/>
              <w:jc w:val="center"/>
              <w:rPr>
                <w:rFonts w:hint="eastAsia"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1.4</w:t>
            </w:r>
          </w:p>
        </w:tc>
        <w:tc>
          <w:tcPr>
            <w:tcW w:w="537" w:type="dxa"/>
            <w:shd w:val="clear" w:color="auto" w:fill="auto"/>
            <w:noWrap w:val="0"/>
            <w:vAlign w:val="center"/>
          </w:tcPr>
          <w:p w14:paraId="0BF2091C">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35.5</w:t>
            </w:r>
          </w:p>
        </w:tc>
        <w:tc>
          <w:tcPr>
            <w:tcW w:w="537" w:type="dxa"/>
            <w:shd w:val="clear" w:color="auto" w:fill="auto"/>
            <w:noWrap w:val="0"/>
            <w:vAlign w:val="center"/>
          </w:tcPr>
          <w:p w14:paraId="58500FB0">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40.3</w:t>
            </w:r>
          </w:p>
        </w:tc>
        <w:tc>
          <w:tcPr>
            <w:tcW w:w="542" w:type="dxa"/>
            <w:shd w:val="clear" w:color="auto" w:fill="auto"/>
            <w:noWrap w:val="0"/>
            <w:vAlign w:val="center"/>
          </w:tcPr>
          <w:p w14:paraId="30E7AEB5">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55.8</w:t>
            </w:r>
          </w:p>
        </w:tc>
        <w:tc>
          <w:tcPr>
            <w:tcW w:w="558" w:type="dxa"/>
            <w:shd w:val="clear" w:color="auto" w:fill="auto"/>
            <w:noWrap w:val="0"/>
            <w:vAlign w:val="center"/>
          </w:tcPr>
          <w:p w14:paraId="5A315D38">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137.3</w:t>
            </w:r>
          </w:p>
        </w:tc>
        <w:tc>
          <w:tcPr>
            <w:tcW w:w="542" w:type="dxa"/>
            <w:shd w:val="clear" w:color="auto" w:fill="auto"/>
            <w:noWrap w:val="0"/>
            <w:vAlign w:val="center"/>
          </w:tcPr>
          <w:p w14:paraId="13CC89D9">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 xml:space="preserve">54.9 </w:t>
            </w:r>
          </w:p>
        </w:tc>
        <w:tc>
          <w:tcPr>
            <w:tcW w:w="542" w:type="dxa"/>
            <w:shd w:val="clear" w:color="auto" w:fill="auto"/>
            <w:noWrap w:val="0"/>
            <w:vAlign w:val="center"/>
          </w:tcPr>
          <w:p w14:paraId="0DC2B0DE">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 xml:space="preserve">54.8 </w:t>
            </w:r>
          </w:p>
        </w:tc>
        <w:tc>
          <w:tcPr>
            <w:tcW w:w="542" w:type="dxa"/>
            <w:shd w:val="clear" w:color="auto" w:fill="auto"/>
            <w:noWrap w:val="0"/>
            <w:vAlign w:val="center"/>
          </w:tcPr>
          <w:p w14:paraId="30F7ACAC">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 xml:space="preserve">54.8 </w:t>
            </w:r>
          </w:p>
        </w:tc>
        <w:tc>
          <w:tcPr>
            <w:tcW w:w="555" w:type="dxa"/>
            <w:shd w:val="clear" w:color="auto" w:fill="auto"/>
            <w:noWrap w:val="0"/>
            <w:vAlign w:val="center"/>
          </w:tcPr>
          <w:p w14:paraId="1FBAAEDE">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 xml:space="preserve">54.8 </w:t>
            </w:r>
          </w:p>
        </w:tc>
        <w:tc>
          <w:tcPr>
            <w:tcW w:w="542" w:type="dxa"/>
            <w:vMerge w:val="continue"/>
            <w:shd w:val="clear" w:color="auto" w:fill="auto"/>
            <w:noWrap w:val="0"/>
            <w:vAlign w:val="center"/>
          </w:tcPr>
          <w:p w14:paraId="58D3BF77">
            <w:pPr>
              <w:spacing w:line="280" w:lineRule="exact"/>
              <w:jc w:val="center"/>
              <w:rPr>
                <w:rFonts w:hint="default" w:ascii="Times New Roman" w:hAnsi="Times New Roman" w:eastAsia="宋体"/>
                <w:color w:val="auto"/>
                <w:szCs w:val="21"/>
                <w:highlight w:val="none"/>
                <w:lang w:val="en-US" w:eastAsia="zh-CN"/>
              </w:rPr>
            </w:pPr>
          </w:p>
        </w:tc>
        <w:tc>
          <w:tcPr>
            <w:tcW w:w="897" w:type="dxa"/>
            <w:shd w:val="clear" w:color="auto" w:fill="auto"/>
            <w:noWrap w:val="0"/>
            <w:vAlign w:val="center"/>
          </w:tcPr>
          <w:p w14:paraId="0F67A32F">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24.3</w:t>
            </w:r>
          </w:p>
        </w:tc>
        <w:tc>
          <w:tcPr>
            <w:tcW w:w="746" w:type="dxa"/>
            <w:shd w:val="clear" w:color="auto" w:fill="auto"/>
            <w:noWrap w:val="0"/>
            <w:vAlign w:val="center"/>
          </w:tcPr>
          <w:p w14:paraId="439A6B6F">
            <w:pPr>
              <w:spacing w:line="280" w:lineRule="exact"/>
              <w:jc w:val="center"/>
              <w:rPr>
                <w:rFonts w:hint="eastAsia" w:cs="Times New Roman"/>
                <w:color w:val="auto"/>
                <w:szCs w:val="21"/>
                <w:highlight w:val="none"/>
                <w:lang w:val="en-US" w:eastAsia="zh-CN"/>
              </w:rPr>
            </w:pPr>
            <w:r>
              <w:rPr>
                <w:rFonts w:hint="eastAsia" w:cs="Times New Roman"/>
                <w:color w:val="auto"/>
                <w:szCs w:val="21"/>
                <w:highlight w:val="none"/>
                <w:lang w:val="en-US" w:eastAsia="zh-CN"/>
              </w:rPr>
              <w:t>30.6</w:t>
            </w:r>
          </w:p>
        </w:tc>
        <w:tc>
          <w:tcPr>
            <w:tcW w:w="689" w:type="dxa"/>
            <w:shd w:val="clear" w:color="auto" w:fill="auto"/>
            <w:noWrap w:val="0"/>
            <w:vAlign w:val="center"/>
          </w:tcPr>
          <w:p w14:paraId="0842074E">
            <w:pPr>
              <w:spacing w:line="280" w:lineRule="exact"/>
              <w:jc w:val="center"/>
              <w:rPr>
                <w:rFonts w:hint="eastAsia" w:cs="Times New Roman"/>
                <w:color w:val="auto"/>
                <w:szCs w:val="21"/>
                <w:highlight w:val="none"/>
                <w:lang w:val="en-US" w:eastAsia="zh-CN"/>
              </w:rPr>
            </w:pPr>
            <w:r>
              <w:rPr>
                <w:rFonts w:hint="eastAsia" w:cs="Times New Roman"/>
                <w:color w:val="auto"/>
                <w:szCs w:val="21"/>
                <w:highlight w:val="none"/>
                <w:lang w:val="en-US" w:eastAsia="zh-CN"/>
              </w:rPr>
              <w:t>30.5</w:t>
            </w:r>
          </w:p>
        </w:tc>
        <w:tc>
          <w:tcPr>
            <w:tcW w:w="838" w:type="dxa"/>
            <w:shd w:val="clear" w:color="auto" w:fill="auto"/>
            <w:noWrap w:val="0"/>
            <w:vAlign w:val="center"/>
          </w:tcPr>
          <w:p w14:paraId="6789D1DD">
            <w:pPr>
              <w:spacing w:line="280" w:lineRule="exact"/>
              <w:jc w:val="center"/>
              <w:rPr>
                <w:rFonts w:hint="eastAsia" w:cs="Times New Roman"/>
                <w:color w:val="auto"/>
                <w:szCs w:val="21"/>
                <w:highlight w:val="none"/>
                <w:lang w:val="en-US" w:eastAsia="zh-CN"/>
              </w:rPr>
            </w:pPr>
            <w:r>
              <w:rPr>
                <w:rFonts w:hint="eastAsia" w:cs="Times New Roman"/>
                <w:color w:val="auto"/>
                <w:szCs w:val="21"/>
                <w:highlight w:val="none"/>
                <w:lang w:val="en-US" w:eastAsia="zh-CN"/>
              </w:rPr>
              <w:t>30.5</w:t>
            </w:r>
          </w:p>
        </w:tc>
        <w:tc>
          <w:tcPr>
            <w:tcW w:w="750" w:type="dxa"/>
            <w:shd w:val="clear" w:color="auto" w:fill="auto"/>
            <w:noWrap w:val="0"/>
            <w:vAlign w:val="center"/>
          </w:tcPr>
          <w:p w14:paraId="7E72B78B">
            <w:pPr>
              <w:spacing w:line="280" w:lineRule="exact"/>
              <w:jc w:val="center"/>
              <w:rPr>
                <w:rFonts w:hint="eastAsia" w:cs="Times New Roman"/>
                <w:color w:val="auto"/>
                <w:szCs w:val="21"/>
                <w:highlight w:val="none"/>
                <w:lang w:val="en-US" w:eastAsia="zh-CN"/>
              </w:rPr>
            </w:pPr>
            <w:r>
              <w:rPr>
                <w:rFonts w:hint="eastAsia" w:cs="Times New Roman"/>
                <w:color w:val="auto"/>
                <w:szCs w:val="21"/>
                <w:highlight w:val="none"/>
                <w:lang w:val="en-US" w:eastAsia="zh-CN"/>
              </w:rPr>
              <w:t>30.5</w:t>
            </w:r>
          </w:p>
        </w:tc>
        <w:tc>
          <w:tcPr>
            <w:tcW w:w="1096" w:type="dxa"/>
            <w:shd w:val="clear" w:color="auto" w:fill="auto"/>
            <w:noWrap w:val="0"/>
            <w:vAlign w:val="center"/>
          </w:tcPr>
          <w:p w14:paraId="24B0E7F9">
            <w:pPr>
              <w:spacing w:line="280" w:lineRule="exact"/>
              <w:jc w:val="center"/>
              <w:rPr>
                <w:rFonts w:hint="eastAsia"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1</w:t>
            </w:r>
          </w:p>
        </w:tc>
      </w:tr>
      <w:tr w14:paraId="36905F1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27" w:type="dxa"/>
            <w:shd w:val="clear" w:color="auto" w:fill="auto"/>
            <w:noWrap w:val="0"/>
            <w:vAlign w:val="center"/>
          </w:tcPr>
          <w:p w14:paraId="530A807E">
            <w:pPr>
              <w:spacing w:line="280" w:lineRule="exact"/>
              <w:jc w:val="center"/>
              <w:rPr>
                <w:rFonts w:hint="default" w:ascii="Times New Roman" w:hAnsi="Times New Roman"/>
                <w:color w:val="auto"/>
                <w:szCs w:val="21"/>
                <w:highlight w:val="none"/>
                <w:lang w:val="en-US" w:eastAsia="zh-CN"/>
              </w:rPr>
            </w:pPr>
            <w:r>
              <w:rPr>
                <w:rFonts w:hint="eastAsia"/>
                <w:color w:val="auto"/>
                <w:szCs w:val="21"/>
                <w:highlight w:val="none"/>
                <w:lang w:val="en-US" w:eastAsia="zh-CN"/>
              </w:rPr>
              <w:t>7</w:t>
            </w:r>
          </w:p>
        </w:tc>
        <w:tc>
          <w:tcPr>
            <w:tcW w:w="1428" w:type="dxa"/>
            <w:shd w:val="clear" w:color="auto" w:fill="auto"/>
            <w:noWrap w:val="0"/>
            <w:vAlign w:val="center"/>
          </w:tcPr>
          <w:p w14:paraId="514EE387">
            <w:pPr>
              <w:keepNext w:val="0"/>
              <w:keepLines w:val="0"/>
              <w:pageBreakBefore w:val="0"/>
              <w:widowControl w:val="0"/>
              <w:kinsoku/>
              <w:wordWrap/>
              <w:overflowPunct/>
              <w:topLinePunct w:val="0"/>
              <w:autoSpaceDE w:val="0"/>
              <w:autoSpaceDN w:val="0"/>
              <w:bidi w:val="0"/>
              <w:adjustRightInd w:val="0"/>
              <w:snapToGrid w:val="0"/>
              <w:spacing w:line="280" w:lineRule="exact"/>
              <w:jc w:val="center"/>
              <w:textAlignment w:val="auto"/>
              <w:rPr>
                <w:rFonts w:hint="eastAsia"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rPr>
              <w:t>正极</w:t>
            </w:r>
            <w:r>
              <w:rPr>
                <w:rFonts w:hint="default" w:ascii="Times New Roman" w:hAnsi="Times New Roman" w:eastAsia="宋体" w:cs="Times New Roman"/>
                <w:color w:val="auto"/>
                <w:szCs w:val="21"/>
                <w:highlight w:val="none"/>
                <w:lang w:val="en-US" w:eastAsia="zh-CN"/>
              </w:rPr>
              <w:t>匀浆</w:t>
            </w:r>
            <w:r>
              <w:rPr>
                <w:rFonts w:hint="default" w:ascii="Times New Roman" w:hAnsi="Times New Roman" w:eastAsia="宋体" w:cs="Times New Roman"/>
                <w:color w:val="auto"/>
                <w:szCs w:val="21"/>
                <w:highlight w:val="none"/>
              </w:rPr>
              <w:t>系统</w:t>
            </w:r>
            <w:r>
              <w:rPr>
                <w:rFonts w:hint="eastAsia" w:ascii="Times New Roman" w:hAnsi="Times New Roman" w:eastAsia="宋体" w:cs="Times New Roman"/>
                <w:color w:val="auto"/>
                <w:szCs w:val="21"/>
                <w:highlight w:val="none"/>
                <w:lang w:val="en-US" w:eastAsia="zh-CN"/>
              </w:rPr>
              <w:t>7</w:t>
            </w:r>
            <w:r>
              <w:rPr>
                <w:rFonts w:hint="default" w:ascii="Times New Roman" w:hAnsi="Times New Roman" w:eastAsia="宋体" w:cs="Times New Roman"/>
                <w:color w:val="auto"/>
                <w:szCs w:val="21"/>
                <w:highlight w:val="none"/>
                <w:lang w:val="en-US" w:eastAsia="zh-CN"/>
              </w:rPr>
              <w:t>#</w:t>
            </w:r>
          </w:p>
        </w:tc>
        <w:tc>
          <w:tcPr>
            <w:tcW w:w="537" w:type="dxa"/>
            <w:shd w:val="clear" w:color="auto" w:fill="auto"/>
            <w:noWrap w:val="0"/>
            <w:vAlign w:val="center"/>
          </w:tcPr>
          <w:p w14:paraId="314CE896">
            <w:pPr>
              <w:spacing w:line="280" w:lineRule="exact"/>
              <w:jc w:val="center"/>
              <w:rPr>
                <w:rFonts w:hint="eastAsia" w:ascii="Times New Roman" w:hAnsi="Times New Roman"/>
                <w:color w:val="auto"/>
                <w:szCs w:val="21"/>
                <w:highlight w:val="none"/>
                <w:lang w:val="en-US" w:eastAsia="zh-CN"/>
              </w:rPr>
            </w:pPr>
            <w:r>
              <w:rPr>
                <w:rFonts w:hint="eastAsia"/>
                <w:color w:val="auto"/>
                <w:szCs w:val="21"/>
                <w:highlight w:val="none"/>
                <w:lang w:val="en-US" w:eastAsia="zh-CN"/>
              </w:rPr>
              <w:t>80</w:t>
            </w:r>
          </w:p>
        </w:tc>
        <w:tc>
          <w:tcPr>
            <w:tcW w:w="537" w:type="dxa"/>
            <w:shd w:val="clear" w:color="auto" w:fill="auto"/>
            <w:noWrap w:val="0"/>
            <w:vAlign w:val="center"/>
          </w:tcPr>
          <w:p w14:paraId="7B893007">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38.3</w:t>
            </w:r>
          </w:p>
        </w:tc>
        <w:tc>
          <w:tcPr>
            <w:tcW w:w="537" w:type="dxa"/>
            <w:shd w:val="clear" w:color="auto" w:fill="auto"/>
            <w:noWrap w:val="0"/>
            <w:vAlign w:val="center"/>
          </w:tcPr>
          <w:p w14:paraId="2404D217">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55.72</w:t>
            </w:r>
          </w:p>
        </w:tc>
        <w:tc>
          <w:tcPr>
            <w:tcW w:w="558" w:type="dxa"/>
            <w:shd w:val="clear" w:color="auto" w:fill="auto"/>
            <w:noWrap w:val="0"/>
            <w:vAlign w:val="center"/>
          </w:tcPr>
          <w:p w14:paraId="72806836">
            <w:pPr>
              <w:spacing w:line="280" w:lineRule="exact"/>
              <w:jc w:val="center"/>
              <w:rPr>
                <w:rFonts w:hint="eastAsia"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1.4</w:t>
            </w:r>
          </w:p>
        </w:tc>
        <w:tc>
          <w:tcPr>
            <w:tcW w:w="537" w:type="dxa"/>
            <w:shd w:val="clear" w:color="auto" w:fill="auto"/>
            <w:noWrap w:val="0"/>
            <w:vAlign w:val="center"/>
          </w:tcPr>
          <w:p w14:paraId="2B467813">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36.1</w:t>
            </w:r>
          </w:p>
        </w:tc>
        <w:tc>
          <w:tcPr>
            <w:tcW w:w="537" w:type="dxa"/>
            <w:shd w:val="clear" w:color="auto" w:fill="auto"/>
            <w:noWrap w:val="0"/>
            <w:vAlign w:val="center"/>
          </w:tcPr>
          <w:p w14:paraId="0F30F0CF">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40.9</w:t>
            </w:r>
          </w:p>
        </w:tc>
        <w:tc>
          <w:tcPr>
            <w:tcW w:w="542" w:type="dxa"/>
            <w:shd w:val="clear" w:color="auto" w:fill="auto"/>
            <w:noWrap w:val="0"/>
            <w:vAlign w:val="center"/>
          </w:tcPr>
          <w:p w14:paraId="5DBEAC5A">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55.3</w:t>
            </w:r>
          </w:p>
        </w:tc>
        <w:tc>
          <w:tcPr>
            <w:tcW w:w="558" w:type="dxa"/>
            <w:shd w:val="clear" w:color="auto" w:fill="auto"/>
            <w:noWrap w:val="0"/>
            <w:vAlign w:val="center"/>
          </w:tcPr>
          <w:p w14:paraId="1467F60D">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122.4</w:t>
            </w:r>
          </w:p>
        </w:tc>
        <w:tc>
          <w:tcPr>
            <w:tcW w:w="542" w:type="dxa"/>
            <w:shd w:val="clear" w:color="auto" w:fill="auto"/>
            <w:noWrap w:val="0"/>
            <w:vAlign w:val="center"/>
          </w:tcPr>
          <w:p w14:paraId="7D0E82D1">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 xml:space="preserve">54.8 </w:t>
            </w:r>
          </w:p>
        </w:tc>
        <w:tc>
          <w:tcPr>
            <w:tcW w:w="542" w:type="dxa"/>
            <w:shd w:val="clear" w:color="auto" w:fill="auto"/>
            <w:noWrap w:val="0"/>
            <w:vAlign w:val="center"/>
          </w:tcPr>
          <w:p w14:paraId="35276648">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 xml:space="preserve">54.8 </w:t>
            </w:r>
          </w:p>
        </w:tc>
        <w:tc>
          <w:tcPr>
            <w:tcW w:w="542" w:type="dxa"/>
            <w:shd w:val="clear" w:color="auto" w:fill="auto"/>
            <w:noWrap w:val="0"/>
            <w:vAlign w:val="center"/>
          </w:tcPr>
          <w:p w14:paraId="0844B1F1">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 xml:space="preserve">54.8 </w:t>
            </w:r>
          </w:p>
        </w:tc>
        <w:tc>
          <w:tcPr>
            <w:tcW w:w="555" w:type="dxa"/>
            <w:shd w:val="clear" w:color="auto" w:fill="auto"/>
            <w:noWrap w:val="0"/>
            <w:vAlign w:val="center"/>
          </w:tcPr>
          <w:p w14:paraId="43087094">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 xml:space="preserve">54.8 </w:t>
            </w:r>
          </w:p>
        </w:tc>
        <w:tc>
          <w:tcPr>
            <w:tcW w:w="542" w:type="dxa"/>
            <w:vMerge w:val="continue"/>
            <w:shd w:val="clear" w:color="auto" w:fill="auto"/>
            <w:noWrap w:val="0"/>
            <w:vAlign w:val="center"/>
          </w:tcPr>
          <w:p w14:paraId="690B2261">
            <w:pPr>
              <w:spacing w:line="280" w:lineRule="exact"/>
              <w:jc w:val="center"/>
              <w:rPr>
                <w:rFonts w:hint="default" w:ascii="Times New Roman" w:hAnsi="Times New Roman" w:eastAsia="宋体"/>
                <w:color w:val="auto"/>
                <w:szCs w:val="21"/>
                <w:highlight w:val="none"/>
                <w:lang w:val="en-US" w:eastAsia="zh-CN"/>
              </w:rPr>
            </w:pPr>
          </w:p>
        </w:tc>
        <w:tc>
          <w:tcPr>
            <w:tcW w:w="897" w:type="dxa"/>
            <w:shd w:val="clear" w:color="auto" w:fill="auto"/>
            <w:noWrap w:val="0"/>
            <w:vAlign w:val="center"/>
          </w:tcPr>
          <w:p w14:paraId="2A20ECD0">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24.3</w:t>
            </w:r>
          </w:p>
        </w:tc>
        <w:tc>
          <w:tcPr>
            <w:tcW w:w="746" w:type="dxa"/>
            <w:shd w:val="clear" w:color="auto" w:fill="auto"/>
            <w:noWrap w:val="0"/>
            <w:vAlign w:val="center"/>
          </w:tcPr>
          <w:p w14:paraId="1C4C0796">
            <w:pPr>
              <w:spacing w:line="280" w:lineRule="exact"/>
              <w:jc w:val="center"/>
              <w:rPr>
                <w:rFonts w:hint="eastAsia" w:cs="Times New Roman"/>
                <w:color w:val="auto"/>
                <w:szCs w:val="21"/>
                <w:highlight w:val="none"/>
                <w:lang w:val="en-US" w:eastAsia="zh-CN"/>
              </w:rPr>
            </w:pPr>
            <w:r>
              <w:rPr>
                <w:rFonts w:hint="eastAsia" w:cs="Times New Roman"/>
                <w:color w:val="auto"/>
                <w:szCs w:val="21"/>
                <w:highlight w:val="none"/>
                <w:lang w:val="en-US" w:eastAsia="zh-CN"/>
              </w:rPr>
              <w:t>30.5</w:t>
            </w:r>
          </w:p>
        </w:tc>
        <w:tc>
          <w:tcPr>
            <w:tcW w:w="689" w:type="dxa"/>
            <w:shd w:val="clear" w:color="auto" w:fill="auto"/>
            <w:noWrap w:val="0"/>
            <w:vAlign w:val="center"/>
          </w:tcPr>
          <w:p w14:paraId="1BD74E82">
            <w:pPr>
              <w:spacing w:line="280" w:lineRule="exact"/>
              <w:jc w:val="center"/>
              <w:rPr>
                <w:rFonts w:hint="eastAsia" w:cs="Times New Roman"/>
                <w:color w:val="auto"/>
                <w:szCs w:val="21"/>
                <w:highlight w:val="none"/>
                <w:lang w:val="en-US" w:eastAsia="zh-CN"/>
              </w:rPr>
            </w:pPr>
            <w:r>
              <w:rPr>
                <w:rFonts w:hint="eastAsia" w:cs="Times New Roman"/>
                <w:color w:val="auto"/>
                <w:szCs w:val="21"/>
                <w:highlight w:val="none"/>
                <w:lang w:val="en-US" w:eastAsia="zh-CN"/>
              </w:rPr>
              <w:t>30.5</w:t>
            </w:r>
          </w:p>
        </w:tc>
        <w:tc>
          <w:tcPr>
            <w:tcW w:w="838" w:type="dxa"/>
            <w:shd w:val="clear" w:color="auto" w:fill="auto"/>
            <w:noWrap w:val="0"/>
            <w:vAlign w:val="center"/>
          </w:tcPr>
          <w:p w14:paraId="050B40F3">
            <w:pPr>
              <w:spacing w:line="280" w:lineRule="exact"/>
              <w:jc w:val="center"/>
              <w:rPr>
                <w:rFonts w:hint="eastAsia" w:cs="Times New Roman"/>
                <w:color w:val="auto"/>
                <w:szCs w:val="21"/>
                <w:highlight w:val="none"/>
                <w:lang w:val="en-US" w:eastAsia="zh-CN"/>
              </w:rPr>
            </w:pPr>
            <w:r>
              <w:rPr>
                <w:rFonts w:hint="eastAsia" w:cs="Times New Roman"/>
                <w:color w:val="auto"/>
                <w:szCs w:val="21"/>
                <w:highlight w:val="none"/>
                <w:lang w:val="en-US" w:eastAsia="zh-CN"/>
              </w:rPr>
              <w:t>30.5</w:t>
            </w:r>
          </w:p>
        </w:tc>
        <w:tc>
          <w:tcPr>
            <w:tcW w:w="750" w:type="dxa"/>
            <w:shd w:val="clear" w:color="auto" w:fill="auto"/>
            <w:noWrap w:val="0"/>
            <w:vAlign w:val="center"/>
          </w:tcPr>
          <w:p w14:paraId="45C46D1E">
            <w:pPr>
              <w:spacing w:line="280" w:lineRule="exact"/>
              <w:jc w:val="center"/>
              <w:rPr>
                <w:rFonts w:hint="eastAsia" w:cs="Times New Roman"/>
                <w:color w:val="auto"/>
                <w:szCs w:val="21"/>
                <w:highlight w:val="none"/>
                <w:lang w:val="en-US" w:eastAsia="zh-CN"/>
              </w:rPr>
            </w:pPr>
            <w:r>
              <w:rPr>
                <w:rFonts w:hint="eastAsia" w:cs="Times New Roman"/>
                <w:color w:val="auto"/>
                <w:szCs w:val="21"/>
                <w:highlight w:val="none"/>
                <w:lang w:val="en-US" w:eastAsia="zh-CN"/>
              </w:rPr>
              <w:t>30.5</w:t>
            </w:r>
          </w:p>
        </w:tc>
        <w:tc>
          <w:tcPr>
            <w:tcW w:w="1096" w:type="dxa"/>
            <w:shd w:val="clear" w:color="auto" w:fill="auto"/>
            <w:noWrap w:val="0"/>
            <w:vAlign w:val="center"/>
          </w:tcPr>
          <w:p w14:paraId="268B59DB">
            <w:pPr>
              <w:spacing w:line="280" w:lineRule="exact"/>
              <w:jc w:val="center"/>
              <w:rPr>
                <w:rFonts w:hint="eastAsia"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1</w:t>
            </w:r>
          </w:p>
        </w:tc>
      </w:tr>
      <w:tr w14:paraId="405C0EC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27" w:type="dxa"/>
            <w:shd w:val="clear" w:color="auto" w:fill="auto"/>
            <w:noWrap w:val="0"/>
            <w:vAlign w:val="center"/>
          </w:tcPr>
          <w:p w14:paraId="357CE7D1">
            <w:pPr>
              <w:spacing w:line="280" w:lineRule="exact"/>
              <w:jc w:val="center"/>
              <w:rPr>
                <w:rFonts w:hint="default" w:ascii="Times New Roman" w:hAnsi="Times New Roman"/>
                <w:color w:val="auto"/>
                <w:szCs w:val="21"/>
                <w:highlight w:val="none"/>
                <w:lang w:val="en-US" w:eastAsia="zh-CN"/>
              </w:rPr>
            </w:pPr>
            <w:r>
              <w:rPr>
                <w:rFonts w:hint="eastAsia"/>
                <w:color w:val="auto"/>
                <w:szCs w:val="21"/>
                <w:highlight w:val="none"/>
                <w:lang w:val="en-US" w:eastAsia="zh-CN"/>
              </w:rPr>
              <w:t>8</w:t>
            </w:r>
          </w:p>
        </w:tc>
        <w:tc>
          <w:tcPr>
            <w:tcW w:w="1428" w:type="dxa"/>
            <w:shd w:val="clear" w:color="auto" w:fill="auto"/>
            <w:noWrap w:val="0"/>
            <w:vAlign w:val="center"/>
          </w:tcPr>
          <w:p w14:paraId="7BEDB9E1">
            <w:pPr>
              <w:keepNext w:val="0"/>
              <w:keepLines w:val="0"/>
              <w:pageBreakBefore w:val="0"/>
              <w:widowControl w:val="0"/>
              <w:kinsoku/>
              <w:wordWrap/>
              <w:overflowPunct/>
              <w:topLinePunct w:val="0"/>
              <w:autoSpaceDE w:val="0"/>
              <w:autoSpaceDN w:val="0"/>
              <w:bidi w:val="0"/>
              <w:adjustRightInd w:val="0"/>
              <w:snapToGrid w:val="0"/>
              <w:spacing w:line="280" w:lineRule="exact"/>
              <w:jc w:val="center"/>
              <w:textAlignment w:val="auto"/>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负</w:t>
            </w:r>
            <w:r>
              <w:rPr>
                <w:rFonts w:hint="eastAsia" w:ascii="Times New Roman" w:hAnsi="Times New Roman" w:eastAsia="宋体" w:cs="Times New Roman"/>
                <w:color w:val="auto"/>
                <w:szCs w:val="21"/>
                <w:highlight w:val="none"/>
              </w:rPr>
              <w:t>极</w:t>
            </w:r>
            <w:r>
              <w:rPr>
                <w:rFonts w:hint="eastAsia" w:ascii="Times New Roman" w:hAnsi="Times New Roman" w:eastAsia="宋体" w:cs="Times New Roman"/>
                <w:color w:val="auto"/>
                <w:szCs w:val="21"/>
                <w:highlight w:val="none"/>
                <w:lang w:val="en-US" w:eastAsia="zh-CN"/>
              </w:rPr>
              <w:t>匀浆</w:t>
            </w:r>
            <w:r>
              <w:rPr>
                <w:rFonts w:hint="eastAsia" w:ascii="Times New Roman" w:hAnsi="Times New Roman" w:eastAsia="宋体" w:cs="Times New Roman"/>
                <w:color w:val="auto"/>
                <w:szCs w:val="21"/>
                <w:highlight w:val="none"/>
              </w:rPr>
              <w:t>系统</w:t>
            </w:r>
            <w:r>
              <w:rPr>
                <w:rFonts w:hint="eastAsia" w:ascii="Times New Roman" w:hAnsi="Times New Roman" w:eastAsia="宋体" w:cs="Times New Roman"/>
                <w:color w:val="auto"/>
                <w:szCs w:val="21"/>
                <w:highlight w:val="none"/>
                <w:lang w:val="en-US" w:eastAsia="zh-CN"/>
              </w:rPr>
              <w:t>1#</w:t>
            </w:r>
          </w:p>
        </w:tc>
        <w:tc>
          <w:tcPr>
            <w:tcW w:w="537" w:type="dxa"/>
            <w:shd w:val="clear" w:color="auto" w:fill="auto"/>
            <w:noWrap w:val="0"/>
            <w:vAlign w:val="center"/>
          </w:tcPr>
          <w:p w14:paraId="2C527D81">
            <w:pPr>
              <w:spacing w:line="280" w:lineRule="exact"/>
              <w:jc w:val="center"/>
              <w:rPr>
                <w:rFonts w:hint="eastAsia" w:ascii="Times New Roman" w:hAnsi="Times New Roman"/>
                <w:color w:val="auto"/>
                <w:szCs w:val="21"/>
                <w:highlight w:val="none"/>
                <w:lang w:val="en-US" w:eastAsia="zh-CN"/>
              </w:rPr>
            </w:pPr>
            <w:r>
              <w:rPr>
                <w:rFonts w:hint="eastAsia"/>
                <w:color w:val="auto"/>
                <w:szCs w:val="21"/>
                <w:highlight w:val="none"/>
                <w:lang w:val="en-US" w:eastAsia="zh-CN"/>
              </w:rPr>
              <w:t>80</w:t>
            </w:r>
          </w:p>
        </w:tc>
        <w:tc>
          <w:tcPr>
            <w:tcW w:w="537" w:type="dxa"/>
            <w:shd w:val="clear" w:color="auto" w:fill="auto"/>
            <w:noWrap w:val="0"/>
            <w:vAlign w:val="center"/>
          </w:tcPr>
          <w:p w14:paraId="0D8904D4">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38.34</w:t>
            </w:r>
          </w:p>
        </w:tc>
        <w:tc>
          <w:tcPr>
            <w:tcW w:w="537" w:type="dxa"/>
            <w:shd w:val="clear" w:color="auto" w:fill="auto"/>
            <w:noWrap w:val="0"/>
            <w:vAlign w:val="center"/>
          </w:tcPr>
          <w:p w14:paraId="12DF9132">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40.92</w:t>
            </w:r>
          </w:p>
        </w:tc>
        <w:tc>
          <w:tcPr>
            <w:tcW w:w="558" w:type="dxa"/>
            <w:shd w:val="clear" w:color="auto" w:fill="auto"/>
            <w:noWrap w:val="0"/>
            <w:vAlign w:val="center"/>
          </w:tcPr>
          <w:p w14:paraId="194328C7">
            <w:pPr>
              <w:spacing w:line="280" w:lineRule="exact"/>
              <w:jc w:val="center"/>
              <w:rPr>
                <w:rFonts w:hint="eastAsia"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1.4</w:t>
            </w:r>
          </w:p>
        </w:tc>
        <w:tc>
          <w:tcPr>
            <w:tcW w:w="537" w:type="dxa"/>
            <w:shd w:val="clear" w:color="auto" w:fill="auto"/>
            <w:noWrap w:val="0"/>
            <w:vAlign w:val="center"/>
          </w:tcPr>
          <w:p w14:paraId="49F8B900">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40.0</w:t>
            </w:r>
          </w:p>
        </w:tc>
        <w:tc>
          <w:tcPr>
            <w:tcW w:w="537" w:type="dxa"/>
            <w:shd w:val="clear" w:color="auto" w:fill="auto"/>
            <w:noWrap w:val="0"/>
            <w:vAlign w:val="center"/>
          </w:tcPr>
          <w:p w14:paraId="1916C38F">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26.5</w:t>
            </w:r>
          </w:p>
        </w:tc>
        <w:tc>
          <w:tcPr>
            <w:tcW w:w="542" w:type="dxa"/>
            <w:shd w:val="clear" w:color="auto" w:fill="auto"/>
            <w:noWrap w:val="0"/>
            <w:vAlign w:val="center"/>
          </w:tcPr>
          <w:p w14:paraId="56EB57B1">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50.1</w:t>
            </w:r>
          </w:p>
        </w:tc>
        <w:tc>
          <w:tcPr>
            <w:tcW w:w="558" w:type="dxa"/>
            <w:shd w:val="clear" w:color="auto" w:fill="auto"/>
            <w:noWrap w:val="0"/>
            <w:vAlign w:val="center"/>
          </w:tcPr>
          <w:p w14:paraId="671F6091">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151.7</w:t>
            </w:r>
          </w:p>
        </w:tc>
        <w:tc>
          <w:tcPr>
            <w:tcW w:w="542" w:type="dxa"/>
            <w:shd w:val="clear" w:color="auto" w:fill="auto"/>
            <w:noWrap w:val="0"/>
            <w:vAlign w:val="center"/>
          </w:tcPr>
          <w:p w14:paraId="4AFE80B2">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 xml:space="preserve">54.8 </w:t>
            </w:r>
          </w:p>
        </w:tc>
        <w:tc>
          <w:tcPr>
            <w:tcW w:w="542" w:type="dxa"/>
            <w:shd w:val="clear" w:color="auto" w:fill="auto"/>
            <w:noWrap w:val="0"/>
            <w:vAlign w:val="center"/>
          </w:tcPr>
          <w:p w14:paraId="499E2A78">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 xml:space="preserve">54.9 </w:t>
            </w:r>
          </w:p>
        </w:tc>
        <w:tc>
          <w:tcPr>
            <w:tcW w:w="542" w:type="dxa"/>
            <w:shd w:val="clear" w:color="auto" w:fill="auto"/>
            <w:noWrap w:val="0"/>
            <w:vAlign w:val="center"/>
          </w:tcPr>
          <w:p w14:paraId="0CA78234">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 xml:space="preserve">54.8 </w:t>
            </w:r>
          </w:p>
        </w:tc>
        <w:tc>
          <w:tcPr>
            <w:tcW w:w="555" w:type="dxa"/>
            <w:shd w:val="clear" w:color="auto" w:fill="auto"/>
            <w:noWrap w:val="0"/>
            <w:vAlign w:val="center"/>
          </w:tcPr>
          <w:p w14:paraId="3097A65D">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 xml:space="preserve">54.8 </w:t>
            </w:r>
          </w:p>
        </w:tc>
        <w:tc>
          <w:tcPr>
            <w:tcW w:w="542" w:type="dxa"/>
            <w:vMerge w:val="continue"/>
            <w:shd w:val="clear" w:color="auto" w:fill="auto"/>
            <w:noWrap w:val="0"/>
            <w:vAlign w:val="center"/>
          </w:tcPr>
          <w:p w14:paraId="12DFBF46">
            <w:pPr>
              <w:spacing w:line="280" w:lineRule="exact"/>
              <w:jc w:val="center"/>
              <w:rPr>
                <w:rFonts w:hint="default" w:ascii="Times New Roman" w:hAnsi="Times New Roman" w:eastAsia="宋体"/>
                <w:color w:val="auto"/>
                <w:szCs w:val="21"/>
                <w:highlight w:val="none"/>
                <w:lang w:val="en-US" w:eastAsia="zh-CN"/>
              </w:rPr>
            </w:pPr>
          </w:p>
        </w:tc>
        <w:tc>
          <w:tcPr>
            <w:tcW w:w="897" w:type="dxa"/>
            <w:shd w:val="clear" w:color="auto" w:fill="auto"/>
            <w:noWrap w:val="0"/>
            <w:vAlign w:val="center"/>
          </w:tcPr>
          <w:p w14:paraId="578432C4">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24.3</w:t>
            </w:r>
          </w:p>
        </w:tc>
        <w:tc>
          <w:tcPr>
            <w:tcW w:w="746" w:type="dxa"/>
            <w:shd w:val="clear" w:color="auto" w:fill="auto"/>
            <w:noWrap w:val="0"/>
            <w:vAlign w:val="center"/>
          </w:tcPr>
          <w:p w14:paraId="45147AF0">
            <w:pPr>
              <w:spacing w:line="280" w:lineRule="exact"/>
              <w:jc w:val="center"/>
              <w:rPr>
                <w:rFonts w:hint="eastAsia" w:cs="Times New Roman"/>
                <w:color w:val="auto"/>
                <w:szCs w:val="21"/>
                <w:highlight w:val="none"/>
                <w:lang w:val="en-US" w:eastAsia="zh-CN"/>
              </w:rPr>
            </w:pPr>
            <w:r>
              <w:rPr>
                <w:rFonts w:hint="eastAsia" w:cs="Times New Roman"/>
                <w:color w:val="auto"/>
                <w:szCs w:val="21"/>
                <w:highlight w:val="none"/>
                <w:lang w:val="en-US" w:eastAsia="zh-CN"/>
              </w:rPr>
              <w:t>30.5</w:t>
            </w:r>
          </w:p>
        </w:tc>
        <w:tc>
          <w:tcPr>
            <w:tcW w:w="689" w:type="dxa"/>
            <w:shd w:val="clear" w:color="auto" w:fill="auto"/>
            <w:noWrap w:val="0"/>
            <w:vAlign w:val="center"/>
          </w:tcPr>
          <w:p w14:paraId="15555790">
            <w:pPr>
              <w:spacing w:line="280" w:lineRule="exact"/>
              <w:jc w:val="center"/>
              <w:rPr>
                <w:rFonts w:hint="eastAsia" w:cs="Times New Roman"/>
                <w:color w:val="auto"/>
                <w:szCs w:val="21"/>
                <w:highlight w:val="none"/>
                <w:lang w:val="en-US" w:eastAsia="zh-CN"/>
              </w:rPr>
            </w:pPr>
            <w:r>
              <w:rPr>
                <w:rFonts w:hint="eastAsia" w:cs="Times New Roman"/>
                <w:color w:val="auto"/>
                <w:szCs w:val="21"/>
                <w:highlight w:val="none"/>
                <w:lang w:val="en-US" w:eastAsia="zh-CN"/>
              </w:rPr>
              <w:t>30.6</w:t>
            </w:r>
          </w:p>
        </w:tc>
        <w:tc>
          <w:tcPr>
            <w:tcW w:w="838" w:type="dxa"/>
            <w:shd w:val="clear" w:color="auto" w:fill="auto"/>
            <w:noWrap w:val="0"/>
            <w:vAlign w:val="center"/>
          </w:tcPr>
          <w:p w14:paraId="24510FC7">
            <w:pPr>
              <w:spacing w:line="280" w:lineRule="exact"/>
              <w:jc w:val="center"/>
              <w:rPr>
                <w:rFonts w:hint="eastAsia" w:cs="Times New Roman"/>
                <w:color w:val="auto"/>
                <w:szCs w:val="21"/>
                <w:highlight w:val="none"/>
                <w:lang w:val="en-US" w:eastAsia="zh-CN"/>
              </w:rPr>
            </w:pPr>
            <w:r>
              <w:rPr>
                <w:rFonts w:hint="eastAsia" w:cs="Times New Roman"/>
                <w:color w:val="auto"/>
                <w:szCs w:val="21"/>
                <w:highlight w:val="none"/>
                <w:lang w:val="en-US" w:eastAsia="zh-CN"/>
              </w:rPr>
              <w:t>30.5</w:t>
            </w:r>
          </w:p>
        </w:tc>
        <w:tc>
          <w:tcPr>
            <w:tcW w:w="750" w:type="dxa"/>
            <w:shd w:val="clear" w:color="auto" w:fill="auto"/>
            <w:noWrap w:val="0"/>
            <w:vAlign w:val="center"/>
          </w:tcPr>
          <w:p w14:paraId="0BA19DD1">
            <w:pPr>
              <w:spacing w:line="280" w:lineRule="exact"/>
              <w:jc w:val="center"/>
              <w:rPr>
                <w:rFonts w:hint="eastAsia" w:cs="Times New Roman"/>
                <w:color w:val="auto"/>
                <w:szCs w:val="21"/>
                <w:highlight w:val="none"/>
                <w:lang w:val="en-US" w:eastAsia="zh-CN"/>
              </w:rPr>
            </w:pPr>
            <w:r>
              <w:rPr>
                <w:rFonts w:hint="eastAsia" w:cs="Times New Roman"/>
                <w:color w:val="auto"/>
                <w:szCs w:val="21"/>
                <w:highlight w:val="none"/>
                <w:lang w:val="en-US" w:eastAsia="zh-CN"/>
              </w:rPr>
              <w:t>30.5</w:t>
            </w:r>
          </w:p>
        </w:tc>
        <w:tc>
          <w:tcPr>
            <w:tcW w:w="1096" w:type="dxa"/>
            <w:shd w:val="clear" w:color="auto" w:fill="auto"/>
            <w:noWrap w:val="0"/>
            <w:vAlign w:val="center"/>
          </w:tcPr>
          <w:p w14:paraId="663F3D2B">
            <w:pPr>
              <w:spacing w:line="280" w:lineRule="exact"/>
              <w:jc w:val="center"/>
              <w:rPr>
                <w:rFonts w:hint="eastAsia"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1</w:t>
            </w:r>
          </w:p>
        </w:tc>
      </w:tr>
      <w:tr w14:paraId="3F411D7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33" w:hRule="atLeast"/>
          <w:jc w:val="center"/>
        </w:trPr>
        <w:tc>
          <w:tcPr>
            <w:tcW w:w="427" w:type="dxa"/>
            <w:shd w:val="clear" w:color="auto" w:fill="auto"/>
            <w:noWrap w:val="0"/>
            <w:vAlign w:val="center"/>
          </w:tcPr>
          <w:p w14:paraId="341108B4">
            <w:pPr>
              <w:spacing w:line="280" w:lineRule="exact"/>
              <w:jc w:val="center"/>
              <w:rPr>
                <w:rFonts w:hint="default" w:ascii="Times New Roman" w:hAnsi="Times New Roman"/>
                <w:color w:val="auto"/>
                <w:szCs w:val="21"/>
                <w:highlight w:val="none"/>
                <w:lang w:val="en-US" w:eastAsia="zh-CN"/>
              </w:rPr>
            </w:pPr>
            <w:r>
              <w:rPr>
                <w:rFonts w:hint="eastAsia"/>
                <w:color w:val="auto"/>
                <w:szCs w:val="21"/>
                <w:highlight w:val="none"/>
                <w:lang w:val="en-US" w:eastAsia="zh-CN"/>
              </w:rPr>
              <w:t>9</w:t>
            </w:r>
          </w:p>
        </w:tc>
        <w:tc>
          <w:tcPr>
            <w:tcW w:w="1428" w:type="dxa"/>
            <w:shd w:val="clear" w:color="auto" w:fill="auto"/>
            <w:noWrap w:val="0"/>
            <w:vAlign w:val="center"/>
          </w:tcPr>
          <w:p w14:paraId="0041D7D1">
            <w:pPr>
              <w:spacing w:line="280" w:lineRule="exact"/>
              <w:jc w:val="center"/>
              <w:rPr>
                <w:rFonts w:hint="default" w:ascii="Times New Roman" w:hAnsi="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负</w:t>
            </w:r>
            <w:r>
              <w:rPr>
                <w:rFonts w:hint="eastAsia" w:ascii="Times New Roman" w:hAnsi="Times New Roman" w:eastAsia="宋体" w:cs="Times New Roman"/>
                <w:color w:val="auto"/>
                <w:szCs w:val="21"/>
                <w:highlight w:val="none"/>
              </w:rPr>
              <w:t>极</w:t>
            </w:r>
            <w:r>
              <w:rPr>
                <w:rFonts w:hint="eastAsia" w:ascii="Times New Roman" w:hAnsi="Times New Roman" w:eastAsia="宋体" w:cs="Times New Roman"/>
                <w:color w:val="auto"/>
                <w:szCs w:val="21"/>
                <w:highlight w:val="none"/>
                <w:lang w:val="en-US" w:eastAsia="zh-CN"/>
              </w:rPr>
              <w:t>匀浆</w:t>
            </w:r>
            <w:r>
              <w:rPr>
                <w:rFonts w:hint="eastAsia" w:ascii="Times New Roman" w:hAnsi="Times New Roman" w:eastAsia="宋体" w:cs="Times New Roman"/>
                <w:color w:val="auto"/>
                <w:szCs w:val="21"/>
                <w:highlight w:val="none"/>
              </w:rPr>
              <w:t>系统</w:t>
            </w:r>
            <w:r>
              <w:rPr>
                <w:rFonts w:hint="eastAsia" w:ascii="Times New Roman" w:hAnsi="Times New Roman" w:eastAsia="宋体" w:cs="Times New Roman"/>
                <w:color w:val="auto"/>
                <w:szCs w:val="21"/>
                <w:highlight w:val="none"/>
                <w:lang w:val="en-US" w:eastAsia="zh-CN"/>
              </w:rPr>
              <w:t>2#</w:t>
            </w:r>
          </w:p>
        </w:tc>
        <w:tc>
          <w:tcPr>
            <w:tcW w:w="537" w:type="dxa"/>
            <w:shd w:val="clear" w:color="auto" w:fill="auto"/>
            <w:noWrap w:val="0"/>
            <w:vAlign w:val="center"/>
          </w:tcPr>
          <w:p w14:paraId="5FB88FF4">
            <w:pPr>
              <w:spacing w:line="280" w:lineRule="exact"/>
              <w:jc w:val="center"/>
              <w:rPr>
                <w:rFonts w:hint="default" w:ascii="Times New Roman" w:hAnsi="Times New Roman"/>
                <w:color w:val="auto"/>
                <w:szCs w:val="21"/>
                <w:highlight w:val="none"/>
                <w:lang w:val="en-US" w:eastAsia="zh-CN"/>
              </w:rPr>
            </w:pPr>
            <w:r>
              <w:rPr>
                <w:rFonts w:hint="eastAsia"/>
                <w:color w:val="auto"/>
                <w:szCs w:val="21"/>
                <w:highlight w:val="none"/>
                <w:lang w:val="en-US" w:eastAsia="zh-CN"/>
              </w:rPr>
              <w:t>80</w:t>
            </w:r>
          </w:p>
        </w:tc>
        <w:tc>
          <w:tcPr>
            <w:tcW w:w="537" w:type="dxa"/>
            <w:shd w:val="clear" w:color="auto" w:fill="auto"/>
            <w:noWrap w:val="0"/>
            <w:vAlign w:val="center"/>
          </w:tcPr>
          <w:p w14:paraId="1EF2D03F">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37.22</w:t>
            </w:r>
          </w:p>
        </w:tc>
        <w:tc>
          <w:tcPr>
            <w:tcW w:w="537" w:type="dxa"/>
            <w:shd w:val="clear" w:color="auto" w:fill="auto"/>
            <w:noWrap w:val="0"/>
            <w:vAlign w:val="center"/>
          </w:tcPr>
          <w:p w14:paraId="61EBAFA4">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43.72</w:t>
            </w:r>
          </w:p>
        </w:tc>
        <w:tc>
          <w:tcPr>
            <w:tcW w:w="558" w:type="dxa"/>
            <w:shd w:val="clear" w:color="auto" w:fill="auto"/>
            <w:noWrap w:val="0"/>
            <w:vAlign w:val="center"/>
          </w:tcPr>
          <w:p w14:paraId="4038A518">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1.4</w:t>
            </w:r>
          </w:p>
        </w:tc>
        <w:tc>
          <w:tcPr>
            <w:tcW w:w="537" w:type="dxa"/>
            <w:shd w:val="clear" w:color="auto" w:fill="auto"/>
            <w:noWrap w:val="0"/>
            <w:vAlign w:val="center"/>
          </w:tcPr>
          <w:p w14:paraId="39ECD84E">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39.4</w:t>
            </w:r>
          </w:p>
        </w:tc>
        <w:tc>
          <w:tcPr>
            <w:tcW w:w="537" w:type="dxa"/>
            <w:shd w:val="clear" w:color="auto" w:fill="auto"/>
            <w:noWrap w:val="0"/>
            <w:vAlign w:val="center"/>
          </w:tcPr>
          <w:p w14:paraId="695ADBAC">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30.2</w:t>
            </w:r>
          </w:p>
        </w:tc>
        <w:tc>
          <w:tcPr>
            <w:tcW w:w="542" w:type="dxa"/>
            <w:shd w:val="clear" w:color="auto" w:fill="auto"/>
            <w:noWrap w:val="0"/>
            <w:vAlign w:val="center"/>
          </w:tcPr>
          <w:p w14:paraId="7B94EC81">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51.1</w:t>
            </w:r>
          </w:p>
        </w:tc>
        <w:tc>
          <w:tcPr>
            <w:tcW w:w="558" w:type="dxa"/>
            <w:shd w:val="clear" w:color="auto" w:fill="auto"/>
            <w:noWrap w:val="0"/>
            <w:vAlign w:val="center"/>
          </w:tcPr>
          <w:p w14:paraId="0E76285B">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138.5</w:t>
            </w:r>
          </w:p>
        </w:tc>
        <w:tc>
          <w:tcPr>
            <w:tcW w:w="542" w:type="dxa"/>
            <w:shd w:val="clear" w:color="auto" w:fill="auto"/>
            <w:noWrap w:val="0"/>
            <w:vAlign w:val="center"/>
          </w:tcPr>
          <w:p w14:paraId="306AAE07">
            <w:pPr>
              <w:spacing w:line="280" w:lineRule="exact"/>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 xml:space="preserve">54.8 </w:t>
            </w:r>
          </w:p>
        </w:tc>
        <w:tc>
          <w:tcPr>
            <w:tcW w:w="542" w:type="dxa"/>
            <w:shd w:val="clear" w:color="auto" w:fill="auto"/>
            <w:noWrap w:val="0"/>
            <w:vAlign w:val="center"/>
          </w:tcPr>
          <w:p w14:paraId="7207834D">
            <w:pPr>
              <w:spacing w:line="280" w:lineRule="exact"/>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 xml:space="preserve">54.9 </w:t>
            </w:r>
          </w:p>
        </w:tc>
        <w:tc>
          <w:tcPr>
            <w:tcW w:w="542" w:type="dxa"/>
            <w:shd w:val="clear" w:color="auto" w:fill="auto"/>
            <w:noWrap w:val="0"/>
            <w:vAlign w:val="center"/>
          </w:tcPr>
          <w:p w14:paraId="1494B3AA">
            <w:pPr>
              <w:spacing w:line="280" w:lineRule="exact"/>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 xml:space="preserve">54.8 </w:t>
            </w:r>
          </w:p>
        </w:tc>
        <w:tc>
          <w:tcPr>
            <w:tcW w:w="555" w:type="dxa"/>
            <w:shd w:val="clear" w:color="auto" w:fill="auto"/>
            <w:noWrap w:val="0"/>
            <w:vAlign w:val="center"/>
          </w:tcPr>
          <w:p w14:paraId="6A927F2B">
            <w:pPr>
              <w:spacing w:line="280" w:lineRule="exact"/>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 xml:space="preserve">54.8 </w:t>
            </w:r>
          </w:p>
        </w:tc>
        <w:tc>
          <w:tcPr>
            <w:tcW w:w="542" w:type="dxa"/>
            <w:vMerge w:val="continue"/>
            <w:shd w:val="clear" w:color="auto" w:fill="auto"/>
            <w:noWrap w:val="0"/>
            <w:vAlign w:val="center"/>
          </w:tcPr>
          <w:p w14:paraId="3CE91DF2">
            <w:pPr>
              <w:spacing w:line="280" w:lineRule="exact"/>
              <w:jc w:val="center"/>
              <w:rPr>
                <w:rFonts w:hint="default" w:ascii="Times New Roman" w:hAnsi="Times New Roman" w:eastAsia="宋体"/>
                <w:color w:val="auto"/>
                <w:szCs w:val="21"/>
                <w:highlight w:val="none"/>
                <w:lang w:val="en-US" w:eastAsia="zh-CN"/>
              </w:rPr>
            </w:pPr>
          </w:p>
        </w:tc>
        <w:tc>
          <w:tcPr>
            <w:tcW w:w="897" w:type="dxa"/>
            <w:shd w:val="clear" w:color="auto" w:fill="auto"/>
            <w:noWrap w:val="0"/>
            <w:vAlign w:val="center"/>
          </w:tcPr>
          <w:p w14:paraId="133C89C6">
            <w:pPr>
              <w:spacing w:line="280" w:lineRule="exact"/>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24.3</w:t>
            </w:r>
          </w:p>
        </w:tc>
        <w:tc>
          <w:tcPr>
            <w:tcW w:w="746" w:type="dxa"/>
            <w:shd w:val="clear" w:color="auto" w:fill="auto"/>
            <w:noWrap w:val="0"/>
            <w:vAlign w:val="center"/>
          </w:tcPr>
          <w:p w14:paraId="784C4690">
            <w:pPr>
              <w:spacing w:line="280" w:lineRule="exact"/>
              <w:jc w:val="center"/>
              <w:rPr>
                <w:rFonts w:hint="default" w:cs="Times New Roman"/>
                <w:color w:val="auto"/>
                <w:szCs w:val="21"/>
                <w:highlight w:val="none"/>
                <w:lang w:val="en-US" w:eastAsia="zh-CN"/>
              </w:rPr>
            </w:pPr>
            <w:r>
              <w:rPr>
                <w:rFonts w:hint="eastAsia" w:cs="Times New Roman"/>
                <w:color w:val="auto"/>
                <w:szCs w:val="21"/>
                <w:highlight w:val="none"/>
                <w:lang w:val="en-US" w:eastAsia="zh-CN"/>
              </w:rPr>
              <w:t>30.5</w:t>
            </w:r>
          </w:p>
        </w:tc>
        <w:tc>
          <w:tcPr>
            <w:tcW w:w="689" w:type="dxa"/>
            <w:shd w:val="clear" w:color="auto" w:fill="auto"/>
            <w:noWrap w:val="0"/>
            <w:vAlign w:val="center"/>
          </w:tcPr>
          <w:p w14:paraId="1F5E84EF">
            <w:pPr>
              <w:spacing w:line="280" w:lineRule="exact"/>
              <w:jc w:val="center"/>
              <w:rPr>
                <w:rFonts w:hint="default" w:cs="Times New Roman"/>
                <w:color w:val="auto"/>
                <w:szCs w:val="21"/>
                <w:highlight w:val="none"/>
                <w:lang w:val="en-US" w:eastAsia="zh-CN"/>
              </w:rPr>
            </w:pPr>
            <w:r>
              <w:rPr>
                <w:rFonts w:hint="eastAsia" w:cs="Times New Roman"/>
                <w:color w:val="auto"/>
                <w:szCs w:val="21"/>
                <w:highlight w:val="none"/>
                <w:lang w:val="en-US" w:eastAsia="zh-CN"/>
              </w:rPr>
              <w:t>30.6</w:t>
            </w:r>
          </w:p>
        </w:tc>
        <w:tc>
          <w:tcPr>
            <w:tcW w:w="838" w:type="dxa"/>
            <w:shd w:val="clear" w:color="auto" w:fill="auto"/>
            <w:noWrap w:val="0"/>
            <w:vAlign w:val="center"/>
          </w:tcPr>
          <w:p w14:paraId="7A6AE001">
            <w:pPr>
              <w:spacing w:line="280" w:lineRule="exact"/>
              <w:jc w:val="center"/>
              <w:rPr>
                <w:rFonts w:hint="default" w:cs="Times New Roman"/>
                <w:color w:val="auto"/>
                <w:szCs w:val="21"/>
                <w:highlight w:val="none"/>
                <w:lang w:val="en-US" w:eastAsia="zh-CN"/>
              </w:rPr>
            </w:pPr>
            <w:r>
              <w:rPr>
                <w:rFonts w:hint="eastAsia" w:cs="Times New Roman"/>
                <w:color w:val="auto"/>
                <w:szCs w:val="21"/>
                <w:highlight w:val="none"/>
                <w:lang w:val="en-US" w:eastAsia="zh-CN"/>
              </w:rPr>
              <w:t>30.5</w:t>
            </w:r>
          </w:p>
        </w:tc>
        <w:tc>
          <w:tcPr>
            <w:tcW w:w="750" w:type="dxa"/>
            <w:shd w:val="clear" w:color="auto" w:fill="auto"/>
            <w:noWrap w:val="0"/>
            <w:vAlign w:val="center"/>
          </w:tcPr>
          <w:p w14:paraId="20288812">
            <w:pPr>
              <w:spacing w:line="280" w:lineRule="exact"/>
              <w:jc w:val="center"/>
              <w:rPr>
                <w:rFonts w:hint="eastAsia" w:cs="Times New Roman"/>
                <w:color w:val="auto"/>
                <w:szCs w:val="21"/>
                <w:highlight w:val="none"/>
                <w:lang w:val="en-US" w:eastAsia="zh-CN"/>
              </w:rPr>
            </w:pPr>
            <w:r>
              <w:rPr>
                <w:rFonts w:hint="eastAsia" w:cs="Times New Roman"/>
                <w:color w:val="auto"/>
                <w:szCs w:val="21"/>
                <w:highlight w:val="none"/>
                <w:lang w:val="en-US" w:eastAsia="zh-CN"/>
              </w:rPr>
              <w:t>30.5</w:t>
            </w:r>
          </w:p>
        </w:tc>
        <w:tc>
          <w:tcPr>
            <w:tcW w:w="1096" w:type="dxa"/>
            <w:shd w:val="clear" w:color="auto" w:fill="auto"/>
            <w:noWrap w:val="0"/>
            <w:vAlign w:val="center"/>
          </w:tcPr>
          <w:p w14:paraId="073442C2">
            <w:pPr>
              <w:spacing w:line="280" w:lineRule="exact"/>
              <w:jc w:val="center"/>
              <w:rPr>
                <w:rFonts w:hint="eastAsia"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1</w:t>
            </w:r>
          </w:p>
        </w:tc>
      </w:tr>
      <w:tr w14:paraId="33740C3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27" w:type="dxa"/>
            <w:shd w:val="clear" w:color="auto" w:fill="auto"/>
            <w:noWrap w:val="0"/>
            <w:vAlign w:val="center"/>
          </w:tcPr>
          <w:p w14:paraId="1EBD1B83">
            <w:pPr>
              <w:spacing w:line="280" w:lineRule="exact"/>
              <w:jc w:val="center"/>
              <w:rPr>
                <w:rFonts w:hint="default" w:ascii="Times New Roman" w:hAnsi="Times New Roman"/>
                <w:color w:val="auto"/>
                <w:szCs w:val="21"/>
                <w:highlight w:val="none"/>
                <w:lang w:val="en-US" w:eastAsia="zh-CN"/>
              </w:rPr>
            </w:pPr>
            <w:r>
              <w:rPr>
                <w:rFonts w:hint="eastAsia"/>
                <w:color w:val="auto"/>
                <w:szCs w:val="21"/>
                <w:highlight w:val="none"/>
                <w:lang w:val="en-US" w:eastAsia="zh-CN"/>
              </w:rPr>
              <w:t>10</w:t>
            </w:r>
          </w:p>
        </w:tc>
        <w:tc>
          <w:tcPr>
            <w:tcW w:w="1428" w:type="dxa"/>
            <w:shd w:val="clear" w:color="auto" w:fill="auto"/>
            <w:noWrap w:val="0"/>
            <w:vAlign w:val="center"/>
          </w:tcPr>
          <w:p w14:paraId="00E54103">
            <w:pPr>
              <w:spacing w:line="280" w:lineRule="exact"/>
              <w:jc w:val="center"/>
              <w:rPr>
                <w:rFonts w:hint="eastAsia" w:ascii="Times New Roman" w:hAnsi="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负</w:t>
            </w:r>
            <w:r>
              <w:rPr>
                <w:rFonts w:hint="eastAsia" w:ascii="Times New Roman" w:hAnsi="Times New Roman" w:eastAsia="宋体" w:cs="Times New Roman"/>
                <w:color w:val="auto"/>
                <w:szCs w:val="21"/>
                <w:highlight w:val="none"/>
              </w:rPr>
              <w:t>极</w:t>
            </w:r>
            <w:r>
              <w:rPr>
                <w:rFonts w:hint="eastAsia" w:ascii="Times New Roman" w:hAnsi="Times New Roman" w:eastAsia="宋体" w:cs="Times New Roman"/>
                <w:color w:val="auto"/>
                <w:szCs w:val="21"/>
                <w:highlight w:val="none"/>
                <w:lang w:val="en-US" w:eastAsia="zh-CN"/>
              </w:rPr>
              <w:t>匀浆</w:t>
            </w:r>
            <w:r>
              <w:rPr>
                <w:rFonts w:hint="eastAsia" w:ascii="Times New Roman" w:hAnsi="Times New Roman" w:eastAsia="宋体" w:cs="Times New Roman"/>
                <w:color w:val="auto"/>
                <w:szCs w:val="21"/>
                <w:highlight w:val="none"/>
              </w:rPr>
              <w:t>系统</w:t>
            </w:r>
            <w:r>
              <w:rPr>
                <w:rFonts w:hint="eastAsia" w:ascii="Times New Roman" w:hAnsi="Times New Roman" w:eastAsia="宋体" w:cs="Times New Roman"/>
                <w:color w:val="auto"/>
                <w:szCs w:val="21"/>
                <w:highlight w:val="none"/>
                <w:lang w:val="en-US" w:eastAsia="zh-CN"/>
              </w:rPr>
              <w:t>3#</w:t>
            </w:r>
          </w:p>
        </w:tc>
        <w:tc>
          <w:tcPr>
            <w:tcW w:w="537" w:type="dxa"/>
            <w:shd w:val="clear" w:color="auto" w:fill="auto"/>
            <w:noWrap w:val="0"/>
            <w:vAlign w:val="center"/>
          </w:tcPr>
          <w:p w14:paraId="49F9CF60">
            <w:pPr>
              <w:spacing w:line="280" w:lineRule="exact"/>
              <w:jc w:val="center"/>
              <w:rPr>
                <w:rFonts w:hint="default" w:ascii="Times New Roman" w:hAnsi="Times New Roman"/>
                <w:color w:val="auto"/>
                <w:szCs w:val="21"/>
                <w:highlight w:val="none"/>
                <w:lang w:val="en-US" w:eastAsia="zh-CN"/>
              </w:rPr>
            </w:pPr>
            <w:r>
              <w:rPr>
                <w:rFonts w:hint="eastAsia"/>
                <w:color w:val="auto"/>
                <w:szCs w:val="21"/>
                <w:highlight w:val="none"/>
                <w:lang w:val="en-US" w:eastAsia="zh-CN"/>
              </w:rPr>
              <w:t>80</w:t>
            </w:r>
          </w:p>
        </w:tc>
        <w:tc>
          <w:tcPr>
            <w:tcW w:w="537" w:type="dxa"/>
            <w:shd w:val="clear" w:color="auto" w:fill="auto"/>
            <w:noWrap w:val="0"/>
            <w:vAlign w:val="center"/>
          </w:tcPr>
          <w:p w14:paraId="5FBB677E">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36.58</w:t>
            </w:r>
          </w:p>
        </w:tc>
        <w:tc>
          <w:tcPr>
            <w:tcW w:w="537" w:type="dxa"/>
            <w:shd w:val="clear" w:color="auto" w:fill="auto"/>
            <w:noWrap w:val="0"/>
            <w:vAlign w:val="center"/>
          </w:tcPr>
          <w:p w14:paraId="11545053">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45.65</w:t>
            </w:r>
          </w:p>
        </w:tc>
        <w:tc>
          <w:tcPr>
            <w:tcW w:w="558" w:type="dxa"/>
            <w:shd w:val="clear" w:color="auto" w:fill="auto"/>
            <w:noWrap w:val="0"/>
            <w:vAlign w:val="center"/>
          </w:tcPr>
          <w:p w14:paraId="01641453">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1.4</w:t>
            </w:r>
          </w:p>
        </w:tc>
        <w:tc>
          <w:tcPr>
            <w:tcW w:w="537" w:type="dxa"/>
            <w:shd w:val="clear" w:color="auto" w:fill="auto"/>
            <w:noWrap w:val="0"/>
            <w:vAlign w:val="center"/>
          </w:tcPr>
          <w:p w14:paraId="7A2DA132">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39.2</w:t>
            </w:r>
          </w:p>
        </w:tc>
        <w:tc>
          <w:tcPr>
            <w:tcW w:w="537" w:type="dxa"/>
            <w:shd w:val="clear" w:color="auto" w:fill="auto"/>
            <w:noWrap w:val="0"/>
            <w:vAlign w:val="center"/>
          </w:tcPr>
          <w:p w14:paraId="32632605">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32.7</w:t>
            </w:r>
          </w:p>
        </w:tc>
        <w:tc>
          <w:tcPr>
            <w:tcW w:w="542" w:type="dxa"/>
            <w:shd w:val="clear" w:color="auto" w:fill="auto"/>
            <w:noWrap w:val="0"/>
            <w:vAlign w:val="center"/>
          </w:tcPr>
          <w:p w14:paraId="17E20CB3">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51.1</w:t>
            </w:r>
          </w:p>
        </w:tc>
        <w:tc>
          <w:tcPr>
            <w:tcW w:w="558" w:type="dxa"/>
            <w:shd w:val="clear" w:color="auto" w:fill="auto"/>
            <w:noWrap w:val="0"/>
            <w:vAlign w:val="center"/>
          </w:tcPr>
          <w:p w14:paraId="2D82ABA6">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145.1</w:t>
            </w:r>
          </w:p>
        </w:tc>
        <w:tc>
          <w:tcPr>
            <w:tcW w:w="542" w:type="dxa"/>
            <w:shd w:val="clear" w:color="auto" w:fill="auto"/>
            <w:noWrap w:val="0"/>
            <w:vAlign w:val="center"/>
          </w:tcPr>
          <w:p w14:paraId="35CA6CE6">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 xml:space="preserve">54.8 </w:t>
            </w:r>
          </w:p>
        </w:tc>
        <w:tc>
          <w:tcPr>
            <w:tcW w:w="542" w:type="dxa"/>
            <w:shd w:val="clear" w:color="auto" w:fill="auto"/>
            <w:noWrap w:val="0"/>
            <w:vAlign w:val="center"/>
          </w:tcPr>
          <w:p w14:paraId="2C7CA42D">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 xml:space="preserve">54.9 </w:t>
            </w:r>
          </w:p>
        </w:tc>
        <w:tc>
          <w:tcPr>
            <w:tcW w:w="542" w:type="dxa"/>
            <w:shd w:val="clear" w:color="auto" w:fill="auto"/>
            <w:noWrap w:val="0"/>
            <w:vAlign w:val="center"/>
          </w:tcPr>
          <w:p w14:paraId="03F31263">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 xml:space="preserve">54.8 </w:t>
            </w:r>
          </w:p>
        </w:tc>
        <w:tc>
          <w:tcPr>
            <w:tcW w:w="555" w:type="dxa"/>
            <w:shd w:val="clear" w:color="auto" w:fill="auto"/>
            <w:noWrap w:val="0"/>
            <w:vAlign w:val="center"/>
          </w:tcPr>
          <w:p w14:paraId="15052FA2">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 xml:space="preserve">54.8 </w:t>
            </w:r>
          </w:p>
        </w:tc>
        <w:tc>
          <w:tcPr>
            <w:tcW w:w="542" w:type="dxa"/>
            <w:vMerge w:val="continue"/>
            <w:shd w:val="clear" w:color="auto" w:fill="auto"/>
            <w:noWrap w:val="0"/>
            <w:vAlign w:val="center"/>
          </w:tcPr>
          <w:p w14:paraId="728966AD">
            <w:pPr>
              <w:spacing w:line="280" w:lineRule="exact"/>
              <w:jc w:val="center"/>
              <w:rPr>
                <w:rFonts w:hint="default" w:ascii="Times New Roman" w:hAnsi="Times New Roman" w:eastAsia="宋体"/>
                <w:color w:val="auto"/>
                <w:szCs w:val="21"/>
                <w:highlight w:val="none"/>
                <w:lang w:val="en-US" w:eastAsia="zh-CN"/>
              </w:rPr>
            </w:pPr>
          </w:p>
        </w:tc>
        <w:tc>
          <w:tcPr>
            <w:tcW w:w="897" w:type="dxa"/>
            <w:shd w:val="clear" w:color="auto" w:fill="auto"/>
            <w:noWrap w:val="0"/>
            <w:vAlign w:val="center"/>
          </w:tcPr>
          <w:p w14:paraId="227ACD3C">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24.3</w:t>
            </w:r>
          </w:p>
        </w:tc>
        <w:tc>
          <w:tcPr>
            <w:tcW w:w="746" w:type="dxa"/>
            <w:shd w:val="clear" w:color="auto" w:fill="auto"/>
            <w:noWrap w:val="0"/>
            <w:vAlign w:val="center"/>
          </w:tcPr>
          <w:p w14:paraId="584EBDFD">
            <w:pPr>
              <w:spacing w:line="280" w:lineRule="exact"/>
              <w:jc w:val="center"/>
              <w:rPr>
                <w:rFonts w:hint="eastAsia" w:cs="Times New Roman"/>
                <w:color w:val="auto"/>
                <w:szCs w:val="21"/>
                <w:highlight w:val="none"/>
                <w:lang w:val="en-US" w:eastAsia="zh-CN"/>
              </w:rPr>
            </w:pPr>
            <w:r>
              <w:rPr>
                <w:rFonts w:hint="eastAsia" w:cs="Times New Roman"/>
                <w:color w:val="auto"/>
                <w:szCs w:val="21"/>
                <w:highlight w:val="none"/>
                <w:lang w:val="en-US" w:eastAsia="zh-CN"/>
              </w:rPr>
              <w:t>30.5</w:t>
            </w:r>
          </w:p>
        </w:tc>
        <w:tc>
          <w:tcPr>
            <w:tcW w:w="689" w:type="dxa"/>
            <w:shd w:val="clear" w:color="auto" w:fill="auto"/>
            <w:noWrap w:val="0"/>
            <w:vAlign w:val="center"/>
          </w:tcPr>
          <w:p w14:paraId="292147B2">
            <w:pPr>
              <w:spacing w:line="280" w:lineRule="exact"/>
              <w:jc w:val="center"/>
              <w:rPr>
                <w:rFonts w:hint="eastAsia" w:cs="Times New Roman"/>
                <w:color w:val="auto"/>
                <w:szCs w:val="21"/>
                <w:highlight w:val="none"/>
                <w:lang w:val="en-US" w:eastAsia="zh-CN"/>
              </w:rPr>
            </w:pPr>
            <w:r>
              <w:rPr>
                <w:rFonts w:hint="eastAsia" w:cs="Times New Roman"/>
                <w:color w:val="auto"/>
                <w:szCs w:val="21"/>
                <w:highlight w:val="none"/>
                <w:lang w:val="en-US" w:eastAsia="zh-CN"/>
              </w:rPr>
              <w:t>30.6</w:t>
            </w:r>
          </w:p>
        </w:tc>
        <w:tc>
          <w:tcPr>
            <w:tcW w:w="838" w:type="dxa"/>
            <w:shd w:val="clear" w:color="auto" w:fill="auto"/>
            <w:noWrap w:val="0"/>
            <w:vAlign w:val="center"/>
          </w:tcPr>
          <w:p w14:paraId="6A3E3B09">
            <w:pPr>
              <w:spacing w:line="280" w:lineRule="exact"/>
              <w:jc w:val="center"/>
              <w:rPr>
                <w:rFonts w:hint="eastAsia" w:cs="Times New Roman"/>
                <w:color w:val="auto"/>
                <w:szCs w:val="21"/>
                <w:highlight w:val="none"/>
                <w:lang w:val="en-US" w:eastAsia="zh-CN"/>
              </w:rPr>
            </w:pPr>
            <w:r>
              <w:rPr>
                <w:rFonts w:hint="eastAsia" w:cs="Times New Roman"/>
                <w:color w:val="auto"/>
                <w:szCs w:val="21"/>
                <w:highlight w:val="none"/>
                <w:lang w:val="en-US" w:eastAsia="zh-CN"/>
              </w:rPr>
              <w:t>30.5</w:t>
            </w:r>
          </w:p>
        </w:tc>
        <w:tc>
          <w:tcPr>
            <w:tcW w:w="750" w:type="dxa"/>
            <w:shd w:val="clear" w:color="auto" w:fill="auto"/>
            <w:noWrap w:val="0"/>
            <w:vAlign w:val="center"/>
          </w:tcPr>
          <w:p w14:paraId="0FBBDDFE">
            <w:pPr>
              <w:spacing w:line="280" w:lineRule="exact"/>
              <w:jc w:val="center"/>
              <w:rPr>
                <w:rFonts w:hint="eastAsia" w:cs="Times New Roman"/>
                <w:color w:val="auto"/>
                <w:szCs w:val="21"/>
                <w:highlight w:val="none"/>
                <w:lang w:val="en-US" w:eastAsia="zh-CN"/>
              </w:rPr>
            </w:pPr>
            <w:r>
              <w:rPr>
                <w:rFonts w:hint="eastAsia" w:cs="Times New Roman"/>
                <w:color w:val="auto"/>
                <w:szCs w:val="21"/>
                <w:highlight w:val="none"/>
                <w:lang w:val="en-US" w:eastAsia="zh-CN"/>
              </w:rPr>
              <w:t>30.5</w:t>
            </w:r>
          </w:p>
        </w:tc>
        <w:tc>
          <w:tcPr>
            <w:tcW w:w="1096" w:type="dxa"/>
            <w:shd w:val="clear" w:color="auto" w:fill="auto"/>
            <w:noWrap w:val="0"/>
            <w:vAlign w:val="center"/>
          </w:tcPr>
          <w:p w14:paraId="76CF6D49">
            <w:pPr>
              <w:spacing w:line="280" w:lineRule="exact"/>
              <w:jc w:val="center"/>
              <w:rPr>
                <w:rFonts w:hint="eastAsia"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1</w:t>
            </w:r>
          </w:p>
        </w:tc>
      </w:tr>
      <w:tr w14:paraId="32B87B3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27" w:type="dxa"/>
            <w:shd w:val="clear" w:color="auto" w:fill="auto"/>
            <w:noWrap w:val="0"/>
            <w:vAlign w:val="center"/>
          </w:tcPr>
          <w:p w14:paraId="301F6A25">
            <w:pPr>
              <w:spacing w:line="280" w:lineRule="exact"/>
              <w:jc w:val="center"/>
              <w:rPr>
                <w:rFonts w:hint="default" w:ascii="Times New Roman" w:hAnsi="Times New Roman"/>
                <w:color w:val="auto"/>
                <w:szCs w:val="21"/>
                <w:highlight w:val="none"/>
                <w:lang w:val="en-US" w:eastAsia="zh-CN"/>
              </w:rPr>
            </w:pPr>
            <w:r>
              <w:rPr>
                <w:rFonts w:hint="eastAsia"/>
                <w:color w:val="auto"/>
                <w:szCs w:val="21"/>
                <w:highlight w:val="none"/>
                <w:lang w:val="en-US" w:eastAsia="zh-CN"/>
              </w:rPr>
              <w:t>11</w:t>
            </w:r>
          </w:p>
        </w:tc>
        <w:tc>
          <w:tcPr>
            <w:tcW w:w="1428" w:type="dxa"/>
            <w:shd w:val="clear" w:color="auto" w:fill="auto"/>
            <w:noWrap w:val="0"/>
            <w:vAlign w:val="center"/>
          </w:tcPr>
          <w:p w14:paraId="54879DBA">
            <w:pPr>
              <w:spacing w:line="280" w:lineRule="exact"/>
              <w:jc w:val="center"/>
              <w:rPr>
                <w:rFonts w:hint="default" w:ascii="Times New Roman" w:hAnsi="Times New Roman" w:eastAsia="宋体" w:cs="Times New Roman"/>
                <w:b w:val="0"/>
                <w:bCs w:val="0"/>
                <w:color w:val="auto"/>
                <w:kern w:val="0"/>
                <w:sz w:val="21"/>
                <w:szCs w:val="21"/>
                <w:highlight w:val="none"/>
                <w:vertAlign w:val="baseline"/>
                <w:lang w:val="en-US" w:eastAsia="zh-CN"/>
              </w:rPr>
            </w:pPr>
            <w:r>
              <w:rPr>
                <w:rFonts w:hint="eastAsia" w:ascii="Times New Roman" w:hAnsi="Times New Roman" w:eastAsia="宋体" w:cs="Times New Roman"/>
                <w:color w:val="auto"/>
                <w:szCs w:val="21"/>
                <w:highlight w:val="none"/>
                <w:lang w:val="en-US" w:eastAsia="zh-CN"/>
              </w:rPr>
              <w:t>负</w:t>
            </w:r>
            <w:r>
              <w:rPr>
                <w:rFonts w:hint="eastAsia" w:ascii="Times New Roman" w:hAnsi="Times New Roman" w:eastAsia="宋体" w:cs="Times New Roman"/>
                <w:color w:val="auto"/>
                <w:szCs w:val="21"/>
                <w:highlight w:val="none"/>
              </w:rPr>
              <w:t>极</w:t>
            </w:r>
            <w:r>
              <w:rPr>
                <w:rFonts w:hint="eastAsia" w:ascii="Times New Roman" w:hAnsi="Times New Roman" w:eastAsia="宋体" w:cs="Times New Roman"/>
                <w:color w:val="auto"/>
                <w:szCs w:val="21"/>
                <w:highlight w:val="none"/>
                <w:lang w:val="en-US" w:eastAsia="zh-CN"/>
              </w:rPr>
              <w:t>匀浆</w:t>
            </w:r>
            <w:r>
              <w:rPr>
                <w:rFonts w:hint="eastAsia" w:ascii="Times New Roman" w:hAnsi="Times New Roman" w:eastAsia="宋体" w:cs="Times New Roman"/>
                <w:color w:val="auto"/>
                <w:szCs w:val="21"/>
                <w:highlight w:val="none"/>
              </w:rPr>
              <w:t>系统</w:t>
            </w:r>
            <w:r>
              <w:rPr>
                <w:rFonts w:hint="eastAsia" w:ascii="Times New Roman" w:hAnsi="Times New Roman" w:eastAsia="宋体" w:cs="Times New Roman"/>
                <w:color w:val="auto"/>
                <w:szCs w:val="21"/>
                <w:highlight w:val="none"/>
                <w:lang w:val="en-US" w:eastAsia="zh-CN"/>
              </w:rPr>
              <w:t>4#</w:t>
            </w:r>
          </w:p>
        </w:tc>
        <w:tc>
          <w:tcPr>
            <w:tcW w:w="537" w:type="dxa"/>
            <w:shd w:val="clear" w:color="auto" w:fill="auto"/>
            <w:noWrap w:val="0"/>
            <w:vAlign w:val="center"/>
          </w:tcPr>
          <w:p w14:paraId="0CADD546">
            <w:pPr>
              <w:spacing w:line="280" w:lineRule="exact"/>
              <w:jc w:val="center"/>
              <w:rPr>
                <w:rFonts w:hint="default" w:ascii="Times New Roman" w:hAnsi="Times New Roman"/>
                <w:color w:val="auto"/>
                <w:szCs w:val="21"/>
                <w:highlight w:val="none"/>
                <w:lang w:val="en-US" w:eastAsia="zh-CN"/>
              </w:rPr>
            </w:pPr>
            <w:r>
              <w:rPr>
                <w:rFonts w:hint="eastAsia"/>
                <w:color w:val="auto"/>
                <w:szCs w:val="21"/>
                <w:highlight w:val="none"/>
                <w:lang w:val="en-US" w:eastAsia="zh-CN"/>
              </w:rPr>
              <w:t>80</w:t>
            </w:r>
          </w:p>
        </w:tc>
        <w:tc>
          <w:tcPr>
            <w:tcW w:w="537" w:type="dxa"/>
            <w:shd w:val="clear" w:color="auto" w:fill="auto"/>
            <w:noWrap w:val="0"/>
            <w:vAlign w:val="center"/>
          </w:tcPr>
          <w:p w14:paraId="6560B366">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35.72</w:t>
            </w:r>
          </w:p>
        </w:tc>
        <w:tc>
          <w:tcPr>
            <w:tcW w:w="537" w:type="dxa"/>
            <w:shd w:val="clear" w:color="auto" w:fill="auto"/>
            <w:noWrap w:val="0"/>
            <w:vAlign w:val="center"/>
          </w:tcPr>
          <w:p w14:paraId="1F34C254">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47.57</w:t>
            </w:r>
          </w:p>
        </w:tc>
        <w:tc>
          <w:tcPr>
            <w:tcW w:w="558" w:type="dxa"/>
            <w:shd w:val="clear" w:color="auto" w:fill="auto"/>
            <w:noWrap w:val="0"/>
            <w:vAlign w:val="center"/>
          </w:tcPr>
          <w:p w14:paraId="4213F6B2">
            <w:pPr>
              <w:spacing w:line="280" w:lineRule="exact"/>
              <w:jc w:val="center"/>
              <w:rPr>
                <w:rFonts w:hint="eastAsia"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1.4</w:t>
            </w:r>
          </w:p>
        </w:tc>
        <w:tc>
          <w:tcPr>
            <w:tcW w:w="537" w:type="dxa"/>
            <w:shd w:val="clear" w:color="auto" w:fill="auto"/>
            <w:noWrap w:val="0"/>
            <w:vAlign w:val="center"/>
          </w:tcPr>
          <w:p w14:paraId="17305897">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39.4</w:t>
            </w:r>
          </w:p>
        </w:tc>
        <w:tc>
          <w:tcPr>
            <w:tcW w:w="537" w:type="dxa"/>
            <w:shd w:val="clear" w:color="auto" w:fill="auto"/>
            <w:noWrap w:val="0"/>
            <w:vAlign w:val="center"/>
          </w:tcPr>
          <w:p w14:paraId="0CDACCE1">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34.3</w:t>
            </w:r>
          </w:p>
        </w:tc>
        <w:tc>
          <w:tcPr>
            <w:tcW w:w="542" w:type="dxa"/>
            <w:shd w:val="clear" w:color="auto" w:fill="auto"/>
            <w:noWrap w:val="0"/>
            <w:vAlign w:val="center"/>
          </w:tcPr>
          <w:p w14:paraId="7C20FE00">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50.8</w:t>
            </w:r>
          </w:p>
        </w:tc>
        <w:tc>
          <w:tcPr>
            <w:tcW w:w="558" w:type="dxa"/>
            <w:shd w:val="clear" w:color="auto" w:fill="auto"/>
            <w:noWrap w:val="0"/>
            <w:vAlign w:val="center"/>
          </w:tcPr>
          <w:p w14:paraId="55689EA8">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148.2</w:t>
            </w:r>
          </w:p>
        </w:tc>
        <w:tc>
          <w:tcPr>
            <w:tcW w:w="542" w:type="dxa"/>
            <w:shd w:val="clear" w:color="auto" w:fill="auto"/>
            <w:noWrap w:val="0"/>
            <w:vAlign w:val="center"/>
          </w:tcPr>
          <w:p w14:paraId="4B6314B8">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 xml:space="preserve">54.8 </w:t>
            </w:r>
          </w:p>
        </w:tc>
        <w:tc>
          <w:tcPr>
            <w:tcW w:w="542" w:type="dxa"/>
            <w:shd w:val="clear" w:color="auto" w:fill="auto"/>
            <w:noWrap w:val="0"/>
            <w:vAlign w:val="center"/>
          </w:tcPr>
          <w:p w14:paraId="218DECB3">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 xml:space="preserve">54.9 </w:t>
            </w:r>
          </w:p>
        </w:tc>
        <w:tc>
          <w:tcPr>
            <w:tcW w:w="542" w:type="dxa"/>
            <w:shd w:val="clear" w:color="auto" w:fill="auto"/>
            <w:noWrap w:val="0"/>
            <w:vAlign w:val="center"/>
          </w:tcPr>
          <w:p w14:paraId="501CF6EA">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 xml:space="preserve">54.8 </w:t>
            </w:r>
          </w:p>
        </w:tc>
        <w:tc>
          <w:tcPr>
            <w:tcW w:w="555" w:type="dxa"/>
            <w:shd w:val="clear" w:color="auto" w:fill="auto"/>
            <w:noWrap w:val="0"/>
            <w:vAlign w:val="center"/>
          </w:tcPr>
          <w:p w14:paraId="5761EAB7">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 xml:space="preserve">54.8 </w:t>
            </w:r>
          </w:p>
        </w:tc>
        <w:tc>
          <w:tcPr>
            <w:tcW w:w="542" w:type="dxa"/>
            <w:vMerge w:val="continue"/>
            <w:shd w:val="clear" w:color="auto" w:fill="auto"/>
            <w:noWrap w:val="0"/>
            <w:vAlign w:val="center"/>
          </w:tcPr>
          <w:p w14:paraId="756E288C">
            <w:pPr>
              <w:spacing w:line="280" w:lineRule="exact"/>
              <w:jc w:val="center"/>
              <w:rPr>
                <w:rFonts w:hint="default" w:ascii="Times New Roman" w:hAnsi="Times New Roman" w:eastAsia="宋体"/>
                <w:color w:val="auto"/>
                <w:szCs w:val="21"/>
                <w:highlight w:val="none"/>
                <w:lang w:val="en-US" w:eastAsia="zh-CN"/>
              </w:rPr>
            </w:pPr>
          </w:p>
        </w:tc>
        <w:tc>
          <w:tcPr>
            <w:tcW w:w="897" w:type="dxa"/>
            <w:shd w:val="clear" w:color="auto" w:fill="auto"/>
            <w:noWrap w:val="0"/>
            <w:vAlign w:val="center"/>
          </w:tcPr>
          <w:p w14:paraId="28CC780C">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24.3</w:t>
            </w:r>
          </w:p>
        </w:tc>
        <w:tc>
          <w:tcPr>
            <w:tcW w:w="746" w:type="dxa"/>
            <w:shd w:val="clear" w:color="auto" w:fill="auto"/>
            <w:noWrap w:val="0"/>
            <w:vAlign w:val="center"/>
          </w:tcPr>
          <w:p w14:paraId="11FA9F9F">
            <w:pPr>
              <w:spacing w:line="280" w:lineRule="exact"/>
              <w:jc w:val="center"/>
              <w:rPr>
                <w:rFonts w:hint="eastAsia" w:cs="Times New Roman"/>
                <w:color w:val="auto"/>
                <w:szCs w:val="21"/>
                <w:highlight w:val="none"/>
                <w:lang w:val="en-US" w:eastAsia="zh-CN"/>
              </w:rPr>
            </w:pPr>
            <w:r>
              <w:rPr>
                <w:rFonts w:hint="eastAsia" w:cs="Times New Roman"/>
                <w:color w:val="auto"/>
                <w:szCs w:val="21"/>
                <w:highlight w:val="none"/>
                <w:lang w:val="en-US" w:eastAsia="zh-CN"/>
              </w:rPr>
              <w:t>30.5</w:t>
            </w:r>
          </w:p>
        </w:tc>
        <w:tc>
          <w:tcPr>
            <w:tcW w:w="689" w:type="dxa"/>
            <w:shd w:val="clear" w:color="auto" w:fill="auto"/>
            <w:noWrap w:val="0"/>
            <w:vAlign w:val="center"/>
          </w:tcPr>
          <w:p w14:paraId="57DE44B6">
            <w:pPr>
              <w:spacing w:line="280" w:lineRule="exact"/>
              <w:jc w:val="center"/>
              <w:rPr>
                <w:rFonts w:hint="eastAsia" w:cs="Times New Roman"/>
                <w:color w:val="auto"/>
                <w:szCs w:val="21"/>
                <w:highlight w:val="none"/>
                <w:lang w:val="en-US" w:eastAsia="zh-CN"/>
              </w:rPr>
            </w:pPr>
            <w:r>
              <w:rPr>
                <w:rFonts w:hint="eastAsia" w:cs="Times New Roman"/>
                <w:color w:val="auto"/>
                <w:szCs w:val="21"/>
                <w:highlight w:val="none"/>
                <w:lang w:val="en-US" w:eastAsia="zh-CN"/>
              </w:rPr>
              <w:t>30.6</w:t>
            </w:r>
          </w:p>
        </w:tc>
        <w:tc>
          <w:tcPr>
            <w:tcW w:w="838" w:type="dxa"/>
            <w:shd w:val="clear" w:color="auto" w:fill="auto"/>
            <w:noWrap w:val="0"/>
            <w:vAlign w:val="center"/>
          </w:tcPr>
          <w:p w14:paraId="4536CB3E">
            <w:pPr>
              <w:spacing w:line="280" w:lineRule="exact"/>
              <w:jc w:val="center"/>
              <w:rPr>
                <w:rFonts w:hint="eastAsia" w:cs="Times New Roman"/>
                <w:color w:val="auto"/>
                <w:szCs w:val="21"/>
                <w:highlight w:val="none"/>
                <w:lang w:val="en-US" w:eastAsia="zh-CN"/>
              </w:rPr>
            </w:pPr>
            <w:r>
              <w:rPr>
                <w:rFonts w:hint="eastAsia" w:cs="Times New Roman"/>
                <w:color w:val="auto"/>
                <w:szCs w:val="21"/>
                <w:highlight w:val="none"/>
                <w:lang w:val="en-US" w:eastAsia="zh-CN"/>
              </w:rPr>
              <w:t>30.5</w:t>
            </w:r>
          </w:p>
        </w:tc>
        <w:tc>
          <w:tcPr>
            <w:tcW w:w="750" w:type="dxa"/>
            <w:shd w:val="clear" w:color="auto" w:fill="auto"/>
            <w:noWrap w:val="0"/>
            <w:vAlign w:val="center"/>
          </w:tcPr>
          <w:p w14:paraId="5AFB6AD7">
            <w:pPr>
              <w:spacing w:line="280" w:lineRule="exact"/>
              <w:jc w:val="center"/>
              <w:rPr>
                <w:rFonts w:hint="eastAsia" w:cs="Times New Roman"/>
                <w:color w:val="auto"/>
                <w:szCs w:val="21"/>
                <w:highlight w:val="none"/>
                <w:lang w:val="en-US" w:eastAsia="zh-CN"/>
              </w:rPr>
            </w:pPr>
            <w:r>
              <w:rPr>
                <w:rFonts w:hint="eastAsia" w:cs="Times New Roman"/>
                <w:color w:val="auto"/>
                <w:szCs w:val="21"/>
                <w:highlight w:val="none"/>
                <w:lang w:val="en-US" w:eastAsia="zh-CN"/>
              </w:rPr>
              <w:t>30.5</w:t>
            </w:r>
          </w:p>
        </w:tc>
        <w:tc>
          <w:tcPr>
            <w:tcW w:w="1096" w:type="dxa"/>
            <w:shd w:val="clear" w:color="auto" w:fill="auto"/>
            <w:noWrap w:val="0"/>
            <w:vAlign w:val="center"/>
          </w:tcPr>
          <w:p w14:paraId="02982B2E">
            <w:pPr>
              <w:spacing w:line="280" w:lineRule="exact"/>
              <w:jc w:val="center"/>
              <w:rPr>
                <w:rFonts w:hint="eastAsia"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1</w:t>
            </w:r>
          </w:p>
        </w:tc>
      </w:tr>
      <w:tr w14:paraId="34C20D8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27" w:type="dxa"/>
            <w:shd w:val="clear" w:color="auto" w:fill="auto"/>
            <w:noWrap w:val="0"/>
            <w:vAlign w:val="center"/>
          </w:tcPr>
          <w:p w14:paraId="10DF47A6">
            <w:pPr>
              <w:spacing w:line="280" w:lineRule="exact"/>
              <w:jc w:val="center"/>
              <w:rPr>
                <w:rFonts w:hint="default" w:ascii="Times New Roman" w:hAnsi="Times New Roman"/>
                <w:color w:val="auto"/>
                <w:szCs w:val="21"/>
                <w:highlight w:val="none"/>
                <w:lang w:val="en-US" w:eastAsia="zh-CN"/>
              </w:rPr>
            </w:pPr>
            <w:r>
              <w:rPr>
                <w:rFonts w:hint="eastAsia"/>
                <w:color w:val="auto"/>
                <w:szCs w:val="21"/>
                <w:highlight w:val="none"/>
                <w:lang w:val="en-US" w:eastAsia="zh-CN"/>
              </w:rPr>
              <w:t>12</w:t>
            </w:r>
          </w:p>
        </w:tc>
        <w:tc>
          <w:tcPr>
            <w:tcW w:w="1428" w:type="dxa"/>
            <w:shd w:val="clear" w:color="auto" w:fill="auto"/>
            <w:noWrap w:val="0"/>
            <w:vAlign w:val="center"/>
          </w:tcPr>
          <w:p w14:paraId="55C84470">
            <w:pPr>
              <w:spacing w:line="280" w:lineRule="exact"/>
              <w:jc w:val="center"/>
              <w:rPr>
                <w:rFonts w:hint="default" w:ascii="Times New Roman" w:hAnsi="Times New Roman" w:eastAsia="宋体" w:cs="Times New Roman"/>
                <w:b w:val="0"/>
                <w:bCs w:val="0"/>
                <w:color w:val="auto"/>
                <w:kern w:val="0"/>
                <w:sz w:val="21"/>
                <w:szCs w:val="21"/>
                <w:highlight w:val="none"/>
                <w:vertAlign w:val="baseline"/>
                <w:lang w:val="en-US" w:eastAsia="zh-CN"/>
              </w:rPr>
            </w:pPr>
            <w:r>
              <w:rPr>
                <w:rFonts w:hint="eastAsia" w:cs="Times New Roman"/>
                <w:b w:val="0"/>
                <w:bCs w:val="0"/>
                <w:color w:val="auto"/>
                <w:kern w:val="0"/>
                <w:sz w:val="21"/>
                <w:szCs w:val="21"/>
                <w:highlight w:val="none"/>
                <w:vertAlign w:val="baseline"/>
                <w:lang w:val="en-US" w:eastAsia="zh-CN"/>
              </w:rPr>
              <w:t>涂布机1#</w:t>
            </w:r>
          </w:p>
        </w:tc>
        <w:tc>
          <w:tcPr>
            <w:tcW w:w="537" w:type="dxa"/>
            <w:shd w:val="clear" w:color="auto" w:fill="auto"/>
            <w:noWrap w:val="0"/>
            <w:vAlign w:val="center"/>
          </w:tcPr>
          <w:p w14:paraId="41DCB793">
            <w:pPr>
              <w:spacing w:line="280" w:lineRule="exact"/>
              <w:jc w:val="center"/>
              <w:rPr>
                <w:rFonts w:hint="default" w:ascii="Times New Roman" w:hAnsi="Times New Roman"/>
                <w:color w:val="auto"/>
                <w:szCs w:val="21"/>
                <w:highlight w:val="none"/>
                <w:lang w:val="en-US" w:eastAsia="zh-CN"/>
              </w:rPr>
            </w:pPr>
            <w:r>
              <w:rPr>
                <w:rFonts w:hint="eastAsia"/>
                <w:color w:val="auto"/>
                <w:szCs w:val="21"/>
                <w:highlight w:val="none"/>
                <w:lang w:val="en-US" w:eastAsia="zh-CN"/>
              </w:rPr>
              <w:t>80</w:t>
            </w:r>
          </w:p>
        </w:tc>
        <w:tc>
          <w:tcPr>
            <w:tcW w:w="537" w:type="dxa"/>
            <w:shd w:val="clear" w:color="auto" w:fill="auto"/>
            <w:noWrap w:val="0"/>
            <w:vAlign w:val="center"/>
          </w:tcPr>
          <w:p w14:paraId="19F65EE1">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52.8</w:t>
            </w:r>
          </w:p>
        </w:tc>
        <w:tc>
          <w:tcPr>
            <w:tcW w:w="537" w:type="dxa"/>
            <w:shd w:val="clear" w:color="auto" w:fill="auto"/>
            <w:noWrap w:val="0"/>
            <w:vAlign w:val="center"/>
          </w:tcPr>
          <w:p w14:paraId="378A5962">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80.17</w:t>
            </w:r>
          </w:p>
        </w:tc>
        <w:tc>
          <w:tcPr>
            <w:tcW w:w="558" w:type="dxa"/>
            <w:shd w:val="clear" w:color="auto" w:fill="auto"/>
            <w:noWrap w:val="0"/>
            <w:vAlign w:val="center"/>
          </w:tcPr>
          <w:p w14:paraId="22F1EB18">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1.5</w:t>
            </w:r>
          </w:p>
        </w:tc>
        <w:tc>
          <w:tcPr>
            <w:tcW w:w="537" w:type="dxa"/>
            <w:shd w:val="clear" w:color="auto" w:fill="auto"/>
            <w:noWrap w:val="0"/>
            <w:vAlign w:val="center"/>
          </w:tcPr>
          <w:p w14:paraId="4B516E25">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11.6</w:t>
            </w:r>
          </w:p>
        </w:tc>
        <w:tc>
          <w:tcPr>
            <w:tcW w:w="537" w:type="dxa"/>
            <w:shd w:val="clear" w:color="auto" w:fill="auto"/>
            <w:noWrap w:val="0"/>
            <w:vAlign w:val="center"/>
          </w:tcPr>
          <w:p w14:paraId="02F63E1C">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58.7</w:t>
            </w:r>
          </w:p>
        </w:tc>
        <w:tc>
          <w:tcPr>
            <w:tcW w:w="542" w:type="dxa"/>
            <w:shd w:val="clear" w:color="auto" w:fill="auto"/>
            <w:noWrap w:val="0"/>
            <w:vAlign w:val="center"/>
          </w:tcPr>
          <w:p w14:paraId="35EAF560">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78.9</w:t>
            </w:r>
          </w:p>
        </w:tc>
        <w:tc>
          <w:tcPr>
            <w:tcW w:w="558" w:type="dxa"/>
            <w:shd w:val="clear" w:color="auto" w:fill="auto"/>
            <w:noWrap w:val="0"/>
            <w:vAlign w:val="center"/>
          </w:tcPr>
          <w:p w14:paraId="41AF72AF">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68.5</w:t>
            </w:r>
          </w:p>
        </w:tc>
        <w:tc>
          <w:tcPr>
            <w:tcW w:w="542" w:type="dxa"/>
            <w:shd w:val="clear" w:color="auto" w:fill="auto"/>
            <w:noWrap w:val="0"/>
            <w:vAlign w:val="center"/>
          </w:tcPr>
          <w:p w14:paraId="1F05B328">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 xml:space="preserve">55.5 </w:t>
            </w:r>
          </w:p>
        </w:tc>
        <w:tc>
          <w:tcPr>
            <w:tcW w:w="542" w:type="dxa"/>
            <w:shd w:val="clear" w:color="auto" w:fill="auto"/>
            <w:noWrap w:val="0"/>
            <w:vAlign w:val="center"/>
          </w:tcPr>
          <w:p w14:paraId="6D97CDE5">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 xml:space="preserve">54.8 </w:t>
            </w:r>
          </w:p>
        </w:tc>
        <w:tc>
          <w:tcPr>
            <w:tcW w:w="542" w:type="dxa"/>
            <w:shd w:val="clear" w:color="auto" w:fill="auto"/>
            <w:noWrap w:val="0"/>
            <w:vAlign w:val="center"/>
          </w:tcPr>
          <w:p w14:paraId="5895CE1F">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 xml:space="preserve">54.8 </w:t>
            </w:r>
          </w:p>
        </w:tc>
        <w:tc>
          <w:tcPr>
            <w:tcW w:w="555" w:type="dxa"/>
            <w:shd w:val="clear" w:color="auto" w:fill="auto"/>
            <w:noWrap w:val="0"/>
            <w:vAlign w:val="center"/>
          </w:tcPr>
          <w:p w14:paraId="233C3314">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 xml:space="preserve">54.8 </w:t>
            </w:r>
          </w:p>
        </w:tc>
        <w:tc>
          <w:tcPr>
            <w:tcW w:w="542" w:type="dxa"/>
            <w:vMerge w:val="continue"/>
            <w:shd w:val="clear" w:color="auto" w:fill="auto"/>
            <w:noWrap w:val="0"/>
            <w:vAlign w:val="center"/>
          </w:tcPr>
          <w:p w14:paraId="3BAA9F6A">
            <w:pPr>
              <w:spacing w:line="280" w:lineRule="exact"/>
              <w:jc w:val="center"/>
              <w:rPr>
                <w:rFonts w:hint="default" w:ascii="Times New Roman" w:hAnsi="Times New Roman" w:eastAsia="宋体"/>
                <w:color w:val="auto"/>
                <w:szCs w:val="21"/>
                <w:highlight w:val="none"/>
                <w:lang w:val="en-US" w:eastAsia="zh-CN"/>
              </w:rPr>
            </w:pPr>
          </w:p>
        </w:tc>
        <w:tc>
          <w:tcPr>
            <w:tcW w:w="897" w:type="dxa"/>
            <w:shd w:val="clear" w:color="auto" w:fill="auto"/>
            <w:noWrap w:val="0"/>
            <w:vAlign w:val="center"/>
          </w:tcPr>
          <w:p w14:paraId="3BBBF255">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24.3</w:t>
            </w:r>
          </w:p>
        </w:tc>
        <w:tc>
          <w:tcPr>
            <w:tcW w:w="746" w:type="dxa"/>
            <w:shd w:val="clear" w:color="auto" w:fill="auto"/>
            <w:noWrap w:val="0"/>
            <w:vAlign w:val="center"/>
          </w:tcPr>
          <w:p w14:paraId="0119C05D">
            <w:pPr>
              <w:spacing w:line="280" w:lineRule="exact"/>
              <w:jc w:val="center"/>
              <w:rPr>
                <w:rFonts w:hint="eastAsia" w:cs="Times New Roman"/>
                <w:color w:val="auto"/>
                <w:szCs w:val="21"/>
                <w:highlight w:val="none"/>
                <w:lang w:val="en-US" w:eastAsia="zh-CN"/>
              </w:rPr>
            </w:pPr>
            <w:r>
              <w:rPr>
                <w:rFonts w:hint="eastAsia" w:cs="Times New Roman"/>
                <w:color w:val="auto"/>
                <w:szCs w:val="21"/>
                <w:highlight w:val="none"/>
                <w:lang w:val="en-US" w:eastAsia="zh-CN"/>
              </w:rPr>
              <w:t>31.2</w:t>
            </w:r>
          </w:p>
        </w:tc>
        <w:tc>
          <w:tcPr>
            <w:tcW w:w="689" w:type="dxa"/>
            <w:shd w:val="clear" w:color="auto" w:fill="auto"/>
            <w:noWrap w:val="0"/>
            <w:vAlign w:val="center"/>
          </w:tcPr>
          <w:p w14:paraId="660B90DF">
            <w:pPr>
              <w:spacing w:line="280" w:lineRule="exact"/>
              <w:jc w:val="center"/>
              <w:rPr>
                <w:rFonts w:hint="eastAsia" w:cs="Times New Roman"/>
                <w:color w:val="auto"/>
                <w:szCs w:val="21"/>
                <w:highlight w:val="none"/>
                <w:lang w:val="en-US" w:eastAsia="zh-CN"/>
              </w:rPr>
            </w:pPr>
            <w:r>
              <w:rPr>
                <w:rFonts w:hint="eastAsia" w:cs="Times New Roman"/>
                <w:color w:val="auto"/>
                <w:szCs w:val="21"/>
                <w:highlight w:val="none"/>
                <w:lang w:val="en-US" w:eastAsia="zh-CN"/>
              </w:rPr>
              <w:t>30.5</w:t>
            </w:r>
          </w:p>
        </w:tc>
        <w:tc>
          <w:tcPr>
            <w:tcW w:w="838" w:type="dxa"/>
            <w:shd w:val="clear" w:color="auto" w:fill="auto"/>
            <w:noWrap w:val="0"/>
            <w:vAlign w:val="center"/>
          </w:tcPr>
          <w:p w14:paraId="48DD6C79">
            <w:pPr>
              <w:spacing w:line="280" w:lineRule="exact"/>
              <w:jc w:val="center"/>
              <w:rPr>
                <w:rFonts w:hint="eastAsia" w:cs="Times New Roman"/>
                <w:color w:val="auto"/>
                <w:szCs w:val="21"/>
                <w:highlight w:val="none"/>
                <w:lang w:val="en-US" w:eastAsia="zh-CN"/>
              </w:rPr>
            </w:pPr>
            <w:r>
              <w:rPr>
                <w:rFonts w:hint="eastAsia" w:cs="Times New Roman"/>
                <w:color w:val="auto"/>
                <w:szCs w:val="21"/>
                <w:highlight w:val="none"/>
                <w:lang w:val="en-US" w:eastAsia="zh-CN"/>
              </w:rPr>
              <w:t>30.5</w:t>
            </w:r>
          </w:p>
        </w:tc>
        <w:tc>
          <w:tcPr>
            <w:tcW w:w="750" w:type="dxa"/>
            <w:shd w:val="clear" w:color="auto" w:fill="auto"/>
            <w:noWrap w:val="0"/>
            <w:vAlign w:val="center"/>
          </w:tcPr>
          <w:p w14:paraId="0D5A0987">
            <w:pPr>
              <w:spacing w:line="280" w:lineRule="exact"/>
              <w:jc w:val="center"/>
              <w:rPr>
                <w:rFonts w:hint="eastAsia" w:cs="Times New Roman"/>
                <w:color w:val="auto"/>
                <w:szCs w:val="21"/>
                <w:highlight w:val="none"/>
                <w:lang w:val="en-US" w:eastAsia="zh-CN"/>
              </w:rPr>
            </w:pPr>
            <w:r>
              <w:rPr>
                <w:rFonts w:hint="eastAsia" w:cs="Times New Roman"/>
                <w:color w:val="auto"/>
                <w:szCs w:val="21"/>
                <w:highlight w:val="none"/>
                <w:lang w:val="en-US" w:eastAsia="zh-CN"/>
              </w:rPr>
              <w:t>30.5</w:t>
            </w:r>
          </w:p>
        </w:tc>
        <w:tc>
          <w:tcPr>
            <w:tcW w:w="1096" w:type="dxa"/>
            <w:shd w:val="clear" w:color="auto" w:fill="auto"/>
            <w:noWrap w:val="0"/>
            <w:vAlign w:val="center"/>
          </w:tcPr>
          <w:p w14:paraId="03777256">
            <w:pPr>
              <w:spacing w:line="280" w:lineRule="exact"/>
              <w:jc w:val="center"/>
              <w:rPr>
                <w:rFonts w:hint="eastAsia"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1</w:t>
            </w:r>
          </w:p>
        </w:tc>
      </w:tr>
      <w:tr w14:paraId="1FAA50F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27" w:type="dxa"/>
            <w:shd w:val="clear" w:color="auto" w:fill="auto"/>
            <w:noWrap w:val="0"/>
            <w:vAlign w:val="center"/>
          </w:tcPr>
          <w:p w14:paraId="2994FECC">
            <w:pPr>
              <w:spacing w:line="280" w:lineRule="exact"/>
              <w:jc w:val="center"/>
              <w:rPr>
                <w:rFonts w:hint="default" w:ascii="Times New Roman" w:hAnsi="Times New Roman"/>
                <w:color w:val="auto"/>
                <w:szCs w:val="21"/>
                <w:highlight w:val="none"/>
                <w:lang w:val="en-US" w:eastAsia="zh-CN"/>
              </w:rPr>
            </w:pPr>
            <w:r>
              <w:rPr>
                <w:rFonts w:hint="eastAsia"/>
                <w:color w:val="auto"/>
                <w:szCs w:val="21"/>
                <w:highlight w:val="none"/>
                <w:lang w:val="en-US" w:eastAsia="zh-CN"/>
              </w:rPr>
              <w:t>13</w:t>
            </w:r>
          </w:p>
        </w:tc>
        <w:tc>
          <w:tcPr>
            <w:tcW w:w="1428" w:type="dxa"/>
            <w:shd w:val="clear" w:color="auto" w:fill="auto"/>
            <w:noWrap w:val="0"/>
            <w:vAlign w:val="center"/>
          </w:tcPr>
          <w:p w14:paraId="79C36E34">
            <w:pPr>
              <w:spacing w:line="280" w:lineRule="exact"/>
              <w:jc w:val="center"/>
              <w:rPr>
                <w:rFonts w:hint="eastAsia" w:cs="Times New Roman"/>
                <w:b w:val="0"/>
                <w:bCs w:val="0"/>
                <w:color w:val="auto"/>
                <w:kern w:val="0"/>
                <w:sz w:val="21"/>
                <w:szCs w:val="21"/>
                <w:highlight w:val="none"/>
                <w:vertAlign w:val="baseline"/>
                <w:lang w:val="en-US" w:eastAsia="zh-CN"/>
              </w:rPr>
            </w:pPr>
            <w:r>
              <w:rPr>
                <w:rFonts w:hint="eastAsia" w:cs="Times New Roman"/>
                <w:b w:val="0"/>
                <w:bCs w:val="0"/>
                <w:color w:val="auto"/>
                <w:kern w:val="0"/>
                <w:sz w:val="21"/>
                <w:szCs w:val="21"/>
                <w:highlight w:val="none"/>
                <w:vertAlign w:val="baseline"/>
                <w:lang w:val="en-US" w:eastAsia="zh-CN"/>
              </w:rPr>
              <w:t>涂布机2#</w:t>
            </w:r>
          </w:p>
        </w:tc>
        <w:tc>
          <w:tcPr>
            <w:tcW w:w="537" w:type="dxa"/>
            <w:shd w:val="clear" w:color="auto" w:fill="auto"/>
            <w:noWrap w:val="0"/>
            <w:vAlign w:val="center"/>
          </w:tcPr>
          <w:p w14:paraId="1EE68A33">
            <w:pPr>
              <w:spacing w:line="280" w:lineRule="exact"/>
              <w:jc w:val="center"/>
              <w:rPr>
                <w:rFonts w:hint="default" w:ascii="Times New Roman" w:hAnsi="Times New Roman"/>
                <w:color w:val="auto"/>
                <w:szCs w:val="21"/>
                <w:highlight w:val="none"/>
                <w:lang w:val="en-US" w:eastAsia="zh-CN"/>
              </w:rPr>
            </w:pPr>
            <w:r>
              <w:rPr>
                <w:rFonts w:hint="eastAsia"/>
                <w:color w:val="auto"/>
                <w:szCs w:val="21"/>
                <w:highlight w:val="none"/>
                <w:lang w:val="en-US" w:eastAsia="zh-CN"/>
              </w:rPr>
              <w:t>80</w:t>
            </w:r>
          </w:p>
        </w:tc>
        <w:tc>
          <w:tcPr>
            <w:tcW w:w="537" w:type="dxa"/>
            <w:shd w:val="clear" w:color="auto" w:fill="auto"/>
            <w:noWrap w:val="0"/>
            <w:vAlign w:val="center"/>
          </w:tcPr>
          <w:p w14:paraId="2E186CCE">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13.53</w:t>
            </w:r>
          </w:p>
        </w:tc>
        <w:tc>
          <w:tcPr>
            <w:tcW w:w="537" w:type="dxa"/>
            <w:shd w:val="clear" w:color="auto" w:fill="auto"/>
            <w:noWrap w:val="0"/>
            <w:vAlign w:val="center"/>
          </w:tcPr>
          <w:p w14:paraId="24F6D888">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55.41</w:t>
            </w:r>
          </w:p>
        </w:tc>
        <w:tc>
          <w:tcPr>
            <w:tcW w:w="558" w:type="dxa"/>
            <w:shd w:val="clear" w:color="auto" w:fill="auto"/>
            <w:noWrap w:val="0"/>
            <w:vAlign w:val="center"/>
          </w:tcPr>
          <w:p w14:paraId="5F460F5C">
            <w:pPr>
              <w:spacing w:line="280" w:lineRule="exact"/>
              <w:jc w:val="center"/>
              <w:rPr>
                <w:rFonts w:hint="eastAsia"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1.5</w:t>
            </w:r>
          </w:p>
        </w:tc>
        <w:tc>
          <w:tcPr>
            <w:tcW w:w="537" w:type="dxa"/>
            <w:shd w:val="clear" w:color="auto" w:fill="auto"/>
            <w:noWrap w:val="0"/>
            <w:vAlign w:val="center"/>
          </w:tcPr>
          <w:p w14:paraId="08830201">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57.7</w:t>
            </w:r>
          </w:p>
        </w:tc>
        <w:tc>
          <w:tcPr>
            <w:tcW w:w="537" w:type="dxa"/>
            <w:shd w:val="clear" w:color="auto" w:fill="auto"/>
            <w:noWrap w:val="0"/>
            <w:vAlign w:val="center"/>
          </w:tcPr>
          <w:p w14:paraId="73518714">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49.2</w:t>
            </w:r>
          </w:p>
        </w:tc>
        <w:tc>
          <w:tcPr>
            <w:tcW w:w="542" w:type="dxa"/>
            <w:shd w:val="clear" w:color="auto" w:fill="auto"/>
            <w:noWrap w:val="0"/>
            <w:vAlign w:val="center"/>
          </w:tcPr>
          <w:p w14:paraId="79499E3C">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31.7</w:t>
            </w:r>
          </w:p>
        </w:tc>
        <w:tc>
          <w:tcPr>
            <w:tcW w:w="558" w:type="dxa"/>
            <w:shd w:val="clear" w:color="auto" w:fill="auto"/>
            <w:noWrap w:val="0"/>
            <w:vAlign w:val="center"/>
          </w:tcPr>
          <w:p w14:paraId="4476F59C">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128.6</w:t>
            </w:r>
          </w:p>
        </w:tc>
        <w:tc>
          <w:tcPr>
            <w:tcW w:w="542" w:type="dxa"/>
            <w:shd w:val="clear" w:color="auto" w:fill="auto"/>
            <w:noWrap w:val="0"/>
            <w:vAlign w:val="center"/>
          </w:tcPr>
          <w:p w14:paraId="5586F38B">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 xml:space="preserve">54.8 </w:t>
            </w:r>
          </w:p>
        </w:tc>
        <w:tc>
          <w:tcPr>
            <w:tcW w:w="542" w:type="dxa"/>
            <w:shd w:val="clear" w:color="auto" w:fill="auto"/>
            <w:noWrap w:val="0"/>
            <w:vAlign w:val="center"/>
          </w:tcPr>
          <w:p w14:paraId="4F4C57D5">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 xml:space="preserve">54.8 </w:t>
            </w:r>
          </w:p>
        </w:tc>
        <w:tc>
          <w:tcPr>
            <w:tcW w:w="542" w:type="dxa"/>
            <w:shd w:val="clear" w:color="auto" w:fill="auto"/>
            <w:noWrap w:val="0"/>
            <w:vAlign w:val="center"/>
          </w:tcPr>
          <w:p w14:paraId="623CA7F4">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 xml:space="preserve">54.9 </w:t>
            </w:r>
          </w:p>
        </w:tc>
        <w:tc>
          <w:tcPr>
            <w:tcW w:w="555" w:type="dxa"/>
            <w:shd w:val="clear" w:color="auto" w:fill="auto"/>
            <w:noWrap w:val="0"/>
            <w:vAlign w:val="center"/>
          </w:tcPr>
          <w:p w14:paraId="2DC8E0AF">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 xml:space="preserve">54.8 </w:t>
            </w:r>
          </w:p>
        </w:tc>
        <w:tc>
          <w:tcPr>
            <w:tcW w:w="542" w:type="dxa"/>
            <w:vMerge w:val="continue"/>
            <w:shd w:val="clear" w:color="auto" w:fill="auto"/>
            <w:noWrap w:val="0"/>
            <w:vAlign w:val="center"/>
          </w:tcPr>
          <w:p w14:paraId="38253B00">
            <w:pPr>
              <w:spacing w:line="280" w:lineRule="exact"/>
              <w:jc w:val="center"/>
              <w:rPr>
                <w:rFonts w:hint="default" w:ascii="Times New Roman" w:hAnsi="Times New Roman" w:eastAsia="宋体"/>
                <w:color w:val="auto"/>
                <w:szCs w:val="21"/>
                <w:highlight w:val="none"/>
                <w:lang w:val="en-US" w:eastAsia="zh-CN"/>
              </w:rPr>
            </w:pPr>
          </w:p>
        </w:tc>
        <w:tc>
          <w:tcPr>
            <w:tcW w:w="897" w:type="dxa"/>
            <w:shd w:val="clear" w:color="auto" w:fill="auto"/>
            <w:noWrap w:val="0"/>
            <w:vAlign w:val="center"/>
          </w:tcPr>
          <w:p w14:paraId="19A4CE6F">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24.3</w:t>
            </w:r>
          </w:p>
        </w:tc>
        <w:tc>
          <w:tcPr>
            <w:tcW w:w="746" w:type="dxa"/>
            <w:shd w:val="clear" w:color="auto" w:fill="auto"/>
            <w:noWrap w:val="0"/>
            <w:vAlign w:val="center"/>
          </w:tcPr>
          <w:p w14:paraId="07C6F87C">
            <w:pPr>
              <w:spacing w:line="280" w:lineRule="exact"/>
              <w:jc w:val="center"/>
              <w:rPr>
                <w:rFonts w:hint="eastAsia" w:cs="Times New Roman"/>
                <w:color w:val="auto"/>
                <w:szCs w:val="21"/>
                <w:highlight w:val="none"/>
                <w:lang w:val="en-US" w:eastAsia="zh-CN"/>
              </w:rPr>
            </w:pPr>
            <w:r>
              <w:rPr>
                <w:rFonts w:hint="eastAsia" w:cs="Times New Roman"/>
                <w:color w:val="auto"/>
                <w:szCs w:val="21"/>
                <w:highlight w:val="none"/>
                <w:lang w:val="en-US" w:eastAsia="zh-CN"/>
              </w:rPr>
              <w:t>30.5</w:t>
            </w:r>
          </w:p>
        </w:tc>
        <w:tc>
          <w:tcPr>
            <w:tcW w:w="689" w:type="dxa"/>
            <w:shd w:val="clear" w:color="auto" w:fill="auto"/>
            <w:noWrap w:val="0"/>
            <w:vAlign w:val="center"/>
          </w:tcPr>
          <w:p w14:paraId="72031F0D">
            <w:pPr>
              <w:spacing w:line="280" w:lineRule="exact"/>
              <w:jc w:val="center"/>
              <w:rPr>
                <w:rFonts w:hint="eastAsia" w:cs="Times New Roman"/>
                <w:color w:val="auto"/>
                <w:szCs w:val="21"/>
                <w:highlight w:val="none"/>
                <w:lang w:val="en-US" w:eastAsia="zh-CN"/>
              </w:rPr>
            </w:pPr>
            <w:r>
              <w:rPr>
                <w:rFonts w:hint="eastAsia" w:cs="Times New Roman"/>
                <w:color w:val="auto"/>
                <w:szCs w:val="21"/>
                <w:highlight w:val="none"/>
                <w:lang w:val="en-US" w:eastAsia="zh-CN"/>
              </w:rPr>
              <w:t>30.5</w:t>
            </w:r>
          </w:p>
        </w:tc>
        <w:tc>
          <w:tcPr>
            <w:tcW w:w="838" w:type="dxa"/>
            <w:shd w:val="clear" w:color="auto" w:fill="auto"/>
            <w:noWrap w:val="0"/>
            <w:vAlign w:val="center"/>
          </w:tcPr>
          <w:p w14:paraId="4EEDAACC">
            <w:pPr>
              <w:spacing w:line="280" w:lineRule="exact"/>
              <w:jc w:val="center"/>
              <w:rPr>
                <w:rFonts w:hint="eastAsia" w:cs="Times New Roman"/>
                <w:color w:val="auto"/>
                <w:szCs w:val="21"/>
                <w:highlight w:val="none"/>
                <w:lang w:val="en-US" w:eastAsia="zh-CN"/>
              </w:rPr>
            </w:pPr>
            <w:r>
              <w:rPr>
                <w:rFonts w:hint="eastAsia" w:cs="Times New Roman"/>
                <w:color w:val="auto"/>
                <w:szCs w:val="21"/>
                <w:highlight w:val="none"/>
                <w:lang w:val="en-US" w:eastAsia="zh-CN"/>
              </w:rPr>
              <w:t>30.6</w:t>
            </w:r>
          </w:p>
        </w:tc>
        <w:tc>
          <w:tcPr>
            <w:tcW w:w="750" w:type="dxa"/>
            <w:shd w:val="clear" w:color="auto" w:fill="auto"/>
            <w:noWrap w:val="0"/>
            <w:vAlign w:val="center"/>
          </w:tcPr>
          <w:p w14:paraId="5788992D">
            <w:pPr>
              <w:spacing w:line="280" w:lineRule="exact"/>
              <w:jc w:val="center"/>
              <w:rPr>
                <w:rFonts w:hint="eastAsia" w:cs="Times New Roman"/>
                <w:color w:val="auto"/>
                <w:szCs w:val="21"/>
                <w:highlight w:val="none"/>
                <w:lang w:val="en-US" w:eastAsia="zh-CN"/>
              </w:rPr>
            </w:pPr>
            <w:r>
              <w:rPr>
                <w:rFonts w:hint="eastAsia" w:cs="Times New Roman"/>
                <w:color w:val="auto"/>
                <w:szCs w:val="21"/>
                <w:highlight w:val="none"/>
                <w:lang w:val="en-US" w:eastAsia="zh-CN"/>
              </w:rPr>
              <w:t>30.5</w:t>
            </w:r>
          </w:p>
        </w:tc>
        <w:tc>
          <w:tcPr>
            <w:tcW w:w="1096" w:type="dxa"/>
            <w:shd w:val="clear" w:color="auto" w:fill="auto"/>
            <w:noWrap w:val="0"/>
            <w:vAlign w:val="center"/>
          </w:tcPr>
          <w:p w14:paraId="3B3EFC7B">
            <w:pPr>
              <w:spacing w:line="280" w:lineRule="exact"/>
              <w:jc w:val="center"/>
              <w:rPr>
                <w:rFonts w:hint="eastAsia"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1</w:t>
            </w:r>
          </w:p>
        </w:tc>
      </w:tr>
      <w:tr w14:paraId="200A9D8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27" w:type="dxa"/>
            <w:shd w:val="clear" w:color="auto" w:fill="auto"/>
            <w:noWrap w:val="0"/>
            <w:vAlign w:val="center"/>
          </w:tcPr>
          <w:p w14:paraId="585EEC31">
            <w:pPr>
              <w:spacing w:line="280" w:lineRule="exact"/>
              <w:jc w:val="center"/>
              <w:rPr>
                <w:rFonts w:hint="default" w:ascii="Times New Roman" w:hAnsi="Times New Roman"/>
                <w:color w:val="auto"/>
                <w:szCs w:val="21"/>
                <w:highlight w:val="none"/>
                <w:lang w:val="en-US" w:eastAsia="zh-CN"/>
              </w:rPr>
            </w:pPr>
            <w:r>
              <w:rPr>
                <w:rFonts w:hint="eastAsia"/>
                <w:color w:val="auto"/>
                <w:szCs w:val="21"/>
                <w:highlight w:val="none"/>
                <w:lang w:val="en-US" w:eastAsia="zh-CN"/>
              </w:rPr>
              <w:t>14</w:t>
            </w:r>
          </w:p>
        </w:tc>
        <w:tc>
          <w:tcPr>
            <w:tcW w:w="1428" w:type="dxa"/>
            <w:shd w:val="clear" w:color="auto" w:fill="auto"/>
            <w:noWrap w:val="0"/>
            <w:vAlign w:val="center"/>
          </w:tcPr>
          <w:p w14:paraId="158891A4">
            <w:pPr>
              <w:spacing w:line="280" w:lineRule="exact"/>
              <w:jc w:val="center"/>
              <w:rPr>
                <w:rFonts w:hint="default" w:cs="Times New Roman"/>
                <w:b w:val="0"/>
                <w:bCs w:val="0"/>
                <w:color w:val="auto"/>
                <w:kern w:val="0"/>
                <w:sz w:val="21"/>
                <w:szCs w:val="21"/>
                <w:highlight w:val="none"/>
                <w:vertAlign w:val="baseline"/>
                <w:lang w:val="en-US" w:eastAsia="zh-CN"/>
              </w:rPr>
            </w:pPr>
            <w:r>
              <w:rPr>
                <w:rFonts w:hint="eastAsia" w:ascii="宋体"/>
                <w:color w:val="auto"/>
                <w:szCs w:val="21"/>
                <w:highlight w:val="none"/>
                <w:lang w:val="en-US" w:eastAsia="zh-CN"/>
              </w:rPr>
              <w:t>辊</w:t>
            </w:r>
            <w:r>
              <w:rPr>
                <w:rFonts w:hint="default" w:ascii="Times New Roman" w:hAnsi="Times New Roman" w:cs="Times New Roman"/>
                <w:color w:val="auto"/>
                <w:szCs w:val="21"/>
                <w:highlight w:val="none"/>
                <w:lang w:val="en-US" w:eastAsia="zh-CN"/>
              </w:rPr>
              <w:t>分一体机1#</w:t>
            </w:r>
          </w:p>
        </w:tc>
        <w:tc>
          <w:tcPr>
            <w:tcW w:w="537" w:type="dxa"/>
            <w:shd w:val="clear" w:color="auto" w:fill="auto"/>
            <w:noWrap w:val="0"/>
            <w:vAlign w:val="center"/>
          </w:tcPr>
          <w:p w14:paraId="17C279D7">
            <w:pPr>
              <w:spacing w:line="280" w:lineRule="exact"/>
              <w:jc w:val="center"/>
              <w:rPr>
                <w:rFonts w:hint="default" w:ascii="Times New Roman" w:hAnsi="Times New Roman"/>
                <w:color w:val="auto"/>
                <w:szCs w:val="21"/>
                <w:highlight w:val="none"/>
                <w:lang w:val="en-US" w:eastAsia="zh-CN"/>
              </w:rPr>
            </w:pPr>
            <w:r>
              <w:rPr>
                <w:rFonts w:hint="eastAsia"/>
                <w:color w:val="auto"/>
                <w:szCs w:val="21"/>
                <w:highlight w:val="none"/>
                <w:lang w:val="en-US" w:eastAsia="zh-CN"/>
              </w:rPr>
              <w:t>80</w:t>
            </w:r>
          </w:p>
        </w:tc>
        <w:tc>
          <w:tcPr>
            <w:tcW w:w="537" w:type="dxa"/>
            <w:shd w:val="clear" w:color="auto" w:fill="auto"/>
            <w:noWrap w:val="0"/>
            <w:vAlign w:val="center"/>
          </w:tcPr>
          <w:p w14:paraId="298993AE">
            <w:pPr>
              <w:spacing w:line="280" w:lineRule="exact"/>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31.85</w:t>
            </w:r>
          </w:p>
        </w:tc>
        <w:tc>
          <w:tcPr>
            <w:tcW w:w="537" w:type="dxa"/>
            <w:shd w:val="clear" w:color="auto" w:fill="auto"/>
            <w:noWrap w:val="0"/>
            <w:vAlign w:val="center"/>
          </w:tcPr>
          <w:p w14:paraId="5B00B255">
            <w:pPr>
              <w:spacing w:line="280" w:lineRule="exact"/>
              <w:jc w:val="center"/>
              <w:rPr>
                <w:rFonts w:hint="default" w:ascii="Times New Roman" w:hAnsi="Times New Roman" w:eastAsia="宋体" w:cs="Times New Roman"/>
                <w:color w:val="auto"/>
                <w:szCs w:val="21"/>
                <w:highlight w:val="none"/>
                <w:lang w:val="en-US" w:eastAsia="zh-CN"/>
              </w:rPr>
            </w:pPr>
            <w:r>
              <w:rPr>
                <w:rFonts w:hint="eastAsia"/>
                <w:color w:val="auto"/>
                <w:highlight w:val="none"/>
              </w:rPr>
              <w:t>87.98</w:t>
            </w:r>
          </w:p>
        </w:tc>
        <w:tc>
          <w:tcPr>
            <w:tcW w:w="558" w:type="dxa"/>
            <w:shd w:val="clear" w:color="auto" w:fill="auto"/>
            <w:noWrap w:val="0"/>
            <w:vAlign w:val="center"/>
          </w:tcPr>
          <w:p w14:paraId="51F4FA0E">
            <w:pPr>
              <w:spacing w:line="280" w:lineRule="exact"/>
              <w:jc w:val="center"/>
              <w:rPr>
                <w:rFonts w:hint="eastAsia"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1.5</w:t>
            </w:r>
          </w:p>
        </w:tc>
        <w:tc>
          <w:tcPr>
            <w:tcW w:w="537" w:type="dxa"/>
            <w:shd w:val="clear" w:color="auto" w:fill="auto"/>
            <w:noWrap w:val="0"/>
            <w:vAlign w:val="center"/>
          </w:tcPr>
          <w:p w14:paraId="5251E515">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30.4</w:t>
            </w:r>
          </w:p>
        </w:tc>
        <w:tc>
          <w:tcPr>
            <w:tcW w:w="537" w:type="dxa"/>
            <w:shd w:val="clear" w:color="auto" w:fill="auto"/>
            <w:noWrap w:val="0"/>
            <w:vAlign w:val="center"/>
          </w:tcPr>
          <w:p w14:paraId="6AEC05C1">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75.9</w:t>
            </w:r>
          </w:p>
        </w:tc>
        <w:tc>
          <w:tcPr>
            <w:tcW w:w="542" w:type="dxa"/>
            <w:shd w:val="clear" w:color="auto" w:fill="auto"/>
            <w:noWrap w:val="0"/>
            <w:vAlign w:val="center"/>
          </w:tcPr>
          <w:p w14:paraId="7E6E1BA3">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61.1</w:t>
            </w:r>
          </w:p>
        </w:tc>
        <w:tc>
          <w:tcPr>
            <w:tcW w:w="558" w:type="dxa"/>
            <w:shd w:val="clear" w:color="auto" w:fill="auto"/>
            <w:noWrap w:val="0"/>
            <w:vAlign w:val="center"/>
          </w:tcPr>
          <w:p w14:paraId="49F04EBE">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101.5</w:t>
            </w:r>
          </w:p>
        </w:tc>
        <w:tc>
          <w:tcPr>
            <w:tcW w:w="542" w:type="dxa"/>
            <w:shd w:val="clear" w:color="auto" w:fill="auto"/>
            <w:noWrap w:val="0"/>
            <w:vAlign w:val="center"/>
          </w:tcPr>
          <w:p w14:paraId="5A01C044">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 xml:space="preserve">54.9 </w:t>
            </w:r>
          </w:p>
        </w:tc>
        <w:tc>
          <w:tcPr>
            <w:tcW w:w="542" w:type="dxa"/>
            <w:shd w:val="clear" w:color="auto" w:fill="auto"/>
            <w:noWrap w:val="0"/>
            <w:vAlign w:val="center"/>
          </w:tcPr>
          <w:p w14:paraId="0FCBD236">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 xml:space="preserve">54.8 </w:t>
            </w:r>
          </w:p>
        </w:tc>
        <w:tc>
          <w:tcPr>
            <w:tcW w:w="542" w:type="dxa"/>
            <w:shd w:val="clear" w:color="auto" w:fill="auto"/>
            <w:noWrap w:val="0"/>
            <w:vAlign w:val="center"/>
          </w:tcPr>
          <w:p w14:paraId="1A09C48E">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 xml:space="preserve">54.8 </w:t>
            </w:r>
          </w:p>
        </w:tc>
        <w:tc>
          <w:tcPr>
            <w:tcW w:w="555" w:type="dxa"/>
            <w:shd w:val="clear" w:color="auto" w:fill="auto"/>
            <w:noWrap w:val="0"/>
            <w:vAlign w:val="center"/>
          </w:tcPr>
          <w:p w14:paraId="69C72FDD">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 xml:space="preserve">54.8 </w:t>
            </w:r>
          </w:p>
        </w:tc>
        <w:tc>
          <w:tcPr>
            <w:tcW w:w="542" w:type="dxa"/>
            <w:vMerge w:val="continue"/>
            <w:shd w:val="clear" w:color="auto" w:fill="auto"/>
            <w:noWrap w:val="0"/>
            <w:vAlign w:val="center"/>
          </w:tcPr>
          <w:p w14:paraId="2C4B4970">
            <w:pPr>
              <w:spacing w:line="280" w:lineRule="exact"/>
              <w:jc w:val="center"/>
              <w:rPr>
                <w:rFonts w:hint="default" w:ascii="Times New Roman" w:hAnsi="Times New Roman" w:eastAsia="宋体"/>
                <w:color w:val="auto"/>
                <w:szCs w:val="21"/>
                <w:highlight w:val="none"/>
                <w:lang w:val="en-US" w:eastAsia="zh-CN"/>
              </w:rPr>
            </w:pPr>
          </w:p>
        </w:tc>
        <w:tc>
          <w:tcPr>
            <w:tcW w:w="897" w:type="dxa"/>
            <w:shd w:val="clear" w:color="auto" w:fill="auto"/>
            <w:noWrap w:val="0"/>
            <w:vAlign w:val="center"/>
          </w:tcPr>
          <w:p w14:paraId="371F6CAD">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24.3</w:t>
            </w:r>
          </w:p>
        </w:tc>
        <w:tc>
          <w:tcPr>
            <w:tcW w:w="746" w:type="dxa"/>
            <w:shd w:val="clear" w:color="auto" w:fill="auto"/>
            <w:noWrap w:val="0"/>
            <w:vAlign w:val="center"/>
          </w:tcPr>
          <w:p w14:paraId="60AA13A2">
            <w:pPr>
              <w:spacing w:line="280" w:lineRule="exact"/>
              <w:jc w:val="center"/>
              <w:rPr>
                <w:rFonts w:hint="eastAsia" w:cs="Times New Roman"/>
                <w:color w:val="auto"/>
                <w:szCs w:val="21"/>
                <w:highlight w:val="none"/>
                <w:lang w:val="en-US" w:eastAsia="zh-CN"/>
              </w:rPr>
            </w:pPr>
            <w:r>
              <w:rPr>
                <w:rFonts w:hint="eastAsia" w:cs="Times New Roman"/>
                <w:color w:val="auto"/>
                <w:szCs w:val="21"/>
                <w:highlight w:val="none"/>
                <w:lang w:val="en-US" w:eastAsia="zh-CN"/>
              </w:rPr>
              <w:t>30.6</w:t>
            </w:r>
          </w:p>
        </w:tc>
        <w:tc>
          <w:tcPr>
            <w:tcW w:w="689" w:type="dxa"/>
            <w:shd w:val="clear" w:color="auto" w:fill="auto"/>
            <w:noWrap w:val="0"/>
            <w:vAlign w:val="center"/>
          </w:tcPr>
          <w:p w14:paraId="68FA356D">
            <w:pPr>
              <w:spacing w:line="280" w:lineRule="exact"/>
              <w:jc w:val="center"/>
              <w:rPr>
                <w:rFonts w:hint="eastAsia" w:cs="Times New Roman"/>
                <w:color w:val="auto"/>
                <w:szCs w:val="21"/>
                <w:highlight w:val="none"/>
                <w:lang w:val="en-US" w:eastAsia="zh-CN"/>
              </w:rPr>
            </w:pPr>
            <w:r>
              <w:rPr>
                <w:rFonts w:hint="eastAsia" w:cs="Times New Roman"/>
                <w:color w:val="auto"/>
                <w:szCs w:val="21"/>
                <w:highlight w:val="none"/>
                <w:lang w:val="en-US" w:eastAsia="zh-CN"/>
              </w:rPr>
              <w:t>30.5</w:t>
            </w:r>
          </w:p>
        </w:tc>
        <w:tc>
          <w:tcPr>
            <w:tcW w:w="838" w:type="dxa"/>
            <w:shd w:val="clear" w:color="auto" w:fill="auto"/>
            <w:noWrap w:val="0"/>
            <w:vAlign w:val="center"/>
          </w:tcPr>
          <w:p w14:paraId="73756ACE">
            <w:pPr>
              <w:spacing w:line="280" w:lineRule="exact"/>
              <w:jc w:val="center"/>
              <w:rPr>
                <w:rFonts w:hint="eastAsia" w:cs="Times New Roman"/>
                <w:color w:val="auto"/>
                <w:szCs w:val="21"/>
                <w:highlight w:val="none"/>
                <w:lang w:val="en-US" w:eastAsia="zh-CN"/>
              </w:rPr>
            </w:pPr>
            <w:r>
              <w:rPr>
                <w:rFonts w:hint="eastAsia" w:cs="Times New Roman"/>
                <w:color w:val="auto"/>
                <w:szCs w:val="21"/>
                <w:highlight w:val="none"/>
                <w:lang w:val="en-US" w:eastAsia="zh-CN"/>
              </w:rPr>
              <w:t>30.5</w:t>
            </w:r>
          </w:p>
        </w:tc>
        <w:tc>
          <w:tcPr>
            <w:tcW w:w="750" w:type="dxa"/>
            <w:shd w:val="clear" w:color="auto" w:fill="auto"/>
            <w:noWrap w:val="0"/>
            <w:vAlign w:val="center"/>
          </w:tcPr>
          <w:p w14:paraId="208C74FA">
            <w:pPr>
              <w:spacing w:line="280" w:lineRule="exact"/>
              <w:jc w:val="center"/>
              <w:rPr>
                <w:rFonts w:hint="eastAsia" w:cs="Times New Roman"/>
                <w:color w:val="auto"/>
                <w:szCs w:val="21"/>
                <w:highlight w:val="none"/>
                <w:lang w:val="en-US" w:eastAsia="zh-CN"/>
              </w:rPr>
            </w:pPr>
            <w:r>
              <w:rPr>
                <w:rFonts w:hint="eastAsia" w:cs="Times New Roman"/>
                <w:color w:val="auto"/>
                <w:szCs w:val="21"/>
                <w:highlight w:val="none"/>
                <w:lang w:val="en-US" w:eastAsia="zh-CN"/>
              </w:rPr>
              <w:t>30.5</w:t>
            </w:r>
          </w:p>
        </w:tc>
        <w:tc>
          <w:tcPr>
            <w:tcW w:w="1096" w:type="dxa"/>
            <w:shd w:val="clear" w:color="auto" w:fill="auto"/>
            <w:noWrap w:val="0"/>
            <w:vAlign w:val="center"/>
          </w:tcPr>
          <w:p w14:paraId="0ECAF057">
            <w:pPr>
              <w:spacing w:line="280" w:lineRule="exact"/>
              <w:jc w:val="center"/>
              <w:rPr>
                <w:rFonts w:hint="eastAsia"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1</w:t>
            </w:r>
          </w:p>
        </w:tc>
      </w:tr>
      <w:tr w14:paraId="012D2D8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27" w:type="dxa"/>
            <w:shd w:val="clear" w:color="auto" w:fill="auto"/>
            <w:noWrap w:val="0"/>
            <w:vAlign w:val="center"/>
          </w:tcPr>
          <w:p w14:paraId="0B5A67B7">
            <w:pPr>
              <w:spacing w:line="280" w:lineRule="exact"/>
              <w:jc w:val="center"/>
              <w:rPr>
                <w:rFonts w:hint="default" w:ascii="Times New Roman" w:hAnsi="Times New Roman"/>
                <w:color w:val="auto"/>
                <w:szCs w:val="21"/>
                <w:highlight w:val="none"/>
                <w:lang w:val="en-US" w:eastAsia="zh-CN"/>
              </w:rPr>
            </w:pPr>
            <w:r>
              <w:rPr>
                <w:rFonts w:hint="eastAsia"/>
                <w:color w:val="auto"/>
                <w:szCs w:val="21"/>
                <w:highlight w:val="none"/>
                <w:lang w:val="en-US" w:eastAsia="zh-CN"/>
              </w:rPr>
              <w:t>15</w:t>
            </w:r>
          </w:p>
        </w:tc>
        <w:tc>
          <w:tcPr>
            <w:tcW w:w="1428" w:type="dxa"/>
            <w:shd w:val="clear" w:color="auto" w:fill="auto"/>
            <w:noWrap w:val="0"/>
            <w:vAlign w:val="center"/>
          </w:tcPr>
          <w:p w14:paraId="0B2DB49B">
            <w:pPr>
              <w:spacing w:line="280" w:lineRule="exact"/>
              <w:jc w:val="center"/>
              <w:rPr>
                <w:rFonts w:hint="eastAsia" w:cs="Times New Roman"/>
                <w:b w:val="0"/>
                <w:bCs w:val="0"/>
                <w:color w:val="auto"/>
                <w:kern w:val="0"/>
                <w:sz w:val="21"/>
                <w:szCs w:val="21"/>
                <w:highlight w:val="none"/>
                <w:vertAlign w:val="baseline"/>
                <w:lang w:val="en-US" w:eastAsia="zh-CN"/>
              </w:rPr>
            </w:pPr>
            <w:r>
              <w:rPr>
                <w:rFonts w:hint="eastAsia" w:ascii="宋体"/>
                <w:color w:val="auto"/>
                <w:szCs w:val="21"/>
                <w:highlight w:val="none"/>
                <w:lang w:val="en-US" w:eastAsia="zh-CN"/>
              </w:rPr>
              <w:t>辊</w:t>
            </w:r>
            <w:r>
              <w:rPr>
                <w:rFonts w:hint="default" w:ascii="Times New Roman" w:hAnsi="Times New Roman" w:cs="Times New Roman"/>
                <w:color w:val="auto"/>
                <w:szCs w:val="21"/>
                <w:highlight w:val="none"/>
                <w:lang w:val="en-US" w:eastAsia="zh-CN"/>
              </w:rPr>
              <w:t>分一体机</w:t>
            </w:r>
            <w:r>
              <w:rPr>
                <w:rFonts w:hint="eastAsia" w:ascii="Times New Roman" w:hAnsi="Times New Roman" w:cs="Times New Roman"/>
                <w:color w:val="auto"/>
                <w:szCs w:val="21"/>
                <w:highlight w:val="none"/>
                <w:lang w:val="en-US" w:eastAsia="zh-CN"/>
              </w:rPr>
              <w:t>2</w:t>
            </w:r>
            <w:r>
              <w:rPr>
                <w:rFonts w:hint="default" w:ascii="Times New Roman" w:hAnsi="Times New Roman" w:cs="Times New Roman"/>
                <w:color w:val="auto"/>
                <w:szCs w:val="21"/>
                <w:highlight w:val="none"/>
                <w:lang w:val="en-US" w:eastAsia="zh-CN"/>
              </w:rPr>
              <w:t>#</w:t>
            </w:r>
          </w:p>
        </w:tc>
        <w:tc>
          <w:tcPr>
            <w:tcW w:w="537" w:type="dxa"/>
            <w:shd w:val="clear" w:color="auto" w:fill="auto"/>
            <w:noWrap w:val="0"/>
            <w:vAlign w:val="center"/>
          </w:tcPr>
          <w:p w14:paraId="0C93157B">
            <w:pPr>
              <w:spacing w:line="280" w:lineRule="exact"/>
              <w:jc w:val="center"/>
              <w:rPr>
                <w:rFonts w:hint="default" w:ascii="Times New Roman" w:hAnsi="Times New Roman"/>
                <w:color w:val="auto"/>
                <w:szCs w:val="21"/>
                <w:highlight w:val="none"/>
                <w:lang w:val="en-US" w:eastAsia="zh-CN"/>
              </w:rPr>
            </w:pPr>
            <w:r>
              <w:rPr>
                <w:rFonts w:hint="eastAsia"/>
                <w:color w:val="auto"/>
                <w:szCs w:val="21"/>
                <w:highlight w:val="none"/>
                <w:lang w:val="en-US" w:eastAsia="zh-CN"/>
              </w:rPr>
              <w:t>80</w:t>
            </w:r>
          </w:p>
        </w:tc>
        <w:tc>
          <w:tcPr>
            <w:tcW w:w="537" w:type="dxa"/>
            <w:shd w:val="clear" w:color="auto" w:fill="auto"/>
            <w:noWrap w:val="0"/>
            <w:vAlign w:val="center"/>
          </w:tcPr>
          <w:p w14:paraId="2F794F09">
            <w:pPr>
              <w:spacing w:line="280" w:lineRule="exact"/>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19.34</w:t>
            </w:r>
          </w:p>
        </w:tc>
        <w:tc>
          <w:tcPr>
            <w:tcW w:w="537" w:type="dxa"/>
            <w:shd w:val="clear" w:color="auto" w:fill="auto"/>
            <w:noWrap w:val="0"/>
            <w:vAlign w:val="center"/>
          </w:tcPr>
          <w:p w14:paraId="6B9125D8">
            <w:pPr>
              <w:spacing w:line="280" w:lineRule="exact"/>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81.92</w:t>
            </w:r>
          </w:p>
        </w:tc>
        <w:tc>
          <w:tcPr>
            <w:tcW w:w="558" w:type="dxa"/>
            <w:shd w:val="clear" w:color="auto" w:fill="auto"/>
            <w:noWrap w:val="0"/>
            <w:vAlign w:val="center"/>
          </w:tcPr>
          <w:p w14:paraId="5A9FB3F9">
            <w:pPr>
              <w:spacing w:line="280" w:lineRule="exact"/>
              <w:jc w:val="center"/>
              <w:rPr>
                <w:rFonts w:hint="eastAsia"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1.5</w:t>
            </w:r>
          </w:p>
        </w:tc>
        <w:tc>
          <w:tcPr>
            <w:tcW w:w="537" w:type="dxa"/>
            <w:shd w:val="clear" w:color="auto" w:fill="auto"/>
            <w:noWrap w:val="0"/>
            <w:vAlign w:val="center"/>
          </w:tcPr>
          <w:p w14:paraId="79587169">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45.9</w:t>
            </w:r>
          </w:p>
        </w:tc>
        <w:tc>
          <w:tcPr>
            <w:tcW w:w="537" w:type="dxa"/>
            <w:shd w:val="clear" w:color="auto" w:fill="auto"/>
            <w:noWrap w:val="0"/>
            <w:vAlign w:val="center"/>
          </w:tcPr>
          <w:p w14:paraId="03CBDDA9">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74.8</w:t>
            </w:r>
          </w:p>
        </w:tc>
        <w:tc>
          <w:tcPr>
            <w:tcW w:w="542" w:type="dxa"/>
            <w:shd w:val="clear" w:color="auto" w:fill="auto"/>
            <w:noWrap w:val="0"/>
            <w:vAlign w:val="center"/>
          </w:tcPr>
          <w:p w14:paraId="09199969">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45.4</w:t>
            </w:r>
          </w:p>
        </w:tc>
        <w:tc>
          <w:tcPr>
            <w:tcW w:w="558" w:type="dxa"/>
            <w:shd w:val="clear" w:color="auto" w:fill="auto"/>
            <w:noWrap w:val="0"/>
            <w:vAlign w:val="center"/>
          </w:tcPr>
          <w:p w14:paraId="588D1DD1">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103.7</w:t>
            </w:r>
          </w:p>
        </w:tc>
        <w:tc>
          <w:tcPr>
            <w:tcW w:w="542" w:type="dxa"/>
            <w:shd w:val="clear" w:color="auto" w:fill="auto"/>
            <w:noWrap w:val="0"/>
            <w:vAlign w:val="center"/>
          </w:tcPr>
          <w:p w14:paraId="2064DD7D">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 xml:space="preserve">54.8 </w:t>
            </w:r>
          </w:p>
        </w:tc>
        <w:tc>
          <w:tcPr>
            <w:tcW w:w="542" w:type="dxa"/>
            <w:shd w:val="clear" w:color="auto" w:fill="auto"/>
            <w:noWrap w:val="0"/>
            <w:vAlign w:val="center"/>
          </w:tcPr>
          <w:p w14:paraId="4C4DD64F">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 xml:space="preserve">54.8 </w:t>
            </w:r>
          </w:p>
        </w:tc>
        <w:tc>
          <w:tcPr>
            <w:tcW w:w="542" w:type="dxa"/>
            <w:shd w:val="clear" w:color="auto" w:fill="auto"/>
            <w:noWrap w:val="0"/>
            <w:vAlign w:val="center"/>
          </w:tcPr>
          <w:p w14:paraId="25A911BC">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 xml:space="preserve">54.8 </w:t>
            </w:r>
          </w:p>
        </w:tc>
        <w:tc>
          <w:tcPr>
            <w:tcW w:w="555" w:type="dxa"/>
            <w:shd w:val="clear" w:color="auto" w:fill="auto"/>
            <w:noWrap w:val="0"/>
            <w:vAlign w:val="center"/>
          </w:tcPr>
          <w:p w14:paraId="2EC4F8A3">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 xml:space="preserve">54.8 </w:t>
            </w:r>
          </w:p>
        </w:tc>
        <w:tc>
          <w:tcPr>
            <w:tcW w:w="542" w:type="dxa"/>
            <w:vMerge w:val="continue"/>
            <w:shd w:val="clear" w:color="auto" w:fill="auto"/>
            <w:noWrap w:val="0"/>
            <w:vAlign w:val="center"/>
          </w:tcPr>
          <w:p w14:paraId="122D4699">
            <w:pPr>
              <w:spacing w:line="280" w:lineRule="exact"/>
              <w:jc w:val="center"/>
              <w:rPr>
                <w:rFonts w:hint="default" w:ascii="Times New Roman" w:hAnsi="Times New Roman" w:eastAsia="宋体"/>
                <w:color w:val="auto"/>
                <w:szCs w:val="21"/>
                <w:highlight w:val="none"/>
                <w:lang w:val="en-US" w:eastAsia="zh-CN"/>
              </w:rPr>
            </w:pPr>
          </w:p>
        </w:tc>
        <w:tc>
          <w:tcPr>
            <w:tcW w:w="897" w:type="dxa"/>
            <w:shd w:val="clear" w:color="auto" w:fill="auto"/>
            <w:noWrap w:val="0"/>
            <w:vAlign w:val="center"/>
          </w:tcPr>
          <w:p w14:paraId="6E1D0F8A">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24.3</w:t>
            </w:r>
          </w:p>
        </w:tc>
        <w:tc>
          <w:tcPr>
            <w:tcW w:w="746" w:type="dxa"/>
            <w:shd w:val="clear" w:color="auto" w:fill="auto"/>
            <w:noWrap w:val="0"/>
            <w:vAlign w:val="center"/>
          </w:tcPr>
          <w:p w14:paraId="6762BFC8">
            <w:pPr>
              <w:spacing w:line="280" w:lineRule="exact"/>
              <w:jc w:val="center"/>
              <w:rPr>
                <w:rFonts w:hint="eastAsia" w:cs="Times New Roman"/>
                <w:color w:val="auto"/>
                <w:szCs w:val="21"/>
                <w:highlight w:val="none"/>
                <w:lang w:val="en-US" w:eastAsia="zh-CN"/>
              </w:rPr>
            </w:pPr>
            <w:r>
              <w:rPr>
                <w:rFonts w:hint="eastAsia" w:cs="Times New Roman"/>
                <w:color w:val="auto"/>
                <w:szCs w:val="21"/>
                <w:highlight w:val="none"/>
                <w:lang w:val="en-US" w:eastAsia="zh-CN"/>
              </w:rPr>
              <w:t>30.5</w:t>
            </w:r>
          </w:p>
        </w:tc>
        <w:tc>
          <w:tcPr>
            <w:tcW w:w="689" w:type="dxa"/>
            <w:shd w:val="clear" w:color="auto" w:fill="auto"/>
            <w:noWrap w:val="0"/>
            <w:vAlign w:val="center"/>
          </w:tcPr>
          <w:p w14:paraId="09C7F2D7">
            <w:pPr>
              <w:spacing w:line="280" w:lineRule="exact"/>
              <w:jc w:val="center"/>
              <w:rPr>
                <w:rFonts w:hint="eastAsia" w:cs="Times New Roman"/>
                <w:color w:val="auto"/>
                <w:szCs w:val="21"/>
                <w:highlight w:val="none"/>
                <w:lang w:val="en-US" w:eastAsia="zh-CN"/>
              </w:rPr>
            </w:pPr>
            <w:r>
              <w:rPr>
                <w:rFonts w:hint="eastAsia" w:cs="Times New Roman"/>
                <w:color w:val="auto"/>
                <w:szCs w:val="21"/>
                <w:highlight w:val="none"/>
                <w:lang w:val="en-US" w:eastAsia="zh-CN"/>
              </w:rPr>
              <w:t>30.5</w:t>
            </w:r>
          </w:p>
        </w:tc>
        <w:tc>
          <w:tcPr>
            <w:tcW w:w="838" w:type="dxa"/>
            <w:shd w:val="clear" w:color="auto" w:fill="auto"/>
            <w:noWrap w:val="0"/>
            <w:vAlign w:val="center"/>
          </w:tcPr>
          <w:p w14:paraId="275B177D">
            <w:pPr>
              <w:spacing w:line="280" w:lineRule="exact"/>
              <w:jc w:val="center"/>
              <w:rPr>
                <w:rFonts w:hint="eastAsia" w:cs="Times New Roman"/>
                <w:color w:val="auto"/>
                <w:szCs w:val="21"/>
                <w:highlight w:val="none"/>
                <w:lang w:val="en-US" w:eastAsia="zh-CN"/>
              </w:rPr>
            </w:pPr>
            <w:r>
              <w:rPr>
                <w:rFonts w:hint="eastAsia" w:cs="Times New Roman"/>
                <w:color w:val="auto"/>
                <w:szCs w:val="21"/>
                <w:highlight w:val="none"/>
                <w:lang w:val="en-US" w:eastAsia="zh-CN"/>
              </w:rPr>
              <w:t>30.5</w:t>
            </w:r>
          </w:p>
        </w:tc>
        <w:tc>
          <w:tcPr>
            <w:tcW w:w="750" w:type="dxa"/>
            <w:shd w:val="clear" w:color="auto" w:fill="auto"/>
            <w:noWrap w:val="0"/>
            <w:vAlign w:val="center"/>
          </w:tcPr>
          <w:p w14:paraId="6A7EF3FA">
            <w:pPr>
              <w:spacing w:line="280" w:lineRule="exact"/>
              <w:jc w:val="center"/>
              <w:rPr>
                <w:rFonts w:hint="eastAsia" w:cs="Times New Roman"/>
                <w:color w:val="auto"/>
                <w:szCs w:val="21"/>
                <w:highlight w:val="none"/>
                <w:lang w:val="en-US" w:eastAsia="zh-CN"/>
              </w:rPr>
            </w:pPr>
            <w:r>
              <w:rPr>
                <w:rFonts w:hint="eastAsia" w:cs="Times New Roman"/>
                <w:color w:val="auto"/>
                <w:szCs w:val="21"/>
                <w:highlight w:val="none"/>
                <w:lang w:val="en-US" w:eastAsia="zh-CN"/>
              </w:rPr>
              <w:t>30.5</w:t>
            </w:r>
          </w:p>
        </w:tc>
        <w:tc>
          <w:tcPr>
            <w:tcW w:w="1096" w:type="dxa"/>
            <w:shd w:val="clear" w:color="auto" w:fill="auto"/>
            <w:noWrap w:val="0"/>
            <w:vAlign w:val="center"/>
          </w:tcPr>
          <w:p w14:paraId="276BC59B">
            <w:pPr>
              <w:spacing w:line="280" w:lineRule="exact"/>
              <w:jc w:val="center"/>
              <w:rPr>
                <w:rFonts w:hint="eastAsia"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1</w:t>
            </w:r>
          </w:p>
        </w:tc>
      </w:tr>
      <w:tr w14:paraId="6E0C937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27" w:type="dxa"/>
            <w:shd w:val="clear" w:color="auto" w:fill="auto"/>
            <w:noWrap w:val="0"/>
            <w:vAlign w:val="center"/>
          </w:tcPr>
          <w:p w14:paraId="4BE0393B">
            <w:pPr>
              <w:spacing w:line="280" w:lineRule="exact"/>
              <w:jc w:val="center"/>
              <w:rPr>
                <w:rFonts w:hint="default" w:ascii="Times New Roman" w:hAnsi="Times New Roman"/>
                <w:color w:val="auto"/>
                <w:szCs w:val="21"/>
                <w:highlight w:val="none"/>
                <w:lang w:val="en-US" w:eastAsia="zh-CN"/>
              </w:rPr>
            </w:pPr>
            <w:r>
              <w:rPr>
                <w:rFonts w:hint="eastAsia"/>
                <w:color w:val="auto"/>
                <w:szCs w:val="21"/>
                <w:highlight w:val="none"/>
                <w:lang w:val="en-US" w:eastAsia="zh-CN"/>
              </w:rPr>
              <w:t>16</w:t>
            </w:r>
          </w:p>
        </w:tc>
        <w:tc>
          <w:tcPr>
            <w:tcW w:w="1428" w:type="dxa"/>
            <w:shd w:val="clear" w:color="auto" w:fill="auto"/>
            <w:noWrap w:val="0"/>
            <w:vAlign w:val="center"/>
          </w:tcPr>
          <w:p w14:paraId="0F6073EE">
            <w:pPr>
              <w:spacing w:line="280" w:lineRule="exact"/>
              <w:jc w:val="center"/>
              <w:rPr>
                <w:rFonts w:hint="default" w:cs="Times New Roman"/>
                <w:b w:val="0"/>
                <w:bCs w:val="0"/>
                <w:color w:val="auto"/>
                <w:kern w:val="0"/>
                <w:sz w:val="21"/>
                <w:szCs w:val="21"/>
                <w:highlight w:val="none"/>
                <w:vertAlign w:val="baseline"/>
                <w:lang w:val="en-US" w:eastAsia="zh-CN"/>
              </w:rPr>
            </w:pPr>
            <w:r>
              <w:rPr>
                <w:rFonts w:hint="eastAsia" w:ascii="宋体"/>
                <w:color w:val="auto"/>
                <w:szCs w:val="21"/>
                <w:highlight w:val="none"/>
                <w:lang w:val="en-US" w:eastAsia="zh-CN"/>
              </w:rPr>
              <w:t>切叠</w:t>
            </w:r>
            <w:r>
              <w:rPr>
                <w:rFonts w:hint="default" w:ascii="Times New Roman" w:hAnsi="Times New Roman" w:cs="Times New Roman"/>
                <w:color w:val="auto"/>
                <w:szCs w:val="21"/>
                <w:highlight w:val="none"/>
                <w:lang w:val="en-US" w:eastAsia="zh-CN"/>
              </w:rPr>
              <w:t>一体机1#</w:t>
            </w:r>
          </w:p>
        </w:tc>
        <w:tc>
          <w:tcPr>
            <w:tcW w:w="537" w:type="dxa"/>
            <w:shd w:val="clear" w:color="auto" w:fill="auto"/>
            <w:noWrap w:val="0"/>
            <w:vAlign w:val="center"/>
          </w:tcPr>
          <w:p w14:paraId="733B3AD7">
            <w:pPr>
              <w:spacing w:line="280" w:lineRule="exact"/>
              <w:jc w:val="center"/>
              <w:rPr>
                <w:rFonts w:hint="default" w:ascii="Times New Roman" w:hAnsi="Times New Roman"/>
                <w:color w:val="auto"/>
                <w:szCs w:val="21"/>
                <w:highlight w:val="none"/>
                <w:lang w:val="en-US" w:eastAsia="zh-CN"/>
              </w:rPr>
            </w:pPr>
            <w:r>
              <w:rPr>
                <w:rFonts w:hint="eastAsia"/>
                <w:color w:val="auto"/>
                <w:szCs w:val="21"/>
                <w:highlight w:val="none"/>
                <w:lang w:val="en-US" w:eastAsia="zh-CN"/>
              </w:rPr>
              <w:t>80</w:t>
            </w:r>
          </w:p>
        </w:tc>
        <w:tc>
          <w:tcPr>
            <w:tcW w:w="537" w:type="dxa"/>
            <w:shd w:val="clear" w:color="auto" w:fill="auto"/>
            <w:noWrap w:val="0"/>
            <w:vAlign w:val="center"/>
          </w:tcPr>
          <w:p w14:paraId="3CACA28D">
            <w:pPr>
              <w:spacing w:line="280" w:lineRule="exact"/>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18.01</w:t>
            </w:r>
          </w:p>
        </w:tc>
        <w:tc>
          <w:tcPr>
            <w:tcW w:w="537" w:type="dxa"/>
            <w:shd w:val="clear" w:color="auto" w:fill="auto"/>
            <w:noWrap w:val="0"/>
            <w:vAlign w:val="center"/>
          </w:tcPr>
          <w:p w14:paraId="727C26ED">
            <w:pPr>
              <w:spacing w:line="280" w:lineRule="exact"/>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152.37</w:t>
            </w:r>
          </w:p>
        </w:tc>
        <w:tc>
          <w:tcPr>
            <w:tcW w:w="558" w:type="dxa"/>
            <w:shd w:val="clear" w:color="auto" w:fill="auto"/>
            <w:noWrap w:val="0"/>
            <w:vAlign w:val="center"/>
          </w:tcPr>
          <w:p w14:paraId="4DA093BE">
            <w:pPr>
              <w:spacing w:line="280" w:lineRule="exact"/>
              <w:jc w:val="center"/>
              <w:rPr>
                <w:rFonts w:hint="eastAsia"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1.2</w:t>
            </w:r>
          </w:p>
        </w:tc>
        <w:tc>
          <w:tcPr>
            <w:tcW w:w="537" w:type="dxa"/>
            <w:shd w:val="clear" w:color="auto" w:fill="auto"/>
            <w:noWrap w:val="0"/>
            <w:vAlign w:val="center"/>
          </w:tcPr>
          <w:p w14:paraId="35FDE4D9">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22.3</w:t>
            </w:r>
          </w:p>
        </w:tc>
        <w:tc>
          <w:tcPr>
            <w:tcW w:w="537" w:type="dxa"/>
            <w:shd w:val="clear" w:color="auto" w:fill="auto"/>
            <w:noWrap w:val="0"/>
            <w:vAlign w:val="center"/>
          </w:tcPr>
          <w:p w14:paraId="2ED8494B">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143.6</w:t>
            </w:r>
          </w:p>
        </w:tc>
        <w:tc>
          <w:tcPr>
            <w:tcW w:w="542" w:type="dxa"/>
            <w:shd w:val="clear" w:color="auto" w:fill="auto"/>
            <w:noWrap w:val="0"/>
            <w:vAlign w:val="center"/>
          </w:tcPr>
          <w:p w14:paraId="07F0F9CC">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120.9</w:t>
            </w:r>
          </w:p>
        </w:tc>
        <w:tc>
          <w:tcPr>
            <w:tcW w:w="558" w:type="dxa"/>
            <w:shd w:val="clear" w:color="auto" w:fill="auto"/>
            <w:noWrap w:val="0"/>
            <w:vAlign w:val="center"/>
          </w:tcPr>
          <w:p w14:paraId="47FA84AA">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33.2</w:t>
            </w:r>
          </w:p>
        </w:tc>
        <w:tc>
          <w:tcPr>
            <w:tcW w:w="542" w:type="dxa"/>
            <w:shd w:val="clear" w:color="auto" w:fill="auto"/>
            <w:noWrap w:val="0"/>
            <w:vAlign w:val="center"/>
          </w:tcPr>
          <w:p w14:paraId="19A5FDFA">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 xml:space="preserve">55.0 </w:t>
            </w:r>
          </w:p>
        </w:tc>
        <w:tc>
          <w:tcPr>
            <w:tcW w:w="542" w:type="dxa"/>
            <w:shd w:val="clear" w:color="auto" w:fill="auto"/>
            <w:noWrap w:val="0"/>
            <w:vAlign w:val="center"/>
          </w:tcPr>
          <w:p w14:paraId="4B5EB394">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 xml:space="preserve">54.8 </w:t>
            </w:r>
          </w:p>
        </w:tc>
        <w:tc>
          <w:tcPr>
            <w:tcW w:w="542" w:type="dxa"/>
            <w:shd w:val="clear" w:color="auto" w:fill="auto"/>
            <w:noWrap w:val="0"/>
            <w:vAlign w:val="center"/>
          </w:tcPr>
          <w:p w14:paraId="61BC69AF">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 xml:space="preserve">54.8 </w:t>
            </w:r>
          </w:p>
        </w:tc>
        <w:tc>
          <w:tcPr>
            <w:tcW w:w="555" w:type="dxa"/>
            <w:shd w:val="clear" w:color="auto" w:fill="auto"/>
            <w:noWrap w:val="0"/>
            <w:vAlign w:val="center"/>
          </w:tcPr>
          <w:p w14:paraId="56C12B37">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 xml:space="preserve">54.9 </w:t>
            </w:r>
          </w:p>
        </w:tc>
        <w:tc>
          <w:tcPr>
            <w:tcW w:w="542" w:type="dxa"/>
            <w:vMerge w:val="continue"/>
            <w:shd w:val="clear" w:color="auto" w:fill="auto"/>
            <w:noWrap w:val="0"/>
            <w:vAlign w:val="center"/>
          </w:tcPr>
          <w:p w14:paraId="74284A20">
            <w:pPr>
              <w:spacing w:line="280" w:lineRule="exact"/>
              <w:jc w:val="center"/>
              <w:rPr>
                <w:rFonts w:hint="default" w:ascii="Times New Roman" w:hAnsi="Times New Roman" w:eastAsia="宋体"/>
                <w:color w:val="auto"/>
                <w:szCs w:val="21"/>
                <w:highlight w:val="none"/>
                <w:lang w:val="en-US" w:eastAsia="zh-CN"/>
              </w:rPr>
            </w:pPr>
          </w:p>
        </w:tc>
        <w:tc>
          <w:tcPr>
            <w:tcW w:w="897" w:type="dxa"/>
            <w:shd w:val="clear" w:color="auto" w:fill="auto"/>
            <w:noWrap w:val="0"/>
            <w:vAlign w:val="center"/>
          </w:tcPr>
          <w:p w14:paraId="41E14C2F">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24.3</w:t>
            </w:r>
          </w:p>
        </w:tc>
        <w:tc>
          <w:tcPr>
            <w:tcW w:w="746" w:type="dxa"/>
            <w:shd w:val="clear" w:color="auto" w:fill="auto"/>
            <w:noWrap w:val="0"/>
            <w:vAlign w:val="center"/>
          </w:tcPr>
          <w:p w14:paraId="51A0290C">
            <w:pPr>
              <w:spacing w:line="280" w:lineRule="exact"/>
              <w:jc w:val="center"/>
              <w:rPr>
                <w:rFonts w:hint="eastAsia" w:cs="Times New Roman"/>
                <w:color w:val="auto"/>
                <w:szCs w:val="21"/>
                <w:highlight w:val="none"/>
                <w:lang w:val="en-US" w:eastAsia="zh-CN"/>
              </w:rPr>
            </w:pPr>
            <w:r>
              <w:rPr>
                <w:rFonts w:hint="eastAsia" w:cs="Times New Roman"/>
                <w:color w:val="auto"/>
                <w:szCs w:val="21"/>
                <w:highlight w:val="none"/>
                <w:lang w:val="en-US" w:eastAsia="zh-CN"/>
              </w:rPr>
              <w:t>30.7</w:t>
            </w:r>
          </w:p>
        </w:tc>
        <w:tc>
          <w:tcPr>
            <w:tcW w:w="689" w:type="dxa"/>
            <w:shd w:val="clear" w:color="auto" w:fill="auto"/>
            <w:noWrap w:val="0"/>
            <w:vAlign w:val="center"/>
          </w:tcPr>
          <w:p w14:paraId="1EF581B8">
            <w:pPr>
              <w:spacing w:line="280" w:lineRule="exact"/>
              <w:jc w:val="center"/>
              <w:rPr>
                <w:rFonts w:hint="eastAsia" w:cs="Times New Roman"/>
                <w:color w:val="auto"/>
                <w:szCs w:val="21"/>
                <w:highlight w:val="none"/>
                <w:lang w:val="en-US" w:eastAsia="zh-CN"/>
              </w:rPr>
            </w:pPr>
            <w:r>
              <w:rPr>
                <w:rFonts w:hint="eastAsia" w:cs="Times New Roman"/>
                <w:color w:val="auto"/>
                <w:szCs w:val="21"/>
                <w:highlight w:val="none"/>
                <w:lang w:val="en-US" w:eastAsia="zh-CN"/>
              </w:rPr>
              <w:t>30.5</w:t>
            </w:r>
          </w:p>
        </w:tc>
        <w:tc>
          <w:tcPr>
            <w:tcW w:w="838" w:type="dxa"/>
            <w:shd w:val="clear" w:color="auto" w:fill="auto"/>
            <w:noWrap w:val="0"/>
            <w:vAlign w:val="center"/>
          </w:tcPr>
          <w:p w14:paraId="4A58E84F">
            <w:pPr>
              <w:spacing w:line="280" w:lineRule="exact"/>
              <w:jc w:val="center"/>
              <w:rPr>
                <w:rFonts w:hint="eastAsia" w:cs="Times New Roman"/>
                <w:color w:val="auto"/>
                <w:szCs w:val="21"/>
                <w:highlight w:val="none"/>
                <w:lang w:val="en-US" w:eastAsia="zh-CN"/>
              </w:rPr>
            </w:pPr>
            <w:r>
              <w:rPr>
                <w:rFonts w:hint="eastAsia" w:cs="Times New Roman"/>
                <w:color w:val="auto"/>
                <w:szCs w:val="21"/>
                <w:highlight w:val="none"/>
                <w:lang w:val="en-US" w:eastAsia="zh-CN"/>
              </w:rPr>
              <w:t>30.5</w:t>
            </w:r>
          </w:p>
        </w:tc>
        <w:tc>
          <w:tcPr>
            <w:tcW w:w="750" w:type="dxa"/>
            <w:shd w:val="clear" w:color="auto" w:fill="auto"/>
            <w:noWrap w:val="0"/>
            <w:vAlign w:val="center"/>
          </w:tcPr>
          <w:p w14:paraId="6C6E40CB">
            <w:pPr>
              <w:spacing w:line="280" w:lineRule="exact"/>
              <w:jc w:val="center"/>
              <w:rPr>
                <w:rFonts w:hint="eastAsia" w:cs="Times New Roman"/>
                <w:color w:val="auto"/>
                <w:szCs w:val="21"/>
                <w:highlight w:val="none"/>
                <w:lang w:val="en-US" w:eastAsia="zh-CN"/>
              </w:rPr>
            </w:pPr>
            <w:r>
              <w:rPr>
                <w:rFonts w:hint="eastAsia" w:cs="Times New Roman"/>
                <w:color w:val="auto"/>
                <w:szCs w:val="21"/>
                <w:highlight w:val="none"/>
                <w:lang w:val="en-US" w:eastAsia="zh-CN"/>
              </w:rPr>
              <w:t>30.6</w:t>
            </w:r>
          </w:p>
        </w:tc>
        <w:tc>
          <w:tcPr>
            <w:tcW w:w="1096" w:type="dxa"/>
            <w:shd w:val="clear" w:color="auto" w:fill="auto"/>
            <w:noWrap w:val="0"/>
            <w:vAlign w:val="center"/>
          </w:tcPr>
          <w:p w14:paraId="35A4B478">
            <w:pPr>
              <w:spacing w:line="280" w:lineRule="exact"/>
              <w:jc w:val="center"/>
              <w:rPr>
                <w:rFonts w:hint="eastAsia"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1</w:t>
            </w:r>
          </w:p>
        </w:tc>
      </w:tr>
      <w:tr w14:paraId="64A0D32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27" w:type="dxa"/>
            <w:shd w:val="clear" w:color="auto" w:fill="auto"/>
            <w:noWrap w:val="0"/>
            <w:vAlign w:val="center"/>
          </w:tcPr>
          <w:p w14:paraId="642B0E07">
            <w:pPr>
              <w:spacing w:line="280" w:lineRule="exact"/>
              <w:jc w:val="center"/>
              <w:rPr>
                <w:rFonts w:hint="default" w:ascii="Times New Roman" w:hAnsi="Times New Roman"/>
                <w:color w:val="auto"/>
                <w:szCs w:val="21"/>
                <w:highlight w:val="none"/>
                <w:lang w:val="en-US" w:eastAsia="zh-CN"/>
              </w:rPr>
            </w:pPr>
            <w:r>
              <w:rPr>
                <w:rFonts w:hint="eastAsia"/>
                <w:color w:val="auto"/>
                <w:szCs w:val="21"/>
                <w:highlight w:val="none"/>
                <w:lang w:val="en-US" w:eastAsia="zh-CN"/>
              </w:rPr>
              <w:t>17</w:t>
            </w:r>
          </w:p>
        </w:tc>
        <w:tc>
          <w:tcPr>
            <w:tcW w:w="1428" w:type="dxa"/>
            <w:shd w:val="clear" w:color="auto" w:fill="auto"/>
            <w:noWrap w:val="0"/>
            <w:vAlign w:val="center"/>
          </w:tcPr>
          <w:p w14:paraId="6C9226A6">
            <w:pPr>
              <w:spacing w:line="280" w:lineRule="exact"/>
              <w:jc w:val="center"/>
              <w:rPr>
                <w:rFonts w:hint="eastAsia" w:cs="Times New Roman"/>
                <w:b w:val="0"/>
                <w:bCs w:val="0"/>
                <w:color w:val="auto"/>
                <w:kern w:val="0"/>
                <w:sz w:val="21"/>
                <w:szCs w:val="21"/>
                <w:highlight w:val="none"/>
                <w:vertAlign w:val="baseline"/>
                <w:lang w:val="en-US" w:eastAsia="zh-CN"/>
              </w:rPr>
            </w:pPr>
            <w:r>
              <w:rPr>
                <w:rFonts w:hint="eastAsia" w:ascii="宋体"/>
                <w:color w:val="auto"/>
                <w:szCs w:val="21"/>
                <w:highlight w:val="none"/>
                <w:lang w:val="en-US" w:eastAsia="zh-CN"/>
              </w:rPr>
              <w:t>切叠</w:t>
            </w:r>
            <w:r>
              <w:rPr>
                <w:rFonts w:hint="default" w:ascii="Times New Roman" w:hAnsi="Times New Roman" w:cs="Times New Roman"/>
                <w:color w:val="auto"/>
                <w:szCs w:val="21"/>
                <w:highlight w:val="none"/>
                <w:lang w:val="en-US" w:eastAsia="zh-CN"/>
              </w:rPr>
              <w:t>一体机</w:t>
            </w:r>
            <w:r>
              <w:rPr>
                <w:rFonts w:hint="eastAsia" w:ascii="Times New Roman" w:hAnsi="Times New Roman" w:cs="Times New Roman"/>
                <w:color w:val="auto"/>
                <w:szCs w:val="21"/>
                <w:highlight w:val="none"/>
                <w:lang w:val="en-US" w:eastAsia="zh-CN"/>
              </w:rPr>
              <w:t>2</w:t>
            </w:r>
            <w:r>
              <w:rPr>
                <w:rFonts w:hint="default" w:ascii="Times New Roman" w:hAnsi="Times New Roman" w:cs="Times New Roman"/>
                <w:color w:val="auto"/>
                <w:szCs w:val="21"/>
                <w:highlight w:val="none"/>
                <w:lang w:val="en-US" w:eastAsia="zh-CN"/>
              </w:rPr>
              <w:t>#</w:t>
            </w:r>
          </w:p>
        </w:tc>
        <w:tc>
          <w:tcPr>
            <w:tcW w:w="537" w:type="dxa"/>
            <w:shd w:val="clear" w:color="auto" w:fill="auto"/>
            <w:noWrap w:val="0"/>
            <w:vAlign w:val="center"/>
          </w:tcPr>
          <w:p w14:paraId="579CD243">
            <w:pPr>
              <w:spacing w:line="280" w:lineRule="exact"/>
              <w:jc w:val="center"/>
              <w:rPr>
                <w:rFonts w:hint="default" w:ascii="Times New Roman" w:hAnsi="Times New Roman"/>
                <w:color w:val="auto"/>
                <w:szCs w:val="21"/>
                <w:highlight w:val="none"/>
                <w:lang w:val="en-US" w:eastAsia="zh-CN"/>
              </w:rPr>
            </w:pPr>
            <w:r>
              <w:rPr>
                <w:rFonts w:hint="eastAsia"/>
                <w:color w:val="auto"/>
                <w:szCs w:val="21"/>
                <w:highlight w:val="none"/>
                <w:lang w:val="en-US" w:eastAsia="zh-CN"/>
              </w:rPr>
              <w:t>80</w:t>
            </w:r>
          </w:p>
        </w:tc>
        <w:tc>
          <w:tcPr>
            <w:tcW w:w="537" w:type="dxa"/>
            <w:shd w:val="clear" w:color="auto" w:fill="auto"/>
            <w:noWrap w:val="0"/>
            <w:vAlign w:val="center"/>
          </w:tcPr>
          <w:p w14:paraId="5BA81990">
            <w:pPr>
              <w:spacing w:line="280" w:lineRule="exact"/>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19.76</w:t>
            </w:r>
          </w:p>
        </w:tc>
        <w:tc>
          <w:tcPr>
            <w:tcW w:w="537" w:type="dxa"/>
            <w:shd w:val="clear" w:color="auto" w:fill="auto"/>
            <w:noWrap w:val="0"/>
            <w:vAlign w:val="center"/>
          </w:tcPr>
          <w:p w14:paraId="47285351">
            <w:pPr>
              <w:spacing w:line="280" w:lineRule="exact"/>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146.51</w:t>
            </w:r>
          </w:p>
        </w:tc>
        <w:tc>
          <w:tcPr>
            <w:tcW w:w="558" w:type="dxa"/>
            <w:shd w:val="clear" w:color="auto" w:fill="auto"/>
            <w:noWrap w:val="0"/>
            <w:vAlign w:val="center"/>
          </w:tcPr>
          <w:p w14:paraId="0F3B2F12">
            <w:pPr>
              <w:spacing w:line="280" w:lineRule="exact"/>
              <w:jc w:val="center"/>
              <w:rPr>
                <w:rFonts w:hint="eastAsia"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1.2</w:t>
            </w:r>
          </w:p>
        </w:tc>
        <w:tc>
          <w:tcPr>
            <w:tcW w:w="537" w:type="dxa"/>
            <w:shd w:val="clear" w:color="auto" w:fill="auto"/>
            <w:noWrap w:val="0"/>
            <w:vAlign w:val="center"/>
          </w:tcPr>
          <w:p w14:paraId="7132E56C">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24.3</w:t>
            </w:r>
          </w:p>
        </w:tc>
        <w:tc>
          <w:tcPr>
            <w:tcW w:w="537" w:type="dxa"/>
            <w:shd w:val="clear" w:color="auto" w:fill="auto"/>
            <w:noWrap w:val="0"/>
            <w:vAlign w:val="center"/>
          </w:tcPr>
          <w:p w14:paraId="74FEFF20">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135.5</w:t>
            </w:r>
          </w:p>
        </w:tc>
        <w:tc>
          <w:tcPr>
            <w:tcW w:w="542" w:type="dxa"/>
            <w:shd w:val="clear" w:color="auto" w:fill="auto"/>
            <w:noWrap w:val="0"/>
            <w:vAlign w:val="center"/>
          </w:tcPr>
          <w:p w14:paraId="3208F25A">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124.4</w:t>
            </w:r>
          </w:p>
        </w:tc>
        <w:tc>
          <w:tcPr>
            <w:tcW w:w="558" w:type="dxa"/>
            <w:shd w:val="clear" w:color="auto" w:fill="auto"/>
            <w:noWrap w:val="0"/>
            <w:vAlign w:val="center"/>
          </w:tcPr>
          <w:p w14:paraId="423DDBFD">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42.1</w:t>
            </w:r>
          </w:p>
        </w:tc>
        <w:tc>
          <w:tcPr>
            <w:tcW w:w="542" w:type="dxa"/>
            <w:shd w:val="clear" w:color="auto" w:fill="auto"/>
            <w:noWrap w:val="0"/>
            <w:vAlign w:val="center"/>
          </w:tcPr>
          <w:p w14:paraId="38E738CB">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 xml:space="preserve">55.0 </w:t>
            </w:r>
          </w:p>
        </w:tc>
        <w:tc>
          <w:tcPr>
            <w:tcW w:w="542" w:type="dxa"/>
            <w:shd w:val="clear" w:color="auto" w:fill="auto"/>
            <w:noWrap w:val="0"/>
            <w:vAlign w:val="center"/>
          </w:tcPr>
          <w:p w14:paraId="5E5C8C06">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 xml:space="preserve">54.8 </w:t>
            </w:r>
          </w:p>
        </w:tc>
        <w:tc>
          <w:tcPr>
            <w:tcW w:w="542" w:type="dxa"/>
            <w:shd w:val="clear" w:color="auto" w:fill="auto"/>
            <w:noWrap w:val="0"/>
            <w:vAlign w:val="center"/>
          </w:tcPr>
          <w:p w14:paraId="2A389C11">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 xml:space="preserve">54.8 </w:t>
            </w:r>
          </w:p>
        </w:tc>
        <w:tc>
          <w:tcPr>
            <w:tcW w:w="555" w:type="dxa"/>
            <w:shd w:val="clear" w:color="auto" w:fill="auto"/>
            <w:noWrap w:val="0"/>
            <w:vAlign w:val="center"/>
          </w:tcPr>
          <w:p w14:paraId="4ECD1CBE">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 xml:space="preserve">54.8 </w:t>
            </w:r>
          </w:p>
        </w:tc>
        <w:tc>
          <w:tcPr>
            <w:tcW w:w="542" w:type="dxa"/>
            <w:vMerge w:val="continue"/>
            <w:shd w:val="clear" w:color="auto" w:fill="auto"/>
            <w:noWrap w:val="0"/>
            <w:vAlign w:val="center"/>
          </w:tcPr>
          <w:p w14:paraId="17211552">
            <w:pPr>
              <w:spacing w:line="280" w:lineRule="exact"/>
              <w:jc w:val="center"/>
              <w:rPr>
                <w:rFonts w:hint="default" w:ascii="Times New Roman" w:hAnsi="Times New Roman" w:eastAsia="宋体"/>
                <w:color w:val="auto"/>
                <w:szCs w:val="21"/>
                <w:highlight w:val="none"/>
                <w:lang w:val="en-US" w:eastAsia="zh-CN"/>
              </w:rPr>
            </w:pPr>
          </w:p>
        </w:tc>
        <w:tc>
          <w:tcPr>
            <w:tcW w:w="897" w:type="dxa"/>
            <w:shd w:val="clear" w:color="auto" w:fill="auto"/>
            <w:noWrap w:val="0"/>
            <w:vAlign w:val="center"/>
          </w:tcPr>
          <w:p w14:paraId="53A55789">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24.3</w:t>
            </w:r>
          </w:p>
        </w:tc>
        <w:tc>
          <w:tcPr>
            <w:tcW w:w="746" w:type="dxa"/>
            <w:shd w:val="clear" w:color="auto" w:fill="auto"/>
            <w:noWrap w:val="0"/>
            <w:vAlign w:val="center"/>
          </w:tcPr>
          <w:p w14:paraId="1538AF0B">
            <w:pPr>
              <w:spacing w:line="280" w:lineRule="exact"/>
              <w:jc w:val="center"/>
              <w:rPr>
                <w:rFonts w:hint="eastAsia" w:cs="Times New Roman"/>
                <w:color w:val="auto"/>
                <w:szCs w:val="21"/>
                <w:highlight w:val="none"/>
                <w:lang w:val="en-US" w:eastAsia="zh-CN"/>
              </w:rPr>
            </w:pPr>
            <w:r>
              <w:rPr>
                <w:rFonts w:hint="eastAsia" w:cs="Times New Roman"/>
                <w:color w:val="auto"/>
                <w:szCs w:val="21"/>
                <w:highlight w:val="none"/>
                <w:lang w:val="en-US" w:eastAsia="zh-CN"/>
              </w:rPr>
              <w:t>30.7</w:t>
            </w:r>
          </w:p>
        </w:tc>
        <w:tc>
          <w:tcPr>
            <w:tcW w:w="689" w:type="dxa"/>
            <w:shd w:val="clear" w:color="auto" w:fill="auto"/>
            <w:noWrap w:val="0"/>
            <w:vAlign w:val="center"/>
          </w:tcPr>
          <w:p w14:paraId="3C1913E2">
            <w:pPr>
              <w:spacing w:line="280" w:lineRule="exact"/>
              <w:jc w:val="center"/>
              <w:rPr>
                <w:rFonts w:hint="eastAsia" w:cs="Times New Roman"/>
                <w:color w:val="auto"/>
                <w:szCs w:val="21"/>
                <w:highlight w:val="none"/>
                <w:lang w:val="en-US" w:eastAsia="zh-CN"/>
              </w:rPr>
            </w:pPr>
            <w:r>
              <w:rPr>
                <w:rFonts w:hint="eastAsia" w:cs="Times New Roman"/>
                <w:color w:val="auto"/>
                <w:szCs w:val="21"/>
                <w:highlight w:val="none"/>
                <w:lang w:val="en-US" w:eastAsia="zh-CN"/>
              </w:rPr>
              <w:t>30.5</w:t>
            </w:r>
          </w:p>
        </w:tc>
        <w:tc>
          <w:tcPr>
            <w:tcW w:w="838" w:type="dxa"/>
            <w:shd w:val="clear" w:color="auto" w:fill="auto"/>
            <w:noWrap w:val="0"/>
            <w:vAlign w:val="center"/>
          </w:tcPr>
          <w:p w14:paraId="1451704D">
            <w:pPr>
              <w:spacing w:line="280" w:lineRule="exact"/>
              <w:jc w:val="center"/>
              <w:rPr>
                <w:rFonts w:hint="eastAsia" w:cs="Times New Roman"/>
                <w:color w:val="auto"/>
                <w:szCs w:val="21"/>
                <w:highlight w:val="none"/>
                <w:lang w:val="en-US" w:eastAsia="zh-CN"/>
              </w:rPr>
            </w:pPr>
            <w:r>
              <w:rPr>
                <w:rFonts w:hint="eastAsia" w:cs="Times New Roman"/>
                <w:color w:val="auto"/>
                <w:szCs w:val="21"/>
                <w:highlight w:val="none"/>
                <w:lang w:val="en-US" w:eastAsia="zh-CN"/>
              </w:rPr>
              <w:t>30.5</w:t>
            </w:r>
          </w:p>
        </w:tc>
        <w:tc>
          <w:tcPr>
            <w:tcW w:w="750" w:type="dxa"/>
            <w:shd w:val="clear" w:color="auto" w:fill="auto"/>
            <w:noWrap w:val="0"/>
            <w:vAlign w:val="center"/>
          </w:tcPr>
          <w:p w14:paraId="0D01139E">
            <w:pPr>
              <w:spacing w:line="280" w:lineRule="exact"/>
              <w:jc w:val="center"/>
              <w:rPr>
                <w:rFonts w:hint="eastAsia" w:cs="Times New Roman"/>
                <w:color w:val="auto"/>
                <w:szCs w:val="21"/>
                <w:highlight w:val="none"/>
                <w:lang w:val="en-US" w:eastAsia="zh-CN"/>
              </w:rPr>
            </w:pPr>
            <w:r>
              <w:rPr>
                <w:rFonts w:hint="eastAsia" w:cs="Times New Roman"/>
                <w:color w:val="auto"/>
                <w:szCs w:val="21"/>
                <w:highlight w:val="none"/>
                <w:lang w:val="en-US" w:eastAsia="zh-CN"/>
              </w:rPr>
              <w:t>30.5</w:t>
            </w:r>
          </w:p>
        </w:tc>
        <w:tc>
          <w:tcPr>
            <w:tcW w:w="1096" w:type="dxa"/>
            <w:shd w:val="clear" w:color="auto" w:fill="auto"/>
            <w:noWrap w:val="0"/>
            <w:vAlign w:val="center"/>
          </w:tcPr>
          <w:p w14:paraId="29554040">
            <w:pPr>
              <w:spacing w:line="280" w:lineRule="exact"/>
              <w:jc w:val="center"/>
              <w:rPr>
                <w:rFonts w:hint="eastAsia"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1</w:t>
            </w:r>
          </w:p>
        </w:tc>
      </w:tr>
      <w:tr w14:paraId="178A743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27" w:type="dxa"/>
            <w:shd w:val="clear" w:color="auto" w:fill="auto"/>
            <w:noWrap w:val="0"/>
            <w:vAlign w:val="center"/>
          </w:tcPr>
          <w:p w14:paraId="57DC60B1">
            <w:pPr>
              <w:spacing w:line="280" w:lineRule="exact"/>
              <w:jc w:val="center"/>
              <w:rPr>
                <w:rFonts w:hint="default" w:ascii="Times New Roman" w:hAnsi="Times New Roman"/>
                <w:color w:val="auto"/>
                <w:szCs w:val="21"/>
                <w:highlight w:val="none"/>
                <w:lang w:val="en-US" w:eastAsia="zh-CN"/>
              </w:rPr>
            </w:pPr>
            <w:r>
              <w:rPr>
                <w:rFonts w:hint="eastAsia"/>
                <w:color w:val="auto"/>
                <w:szCs w:val="21"/>
                <w:highlight w:val="none"/>
                <w:lang w:val="en-US" w:eastAsia="zh-CN"/>
              </w:rPr>
              <w:t>18</w:t>
            </w:r>
          </w:p>
        </w:tc>
        <w:tc>
          <w:tcPr>
            <w:tcW w:w="1428" w:type="dxa"/>
            <w:shd w:val="clear" w:color="auto" w:fill="auto"/>
            <w:noWrap w:val="0"/>
            <w:vAlign w:val="center"/>
          </w:tcPr>
          <w:p w14:paraId="4A0EDCB8">
            <w:pPr>
              <w:spacing w:line="280" w:lineRule="exact"/>
              <w:jc w:val="center"/>
              <w:rPr>
                <w:rFonts w:hint="eastAsia" w:cs="Times New Roman"/>
                <w:b w:val="0"/>
                <w:bCs w:val="0"/>
                <w:color w:val="auto"/>
                <w:kern w:val="0"/>
                <w:sz w:val="21"/>
                <w:szCs w:val="21"/>
                <w:highlight w:val="none"/>
                <w:vertAlign w:val="baseline"/>
                <w:lang w:val="en-US" w:eastAsia="zh-CN"/>
              </w:rPr>
            </w:pPr>
            <w:r>
              <w:rPr>
                <w:rFonts w:hint="eastAsia" w:ascii="宋体"/>
                <w:color w:val="auto"/>
                <w:szCs w:val="21"/>
                <w:highlight w:val="none"/>
                <w:lang w:val="en-US" w:eastAsia="zh-CN"/>
              </w:rPr>
              <w:t>切叠</w:t>
            </w:r>
            <w:r>
              <w:rPr>
                <w:rFonts w:hint="default" w:ascii="Times New Roman" w:hAnsi="Times New Roman" w:cs="Times New Roman"/>
                <w:color w:val="auto"/>
                <w:szCs w:val="21"/>
                <w:highlight w:val="none"/>
                <w:lang w:val="en-US" w:eastAsia="zh-CN"/>
              </w:rPr>
              <w:t>一体机</w:t>
            </w:r>
            <w:r>
              <w:rPr>
                <w:rFonts w:hint="eastAsia" w:ascii="Times New Roman" w:hAnsi="Times New Roman" w:cs="Times New Roman"/>
                <w:color w:val="auto"/>
                <w:szCs w:val="21"/>
                <w:highlight w:val="none"/>
                <w:lang w:val="en-US" w:eastAsia="zh-CN"/>
              </w:rPr>
              <w:t>3</w:t>
            </w:r>
            <w:r>
              <w:rPr>
                <w:rFonts w:hint="default" w:ascii="Times New Roman" w:hAnsi="Times New Roman" w:cs="Times New Roman"/>
                <w:color w:val="auto"/>
                <w:szCs w:val="21"/>
                <w:highlight w:val="none"/>
                <w:lang w:val="en-US" w:eastAsia="zh-CN"/>
              </w:rPr>
              <w:t>#</w:t>
            </w:r>
          </w:p>
        </w:tc>
        <w:tc>
          <w:tcPr>
            <w:tcW w:w="537" w:type="dxa"/>
            <w:shd w:val="clear" w:color="auto" w:fill="auto"/>
            <w:noWrap w:val="0"/>
            <w:vAlign w:val="center"/>
          </w:tcPr>
          <w:p w14:paraId="7684C9CC">
            <w:pPr>
              <w:spacing w:line="280" w:lineRule="exact"/>
              <w:jc w:val="center"/>
              <w:rPr>
                <w:rFonts w:hint="default" w:ascii="Times New Roman" w:hAnsi="Times New Roman"/>
                <w:color w:val="auto"/>
                <w:szCs w:val="21"/>
                <w:highlight w:val="none"/>
                <w:lang w:val="en-US" w:eastAsia="zh-CN"/>
              </w:rPr>
            </w:pPr>
            <w:r>
              <w:rPr>
                <w:rFonts w:hint="eastAsia"/>
                <w:color w:val="auto"/>
                <w:szCs w:val="21"/>
                <w:highlight w:val="none"/>
                <w:lang w:val="en-US" w:eastAsia="zh-CN"/>
              </w:rPr>
              <w:t>80</w:t>
            </w:r>
          </w:p>
        </w:tc>
        <w:tc>
          <w:tcPr>
            <w:tcW w:w="537" w:type="dxa"/>
            <w:shd w:val="clear" w:color="auto" w:fill="auto"/>
            <w:noWrap w:val="0"/>
            <w:vAlign w:val="center"/>
          </w:tcPr>
          <w:p w14:paraId="652662C9">
            <w:pPr>
              <w:spacing w:line="280" w:lineRule="exact"/>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21.52</w:t>
            </w:r>
          </w:p>
        </w:tc>
        <w:tc>
          <w:tcPr>
            <w:tcW w:w="537" w:type="dxa"/>
            <w:shd w:val="clear" w:color="auto" w:fill="auto"/>
            <w:noWrap w:val="0"/>
            <w:vAlign w:val="center"/>
          </w:tcPr>
          <w:p w14:paraId="36F6FE80">
            <w:pPr>
              <w:spacing w:line="280" w:lineRule="exact"/>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141.82</w:t>
            </w:r>
          </w:p>
        </w:tc>
        <w:tc>
          <w:tcPr>
            <w:tcW w:w="558" w:type="dxa"/>
            <w:shd w:val="clear" w:color="auto" w:fill="auto"/>
            <w:noWrap w:val="0"/>
            <w:vAlign w:val="center"/>
          </w:tcPr>
          <w:p w14:paraId="63E4E9D1">
            <w:pPr>
              <w:spacing w:line="280" w:lineRule="exact"/>
              <w:jc w:val="center"/>
              <w:rPr>
                <w:rFonts w:hint="eastAsia"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1.2</w:t>
            </w:r>
          </w:p>
        </w:tc>
        <w:tc>
          <w:tcPr>
            <w:tcW w:w="537" w:type="dxa"/>
            <w:shd w:val="clear" w:color="auto" w:fill="auto"/>
            <w:noWrap w:val="0"/>
            <w:vAlign w:val="center"/>
          </w:tcPr>
          <w:p w14:paraId="49D5E698">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25.2</w:t>
            </w:r>
          </w:p>
        </w:tc>
        <w:tc>
          <w:tcPr>
            <w:tcW w:w="537" w:type="dxa"/>
            <w:shd w:val="clear" w:color="auto" w:fill="auto"/>
            <w:noWrap w:val="0"/>
            <w:vAlign w:val="center"/>
          </w:tcPr>
          <w:p w14:paraId="7C8DD020">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131.4</w:t>
            </w:r>
          </w:p>
        </w:tc>
        <w:tc>
          <w:tcPr>
            <w:tcW w:w="542" w:type="dxa"/>
            <w:shd w:val="clear" w:color="auto" w:fill="auto"/>
            <w:noWrap w:val="0"/>
            <w:vAlign w:val="center"/>
          </w:tcPr>
          <w:p w14:paraId="53B344CA">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125.2</w:t>
            </w:r>
          </w:p>
        </w:tc>
        <w:tc>
          <w:tcPr>
            <w:tcW w:w="558" w:type="dxa"/>
            <w:shd w:val="clear" w:color="auto" w:fill="auto"/>
            <w:noWrap w:val="0"/>
            <w:vAlign w:val="center"/>
          </w:tcPr>
          <w:p w14:paraId="40677528">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47.1</w:t>
            </w:r>
          </w:p>
        </w:tc>
        <w:tc>
          <w:tcPr>
            <w:tcW w:w="542" w:type="dxa"/>
            <w:shd w:val="clear" w:color="auto" w:fill="auto"/>
            <w:noWrap w:val="0"/>
            <w:vAlign w:val="center"/>
          </w:tcPr>
          <w:p w14:paraId="335C0B4C">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 xml:space="preserve">54.9 </w:t>
            </w:r>
          </w:p>
        </w:tc>
        <w:tc>
          <w:tcPr>
            <w:tcW w:w="542" w:type="dxa"/>
            <w:shd w:val="clear" w:color="auto" w:fill="auto"/>
            <w:noWrap w:val="0"/>
            <w:vAlign w:val="center"/>
          </w:tcPr>
          <w:p w14:paraId="1DA422ED">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 xml:space="preserve">54.8 </w:t>
            </w:r>
          </w:p>
        </w:tc>
        <w:tc>
          <w:tcPr>
            <w:tcW w:w="542" w:type="dxa"/>
            <w:shd w:val="clear" w:color="auto" w:fill="auto"/>
            <w:noWrap w:val="0"/>
            <w:vAlign w:val="center"/>
          </w:tcPr>
          <w:p w14:paraId="67267B07">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 xml:space="preserve">54.8 </w:t>
            </w:r>
          </w:p>
        </w:tc>
        <w:tc>
          <w:tcPr>
            <w:tcW w:w="555" w:type="dxa"/>
            <w:shd w:val="clear" w:color="auto" w:fill="auto"/>
            <w:noWrap w:val="0"/>
            <w:vAlign w:val="center"/>
          </w:tcPr>
          <w:p w14:paraId="7290EACC">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 xml:space="preserve">54.8 </w:t>
            </w:r>
          </w:p>
        </w:tc>
        <w:tc>
          <w:tcPr>
            <w:tcW w:w="542" w:type="dxa"/>
            <w:vMerge w:val="continue"/>
            <w:shd w:val="clear" w:color="auto" w:fill="auto"/>
            <w:noWrap w:val="0"/>
            <w:vAlign w:val="center"/>
          </w:tcPr>
          <w:p w14:paraId="42FEA624">
            <w:pPr>
              <w:spacing w:line="280" w:lineRule="exact"/>
              <w:jc w:val="center"/>
              <w:rPr>
                <w:rFonts w:hint="default" w:ascii="Times New Roman" w:hAnsi="Times New Roman" w:eastAsia="宋体"/>
                <w:color w:val="auto"/>
                <w:szCs w:val="21"/>
                <w:highlight w:val="none"/>
                <w:lang w:val="en-US" w:eastAsia="zh-CN"/>
              </w:rPr>
            </w:pPr>
          </w:p>
        </w:tc>
        <w:tc>
          <w:tcPr>
            <w:tcW w:w="897" w:type="dxa"/>
            <w:shd w:val="clear" w:color="auto" w:fill="auto"/>
            <w:noWrap w:val="0"/>
            <w:vAlign w:val="center"/>
          </w:tcPr>
          <w:p w14:paraId="37D0CD54">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24.3</w:t>
            </w:r>
          </w:p>
        </w:tc>
        <w:tc>
          <w:tcPr>
            <w:tcW w:w="746" w:type="dxa"/>
            <w:shd w:val="clear" w:color="auto" w:fill="auto"/>
            <w:noWrap w:val="0"/>
            <w:vAlign w:val="center"/>
          </w:tcPr>
          <w:p w14:paraId="7505DE42">
            <w:pPr>
              <w:spacing w:line="280" w:lineRule="exact"/>
              <w:jc w:val="center"/>
              <w:rPr>
                <w:rFonts w:hint="eastAsia" w:cs="Times New Roman"/>
                <w:color w:val="auto"/>
                <w:szCs w:val="21"/>
                <w:highlight w:val="none"/>
                <w:lang w:val="en-US" w:eastAsia="zh-CN"/>
              </w:rPr>
            </w:pPr>
            <w:r>
              <w:rPr>
                <w:rFonts w:hint="eastAsia" w:cs="Times New Roman"/>
                <w:color w:val="auto"/>
                <w:szCs w:val="21"/>
                <w:highlight w:val="none"/>
                <w:lang w:val="en-US" w:eastAsia="zh-CN"/>
              </w:rPr>
              <w:t>30.6</w:t>
            </w:r>
          </w:p>
        </w:tc>
        <w:tc>
          <w:tcPr>
            <w:tcW w:w="689" w:type="dxa"/>
            <w:shd w:val="clear" w:color="auto" w:fill="auto"/>
            <w:noWrap w:val="0"/>
            <w:vAlign w:val="center"/>
          </w:tcPr>
          <w:p w14:paraId="58F1115B">
            <w:pPr>
              <w:spacing w:line="280" w:lineRule="exact"/>
              <w:jc w:val="center"/>
              <w:rPr>
                <w:rFonts w:hint="eastAsia" w:cs="Times New Roman"/>
                <w:color w:val="auto"/>
                <w:szCs w:val="21"/>
                <w:highlight w:val="none"/>
                <w:lang w:val="en-US" w:eastAsia="zh-CN"/>
              </w:rPr>
            </w:pPr>
            <w:r>
              <w:rPr>
                <w:rFonts w:hint="eastAsia" w:cs="Times New Roman"/>
                <w:color w:val="auto"/>
                <w:szCs w:val="21"/>
                <w:highlight w:val="none"/>
                <w:lang w:val="en-US" w:eastAsia="zh-CN"/>
              </w:rPr>
              <w:t>30.5</w:t>
            </w:r>
          </w:p>
        </w:tc>
        <w:tc>
          <w:tcPr>
            <w:tcW w:w="838" w:type="dxa"/>
            <w:shd w:val="clear" w:color="auto" w:fill="auto"/>
            <w:noWrap w:val="0"/>
            <w:vAlign w:val="center"/>
          </w:tcPr>
          <w:p w14:paraId="29BCA4B6">
            <w:pPr>
              <w:spacing w:line="280" w:lineRule="exact"/>
              <w:jc w:val="center"/>
              <w:rPr>
                <w:rFonts w:hint="eastAsia" w:cs="Times New Roman"/>
                <w:color w:val="auto"/>
                <w:szCs w:val="21"/>
                <w:highlight w:val="none"/>
                <w:lang w:val="en-US" w:eastAsia="zh-CN"/>
              </w:rPr>
            </w:pPr>
            <w:r>
              <w:rPr>
                <w:rFonts w:hint="eastAsia" w:cs="Times New Roman"/>
                <w:color w:val="auto"/>
                <w:szCs w:val="21"/>
                <w:highlight w:val="none"/>
                <w:lang w:val="en-US" w:eastAsia="zh-CN"/>
              </w:rPr>
              <w:t>30.5</w:t>
            </w:r>
          </w:p>
        </w:tc>
        <w:tc>
          <w:tcPr>
            <w:tcW w:w="750" w:type="dxa"/>
            <w:shd w:val="clear" w:color="auto" w:fill="auto"/>
            <w:noWrap w:val="0"/>
            <w:vAlign w:val="center"/>
          </w:tcPr>
          <w:p w14:paraId="509CA174">
            <w:pPr>
              <w:spacing w:line="280" w:lineRule="exact"/>
              <w:jc w:val="center"/>
              <w:rPr>
                <w:rFonts w:hint="eastAsia" w:cs="Times New Roman"/>
                <w:color w:val="auto"/>
                <w:szCs w:val="21"/>
                <w:highlight w:val="none"/>
                <w:lang w:val="en-US" w:eastAsia="zh-CN"/>
              </w:rPr>
            </w:pPr>
            <w:r>
              <w:rPr>
                <w:rFonts w:hint="eastAsia" w:cs="Times New Roman"/>
                <w:color w:val="auto"/>
                <w:szCs w:val="21"/>
                <w:highlight w:val="none"/>
                <w:lang w:val="en-US" w:eastAsia="zh-CN"/>
              </w:rPr>
              <w:t>30.5</w:t>
            </w:r>
          </w:p>
        </w:tc>
        <w:tc>
          <w:tcPr>
            <w:tcW w:w="1096" w:type="dxa"/>
            <w:shd w:val="clear" w:color="auto" w:fill="auto"/>
            <w:noWrap w:val="0"/>
            <w:vAlign w:val="center"/>
          </w:tcPr>
          <w:p w14:paraId="05753514">
            <w:pPr>
              <w:spacing w:line="280" w:lineRule="exact"/>
              <w:jc w:val="center"/>
              <w:rPr>
                <w:rFonts w:hint="eastAsia"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1</w:t>
            </w:r>
          </w:p>
        </w:tc>
      </w:tr>
      <w:tr w14:paraId="75D99B0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27" w:type="dxa"/>
            <w:shd w:val="clear" w:color="auto" w:fill="auto"/>
            <w:noWrap w:val="0"/>
            <w:vAlign w:val="center"/>
          </w:tcPr>
          <w:p w14:paraId="759F5EEF">
            <w:pPr>
              <w:spacing w:line="280" w:lineRule="exact"/>
              <w:jc w:val="center"/>
              <w:rPr>
                <w:rFonts w:hint="default" w:ascii="Times New Roman" w:hAnsi="Times New Roman"/>
                <w:color w:val="auto"/>
                <w:szCs w:val="21"/>
                <w:highlight w:val="none"/>
                <w:lang w:val="en-US" w:eastAsia="zh-CN"/>
              </w:rPr>
            </w:pPr>
            <w:r>
              <w:rPr>
                <w:rFonts w:hint="eastAsia"/>
                <w:color w:val="auto"/>
                <w:szCs w:val="21"/>
                <w:highlight w:val="none"/>
                <w:lang w:val="en-US" w:eastAsia="zh-CN"/>
              </w:rPr>
              <w:t>19</w:t>
            </w:r>
          </w:p>
        </w:tc>
        <w:tc>
          <w:tcPr>
            <w:tcW w:w="1428" w:type="dxa"/>
            <w:shd w:val="clear" w:color="auto" w:fill="auto"/>
            <w:noWrap w:val="0"/>
            <w:vAlign w:val="center"/>
          </w:tcPr>
          <w:p w14:paraId="7C468C5C">
            <w:pPr>
              <w:spacing w:line="280" w:lineRule="exact"/>
              <w:jc w:val="center"/>
              <w:rPr>
                <w:rFonts w:hint="eastAsia" w:cs="Times New Roman"/>
                <w:b w:val="0"/>
                <w:bCs w:val="0"/>
                <w:color w:val="auto"/>
                <w:kern w:val="0"/>
                <w:sz w:val="21"/>
                <w:szCs w:val="21"/>
                <w:highlight w:val="none"/>
                <w:vertAlign w:val="baseline"/>
                <w:lang w:val="en-US" w:eastAsia="zh-CN"/>
              </w:rPr>
            </w:pPr>
            <w:r>
              <w:rPr>
                <w:rFonts w:hint="eastAsia" w:ascii="宋体"/>
                <w:color w:val="auto"/>
                <w:szCs w:val="21"/>
                <w:highlight w:val="none"/>
                <w:lang w:val="en-US" w:eastAsia="zh-CN"/>
              </w:rPr>
              <w:t>切叠</w:t>
            </w:r>
            <w:r>
              <w:rPr>
                <w:rFonts w:hint="default" w:ascii="Times New Roman" w:hAnsi="Times New Roman" w:cs="Times New Roman"/>
                <w:color w:val="auto"/>
                <w:szCs w:val="21"/>
                <w:highlight w:val="none"/>
                <w:lang w:val="en-US" w:eastAsia="zh-CN"/>
              </w:rPr>
              <w:t>一体机</w:t>
            </w:r>
            <w:r>
              <w:rPr>
                <w:rFonts w:hint="eastAsia" w:ascii="Times New Roman" w:hAnsi="Times New Roman" w:cs="Times New Roman"/>
                <w:color w:val="auto"/>
                <w:szCs w:val="21"/>
                <w:highlight w:val="none"/>
                <w:lang w:val="en-US" w:eastAsia="zh-CN"/>
              </w:rPr>
              <w:t>4</w:t>
            </w:r>
            <w:r>
              <w:rPr>
                <w:rFonts w:hint="default" w:ascii="Times New Roman" w:hAnsi="Times New Roman" w:cs="Times New Roman"/>
                <w:color w:val="auto"/>
                <w:szCs w:val="21"/>
                <w:highlight w:val="none"/>
                <w:lang w:val="en-US" w:eastAsia="zh-CN"/>
              </w:rPr>
              <w:t>#</w:t>
            </w:r>
          </w:p>
        </w:tc>
        <w:tc>
          <w:tcPr>
            <w:tcW w:w="537" w:type="dxa"/>
            <w:shd w:val="clear" w:color="auto" w:fill="auto"/>
            <w:noWrap w:val="0"/>
            <w:vAlign w:val="center"/>
          </w:tcPr>
          <w:p w14:paraId="330B9930">
            <w:pPr>
              <w:spacing w:line="280" w:lineRule="exact"/>
              <w:jc w:val="center"/>
              <w:rPr>
                <w:rFonts w:hint="default" w:ascii="Times New Roman" w:hAnsi="Times New Roman"/>
                <w:color w:val="auto"/>
                <w:szCs w:val="21"/>
                <w:highlight w:val="none"/>
                <w:lang w:val="en-US" w:eastAsia="zh-CN"/>
              </w:rPr>
            </w:pPr>
            <w:r>
              <w:rPr>
                <w:rFonts w:hint="eastAsia"/>
                <w:color w:val="auto"/>
                <w:szCs w:val="21"/>
                <w:highlight w:val="none"/>
                <w:lang w:val="en-US" w:eastAsia="zh-CN"/>
              </w:rPr>
              <w:t>80</w:t>
            </w:r>
          </w:p>
        </w:tc>
        <w:tc>
          <w:tcPr>
            <w:tcW w:w="537" w:type="dxa"/>
            <w:shd w:val="clear" w:color="auto" w:fill="auto"/>
            <w:noWrap w:val="0"/>
            <w:vAlign w:val="center"/>
          </w:tcPr>
          <w:p w14:paraId="17215FFD">
            <w:pPr>
              <w:spacing w:line="280" w:lineRule="exact"/>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22.4</w:t>
            </w:r>
          </w:p>
        </w:tc>
        <w:tc>
          <w:tcPr>
            <w:tcW w:w="537" w:type="dxa"/>
            <w:shd w:val="clear" w:color="auto" w:fill="auto"/>
            <w:noWrap w:val="0"/>
            <w:vAlign w:val="center"/>
          </w:tcPr>
          <w:p w14:paraId="26CA2A9A">
            <w:pPr>
              <w:spacing w:line="280" w:lineRule="exact"/>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136.54</w:t>
            </w:r>
          </w:p>
        </w:tc>
        <w:tc>
          <w:tcPr>
            <w:tcW w:w="558" w:type="dxa"/>
            <w:shd w:val="clear" w:color="auto" w:fill="auto"/>
            <w:noWrap w:val="0"/>
            <w:vAlign w:val="center"/>
          </w:tcPr>
          <w:p w14:paraId="563454DD">
            <w:pPr>
              <w:spacing w:line="280" w:lineRule="exact"/>
              <w:jc w:val="center"/>
              <w:rPr>
                <w:rFonts w:hint="eastAsia"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1.2</w:t>
            </w:r>
          </w:p>
        </w:tc>
        <w:tc>
          <w:tcPr>
            <w:tcW w:w="537" w:type="dxa"/>
            <w:shd w:val="clear" w:color="auto" w:fill="auto"/>
            <w:noWrap w:val="0"/>
            <w:vAlign w:val="center"/>
          </w:tcPr>
          <w:p w14:paraId="03BAFAAE">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24.5</w:t>
            </w:r>
          </w:p>
        </w:tc>
        <w:tc>
          <w:tcPr>
            <w:tcW w:w="537" w:type="dxa"/>
            <w:shd w:val="clear" w:color="auto" w:fill="auto"/>
            <w:noWrap w:val="0"/>
            <w:vAlign w:val="center"/>
          </w:tcPr>
          <w:p w14:paraId="383CD8FF">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124.1</w:t>
            </w:r>
          </w:p>
        </w:tc>
        <w:tc>
          <w:tcPr>
            <w:tcW w:w="542" w:type="dxa"/>
            <w:shd w:val="clear" w:color="auto" w:fill="auto"/>
            <w:noWrap w:val="0"/>
            <w:vAlign w:val="center"/>
          </w:tcPr>
          <w:p w14:paraId="24C2CBAD">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124.7</w:t>
            </w:r>
          </w:p>
        </w:tc>
        <w:tc>
          <w:tcPr>
            <w:tcW w:w="558" w:type="dxa"/>
            <w:shd w:val="clear" w:color="auto" w:fill="auto"/>
            <w:noWrap w:val="0"/>
            <w:vAlign w:val="center"/>
          </w:tcPr>
          <w:p w14:paraId="7B09D2D0">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53.6</w:t>
            </w:r>
          </w:p>
        </w:tc>
        <w:tc>
          <w:tcPr>
            <w:tcW w:w="542" w:type="dxa"/>
            <w:shd w:val="clear" w:color="auto" w:fill="auto"/>
            <w:noWrap w:val="0"/>
            <w:vAlign w:val="center"/>
          </w:tcPr>
          <w:p w14:paraId="75F5F5FA">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 xml:space="preserve">55.0 </w:t>
            </w:r>
          </w:p>
        </w:tc>
        <w:tc>
          <w:tcPr>
            <w:tcW w:w="542" w:type="dxa"/>
            <w:shd w:val="clear" w:color="auto" w:fill="auto"/>
            <w:noWrap w:val="0"/>
            <w:vAlign w:val="center"/>
          </w:tcPr>
          <w:p w14:paraId="5FFF0613">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 xml:space="preserve">54.8 </w:t>
            </w:r>
          </w:p>
        </w:tc>
        <w:tc>
          <w:tcPr>
            <w:tcW w:w="542" w:type="dxa"/>
            <w:shd w:val="clear" w:color="auto" w:fill="auto"/>
            <w:noWrap w:val="0"/>
            <w:vAlign w:val="center"/>
          </w:tcPr>
          <w:p w14:paraId="7338DE53">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 xml:space="preserve">54.8 </w:t>
            </w:r>
          </w:p>
        </w:tc>
        <w:tc>
          <w:tcPr>
            <w:tcW w:w="555" w:type="dxa"/>
            <w:shd w:val="clear" w:color="auto" w:fill="auto"/>
            <w:noWrap w:val="0"/>
            <w:vAlign w:val="center"/>
          </w:tcPr>
          <w:p w14:paraId="59082D91">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 xml:space="preserve">54.8 </w:t>
            </w:r>
          </w:p>
        </w:tc>
        <w:tc>
          <w:tcPr>
            <w:tcW w:w="542" w:type="dxa"/>
            <w:vMerge w:val="continue"/>
            <w:shd w:val="clear" w:color="auto" w:fill="auto"/>
            <w:noWrap w:val="0"/>
            <w:vAlign w:val="center"/>
          </w:tcPr>
          <w:p w14:paraId="02C7329B">
            <w:pPr>
              <w:spacing w:line="280" w:lineRule="exact"/>
              <w:jc w:val="center"/>
              <w:rPr>
                <w:rFonts w:hint="default" w:ascii="Times New Roman" w:hAnsi="Times New Roman" w:eastAsia="宋体"/>
                <w:color w:val="auto"/>
                <w:szCs w:val="21"/>
                <w:highlight w:val="none"/>
                <w:lang w:val="en-US" w:eastAsia="zh-CN"/>
              </w:rPr>
            </w:pPr>
          </w:p>
        </w:tc>
        <w:tc>
          <w:tcPr>
            <w:tcW w:w="897" w:type="dxa"/>
            <w:shd w:val="clear" w:color="auto" w:fill="auto"/>
            <w:noWrap w:val="0"/>
            <w:vAlign w:val="center"/>
          </w:tcPr>
          <w:p w14:paraId="7E20DD53">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24.3</w:t>
            </w:r>
          </w:p>
        </w:tc>
        <w:tc>
          <w:tcPr>
            <w:tcW w:w="746" w:type="dxa"/>
            <w:shd w:val="clear" w:color="auto" w:fill="auto"/>
            <w:noWrap w:val="0"/>
            <w:vAlign w:val="center"/>
          </w:tcPr>
          <w:p w14:paraId="39E7E0F1">
            <w:pPr>
              <w:spacing w:line="280" w:lineRule="exact"/>
              <w:jc w:val="center"/>
              <w:rPr>
                <w:rFonts w:hint="eastAsia" w:cs="Times New Roman"/>
                <w:color w:val="auto"/>
                <w:szCs w:val="21"/>
                <w:highlight w:val="none"/>
                <w:lang w:val="en-US" w:eastAsia="zh-CN"/>
              </w:rPr>
            </w:pPr>
            <w:r>
              <w:rPr>
                <w:rFonts w:hint="eastAsia" w:cs="Times New Roman"/>
                <w:color w:val="auto"/>
                <w:szCs w:val="21"/>
                <w:highlight w:val="none"/>
                <w:lang w:val="en-US" w:eastAsia="zh-CN"/>
              </w:rPr>
              <w:t>30.7</w:t>
            </w:r>
          </w:p>
        </w:tc>
        <w:tc>
          <w:tcPr>
            <w:tcW w:w="689" w:type="dxa"/>
            <w:shd w:val="clear" w:color="auto" w:fill="auto"/>
            <w:noWrap w:val="0"/>
            <w:vAlign w:val="center"/>
          </w:tcPr>
          <w:p w14:paraId="76E936AD">
            <w:pPr>
              <w:spacing w:line="280" w:lineRule="exact"/>
              <w:jc w:val="center"/>
              <w:rPr>
                <w:rFonts w:hint="eastAsia" w:cs="Times New Roman"/>
                <w:color w:val="auto"/>
                <w:szCs w:val="21"/>
                <w:highlight w:val="none"/>
                <w:lang w:val="en-US" w:eastAsia="zh-CN"/>
              </w:rPr>
            </w:pPr>
            <w:r>
              <w:rPr>
                <w:rFonts w:hint="eastAsia" w:cs="Times New Roman"/>
                <w:color w:val="auto"/>
                <w:szCs w:val="21"/>
                <w:highlight w:val="none"/>
                <w:lang w:val="en-US" w:eastAsia="zh-CN"/>
              </w:rPr>
              <w:t>30.5</w:t>
            </w:r>
          </w:p>
        </w:tc>
        <w:tc>
          <w:tcPr>
            <w:tcW w:w="838" w:type="dxa"/>
            <w:shd w:val="clear" w:color="auto" w:fill="auto"/>
            <w:noWrap w:val="0"/>
            <w:vAlign w:val="center"/>
          </w:tcPr>
          <w:p w14:paraId="1FB51E95">
            <w:pPr>
              <w:spacing w:line="280" w:lineRule="exact"/>
              <w:jc w:val="center"/>
              <w:rPr>
                <w:rFonts w:hint="eastAsia" w:cs="Times New Roman"/>
                <w:color w:val="auto"/>
                <w:szCs w:val="21"/>
                <w:highlight w:val="none"/>
                <w:lang w:val="en-US" w:eastAsia="zh-CN"/>
              </w:rPr>
            </w:pPr>
            <w:r>
              <w:rPr>
                <w:rFonts w:hint="eastAsia" w:cs="Times New Roman"/>
                <w:color w:val="auto"/>
                <w:szCs w:val="21"/>
                <w:highlight w:val="none"/>
                <w:lang w:val="en-US" w:eastAsia="zh-CN"/>
              </w:rPr>
              <w:t>30.5</w:t>
            </w:r>
          </w:p>
        </w:tc>
        <w:tc>
          <w:tcPr>
            <w:tcW w:w="750" w:type="dxa"/>
            <w:shd w:val="clear" w:color="auto" w:fill="auto"/>
            <w:noWrap w:val="0"/>
            <w:vAlign w:val="center"/>
          </w:tcPr>
          <w:p w14:paraId="6838A7FC">
            <w:pPr>
              <w:spacing w:line="280" w:lineRule="exact"/>
              <w:jc w:val="center"/>
              <w:rPr>
                <w:rFonts w:hint="eastAsia" w:cs="Times New Roman"/>
                <w:color w:val="auto"/>
                <w:szCs w:val="21"/>
                <w:highlight w:val="none"/>
                <w:lang w:val="en-US" w:eastAsia="zh-CN"/>
              </w:rPr>
            </w:pPr>
            <w:r>
              <w:rPr>
                <w:rFonts w:hint="eastAsia" w:cs="Times New Roman"/>
                <w:color w:val="auto"/>
                <w:szCs w:val="21"/>
                <w:highlight w:val="none"/>
                <w:lang w:val="en-US" w:eastAsia="zh-CN"/>
              </w:rPr>
              <w:t>30.5</w:t>
            </w:r>
          </w:p>
        </w:tc>
        <w:tc>
          <w:tcPr>
            <w:tcW w:w="1096" w:type="dxa"/>
            <w:shd w:val="clear" w:color="auto" w:fill="auto"/>
            <w:noWrap w:val="0"/>
            <w:vAlign w:val="center"/>
          </w:tcPr>
          <w:p w14:paraId="3F1E0BD7">
            <w:pPr>
              <w:spacing w:line="280" w:lineRule="exact"/>
              <w:jc w:val="center"/>
              <w:rPr>
                <w:rFonts w:hint="eastAsia"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1</w:t>
            </w:r>
          </w:p>
        </w:tc>
      </w:tr>
      <w:tr w14:paraId="0AD21C9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27" w:type="dxa"/>
            <w:shd w:val="clear" w:color="auto" w:fill="auto"/>
            <w:noWrap w:val="0"/>
            <w:vAlign w:val="center"/>
          </w:tcPr>
          <w:p w14:paraId="61B66339">
            <w:pPr>
              <w:spacing w:line="280" w:lineRule="exact"/>
              <w:jc w:val="center"/>
              <w:rPr>
                <w:rFonts w:hint="default" w:ascii="Times New Roman" w:hAnsi="Times New Roman"/>
                <w:color w:val="auto"/>
                <w:szCs w:val="21"/>
                <w:highlight w:val="none"/>
                <w:lang w:val="en-US" w:eastAsia="zh-CN"/>
              </w:rPr>
            </w:pPr>
            <w:r>
              <w:rPr>
                <w:rFonts w:hint="eastAsia"/>
                <w:color w:val="auto"/>
                <w:szCs w:val="21"/>
                <w:highlight w:val="none"/>
                <w:lang w:val="en-US" w:eastAsia="zh-CN"/>
              </w:rPr>
              <w:t>20</w:t>
            </w:r>
          </w:p>
        </w:tc>
        <w:tc>
          <w:tcPr>
            <w:tcW w:w="1428" w:type="dxa"/>
            <w:shd w:val="clear" w:color="auto" w:fill="auto"/>
            <w:noWrap w:val="0"/>
            <w:vAlign w:val="center"/>
          </w:tcPr>
          <w:p w14:paraId="03A0D143">
            <w:pPr>
              <w:spacing w:line="280" w:lineRule="exact"/>
              <w:jc w:val="center"/>
              <w:rPr>
                <w:rFonts w:hint="eastAsia" w:cs="Times New Roman"/>
                <w:b w:val="0"/>
                <w:bCs w:val="0"/>
                <w:color w:val="auto"/>
                <w:kern w:val="0"/>
                <w:sz w:val="21"/>
                <w:szCs w:val="21"/>
                <w:highlight w:val="none"/>
                <w:vertAlign w:val="baseline"/>
                <w:lang w:val="en-US" w:eastAsia="zh-CN"/>
              </w:rPr>
            </w:pPr>
            <w:r>
              <w:rPr>
                <w:rFonts w:hint="eastAsia" w:ascii="宋体"/>
                <w:color w:val="auto"/>
                <w:szCs w:val="21"/>
                <w:highlight w:val="none"/>
                <w:lang w:val="en-US" w:eastAsia="zh-CN"/>
              </w:rPr>
              <w:t>切叠</w:t>
            </w:r>
            <w:r>
              <w:rPr>
                <w:rFonts w:hint="default" w:ascii="Times New Roman" w:hAnsi="Times New Roman" w:cs="Times New Roman"/>
                <w:color w:val="auto"/>
                <w:szCs w:val="21"/>
                <w:highlight w:val="none"/>
                <w:lang w:val="en-US" w:eastAsia="zh-CN"/>
              </w:rPr>
              <w:t>一体机</w:t>
            </w:r>
            <w:r>
              <w:rPr>
                <w:rFonts w:hint="eastAsia" w:ascii="Times New Roman" w:hAnsi="Times New Roman" w:cs="Times New Roman"/>
                <w:color w:val="auto"/>
                <w:szCs w:val="21"/>
                <w:highlight w:val="none"/>
                <w:lang w:val="en-US" w:eastAsia="zh-CN"/>
              </w:rPr>
              <w:t>5</w:t>
            </w:r>
            <w:r>
              <w:rPr>
                <w:rFonts w:hint="default" w:ascii="Times New Roman" w:hAnsi="Times New Roman" w:cs="Times New Roman"/>
                <w:color w:val="auto"/>
                <w:szCs w:val="21"/>
                <w:highlight w:val="none"/>
                <w:lang w:val="en-US" w:eastAsia="zh-CN"/>
              </w:rPr>
              <w:t>#</w:t>
            </w:r>
          </w:p>
        </w:tc>
        <w:tc>
          <w:tcPr>
            <w:tcW w:w="537" w:type="dxa"/>
            <w:shd w:val="clear" w:color="auto" w:fill="auto"/>
            <w:noWrap w:val="0"/>
            <w:vAlign w:val="center"/>
          </w:tcPr>
          <w:p w14:paraId="368B7CEE">
            <w:pPr>
              <w:spacing w:line="280" w:lineRule="exact"/>
              <w:jc w:val="center"/>
              <w:rPr>
                <w:rFonts w:hint="default" w:ascii="Times New Roman" w:hAnsi="Times New Roman"/>
                <w:color w:val="auto"/>
                <w:szCs w:val="21"/>
                <w:highlight w:val="none"/>
                <w:lang w:val="en-US" w:eastAsia="zh-CN"/>
              </w:rPr>
            </w:pPr>
            <w:r>
              <w:rPr>
                <w:rFonts w:hint="eastAsia"/>
                <w:color w:val="auto"/>
                <w:szCs w:val="21"/>
                <w:highlight w:val="none"/>
                <w:lang w:val="en-US" w:eastAsia="zh-CN"/>
              </w:rPr>
              <w:t>80</w:t>
            </w:r>
          </w:p>
        </w:tc>
        <w:tc>
          <w:tcPr>
            <w:tcW w:w="537" w:type="dxa"/>
            <w:shd w:val="clear" w:color="auto" w:fill="auto"/>
            <w:noWrap w:val="0"/>
            <w:vAlign w:val="center"/>
          </w:tcPr>
          <w:p w14:paraId="5A8FF5EE">
            <w:pPr>
              <w:spacing w:line="280" w:lineRule="exact"/>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24.75</w:t>
            </w:r>
          </w:p>
        </w:tc>
        <w:tc>
          <w:tcPr>
            <w:tcW w:w="537" w:type="dxa"/>
            <w:shd w:val="clear" w:color="auto" w:fill="auto"/>
            <w:noWrap w:val="0"/>
            <w:vAlign w:val="center"/>
          </w:tcPr>
          <w:p w14:paraId="1E9C3DA4">
            <w:pPr>
              <w:spacing w:line="280" w:lineRule="exact"/>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131.27</w:t>
            </w:r>
          </w:p>
        </w:tc>
        <w:tc>
          <w:tcPr>
            <w:tcW w:w="558" w:type="dxa"/>
            <w:shd w:val="clear" w:color="auto" w:fill="auto"/>
            <w:noWrap w:val="0"/>
            <w:vAlign w:val="center"/>
          </w:tcPr>
          <w:p w14:paraId="3E3C10BC">
            <w:pPr>
              <w:spacing w:line="280" w:lineRule="exact"/>
              <w:jc w:val="center"/>
              <w:rPr>
                <w:rFonts w:hint="eastAsia"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1.2</w:t>
            </w:r>
          </w:p>
        </w:tc>
        <w:tc>
          <w:tcPr>
            <w:tcW w:w="537" w:type="dxa"/>
            <w:shd w:val="clear" w:color="auto" w:fill="auto"/>
            <w:noWrap w:val="0"/>
            <w:vAlign w:val="center"/>
          </w:tcPr>
          <w:p w14:paraId="1AC62C10">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23.7</w:t>
            </w:r>
          </w:p>
        </w:tc>
        <w:tc>
          <w:tcPr>
            <w:tcW w:w="537" w:type="dxa"/>
            <w:shd w:val="clear" w:color="auto" w:fill="auto"/>
            <w:noWrap w:val="0"/>
            <w:vAlign w:val="center"/>
          </w:tcPr>
          <w:p w14:paraId="0093D5A5">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119.5</w:t>
            </w:r>
          </w:p>
        </w:tc>
        <w:tc>
          <w:tcPr>
            <w:tcW w:w="542" w:type="dxa"/>
            <w:shd w:val="clear" w:color="auto" w:fill="auto"/>
            <w:noWrap w:val="0"/>
            <w:vAlign w:val="center"/>
          </w:tcPr>
          <w:p w14:paraId="264C113E">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123.9</w:t>
            </w:r>
          </w:p>
        </w:tc>
        <w:tc>
          <w:tcPr>
            <w:tcW w:w="558" w:type="dxa"/>
            <w:shd w:val="clear" w:color="auto" w:fill="auto"/>
            <w:noWrap w:val="0"/>
            <w:vAlign w:val="center"/>
          </w:tcPr>
          <w:p w14:paraId="385E228A">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58.9</w:t>
            </w:r>
          </w:p>
        </w:tc>
        <w:tc>
          <w:tcPr>
            <w:tcW w:w="542" w:type="dxa"/>
            <w:shd w:val="clear" w:color="auto" w:fill="auto"/>
            <w:noWrap w:val="0"/>
            <w:vAlign w:val="center"/>
          </w:tcPr>
          <w:p w14:paraId="5C94138E">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 xml:space="preserve">55.0 </w:t>
            </w:r>
          </w:p>
        </w:tc>
        <w:tc>
          <w:tcPr>
            <w:tcW w:w="542" w:type="dxa"/>
            <w:shd w:val="clear" w:color="auto" w:fill="auto"/>
            <w:noWrap w:val="0"/>
            <w:vAlign w:val="center"/>
          </w:tcPr>
          <w:p w14:paraId="702FF634">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 xml:space="preserve">54.8 </w:t>
            </w:r>
          </w:p>
        </w:tc>
        <w:tc>
          <w:tcPr>
            <w:tcW w:w="542" w:type="dxa"/>
            <w:shd w:val="clear" w:color="auto" w:fill="auto"/>
            <w:noWrap w:val="0"/>
            <w:vAlign w:val="center"/>
          </w:tcPr>
          <w:p w14:paraId="3221A306">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 xml:space="preserve">54.8 </w:t>
            </w:r>
          </w:p>
        </w:tc>
        <w:tc>
          <w:tcPr>
            <w:tcW w:w="555" w:type="dxa"/>
            <w:shd w:val="clear" w:color="auto" w:fill="auto"/>
            <w:noWrap w:val="0"/>
            <w:vAlign w:val="center"/>
          </w:tcPr>
          <w:p w14:paraId="3EEBD81F">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 xml:space="preserve">54.8 </w:t>
            </w:r>
          </w:p>
        </w:tc>
        <w:tc>
          <w:tcPr>
            <w:tcW w:w="542" w:type="dxa"/>
            <w:vMerge w:val="continue"/>
            <w:shd w:val="clear" w:color="auto" w:fill="auto"/>
            <w:noWrap w:val="0"/>
            <w:vAlign w:val="center"/>
          </w:tcPr>
          <w:p w14:paraId="06AD38B1">
            <w:pPr>
              <w:spacing w:line="280" w:lineRule="exact"/>
              <w:jc w:val="center"/>
              <w:rPr>
                <w:rFonts w:hint="default" w:ascii="Times New Roman" w:hAnsi="Times New Roman" w:eastAsia="宋体"/>
                <w:color w:val="auto"/>
                <w:szCs w:val="21"/>
                <w:highlight w:val="none"/>
                <w:lang w:val="en-US" w:eastAsia="zh-CN"/>
              </w:rPr>
            </w:pPr>
          </w:p>
        </w:tc>
        <w:tc>
          <w:tcPr>
            <w:tcW w:w="897" w:type="dxa"/>
            <w:shd w:val="clear" w:color="auto" w:fill="auto"/>
            <w:noWrap w:val="0"/>
            <w:vAlign w:val="center"/>
          </w:tcPr>
          <w:p w14:paraId="346EA863">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24.3</w:t>
            </w:r>
          </w:p>
        </w:tc>
        <w:tc>
          <w:tcPr>
            <w:tcW w:w="746" w:type="dxa"/>
            <w:shd w:val="clear" w:color="auto" w:fill="auto"/>
            <w:noWrap w:val="0"/>
            <w:vAlign w:val="center"/>
          </w:tcPr>
          <w:p w14:paraId="3B7FA8DA">
            <w:pPr>
              <w:spacing w:line="280" w:lineRule="exact"/>
              <w:jc w:val="center"/>
              <w:rPr>
                <w:rFonts w:hint="eastAsia" w:cs="Times New Roman"/>
                <w:color w:val="auto"/>
                <w:szCs w:val="21"/>
                <w:highlight w:val="none"/>
                <w:lang w:val="en-US" w:eastAsia="zh-CN"/>
              </w:rPr>
            </w:pPr>
            <w:r>
              <w:rPr>
                <w:rFonts w:hint="eastAsia" w:cs="Times New Roman"/>
                <w:color w:val="auto"/>
                <w:szCs w:val="21"/>
                <w:highlight w:val="none"/>
                <w:lang w:val="en-US" w:eastAsia="zh-CN"/>
              </w:rPr>
              <w:t>30.7</w:t>
            </w:r>
          </w:p>
        </w:tc>
        <w:tc>
          <w:tcPr>
            <w:tcW w:w="689" w:type="dxa"/>
            <w:shd w:val="clear" w:color="auto" w:fill="auto"/>
            <w:noWrap w:val="0"/>
            <w:vAlign w:val="center"/>
          </w:tcPr>
          <w:p w14:paraId="3574BEA6">
            <w:pPr>
              <w:spacing w:line="280" w:lineRule="exact"/>
              <w:jc w:val="center"/>
              <w:rPr>
                <w:rFonts w:hint="eastAsia" w:cs="Times New Roman"/>
                <w:color w:val="auto"/>
                <w:szCs w:val="21"/>
                <w:highlight w:val="none"/>
                <w:lang w:val="en-US" w:eastAsia="zh-CN"/>
              </w:rPr>
            </w:pPr>
            <w:r>
              <w:rPr>
                <w:rFonts w:hint="eastAsia" w:cs="Times New Roman"/>
                <w:color w:val="auto"/>
                <w:szCs w:val="21"/>
                <w:highlight w:val="none"/>
                <w:lang w:val="en-US" w:eastAsia="zh-CN"/>
              </w:rPr>
              <w:t>30.5</w:t>
            </w:r>
          </w:p>
        </w:tc>
        <w:tc>
          <w:tcPr>
            <w:tcW w:w="838" w:type="dxa"/>
            <w:shd w:val="clear" w:color="auto" w:fill="auto"/>
            <w:noWrap w:val="0"/>
            <w:vAlign w:val="center"/>
          </w:tcPr>
          <w:p w14:paraId="62100663">
            <w:pPr>
              <w:spacing w:line="280" w:lineRule="exact"/>
              <w:jc w:val="center"/>
              <w:rPr>
                <w:rFonts w:hint="eastAsia" w:cs="Times New Roman"/>
                <w:color w:val="auto"/>
                <w:szCs w:val="21"/>
                <w:highlight w:val="none"/>
                <w:lang w:val="en-US" w:eastAsia="zh-CN"/>
              </w:rPr>
            </w:pPr>
            <w:r>
              <w:rPr>
                <w:rFonts w:hint="eastAsia" w:cs="Times New Roman"/>
                <w:color w:val="auto"/>
                <w:szCs w:val="21"/>
                <w:highlight w:val="none"/>
                <w:lang w:val="en-US" w:eastAsia="zh-CN"/>
              </w:rPr>
              <w:t>30.5</w:t>
            </w:r>
          </w:p>
        </w:tc>
        <w:tc>
          <w:tcPr>
            <w:tcW w:w="750" w:type="dxa"/>
            <w:shd w:val="clear" w:color="auto" w:fill="auto"/>
            <w:noWrap w:val="0"/>
            <w:vAlign w:val="center"/>
          </w:tcPr>
          <w:p w14:paraId="749750B9">
            <w:pPr>
              <w:spacing w:line="280" w:lineRule="exact"/>
              <w:jc w:val="center"/>
              <w:rPr>
                <w:rFonts w:hint="eastAsia" w:cs="Times New Roman"/>
                <w:color w:val="auto"/>
                <w:szCs w:val="21"/>
                <w:highlight w:val="none"/>
                <w:lang w:val="en-US" w:eastAsia="zh-CN"/>
              </w:rPr>
            </w:pPr>
            <w:r>
              <w:rPr>
                <w:rFonts w:hint="eastAsia" w:cs="Times New Roman"/>
                <w:color w:val="auto"/>
                <w:szCs w:val="21"/>
                <w:highlight w:val="none"/>
                <w:lang w:val="en-US" w:eastAsia="zh-CN"/>
              </w:rPr>
              <w:t>30.5</w:t>
            </w:r>
          </w:p>
        </w:tc>
        <w:tc>
          <w:tcPr>
            <w:tcW w:w="1096" w:type="dxa"/>
            <w:shd w:val="clear" w:color="auto" w:fill="auto"/>
            <w:noWrap w:val="0"/>
            <w:vAlign w:val="center"/>
          </w:tcPr>
          <w:p w14:paraId="666E1326">
            <w:pPr>
              <w:spacing w:line="280" w:lineRule="exact"/>
              <w:jc w:val="center"/>
              <w:rPr>
                <w:rFonts w:hint="eastAsia"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1</w:t>
            </w:r>
          </w:p>
        </w:tc>
      </w:tr>
      <w:tr w14:paraId="1F50657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27" w:type="dxa"/>
            <w:shd w:val="clear" w:color="auto" w:fill="auto"/>
            <w:noWrap w:val="0"/>
            <w:vAlign w:val="center"/>
          </w:tcPr>
          <w:p w14:paraId="5049EB1B">
            <w:pPr>
              <w:spacing w:line="280" w:lineRule="exact"/>
              <w:jc w:val="center"/>
              <w:rPr>
                <w:rFonts w:hint="default" w:ascii="Times New Roman" w:hAnsi="Times New Roman"/>
                <w:color w:val="auto"/>
                <w:szCs w:val="21"/>
                <w:highlight w:val="none"/>
                <w:lang w:val="en-US" w:eastAsia="zh-CN"/>
              </w:rPr>
            </w:pPr>
            <w:r>
              <w:rPr>
                <w:rFonts w:hint="eastAsia"/>
                <w:color w:val="auto"/>
                <w:szCs w:val="21"/>
                <w:highlight w:val="none"/>
                <w:lang w:val="en-US" w:eastAsia="zh-CN"/>
              </w:rPr>
              <w:t>21</w:t>
            </w:r>
          </w:p>
        </w:tc>
        <w:tc>
          <w:tcPr>
            <w:tcW w:w="1428" w:type="dxa"/>
            <w:shd w:val="clear" w:color="auto" w:fill="auto"/>
            <w:noWrap w:val="0"/>
            <w:vAlign w:val="center"/>
          </w:tcPr>
          <w:p w14:paraId="5BA6BC38">
            <w:pPr>
              <w:spacing w:line="280" w:lineRule="exact"/>
              <w:jc w:val="center"/>
              <w:rPr>
                <w:rFonts w:hint="eastAsia" w:cs="Times New Roman"/>
                <w:b w:val="0"/>
                <w:bCs w:val="0"/>
                <w:color w:val="auto"/>
                <w:kern w:val="0"/>
                <w:sz w:val="21"/>
                <w:szCs w:val="21"/>
                <w:highlight w:val="none"/>
                <w:vertAlign w:val="baseline"/>
                <w:lang w:val="en-US" w:eastAsia="zh-CN"/>
              </w:rPr>
            </w:pPr>
            <w:r>
              <w:rPr>
                <w:rFonts w:hint="eastAsia" w:ascii="宋体"/>
                <w:color w:val="auto"/>
                <w:szCs w:val="21"/>
                <w:highlight w:val="none"/>
                <w:lang w:val="en-US" w:eastAsia="zh-CN"/>
              </w:rPr>
              <w:t>切叠</w:t>
            </w:r>
            <w:r>
              <w:rPr>
                <w:rFonts w:hint="default" w:ascii="Times New Roman" w:hAnsi="Times New Roman" w:cs="Times New Roman"/>
                <w:color w:val="auto"/>
                <w:szCs w:val="21"/>
                <w:highlight w:val="none"/>
                <w:lang w:val="en-US" w:eastAsia="zh-CN"/>
              </w:rPr>
              <w:t>一体机</w:t>
            </w:r>
            <w:r>
              <w:rPr>
                <w:rFonts w:hint="eastAsia" w:ascii="Times New Roman" w:hAnsi="Times New Roman" w:cs="Times New Roman"/>
                <w:color w:val="auto"/>
                <w:szCs w:val="21"/>
                <w:highlight w:val="none"/>
                <w:lang w:val="en-US" w:eastAsia="zh-CN"/>
              </w:rPr>
              <w:t>6</w:t>
            </w:r>
            <w:r>
              <w:rPr>
                <w:rFonts w:hint="default" w:ascii="Times New Roman" w:hAnsi="Times New Roman" w:cs="Times New Roman"/>
                <w:color w:val="auto"/>
                <w:szCs w:val="21"/>
                <w:highlight w:val="none"/>
                <w:lang w:val="en-US" w:eastAsia="zh-CN"/>
              </w:rPr>
              <w:t>#</w:t>
            </w:r>
          </w:p>
        </w:tc>
        <w:tc>
          <w:tcPr>
            <w:tcW w:w="537" w:type="dxa"/>
            <w:shd w:val="clear" w:color="auto" w:fill="auto"/>
            <w:noWrap w:val="0"/>
            <w:vAlign w:val="center"/>
          </w:tcPr>
          <w:p w14:paraId="4F3C2911">
            <w:pPr>
              <w:spacing w:line="280" w:lineRule="exact"/>
              <w:jc w:val="center"/>
              <w:rPr>
                <w:rFonts w:hint="default" w:ascii="Times New Roman" w:hAnsi="Times New Roman"/>
                <w:color w:val="auto"/>
                <w:szCs w:val="21"/>
                <w:highlight w:val="none"/>
                <w:lang w:val="en-US" w:eastAsia="zh-CN"/>
              </w:rPr>
            </w:pPr>
            <w:r>
              <w:rPr>
                <w:rFonts w:hint="eastAsia"/>
                <w:color w:val="auto"/>
                <w:szCs w:val="21"/>
                <w:highlight w:val="none"/>
                <w:lang w:val="en-US" w:eastAsia="zh-CN"/>
              </w:rPr>
              <w:t>80</w:t>
            </w:r>
          </w:p>
        </w:tc>
        <w:tc>
          <w:tcPr>
            <w:tcW w:w="537" w:type="dxa"/>
            <w:shd w:val="clear" w:color="auto" w:fill="auto"/>
            <w:noWrap w:val="0"/>
            <w:vAlign w:val="center"/>
          </w:tcPr>
          <w:p w14:paraId="7B13DB9E">
            <w:pPr>
              <w:spacing w:line="280" w:lineRule="exact"/>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26.21</w:t>
            </w:r>
          </w:p>
        </w:tc>
        <w:tc>
          <w:tcPr>
            <w:tcW w:w="537" w:type="dxa"/>
            <w:shd w:val="clear" w:color="auto" w:fill="auto"/>
            <w:noWrap w:val="0"/>
            <w:vAlign w:val="center"/>
          </w:tcPr>
          <w:p w14:paraId="737B82D4">
            <w:pPr>
              <w:spacing w:line="280" w:lineRule="exact"/>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126.87</w:t>
            </w:r>
          </w:p>
        </w:tc>
        <w:tc>
          <w:tcPr>
            <w:tcW w:w="558" w:type="dxa"/>
            <w:shd w:val="clear" w:color="auto" w:fill="auto"/>
            <w:noWrap w:val="0"/>
            <w:vAlign w:val="center"/>
          </w:tcPr>
          <w:p w14:paraId="681AF5B1">
            <w:pPr>
              <w:spacing w:line="280" w:lineRule="exact"/>
              <w:jc w:val="center"/>
              <w:rPr>
                <w:rFonts w:hint="eastAsia"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1.2</w:t>
            </w:r>
          </w:p>
        </w:tc>
        <w:tc>
          <w:tcPr>
            <w:tcW w:w="537" w:type="dxa"/>
            <w:shd w:val="clear" w:color="auto" w:fill="auto"/>
            <w:noWrap w:val="0"/>
            <w:vAlign w:val="center"/>
          </w:tcPr>
          <w:p w14:paraId="4B6D8E40">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24.6</w:t>
            </w:r>
          </w:p>
        </w:tc>
        <w:tc>
          <w:tcPr>
            <w:tcW w:w="537" w:type="dxa"/>
            <w:shd w:val="clear" w:color="auto" w:fill="auto"/>
            <w:noWrap w:val="0"/>
            <w:vAlign w:val="center"/>
          </w:tcPr>
          <w:p w14:paraId="05DBE44C">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115.4</w:t>
            </w:r>
          </w:p>
        </w:tc>
        <w:tc>
          <w:tcPr>
            <w:tcW w:w="542" w:type="dxa"/>
            <w:shd w:val="clear" w:color="auto" w:fill="auto"/>
            <w:noWrap w:val="0"/>
            <w:vAlign w:val="center"/>
          </w:tcPr>
          <w:p w14:paraId="5AEEDC7F">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124.9</w:t>
            </w:r>
          </w:p>
        </w:tc>
        <w:tc>
          <w:tcPr>
            <w:tcW w:w="558" w:type="dxa"/>
            <w:shd w:val="clear" w:color="auto" w:fill="auto"/>
            <w:noWrap w:val="0"/>
            <w:vAlign w:val="center"/>
          </w:tcPr>
          <w:p w14:paraId="05BCE9E4">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62.7</w:t>
            </w:r>
          </w:p>
        </w:tc>
        <w:tc>
          <w:tcPr>
            <w:tcW w:w="542" w:type="dxa"/>
            <w:shd w:val="clear" w:color="auto" w:fill="auto"/>
            <w:noWrap w:val="0"/>
            <w:vAlign w:val="center"/>
          </w:tcPr>
          <w:p w14:paraId="3808EE96">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 xml:space="preserve">54.9 </w:t>
            </w:r>
          </w:p>
        </w:tc>
        <w:tc>
          <w:tcPr>
            <w:tcW w:w="542" w:type="dxa"/>
            <w:shd w:val="clear" w:color="auto" w:fill="auto"/>
            <w:noWrap w:val="0"/>
            <w:vAlign w:val="center"/>
          </w:tcPr>
          <w:p w14:paraId="60EDC3BE">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 xml:space="preserve">54.8 </w:t>
            </w:r>
          </w:p>
        </w:tc>
        <w:tc>
          <w:tcPr>
            <w:tcW w:w="542" w:type="dxa"/>
            <w:shd w:val="clear" w:color="auto" w:fill="auto"/>
            <w:noWrap w:val="0"/>
            <w:vAlign w:val="center"/>
          </w:tcPr>
          <w:p w14:paraId="5BF52D71">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 xml:space="preserve">54.8 </w:t>
            </w:r>
          </w:p>
        </w:tc>
        <w:tc>
          <w:tcPr>
            <w:tcW w:w="555" w:type="dxa"/>
            <w:shd w:val="clear" w:color="auto" w:fill="auto"/>
            <w:noWrap w:val="0"/>
            <w:vAlign w:val="center"/>
          </w:tcPr>
          <w:p w14:paraId="0023C484">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 xml:space="preserve">54.8 </w:t>
            </w:r>
          </w:p>
        </w:tc>
        <w:tc>
          <w:tcPr>
            <w:tcW w:w="542" w:type="dxa"/>
            <w:vMerge w:val="continue"/>
            <w:shd w:val="clear" w:color="auto" w:fill="auto"/>
            <w:noWrap w:val="0"/>
            <w:vAlign w:val="center"/>
          </w:tcPr>
          <w:p w14:paraId="6A0B5DEA">
            <w:pPr>
              <w:spacing w:line="280" w:lineRule="exact"/>
              <w:jc w:val="center"/>
              <w:rPr>
                <w:rFonts w:hint="default" w:ascii="Times New Roman" w:hAnsi="Times New Roman" w:eastAsia="宋体"/>
                <w:color w:val="auto"/>
                <w:szCs w:val="21"/>
                <w:highlight w:val="none"/>
                <w:lang w:val="en-US" w:eastAsia="zh-CN"/>
              </w:rPr>
            </w:pPr>
          </w:p>
        </w:tc>
        <w:tc>
          <w:tcPr>
            <w:tcW w:w="897" w:type="dxa"/>
            <w:shd w:val="clear" w:color="auto" w:fill="auto"/>
            <w:noWrap w:val="0"/>
            <w:vAlign w:val="center"/>
          </w:tcPr>
          <w:p w14:paraId="74CC96B3">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24.3</w:t>
            </w:r>
          </w:p>
        </w:tc>
        <w:tc>
          <w:tcPr>
            <w:tcW w:w="746" w:type="dxa"/>
            <w:shd w:val="clear" w:color="auto" w:fill="auto"/>
            <w:noWrap w:val="0"/>
            <w:vAlign w:val="center"/>
          </w:tcPr>
          <w:p w14:paraId="2574E064">
            <w:pPr>
              <w:spacing w:line="280" w:lineRule="exact"/>
              <w:jc w:val="center"/>
              <w:rPr>
                <w:rFonts w:hint="eastAsia" w:cs="Times New Roman"/>
                <w:color w:val="auto"/>
                <w:szCs w:val="21"/>
                <w:highlight w:val="none"/>
                <w:lang w:val="en-US" w:eastAsia="zh-CN"/>
              </w:rPr>
            </w:pPr>
            <w:r>
              <w:rPr>
                <w:rFonts w:hint="eastAsia" w:cs="Times New Roman"/>
                <w:color w:val="auto"/>
                <w:szCs w:val="21"/>
                <w:highlight w:val="none"/>
                <w:lang w:val="en-US" w:eastAsia="zh-CN"/>
              </w:rPr>
              <w:t>30.6</w:t>
            </w:r>
          </w:p>
        </w:tc>
        <w:tc>
          <w:tcPr>
            <w:tcW w:w="689" w:type="dxa"/>
            <w:shd w:val="clear" w:color="auto" w:fill="auto"/>
            <w:noWrap w:val="0"/>
            <w:vAlign w:val="center"/>
          </w:tcPr>
          <w:p w14:paraId="534859E0">
            <w:pPr>
              <w:spacing w:line="280" w:lineRule="exact"/>
              <w:jc w:val="center"/>
              <w:rPr>
                <w:rFonts w:hint="eastAsia" w:cs="Times New Roman"/>
                <w:color w:val="auto"/>
                <w:szCs w:val="21"/>
                <w:highlight w:val="none"/>
                <w:lang w:val="en-US" w:eastAsia="zh-CN"/>
              </w:rPr>
            </w:pPr>
            <w:r>
              <w:rPr>
                <w:rFonts w:hint="eastAsia" w:cs="Times New Roman"/>
                <w:color w:val="auto"/>
                <w:szCs w:val="21"/>
                <w:highlight w:val="none"/>
                <w:lang w:val="en-US" w:eastAsia="zh-CN"/>
              </w:rPr>
              <w:t>30.5</w:t>
            </w:r>
          </w:p>
        </w:tc>
        <w:tc>
          <w:tcPr>
            <w:tcW w:w="838" w:type="dxa"/>
            <w:shd w:val="clear" w:color="auto" w:fill="auto"/>
            <w:noWrap w:val="0"/>
            <w:vAlign w:val="center"/>
          </w:tcPr>
          <w:p w14:paraId="1F6E89B4">
            <w:pPr>
              <w:spacing w:line="280" w:lineRule="exact"/>
              <w:jc w:val="center"/>
              <w:rPr>
                <w:rFonts w:hint="eastAsia" w:cs="Times New Roman"/>
                <w:color w:val="auto"/>
                <w:szCs w:val="21"/>
                <w:highlight w:val="none"/>
                <w:lang w:val="en-US" w:eastAsia="zh-CN"/>
              </w:rPr>
            </w:pPr>
            <w:r>
              <w:rPr>
                <w:rFonts w:hint="eastAsia" w:cs="Times New Roman"/>
                <w:color w:val="auto"/>
                <w:szCs w:val="21"/>
                <w:highlight w:val="none"/>
                <w:lang w:val="en-US" w:eastAsia="zh-CN"/>
              </w:rPr>
              <w:t>30.5</w:t>
            </w:r>
          </w:p>
        </w:tc>
        <w:tc>
          <w:tcPr>
            <w:tcW w:w="750" w:type="dxa"/>
            <w:shd w:val="clear" w:color="auto" w:fill="auto"/>
            <w:noWrap w:val="0"/>
            <w:vAlign w:val="center"/>
          </w:tcPr>
          <w:p w14:paraId="38CFE02B">
            <w:pPr>
              <w:spacing w:line="280" w:lineRule="exact"/>
              <w:jc w:val="center"/>
              <w:rPr>
                <w:rFonts w:hint="eastAsia" w:cs="Times New Roman"/>
                <w:color w:val="auto"/>
                <w:szCs w:val="21"/>
                <w:highlight w:val="none"/>
                <w:lang w:val="en-US" w:eastAsia="zh-CN"/>
              </w:rPr>
            </w:pPr>
            <w:r>
              <w:rPr>
                <w:rFonts w:hint="eastAsia" w:cs="Times New Roman"/>
                <w:color w:val="auto"/>
                <w:szCs w:val="21"/>
                <w:highlight w:val="none"/>
                <w:lang w:val="en-US" w:eastAsia="zh-CN"/>
              </w:rPr>
              <w:t>30.5</w:t>
            </w:r>
          </w:p>
        </w:tc>
        <w:tc>
          <w:tcPr>
            <w:tcW w:w="1096" w:type="dxa"/>
            <w:shd w:val="clear" w:color="auto" w:fill="auto"/>
            <w:noWrap w:val="0"/>
            <w:vAlign w:val="center"/>
          </w:tcPr>
          <w:p w14:paraId="3B1FE3F1">
            <w:pPr>
              <w:spacing w:line="280" w:lineRule="exact"/>
              <w:jc w:val="center"/>
              <w:rPr>
                <w:rFonts w:hint="eastAsia"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1</w:t>
            </w:r>
          </w:p>
        </w:tc>
      </w:tr>
      <w:tr w14:paraId="659683E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27" w:type="dxa"/>
            <w:shd w:val="clear" w:color="auto" w:fill="auto"/>
            <w:noWrap w:val="0"/>
            <w:vAlign w:val="center"/>
          </w:tcPr>
          <w:p w14:paraId="003F748B">
            <w:pPr>
              <w:spacing w:line="280" w:lineRule="exact"/>
              <w:jc w:val="center"/>
              <w:rPr>
                <w:rFonts w:hint="default" w:ascii="Times New Roman" w:hAnsi="Times New Roman"/>
                <w:color w:val="auto"/>
                <w:szCs w:val="21"/>
                <w:highlight w:val="none"/>
                <w:lang w:val="en-US" w:eastAsia="zh-CN"/>
              </w:rPr>
            </w:pPr>
            <w:r>
              <w:rPr>
                <w:rFonts w:hint="eastAsia"/>
                <w:color w:val="auto"/>
                <w:szCs w:val="21"/>
                <w:highlight w:val="none"/>
                <w:lang w:val="en-US" w:eastAsia="zh-CN"/>
              </w:rPr>
              <w:t>22</w:t>
            </w:r>
          </w:p>
        </w:tc>
        <w:tc>
          <w:tcPr>
            <w:tcW w:w="1428" w:type="dxa"/>
            <w:shd w:val="clear" w:color="auto" w:fill="auto"/>
            <w:noWrap w:val="0"/>
            <w:vAlign w:val="center"/>
          </w:tcPr>
          <w:p w14:paraId="0E792D25">
            <w:pPr>
              <w:spacing w:line="280" w:lineRule="exact"/>
              <w:jc w:val="center"/>
              <w:rPr>
                <w:rFonts w:hint="default" w:cs="Times New Roman"/>
                <w:b w:val="0"/>
                <w:bCs w:val="0"/>
                <w:color w:val="auto"/>
                <w:kern w:val="0"/>
                <w:sz w:val="21"/>
                <w:szCs w:val="21"/>
                <w:highlight w:val="none"/>
                <w:vertAlign w:val="baseline"/>
                <w:lang w:val="en-US" w:eastAsia="zh-CN"/>
              </w:rPr>
            </w:pPr>
            <w:r>
              <w:rPr>
                <w:rFonts w:hint="eastAsia" w:cs="Times New Roman"/>
                <w:b w:val="0"/>
                <w:bCs w:val="0"/>
                <w:color w:val="auto"/>
                <w:kern w:val="0"/>
                <w:sz w:val="21"/>
                <w:szCs w:val="21"/>
                <w:highlight w:val="none"/>
                <w:vertAlign w:val="baseline"/>
                <w:lang w:val="en-US" w:eastAsia="zh-CN"/>
              </w:rPr>
              <w:t>热压机</w:t>
            </w:r>
          </w:p>
        </w:tc>
        <w:tc>
          <w:tcPr>
            <w:tcW w:w="537" w:type="dxa"/>
            <w:shd w:val="clear" w:color="auto" w:fill="auto"/>
            <w:noWrap w:val="0"/>
            <w:vAlign w:val="center"/>
          </w:tcPr>
          <w:p w14:paraId="78542532">
            <w:pPr>
              <w:spacing w:line="280" w:lineRule="exact"/>
              <w:jc w:val="center"/>
              <w:rPr>
                <w:rFonts w:hint="default" w:ascii="Times New Roman" w:hAnsi="Times New Roman"/>
                <w:color w:val="auto"/>
                <w:szCs w:val="21"/>
                <w:highlight w:val="none"/>
                <w:lang w:val="en-US" w:eastAsia="zh-CN"/>
              </w:rPr>
            </w:pPr>
            <w:r>
              <w:rPr>
                <w:rFonts w:hint="eastAsia"/>
                <w:color w:val="auto"/>
                <w:szCs w:val="21"/>
                <w:highlight w:val="none"/>
                <w:lang w:val="en-US" w:eastAsia="zh-CN"/>
              </w:rPr>
              <w:t>80</w:t>
            </w:r>
          </w:p>
        </w:tc>
        <w:tc>
          <w:tcPr>
            <w:tcW w:w="537" w:type="dxa"/>
            <w:shd w:val="clear" w:color="auto" w:fill="auto"/>
            <w:noWrap w:val="0"/>
            <w:vAlign w:val="center"/>
          </w:tcPr>
          <w:p w14:paraId="7F04D135">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6.58</w:t>
            </w:r>
          </w:p>
        </w:tc>
        <w:tc>
          <w:tcPr>
            <w:tcW w:w="537" w:type="dxa"/>
            <w:shd w:val="clear" w:color="auto" w:fill="auto"/>
            <w:noWrap w:val="0"/>
            <w:vAlign w:val="center"/>
          </w:tcPr>
          <w:p w14:paraId="4D7F83E9">
            <w:pPr>
              <w:spacing w:line="280" w:lineRule="exact"/>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137.21</w:t>
            </w:r>
          </w:p>
        </w:tc>
        <w:tc>
          <w:tcPr>
            <w:tcW w:w="558" w:type="dxa"/>
            <w:shd w:val="clear" w:color="auto" w:fill="auto"/>
            <w:noWrap w:val="0"/>
            <w:vAlign w:val="center"/>
          </w:tcPr>
          <w:p w14:paraId="7FC5AE9D">
            <w:pPr>
              <w:spacing w:line="280" w:lineRule="exact"/>
              <w:jc w:val="center"/>
              <w:rPr>
                <w:rFonts w:hint="eastAsia"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1.2</w:t>
            </w:r>
          </w:p>
        </w:tc>
        <w:tc>
          <w:tcPr>
            <w:tcW w:w="537" w:type="dxa"/>
            <w:shd w:val="clear" w:color="auto" w:fill="auto"/>
            <w:noWrap w:val="0"/>
            <w:vAlign w:val="center"/>
          </w:tcPr>
          <w:p w14:paraId="649BA6BC">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37.8</w:t>
            </w:r>
          </w:p>
        </w:tc>
        <w:tc>
          <w:tcPr>
            <w:tcW w:w="537" w:type="dxa"/>
            <w:shd w:val="clear" w:color="auto" w:fill="auto"/>
            <w:noWrap w:val="0"/>
            <w:vAlign w:val="center"/>
          </w:tcPr>
          <w:p w14:paraId="60C35C80">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130.8</w:t>
            </w:r>
          </w:p>
        </w:tc>
        <w:tc>
          <w:tcPr>
            <w:tcW w:w="542" w:type="dxa"/>
            <w:shd w:val="clear" w:color="auto" w:fill="auto"/>
            <w:noWrap w:val="0"/>
            <w:vAlign w:val="center"/>
          </w:tcPr>
          <w:p w14:paraId="2C2D65FC">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110.7</w:t>
            </w:r>
          </w:p>
        </w:tc>
        <w:tc>
          <w:tcPr>
            <w:tcW w:w="558" w:type="dxa"/>
            <w:shd w:val="clear" w:color="auto" w:fill="auto"/>
            <w:noWrap w:val="0"/>
            <w:vAlign w:val="center"/>
          </w:tcPr>
          <w:p w14:paraId="1C32CCDC">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45.1</w:t>
            </w:r>
          </w:p>
        </w:tc>
        <w:tc>
          <w:tcPr>
            <w:tcW w:w="542" w:type="dxa"/>
            <w:shd w:val="clear" w:color="auto" w:fill="auto"/>
            <w:noWrap w:val="0"/>
            <w:vAlign w:val="center"/>
          </w:tcPr>
          <w:p w14:paraId="5D157347">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 xml:space="preserve">54.8 </w:t>
            </w:r>
          </w:p>
        </w:tc>
        <w:tc>
          <w:tcPr>
            <w:tcW w:w="542" w:type="dxa"/>
            <w:shd w:val="clear" w:color="auto" w:fill="auto"/>
            <w:noWrap w:val="0"/>
            <w:vAlign w:val="center"/>
          </w:tcPr>
          <w:p w14:paraId="1DC13338">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 xml:space="preserve">54.8 </w:t>
            </w:r>
          </w:p>
        </w:tc>
        <w:tc>
          <w:tcPr>
            <w:tcW w:w="542" w:type="dxa"/>
            <w:shd w:val="clear" w:color="auto" w:fill="auto"/>
            <w:noWrap w:val="0"/>
            <w:vAlign w:val="center"/>
          </w:tcPr>
          <w:p w14:paraId="7E6B498D">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 xml:space="preserve">54.8 </w:t>
            </w:r>
          </w:p>
        </w:tc>
        <w:tc>
          <w:tcPr>
            <w:tcW w:w="555" w:type="dxa"/>
            <w:shd w:val="clear" w:color="auto" w:fill="auto"/>
            <w:noWrap w:val="0"/>
            <w:vAlign w:val="center"/>
          </w:tcPr>
          <w:p w14:paraId="467E9B82">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 xml:space="preserve">54.8 </w:t>
            </w:r>
          </w:p>
        </w:tc>
        <w:tc>
          <w:tcPr>
            <w:tcW w:w="542" w:type="dxa"/>
            <w:vMerge w:val="continue"/>
            <w:shd w:val="clear" w:color="auto" w:fill="auto"/>
            <w:noWrap w:val="0"/>
            <w:vAlign w:val="center"/>
          </w:tcPr>
          <w:p w14:paraId="1FEFD6EB">
            <w:pPr>
              <w:spacing w:line="280" w:lineRule="exact"/>
              <w:jc w:val="center"/>
              <w:rPr>
                <w:rFonts w:hint="default" w:ascii="Times New Roman" w:hAnsi="Times New Roman" w:eastAsia="宋体"/>
                <w:color w:val="auto"/>
                <w:szCs w:val="21"/>
                <w:highlight w:val="none"/>
                <w:lang w:val="en-US" w:eastAsia="zh-CN"/>
              </w:rPr>
            </w:pPr>
          </w:p>
        </w:tc>
        <w:tc>
          <w:tcPr>
            <w:tcW w:w="897" w:type="dxa"/>
            <w:shd w:val="clear" w:color="auto" w:fill="auto"/>
            <w:noWrap w:val="0"/>
            <w:vAlign w:val="center"/>
          </w:tcPr>
          <w:p w14:paraId="28D5A5F6">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24.3</w:t>
            </w:r>
          </w:p>
        </w:tc>
        <w:tc>
          <w:tcPr>
            <w:tcW w:w="746" w:type="dxa"/>
            <w:shd w:val="clear" w:color="auto" w:fill="auto"/>
            <w:noWrap w:val="0"/>
            <w:vAlign w:val="center"/>
          </w:tcPr>
          <w:p w14:paraId="7FC5AB83">
            <w:pPr>
              <w:spacing w:line="280" w:lineRule="exact"/>
              <w:jc w:val="center"/>
              <w:rPr>
                <w:rFonts w:hint="eastAsia" w:cs="Times New Roman"/>
                <w:color w:val="auto"/>
                <w:szCs w:val="21"/>
                <w:highlight w:val="none"/>
                <w:lang w:val="en-US" w:eastAsia="zh-CN"/>
              </w:rPr>
            </w:pPr>
            <w:r>
              <w:rPr>
                <w:rFonts w:hint="eastAsia" w:cs="Times New Roman"/>
                <w:color w:val="auto"/>
                <w:szCs w:val="21"/>
                <w:highlight w:val="none"/>
                <w:lang w:val="en-US" w:eastAsia="zh-CN"/>
              </w:rPr>
              <w:t>30.5</w:t>
            </w:r>
          </w:p>
        </w:tc>
        <w:tc>
          <w:tcPr>
            <w:tcW w:w="689" w:type="dxa"/>
            <w:shd w:val="clear" w:color="auto" w:fill="auto"/>
            <w:noWrap w:val="0"/>
            <w:vAlign w:val="center"/>
          </w:tcPr>
          <w:p w14:paraId="7C963EC5">
            <w:pPr>
              <w:spacing w:line="280" w:lineRule="exact"/>
              <w:jc w:val="center"/>
              <w:rPr>
                <w:rFonts w:hint="eastAsia" w:cs="Times New Roman"/>
                <w:color w:val="auto"/>
                <w:szCs w:val="21"/>
                <w:highlight w:val="none"/>
                <w:lang w:val="en-US" w:eastAsia="zh-CN"/>
              </w:rPr>
            </w:pPr>
            <w:r>
              <w:rPr>
                <w:rFonts w:hint="eastAsia" w:cs="Times New Roman"/>
                <w:color w:val="auto"/>
                <w:szCs w:val="21"/>
                <w:highlight w:val="none"/>
                <w:lang w:val="en-US" w:eastAsia="zh-CN"/>
              </w:rPr>
              <w:t>30.5</w:t>
            </w:r>
          </w:p>
        </w:tc>
        <w:tc>
          <w:tcPr>
            <w:tcW w:w="838" w:type="dxa"/>
            <w:shd w:val="clear" w:color="auto" w:fill="auto"/>
            <w:noWrap w:val="0"/>
            <w:vAlign w:val="center"/>
          </w:tcPr>
          <w:p w14:paraId="6226E4D0">
            <w:pPr>
              <w:spacing w:line="280" w:lineRule="exact"/>
              <w:jc w:val="center"/>
              <w:rPr>
                <w:rFonts w:hint="eastAsia" w:cs="Times New Roman"/>
                <w:color w:val="auto"/>
                <w:szCs w:val="21"/>
                <w:highlight w:val="none"/>
                <w:lang w:val="en-US" w:eastAsia="zh-CN"/>
              </w:rPr>
            </w:pPr>
            <w:r>
              <w:rPr>
                <w:rFonts w:hint="eastAsia" w:cs="Times New Roman"/>
                <w:color w:val="auto"/>
                <w:szCs w:val="21"/>
                <w:highlight w:val="none"/>
                <w:lang w:val="en-US" w:eastAsia="zh-CN"/>
              </w:rPr>
              <w:t>30.5</w:t>
            </w:r>
          </w:p>
        </w:tc>
        <w:tc>
          <w:tcPr>
            <w:tcW w:w="750" w:type="dxa"/>
            <w:shd w:val="clear" w:color="auto" w:fill="auto"/>
            <w:noWrap w:val="0"/>
            <w:vAlign w:val="center"/>
          </w:tcPr>
          <w:p w14:paraId="62383177">
            <w:pPr>
              <w:spacing w:line="280" w:lineRule="exact"/>
              <w:jc w:val="center"/>
              <w:rPr>
                <w:rFonts w:hint="eastAsia" w:cs="Times New Roman"/>
                <w:color w:val="auto"/>
                <w:szCs w:val="21"/>
                <w:highlight w:val="none"/>
                <w:lang w:val="en-US" w:eastAsia="zh-CN"/>
              </w:rPr>
            </w:pPr>
            <w:r>
              <w:rPr>
                <w:rFonts w:hint="eastAsia" w:cs="Times New Roman"/>
                <w:color w:val="auto"/>
                <w:szCs w:val="21"/>
                <w:highlight w:val="none"/>
                <w:lang w:val="en-US" w:eastAsia="zh-CN"/>
              </w:rPr>
              <w:t>30.5</w:t>
            </w:r>
          </w:p>
        </w:tc>
        <w:tc>
          <w:tcPr>
            <w:tcW w:w="1096" w:type="dxa"/>
            <w:shd w:val="clear" w:color="auto" w:fill="auto"/>
            <w:noWrap w:val="0"/>
            <w:vAlign w:val="center"/>
          </w:tcPr>
          <w:p w14:paraId="387E5AB4">
            <w:pPr>
              <w:spacing w:line="280" w:lineRule="exact"/>
              <w:jc w:val="center"/>
              <w:rPr>
                <w:rFonts w:hint="eastAsia"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1</w:t>
            </w:r>
          </w:p>
        </w:tc>
      </w:tr>
      <w:tr w14:paraId="298409F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27" w:type="dxa"/>
            <w:shd w:val="clear" w:color="auto" w:fill="auto"/>
            <w:noWrap w:val="0"/>
            <w:vAlign w:val="center"/>
          </w:tcPr>
          <w:p w14:paraId="6B4F0D92">
            <w:pPr>
              <w:spacing w:line="280" w:lineRule="exact"/>
              <w:jc w:val="center"/>
              <w:rPr>
                <w:rFonts w:hint="default" w:ascii="Times New Roman" w:hAnsi="Times New Roman"/>
                <w:color w:val="auto"/>
                <w:szCs w:val="21"/>
                <w:highlight w:val="none"/>
                <w:lang w:val="en-US" w:eastAsia="zh-CN"/>
              </w:rPr>
            </w:pPr>
            <w:r>
              <w:rPr>
                <w:rFonts w:hint="eastAsia"/>
                <w:color w:val="auto"/>
                <w:szCs w:val="21"/>
                <w:highlight w:val="none"/>
                <w:lang w:val="en-US" w:eastAsia="zh-CN"/>
              </w:rPr>
              <w:t>23</w:t>
            </w:r>
          </w:p>
        </w:tc>
        <w:tc>
          <w:tcPr>
            <w:tcW w:w="1428" w:type="dxa"/>
            <w:shd w:val="clear" w:color="auto" w:fill="auto"/>
            <w:noWrap w:val="0"/>
            <w:vAlign w:val="center"/>
          </w:tcPr>
          <w:p w14:paraId="13A1D839">
            <w:pPr>
              <w:autoSpaceDN w:val="0"/>
              <w:adjustRightInd w:val="0"/>
              <w:snapToGrid w:val="0"/>
              <w:jc w:val="center"/>
              <w:textAlignment w:val="top"/>
              <w:rPr>
                <w:rFonts w:hint="eastAsia" w:ascii="Times New Roman" w:hAnsi="Times New Roman" w:eastAsia="宋体" w:cs="Times New Roman"/>
                <w:color w:val="auto"/>
                <w:kern w:val="2"/>
                <w:sz w:val="21"/>
                <w:szCs w:val="21"/>
                <w:highlight w:val="none"/>
                <w:lang w:val="en-US" w:eastAsia="zh-CN" w:bidi="ar-SA"/>
              </w:rPr>
            </w:pPr>
            <w:r>
              <w:rPr>
                <w:rFonts w:hint="eastAsia" w:ascii="宋体"/>
                <w:color w:val="auto"/>
                <w:szCs w:val="21"/>
                <w:highlight w:val="none"/>
                <w:lang w:val="en-US" w:eastAsia="zh-CN"/>
              </w:rPr>
              <w:t>自动焊接线</w:t>
            </w:r>
          </w:p>
        </w:tc>
        <w:tc>
          <w:tcPr>
            <w:tcW w:w="537" w:type="dxa"/>
            <w:shd w:val="clear" w:color="auto" w:fill="auto"/>
            <w:noWrap w:val="0"/>
            <w:vAlign w:val="center"/>
          </w:tcPr>
          <w:p w14:paraId="329A49F7">
            <w:pPr>
              <w:spacing w:line="280" w:lineRule="exact"/>
              <w:jc w:val="center"/>
              <w:rPr>
                <w:rFonts w:hint="default" w:ascii="Times New Roman" w:hAnsi="Times New Roman"/>
                <w:color w:val="auto"/>
                <w:szCs w:val="21"/>
                <w:highlight w:val="none"/>
                <w:lang w:val="en-US" w:eastAsia="zh-CN"/>
              </w:rPr>
            </w:pPr>
            <w:r>
              <w:rPr>
                <w:rFonts w:hint="eastAsia"/>
                <w:color w:val="auto"/>
                <w:szCs w:val="21"/>
                <w:highlight w:val="none"/>
                <w:lang w:val="en-US" w:eastAsia="zh-CN"/>
              </w:rPr>
              <w:t>75</w:t>
            </w:r>
          </w:p>
        </w:tc>
        <w:tc>
          <w:tcPr>
            <w:tcW w:w="537" w:type="dxa"/>
            <w:shd w:val="clear" w:color="auto" w:fill="auto"/>
            <w:noWrap w:val="0"/>
            <w:vAlign w:val="center"/>
          </w:tcPr>
          <w:p w14:paraId="51B3C5FF">
            <w:pPr>
              <w:spacing w:line="280" w:lineRule="exact"/>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9.44</w:t>
            </w:r>
          </w:p>
        </w:tc>
        <w:tc>
          <w:tcPr>
            <w:tcW w:w="537" w:type="dxa"/>
            <w:shd w:val="clear" w:color="auto" w:fill="auto"/>
            <w:noWrap w:val="0"/>
            <w:vAlign w:val="center"/>
          </w:tcPr>
          <w:p w14:paraId="0964026E">
            <w:pPr>
              <w:spacing w:line="280" w:lineRule="exact"/>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132.25</w:t>
            </w:r>
          </w:p>
        </w:tc>
        <w:tc>
          <w:tcPr>
            <w:tcW w:w="558" w:type="dxa"/>
            <w:shd w:val="clear" w:color="auto" w:fill="auto"/>
            <w:noWrap w:val="0"/>
            <w:vAlign w:val="center"/>
          </w:tcPr>
          <w:p w14:paraId="3905F254">
            <w:pPr>
              <w:spacing w:line="280" w:lineRule="exact"/>
              <w:jc w:val="center"/>
              <w:rPr>
                <w:rFonts w:hint="eastAsia"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1.2</w:t>
            </w:r>
          </w:p>
        </w:tc>
        <w:tc>
          <w:tcPr>
            <w:tcW w:w="537" w:type="dxa"/>
            <w:shd w:val="clear" w:color="auto" w:fill="auto"/>
            <w:noWrap w:val="0"/>
            <w:vAlign w:val="center"/>
          </w:tcPr>
          <w:p w14:paraId="0CB96EDB">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39.2</w:t>
            </w:r>
          </w:p>
        </w:tc>
        <w:tc>
          <w:tcPr>
            <w:tcW w:w="537" w:type="dxa"/>
            <w:shd w:val="clear" w:color="auto" w:fill="auto"/>
            <w:noWrap w:val="0"/>
            <w:vAlign w:val="center"/>
          </w:tcPr>
          <w:p w14:paraId="0D2D9132">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125.1</w:t>
            </w:r>
          </w:p>
        </w:tc>
        <w:tc>
          <w:tcPr>
            <w:tcW w:w="542" w:type="dxa"/>
            <w:shd w:val="clear" w:color="auto" w:fill="auto"/>
            <w:noWrap w:val="0"/>
            <w:vAlign w:val="center"/>
          </w:tcPr>
          <w:p w14:paraId="45239DCD">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110.3</w:t>
            </w:r>
          </w:p>
        </w:tc>
        <w:tc>
          <w:tcPr>
            <w:tcW w:w="558" w:type="dxa"/>
            <w:shd w:val="clear" w:color="auto" w:fill="auto"/>
            <w:noWrap w:val="0"/>
            <w:vAlign w:val="center"/>
          </w:tcPr>
          <w:p w14:paraId="13551F4A">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52.5</w:t>
            </w:r>
          </w:p>
        </w:tc>
        <w:tc>
          <w:tcPr>
            <w:tcW w:w="542" w:type="dxa"/>
            <w:shd w:val="clear" w:color="auto" w:fill="auto"/>
            <w:noWrap w:val="0"/>
            <w:vAlign w:val="center"/>
          </w:tcPr>
          <w:p w14:paraId="0AAAAF21">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 xml:space="preserve">49.8 </w:t>
            </w:r>
          </w:p>
        </w:tc>
        <w:tc>
          <w:tcPr>
            <w:tcW w:w="542" w:type="dxa"/>
            <w:shd w:val="clear" w:color="auto" w:fill="auto"/>
            <w:noWrap w:val="0"/>
            <w:vAlign w:val="center"/>
          </w:tcPr>
          <w:p w14:paraId="1BFCE59E">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 xml:space="preserve">49.8 </w:t>
            </w:r>
          </w:p>
        </w:tc>
        <w:tc>
          <w:tcPr>
            <w:tcW w:w="542" w:type="dxa"/>
            <w:shd w:val="clear" w:color="auto" w:fill="auto"/>
            <w:noWrap w:val="0"/>
            <w:vAlign w:val="center"/>
          </w:tcPr>
          <w:p w14:paraId="301FB3FD">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 xml:space="preserve">49.8 </w:t>
            </w:r>
          </w:p>
        </w:tc>
        <w:tc>
          <w:tcPr>
            <w:tcW w:w="555" w:type="dxa"/>
            <w:shd w:val="clear" w:color="auto" w:fill="auto"/>
            <w:noWrap w:val="0"/>
            <w:vAlign w:val="center"/>
          </w:tcPr>
          <w:p w14:paraId="42B71B8D">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 xml:space="preserve">49.8 </w:t>
            </w:r>
          </w:p>
        </w:tc>
        <w:tc>
          <w:tcPr>
            <w:tcW w:w="542" w:type="dxa"/>
            <w:vMerge w:val="continue"/>
            <w:shd w:val="clear" w:color="auto" w:fill="auto"/>
            <w:noWrap w:val="0"/>
            <w:vAlign w:val="center"/>
          </w:tcPr>
          <w:p w14:paraId="6F252AF8">
            <w:pPr>
              <w:spacing w:line="280" w:lineRule="exact"/>
              <w:jc w:val="center"/>
              <w:rPr>
                <w:rFonts w:hint="default" w:ascii="Times New Roman" w:hAnsi="Times New Roman" w:eastAsia="宋体"/>
                <w:color w:val="auto"/>
                <w:szCs w:val="21"/>
                <w:highlight w:val="none"/>
                <w:lang w:val="en-US" w:eastAsia="zh-CN"/>
              </w:rPr>
            </w:pPr>
          </w:p>
        </w:tc>
        <w:tc>
          <w:tcPr>
            <w:tcW w:w="897" w:type="dxa"/>
            <w:shd w:val="clear" w:color="auto" w:fill="auto"/>
            <w:noWrap w:val="0"/>
            <w:vAlign w:val="center"/>
          </w:tcPr>
          <w:p w14:paraId="29181EF3">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24.3</w:t>
            </w:r>
          </w:p>
        </w:tc>
        <w:tc>
          <w:tcPr>
            <w:tcW w:w="746" w:type="dxa"/>
            <w:shd w:val="clear" w:color="auto" w:fill="auto"/>
            <w:noWrap w:val="0"/>
            <w:vAlign w:val="center"/>
          </w:tcPr>
          <w:p w14:paraId="32701183">
            <w:pPr>
              <w:spacing w:line="280" w:lineRule="exact"/>
              <w:jc w:val="center"/>
              <w:rPr>
                <w:rFonts w:hint="eastAsia" w:cs="Times New Roman"/>
                <w:color w:val="auto"/>
                <w:szCs w:val="21"/>
                <w:highlight w:val="none"/>
                <w:lang w:val="en-US" w:eastAsia="zh-CN"/>
              </w:rPr>
            </w:pPr>
            <w:r>
              <w:rPr>
                <w:rFonts w:hint="eastAsia" w:cs="Times New Roman"/>
                <w:color w:val="auto"/>
                <w:szCs w:val="21"/>
                <w:highlight w:val="none"/>
                <w:lang w:val="en-US" w:eastAsia="zh-CN"/>
              </w:rPr>
              <w:t>25.5</w:t>
            </w:r>
          </w:p>
        </w:tc>
        <w:tc>
          <w:tcPr>
            <w:tcW w:w="689" w:type="dxa"/>
            <w:shd w:val="clear" w:color="auto" w:fill="auto"/>
            <w:noWrap w:val="0"/>
            <w:vAlign w:val="center"/>
          </w:tcPr>
          <w:p w14:paraId="5A8A3C46">
            <w:pPr>
              <w:spacing w:line="280" w:lineRule="exact"/>
              <w:jc w:val="center"/>
              <w:rPr>
                <w:rFonts w:hint="eastAsia" w:cs="Times New Roman"/>
                <w:color w:val="auto"/>
                <w:szCs w:val="21"/>
                <w:highlight w:val="none"/>
                <w:lang w:val="en-US" w:eastAsia="zh-CN"/>
              </w:rPr>
            </w:pPr>
            <w:r>
              <w:rPr>
                <w:rFonts w:hint="eastAsia" w:cs="Times New Roman"/>
                <w:color w:val="auto"/>
                <w:szCs w:val="21"/>
                <w:highlight w:val="none"/>
                <w:lang w:val="en-US" w:eastAsia="zh-CN"/>
              </w:rPr>
              <w:t>25.5</w:t>
            </w:r>
          </w:p>
        </w:tc>
        <w:tc>
          <w:tcPr>
            <w:tcW w:w="838" w:type="dxa"/>
            <w:shd w:val="clear" w:color="auto" w:fill="auto"/>
            <w:noWrap w:val="0"/>
            <w:vAlign w:val="center"/>
          </w:tcPr>
          <w:p w14:paraId="24C9CF99">
            <w:pPr>
              <w:spacing w:line="280" w:lineRule="exact"/>
              <w:jc w:val="center"/>
              <w:rPr>
                <w:rFonts w:hint="eastAsia" w:cs="Times New Roman"/>
                <w:color w:val="auto"/>
                <w:szCs w:val="21"/>
                <w:highlight w:val="none"/>
                <w:lang w:val="en-US" w:eastAsia="zh-CN"/>
              </w:rPr>
            </w:pPr>
            <w:r>
              <w:rPr>
                <w:rFonts w:hint="eastAsia" w:cs="Times New Roman"/>
                <w:color w:val="auto"/>
                <w:szCs w:val="21"/>
                <w:highlight w:val="none"/>
                <w:lang w:val="en-US" w:eastAsia="zh-CN"/>
              </w:rPr>
              <w:t>25.5</w:t>
            </w:r>
          </w:p>
        </w:tc>
        <w:tc>
          <w:tcPr>
            <w:tcW w:w="750" w:type="dxa"/>
            <w:shd w:val="clear" w:color="auto" w:fill="auto"/>
            <w:noWrap w:val="0"/>
            <w:vAlign w:val="center"/>
          </w:tcPr>
          <w:p w14:paraId="15067BFB">
            <w:pPr>
              <w:spacing w:line="280" w:lineRule="exact"/>
              <w:jc w:val="center"/>
              <w:rPr>
                <w:rFonts w:hint="eastAsia" w:cs="Times New Roman"/>
                <w:color w:val="auto"/>
                <w:szCs w:val="21"/>
                <w:highlight w:val="none"/>
                <w:lang w:val="en-US" w:eastAsia="zh-CN"/>
              </w:rPr>
            </w:pPr>
            <w:r>
              <w:rPr>
                <w:rFonts w:hint="eastAsia" w:cs="Times New Roman"/>
                <w:color w:val="auto"/>
                <w:szCs w:val="21"/>
                <w:highlight w:val="none"/>
                <w:lang w:val="en-US" w:eastAsia="zh-CN"/>
              </w:rPr>
              <w:t>25.5</w:t>
            </w:r>
          </w:p>
        </w:tc>
        <w:tc>
          <w:tcPr>
            <w:tcW w:w="1096" w:type="dxa"/>
            <w:shd w:val="clear" w:color="auto" w:fill="auto"/>
            <w:noWrap w:val="0"/>
            <w:vAlign w:val="center"/>
          </w:tcPr>
          <w:p w14:paraId="473B7028">
            <w:pPr>
              <w:spacing w:line="280" w:lineRule="exact"/>
              <w:jc w:val="center"/>
              <w:rPr>
                <w:rFonts w:hint="eastAsia"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1</w:t>
            </w:r>
          </w:p>
        </w:tc>
      </w:tr>
      <w:tr w14:paraId="16BECB9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27" w:type="dxa"/>
            <w:shd w:val="clear" w:color="auto" w:fill="auto"/>
            <w:noWrap w:val="0"/>
            <w:vAlign w:val="center"/>
          </w:tcPr>
          <w:p w14:paraId="46A6574B">
            <w:pPr>
              <w:spacing w:line="280" w:lineRule="exact"/>
              <w:jc w:val="center"/>
              <w:rPr>
                <w:rFonts w:hint="default" w:ascii="Times New Roman" w:hAnsi="Times New Roman"/>
                <w:color w:val="auto"/>
                <w:szCs w:val="21"/>
                <w:highlight w:val="none"/>
                <w:lang w:val="en-US" w:eastAsia="zh-CN"/>
              </w:rPr>
            </w:pPr>
            <w:r>
              <w:rPr>
                <w:rFonts w:hint="eastAsia"/>
                <w:color w:val="auto"/>
                <w:szCs w:val="21"/>
                <w:highlight w:val="none"/>
                <w:lang w:val="en-US" w:eastAsia="zh-CN"/>
              </w:rPr>
              <w:t>24</w:t>
            </w:r>
          </w:p>
        </w:tc>
        <w:tc>
          <w:tcPr>
            <w:tcW w:w="1428" w:type="dxa"/>
            <w:shd w:val="clear" w:color="auto" w:fill="auto"/>
            <w:noWrap w:val="0"/>
            <w:vAlign w:val="center"/>
          </w:tcPr>
          <w:p w14:paraId="755C75B7">
            <w:pPr>
              <w:autoSpaceDN w:val="0"/>
              <w:adjustRightInd w:val="0"/>
              <w:snapToGrid w:val="0"/>
              <w:jc w:val="center"/>
              <w:textAlignment w:val="top"/>
              <w:rPr>
                <w:rFonts w:hint="default" w:ascii="Times New Roman" w:hAnsi="Times New Roman" w:eastAsia="宋体" w:cs="Times New Roman"/>
                <w:color w:val="auto"/>
                <w:kern w:val="2"/>
                <w:sz w:val="21"/>
                <w:szCs w:val="21"/>
                <w:highlight w:val="none"/>
                <w:lang w:val="en-US" w:eastAsia="zh-CN" w:bidi="ar-SA"/>
              </w:rPr>
            </w:pPr>
            <w:r>
              <w:rPr>
                <w:rFonts w:hint="eastAsia" w:ascii="宋体"/>
                <w:color w:val="auto"/>
                <w:szCs w:val="21"/>
                <w:highlight w:val="none"/>
                <w:lang w:val="en-US" w:eastAsia="zh-CN"/>
              </w:rPr>
              <w:t>自动冲壳机</w:t>
            </w:r>
          </w:p>
        </w:tc>
        <w:tc>
          <w:tcPr>
            <w:tcW w:w="537" w:type="dxa"/>
            <w:shd w:val="clear" w:color="auto" w:fill="auto"/>
            <w:noWrap w:val="0"/>
            <w:vAlign w:val="center"/>
          </w:tcPr>
          <w:p w14:paraId="33D83348">
            <w:pPr>
              <w:spacing w:line="280" w:lineRule="exact"/>
              <w:jc w:val="center"/>
              <w:rPr>
                <w:rFonts w:hint="default" w:ascii="Times New Roman" w:hAnsi="Times New Roman"/>
                <w:color w:val="auto"/>
                <w:szCs w:val="21"/>
                <w:highlight w:val="none"/>
                <w:lang w:val="en-US" w:eastAsia="zh-CN"/>
              </w:rPr>
            </w:pPr>
            <w:r>
              <w:rPr>
                <w:rFonts w:hint="eastAsia"/>
                <w:color w:val="auto"/>
                <w:szCs w:val="21"/>
                <w:highlight w:val="none"/>
                <w:lang w:val="en-US" w:eastAsia="zh-CN"/>
              </w:rPr>
              <w:t>80</w:t>
            </w:r>
          </w:p>
        </w:tc>
        <w:tc>
          <w:tcPr>
            <w:tcW w:w="537" w:type="dxa"/>
            <w:shd w:val="clear" w:color="auto" w:fill="auto"/>
            <w:noWrap w:val="0"/>
            <w:vAlign w:val="center"/>
          </w:tcPr>
          <w:p w14:paraId="7F2D6688">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w:t>
            </w:r>
            <w:r>
              <w:rPr>
                <w:rFonts w:hint="default" w:ascii="Times New Roman" w:hAnsi="Times New Roman" w:eastAsia="宋体" w:cs="Times New Roman"/>
                <w:color w:val="auto"/>
                <w:szCs w:val="21"/>
                <w:highlight w:val="none"/>
                <w:lang w:val="en-US" w:eastAsia="zh-CN"/>
              </w:rPr>
              <w:t>4.15</w:t>
            </w:r>
          </w:p>
        </w:tc>
        <w:tc>
          <w:tcPr>
            <w:tcW w:w="537" w:type="dxa"/>
            <w:shd w:val="clear" w:color="auto" w:fill="auto"/>
            <w:noWrap w:val="0"/>
            <w:vAlign w:val="center"/>
          </w:tcPr>
          <w:p w14:paraId="00EDB932">
            <w:pPr>
              <w:spacing w:line="280" w:lineRule="exact"/>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129.53</w:t>
            </w:r>
          </w:p>
        </w:tc>
        <w:tc>
          <w:tcPr>
            <w:tcW w:w="558" w:type="dxa"/>
            <w:shd w:val="clear" w:color="auto" w:fill="auto"/>
            <w:noWrap w:val="0"/>
            <w:vAlign w:val="center"/>
          </w:tcPr>
          <w:p w14:paraId="249FE2E3">
            <w:pPr>
              <w:spacing w:line="280" w:lineRule="exact"/>
              <w:jc w:val="center"/>
              <w:rPr>
                <w:rFonts w:hint="eastAsia"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1.2</w:t>
            </w:r>
          </w:p>
        </w:tc>
        <w:tc>
          <w:tcPr>
            <w:tcW w:w="537" w:type="dxa"/>
            <w:shd w:val="clear" w:color="auto" w:fill="auto"/>
            <w:noWrap w:val="0"/>
            <w:vAlign w:val="center"/>
          </w:tcPr>
          <w:p w14:paraId="6F88E963">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52.9</w:t>
            </w:r>
          </w:p>
        </w:tc>
        <w:tc>
          <w:tcPr>
            <w:tcW w:w="537" w:type="dxa"/>
            <w:shd w:val="clear" w:color="auto" w:fill="auto"/>
            <w:noWrap w:val="0"/>
            <w:vAlign w:val="center"/>
          </w:tcPr>
          <w:p w14:paraId="008447A0">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130.1</w:t>
            </w:r>
          </w:p>
        </w:tc>
        <w:tc>
          <w:tcPr>
            <w:tcW w:w="542" w:type="dxa"/>
            <w:shd w:val="clear" w:color="auto" w:fill="auto"/>
            <w:noWrap w:val="0"/>
            <w:vAlign w:val="center"/>
          </w:tcPr>
          <w:p w14:paraId="5C7E4E41">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95.3</w:t>
            </w:r>
          </w:p>
        </w:tc>
        <w:tc>
          <w:tcPr>
            <w:tcW w:w="558" w:type="dxa"/>
            <w:shd w:val="clear" w:color="auto" w:fill="auto"/>
            <w:noWrap w:val="0"/>
            <w:vAlign w:val="center"/>
          </w:tcPr>
          <w:p w14:paraId="33F67627">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49.3</w:t>
            </w:r>
          </w:p>
        </w:tc>
        <w:tc>
          <w:tcPr>
            <w:tcW w:w="542" w:type="dxa"/>
            <w:shd w:val="clear" w:color="auto" w:fill="auto"/>
            <w:noWrap w:val="0"/>
            <w:vAlign w:val="center"/>
          </w:tcPr>
          <w:p w14:paraId="14A42A1F">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 xml:space="preserve">54.8 </w:t>
            </w:r>
          </w:p>
        </w:tc>
        <w:tc>
          <w:tcPr>
            <w:tcW w:w="542" w:type="dxa"/>
            <w:shd w:val="clear" w:color="auto" w:fill="auto"/>
            <w:noWrap w:val="0"/>
            <w:vAlign w:val="center"/>
          </w:tcPr>
          <w:p w14:paraId="186EBA35">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 xml:space="preserve">54.8 </w:t>
            </w:r>
          </w:p>
        </w:tc>
        <w:tc>
          <w:tcPr>
            <w:tcW w:w="542" w:type="dxa"/>
            <w:shd w:val="clear" w:color="auto" w:fill="auto"/>
            <w:noWrap w:val="0"/>
            <w:vAlign w:val="center"/>
          </w:tcPr>
          <w:p w14:paraId="1CEE5F86">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 xml:space="preserve">54.8 </w:t>
            </w:r>
          </w:p>
        </w:tc>
        <w:tc>
          <w:tcPr>
            <w:tcW w:w="555" w:type="dxa"/>
            <w:shd w:val="clear" w:color="auto" w:fill="auto"/>
            <w:noWrap w:val="0"/>
            <w:vAlign w:val="center"/>
          </w:tcPr>
          <w:p w14:paraId="5DEACEBB">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 xml:space="preserve">54.8 </w:t>
            </w:r>
          </w:p>
        </w:tc>
        <w:tc>
          <w:tcPr>
            <w:tcW w:w="542" w:type="dxa"/>
            <w:vMerge w:val="continue"/>
            <w:shd w:val="clear" w:color="auto" w:fill="auto"/>
            <w:noWrap w:val="0"/>
            <w:vAlign w:val="center"/>
          </w:tcPr>
          <w:p w14:paraId="457283B1">
            <w:pPr>
              <w:spacing w:line="280" w:lineRule="exact"/>
              <w:jc w:val="center"/>
              <w:rPr>
                <w:rFonts w:hint="default" w:ascii="Times New Roman" w:hAnsi="Times New Roman" w:eastAsia="宋体"/>
                <w:color w:val="auto"/>
                <w:szCs w:val="21"/>
                <w:highlight w:val="none"/>
                <w:lang w:val="en-US" w:eastAsia="zh-CN"/>
              </w:rPr>
            </w:pPr>
          </w:p>
        </w:tc>
        <w:tc>
          <w:tcPr>
            <w:tcW w:w="897" w:type="dxa"/>
            <w:shd w:val="clear" w:color="auto" w:fill="auto"/>
            <w:noWrap w:val="0"/>
            <w:vAlign w:val="center"/>
          </w:tcPr>
          <w:p w14:paraId="330FF8A2">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24.3</w:t>
            </w:r>
          </w:p>
        </w:tc>
        <w:tc>
          <w:tcPr>
            <w:tcW w:w="746" w:type="dxa"/>
            <w:shd w:val="clear" w:color="auto" w:fill="auto"/>
            <w:noWrap w:val="0"/>
            <w:vAlign w:val="center"/>
          </w:tcPr>
          <w:p w14:paraId="19E12E40">
            <w:pPr>
              <w:spacing w:line="280" w:lineRule="exact"/>
              <w:jc w:val="center"/>
              <w:rPr>
                <w:rFonts w:hint="eastAsia" w:cs="Times New Roman"/>
                <w:color w:val="auto"/>
                <w:szCs w:val="21"/>
                <w:highlight w:val="none"/>
                <w:lang w:val="en-US" w:eastAsia="zh-CN"/>
              </w:rPr>
            </w:pPr>
            <w:r>
              <w:rPr>
                <w:rFonts w:hint="eastAsia" w:cs="Times New Roman"/>
                <w:color w:val="auto"/>
                <w:szCs w:val="21"/>
                <w:highlight w:val="none"/>
                <w:lang w:val="en-US" w:eastAsia="zh-CN"/>
              </w:rPr>
              <w:t>30.5</w:t>
            </w:r>
          </w:p>
        </w:tc>
        <w:tc>
          <w:tcPr>
            <w:tcW w:w="689" w:type="dxa"/>
            <w:shd w:val="clear" w:color="auto" w:fill="auto"/>
            <w:noWrap w:val="0"/>
            <w:vAlign w:val="center"/>
          </w:tcPr>
          <w:p w14:paraId="6F31F4E3">
            <w:pPr>
              <w:spacing w:line="280" w:lineRule="exact"/>
              <w:jc w:val="center"/>
              <w:rPr>
                <w:rFonts w:hint="eastAsia" w:cs="Times New Roman"/>
                <w:color w:val="auto"/>
                <w:szCs w:val="21"/>
                <w:highlight w:val="none"/>
                <w:lang w:val="en-US" w:eastAsia="zh-CN"/>
              </w:rPr>
            </w:pPr>
            <w:r>
              <w:rPr>
                <w:rFonts w:hint="eastAsia" w:cs="Times New Roman"/>
                <w:color w:val="auto"/>
                <w:szCs w:val="21"/>
                <w:highlight w:val="none"/>
                <w:lang w:val="en-US" w:eastAsia="zh-CN"/>
              </w:rPr>
              <w:t>30.5</w:t>
            </w:r>
          </w:p>
        </w:tc>
        <w:tc>
          <w:tcPr>
            <w:tcW w:w="838" w:type="dxa"/>
            <w:shd w:val="clear" w:color="auto" w:fill="auto"/>
            <w:noWrap w:val="0"/>
            <w:vAlign w:val="center"/>
          </w:tcPr>
          <w:p w14:paraId="0B9C99E3">
            <w:pPr>
              <w:spacing w:line="280" w:lineRule="exact"/>
              <w:jc w:val="center"/>
              <w:rPr>
                <w:rFonts w:hint="eastAsia" w:cs="Times New Roman"/>
                <w:color w:val="auto"/>
                <w:szCs w:val="21"/>
                <w:highlight w:val="none"/>
                <w:lang w:val="en-US" w:eastAsia="zh-CN"/>
              </w:rPr>
            </w:pPr>
            <w:r>
              <w:rPr>
                <w:rFonts w:hint="eastAsia" w:cs="Times New Roman"/>
                <w:color w:val="auto"/>
                <w:szCs w:val="21"/>
                <w:highlight w:val="none"/>
                <w:lang w:val="en-US" w:eastAsia="zh-CN"/>
              </w:rPr>
              <w:t>30.5</w:t>
            </w:r>
          </w:p>
        </w:tc>
        <w:tc>
          <w:tcPr>
            <w:tcW w:w="750" w:type="dxa"/>
            <w:shd w:val="clear" w:color="auto" w:fill="auto"/>
            <w:noWrap w:val="0"/>
            <w:vAlign w:val="center"/>
          </w:tcPr>
          <w:p w14:paraId="5E960C47">
            <w:pPr>
              <w:spacing w:line="280" w:lineRule="exact"/>
              <w:jc w:val="center"/>
              <w:rPr>
                <w:rFonts w:hint="eastAsia" w:cs="Times New Roman"/>
                <w:color w:val="auto"/>
                <w:szCs w:val="21"/>
                <w:highlight w:val="none"/>
                <w:lang w:val="en-US" w:eastAsia="zh-CN"/>
              </w:rPr>
            </w:pPr>
            <w:r>
              <w:rPr>
                <w:rFonts w:hint="eastAsia" w:cs="Times New Roman"/>
                <w:color w:val="auto"/>
                <w:szCs w:val="21"/>
                <w:highlight w:val="none"/>
                <w:lang w:val="en-US" w:eastAsia="zh-CN"/>
              </w:rPr>
              <w:t>30.5</w:t>
            </w:r>
          </w:p>
        </w:tc>
        <w:tc>
          <w:tcPr>
            <w:tcW w:w="1096" w:type="dxa"/>
            <w:shd w:val="clear" w:color="auto" w:fill="auto"/>
            <w:noWrap w:val="0"/>
            <w:vAlign w:val="center"/>
          </w:tcPr>
          <w:p w14:paraId="058F15A3">
            <w:pPr>
              <w:spacing w:line="280" w:lineRule="exact"/>
              <w:jc w:val="center"/>
              <w:rPr>
                <w:rFonts w:hint="eastAsia"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1</w:t>
            </w:r>
          </w:p>
        </w:tc>
      </w:tr>
      <w:tr w14:paraId="654C0AD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27" w:type="dxa"/>
            <w:shd w:val="clear" w:color="auto" w:fill="auto"/>
            <w:noWrap w:val="0"/>
            <w:vAlign w:val="center"/>
          </w:tcPr>
          <w:p w14:paraId="0F452D6C">
            <w:pPr>
              <w:spacing w:line="280" w:lineRule="exact"/>
              <w:jc w:val="center"/>
              <w:rPr>
                <w:rFonts w:hint="default" w:ascii="Times New Roman" w:hAnsi="Times New Roman"/>
                <w:color w:val="auto"/>
                <w:szCs w:val="21"/>
                <w:highlight w:val="none"/>
                <w:lang w:val="en-US" w:eastAsia="zh-CN"/>
              </w:rPr>
            </w:pPr>
            <w:r>
              <w:rPr>
                <w:rFonts w:hint="eastAsia"/>
                <w:color w:val="auto"/>
                <w:szCs w:val="21"/>
                <w:highlight w:val="none"/>
                <w:lang w:val="en-US" w:eastAsia="zh-CN"/>
              </w:rPr>
              <w:t>25</w:t>
            </w:r>
          </w:p>
        </w:tc>
        <w:tc>
          <w:tcPr>
            <w:tcW w:w="1428" w:type="dxa"/>
            <w:shd w:val="clear" w:color="auto" w:fill="auto"/>
            <w:noWrap w:val="0"/>
            <w:vAlign w:val="center"/>
          </w:tcPr>
          <w:p w14:paraId="76E73875">
            <w:pPr>
              <w:autoSpaceDN w:val="0"/>
              <w:adjustRightInd w:val="0"/>
              <w:snapToGrid w:val="0"/>
              <w:jc w:val="center"/>
              <w:textAlignment w:val="top"/>
              <w:rPr>
                <w:rFonts w:hint="default" w:ascii="Times New Roman" w:hAnsi="Times New Roman" w:eastAsia="宋体" w:cs="Times New Roman"/>
                <w:color w:val="auto"/>
                <w:kern w:val="2"/>
                <w:sz w:val="21"/>
                <w:szCs w:val="21"/>
                <w:highlight w:val="none"/>
                <w:lang w:val="en-US" w:eastAsia="zh-CN" w:bidi="ar-SA"/>
              </w:rPr>
            </w:pPr>
            <w:r>
              <w:rPr>
                <w:rFonts w:hint="eastAsia" w:ascii="宋体"/>
                <w:color w:val="auto"/>
                <w:szCs w:val="21"/>
                <w:highlight w:val="none"/>
                <w:lang w:val="en-US" w:eastAsia="zh-CN"/>
              </w:rPr>
              <w:t>自动包装机</w:t>
            </w:r>
          </w:p>
        </w:tc>
        <w:tc>
          <w:tcPr>
            <w:tcW w:w="537" w:type="dxa"/>
            <w:shd w:val="clear" w:color="auto" w:fill="auto"/>
            <w:noWrap w:val="0"/>
            <w:vAlign w:val="center"/>
          </w:tcPr>
          <w:p w14:paraId="1F708617">
            <w:pPr>
              <w:spacing w:line="280" w:lineRule="exact"/>
              <w:jc w:val="center"/>
              <w:rPr>
                <w:rFonts w:hint="default" w:ascii="Times New Roman" w:hAnsi="Times New Roman"/>
                <w:color w:val="auto"/>
                <w:szCs w:val="21"/>
                <w:highlight w:val="none"/>
                <w:lang w:val="en-US" w:eastAsia="zh-CN"/>
              </w:rPr>
            </w:pPr>
            <w:r>
              <w:rPr>
                <w:rFonts w:hint="eastAsia"/>
                <w:color w:val="auto"/>
                <w:szCs w:val="21"/>
                <w:highlight w:val="none"/>
                <w:lang w:val="en-US" w:eastAsia="zh-CN"/>
              </w:rPr>
              <w:t>75</w:t>
            </w:r>
          </w:p>
        </w:tc>
        <w:tc>
          <w:tcPr>
            <w:tcW w:w="537" w:type="dxa"/>
            <w:shd w:val="clear" w:color="auto" w:fill="auto"/>
            <w:noWrap w:val="0"/>
            <w:vAlign w:val="center"/>
          </w:tcPr>
          <w:p w14:paraId="38D620F6">
            <w:pPr>
              <w:spacing w:line="280" w:lineRule="exact"/>
              <w:jc w:val="center"/>
              <w:rPr>
                <w:rFonts w:hint="default" w:ascii="Times New Roman" w:hAnsi="Times New Roman" w:eastAsia="宋体" w:cs="Times New Roman"/>
                <w:color w:val="auto"/>
                <w:szCs w:val="21"/>
                <w:highlight w:val="none"/>
                <w:lang w:val="en-US" w:eastAsia="zh-CN"/>
              </w:rPr>
            </w:pPr>
            <w:r>
              <w:rPr>
                <w:rFonts w:hint="eastAsia"/>
                <w:color w:val="auto"/>
                <w:highlight w:val="none"/>
              </w:rPr>
              <w:t>-1.97</w:t>
            </w:r>
          </w:p>
        </w:tc>
        <w:tc>
          <w:tcPr>
            <w:tcW w:w="537" w:type="dxa"/>
            <w:shd w:val="clear" w:color="auto" w:fill="auto"/>
            <w:noWrap w:val="0"/>
            <w:vAlign w:val="center"/>
          </w:tcPr>
          <w:p w14:paraId="1FA07B8A">
            <w:pPr>
              <w:spacing w:line="280" w:lineRule="exact"/>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125.19</w:t>
            </w:r>
          </w:p>
        </w:tc>
        <w:tc>
          <w:tcPr>
            <w:tcW w:w="558" w:type="dxa"/>
            <w:shd w:val="clear" w:color="auto" w:fill="auto"/>
            <w:noWrap w:val="0"/>
            <w:vAlign w:val="center"/>
          </w:tcPr>
          <w:p w14:paraId="4959BFC6">
            <w:pPr>
              <w:spacing w:line="280" w:lineRule="exact"/>
              <w:jc w:val="center"/>
              <w:rPr>
                <w:rFonts w:hint="eastAsia"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1.2</w:t>
            </w:r>
          </w:p>
        </w:tc>
        <w:tc>
          <w:tcPr>
            <w:tcW w:w="537" w:type="dxa"/>
            <w:shd w:val="clear" w:color="auto" w:fill="auto"/>
            <w:noWrap w:val="0"/>
            <w:vAlign w:val="center"/>
          </w:tcPr>
          <w:p w14:paraId="765AEFE6">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52.1</w:t>
            </w:r>
          </w:p>
        </w:tc>
        <w:tc>
          <w:tcPr>
            <w:tcW w:w="537" w:type="dxa"/>
            <w:shd w:val="clear" w:color="auto" w:fill="auto"/>
            <w:noWrap w:val="0"/>
            <w:vAlign w:val="center"/>
          </w:tcPr>
          <w:p w14:paraId="081CF6C0">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123.2</w:t>
            </w:r>
          </w:p>
        </w:tc>
        <w:tc>
          <w:tcPr>
            <w:tcW w:w="542" w:type="dxa"/>
            <w:shd w:val="clear" w:color="auto" w:fill="auto"/>
            <w:noWrap w:val="0"/>
            <w:vAlign w:val="center"/>
          </w:tcPr>
          <w:p w14:paraId="546E7E8E">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94.7</w:t>
            </w:r>
          </w:p>
        </w:tc>
        <w:tc>
          <w:tcPr>
            <w:tcW w:w="558" w:type="dxa"/>
            <w:shd w:val="clear" w:color="auto" w:fill="auto"/>
            <w:noWrap w:val="0"/>
            <w:vAlign w:val="center"/>
          </w:tcPr>
          <w:p w14:paraId="053ACAF0">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54.2</w:t>
            </w:r>
          </w:p>
        </w:tc>
        <w:tc>
          <w:tcPr>
            <w:tcW w:w="542" w:type="dxa"/>
            <w:shd w:val="clear" w:color="auto" w:fill="auto"/>
            <w:noWrap w:val="0"/>
            <w:vAlign w:val="center"/>
          </w:tcPr>
          <w:p w14:paraId="4F334DC4">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 xml:space="preserve">49.8 </w:t>
            </w:r>
          </w:p>
        </w:tc>
        <w:tc>
          <w:tcPr>
            <w:tcW w:w="542" w:type="dxa"/>
            <w:shd w:val="clear" w:color="auto" w:fill="auto"/>
            <w:noWrap w:val="0"/>
            <w:vAlign w:val="center"/>
          </w:tcPr>
          <w:p w14:paraId="75B58478">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 xml:space="preserve">49.8 </w:t>
            </w:r>
          </w:p>
        </w:tc>
        <w:tc>
          <w:tcPr>
            <w:tcW w:w="542" w:type="dxa"/>
            <w:shd w:val="clear" w:color="auto" w:fill="auto"/>
            <w:noWrap w:val="0"/>
            <w:vAlign w:val="center"/>
          </w:tcPr>
          <w:p w14:paraId="6152245B">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 xml:space="preserve">49.8 </w:t>
            </w:r>
          </w:p>
        </w:tc>
        <w:tc>
          <w:tcPr>
            <w:tcW w:w="555" w:type="dxa"/>
            <w:shd w:val="clear" w:color="auto" w:fill="auto"/>
            <w:noWrap w:val="0"/>
            <w:vAlign w:val="center"/>
          </w:tcPr>
          <w:p w14:paraId="64920511">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 xml:space="preserve">49.8 </w:t>
            </w:r>
          </w:p>
        </w:tc>
        <w:tc>
          <w:tcPr>
            <w:tcW w:w="542" w:type="dxa"/>
            <w:vMerge w:val="continue"/>
            <w:shd w:val="clear" w:color="auto" w:fill="auto"/>
            <w:noWrap w:val="0"/>
            <w:vAlign w:val="center"/>
          </w:tcPr>
          <w:p w14:paraId="4427A250">
            <w:pPr>
              <w:spacing w:line="280" w:lineRule="exact"/>
              <w:jc w:val="center"/>
              <w:rPr>
                <w:rFonts w:hint="default" w:ascii="Times New Roman" w:hAnsi="Times New Roman" w:eastAsia="宋体"/>
                <w:color w:val="auto"/>
                <w:szCs w:val="21"/>
                <w:highlight w:val="none"/>
                <w:lang w:val="en-US" w:eastAsia="zh-CN"/>
              </w:rPr>
            </w:pPr>
          </w:p>
        </w:tc>
        <w:tc>
          <w:tcPr>
            <w:tcW w:w="897" w:type="dxa"/>
            <w:shd w:val="clear" w:color="auto" w:fill="auto"/>
            <w:noWrap w:val="0"/>
            <w:vAlign w:val="center"/>
          </w:tcPr>
          <w:p w14:paraId="6640C5BE">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24.3</w:t>
            </w:r>
          </w:p>
        </w:tc>
        <w:tc>
          <w:tcPr>
            <w:tcW w:w="746" w:type="dxa"/>
            <w:shd w:val="clear" w:color="auto" w:fill="auto"/>
            <w:noWrap w:val="0"/>
            <w:vAlign w:val="center"/>
          </w:tcPr>
          <w:p w14:paraId="669B1C91">
            <w:pPr>
              <w:spacing w:line="280" w:lineRule="exact"/>
              <w:jc w:val="center"/>
              <w:rPr>
                <w:rFonts w:hint="eastAsia" w:cs="Times New Roman"/>
                <w:color w:val="auto"/>
                <w:szCs w:val="21"/>
                <w:highlight w:val="none"/>
                <w:lang w:val="en-US" w:eastAsia="zh-CN"/>
              </w:rPr>
            </w:pPr>
            <w:r>
              <w:rPr>
                <w:rFonts w:hint="eastAsia" w:cs="Times New Roman"/>
                <w:color w:val="auto"/>
                <w:szCs w:val="21"/>
                <w:highlight w:val="none"/>
                <w:lang w:val="en-US" w:eastAsia="zh-CN"/>
              </w:rPr>
              <w:t>25.5</w:t>
            </w:r>
          </w:p>
        </w:tc>
        <w:tc>
          <w:tcPr>
            <w:tcW w:w="689" w:type="dxa"/>
            <w:shd w:val="clear" w:color="auto" w:fill="auto"/>
            <w:noWrap w:val="0"/>
            <w:vAlign w:val="center"/>
          </w:tcPr>
          <w:p w14:paraId="198F966B">
            <w:pPr>
              <w:spacing w:line="280" w:lineRule="exact"/>
              <w:jc w:val="center"/>
              <w:rPr>
                <w:rFonts w:hint="eastAsia" w:cs="Times New Roman"/>
                <w:color w:val="auto"/>
                <w:szCs w:val="21"/>
                <w:highlight w:val="none"/>
                <w:lang w:val="en-US" w:eastAsia="zh-CN"/>
              </w:rPr>
            </w:pPr>
            <w:r>
              <w:rPr>
                <w:rFonts w:hint="eastAsia" w:cs="Times New Roman"/>
                <w:color w:val="auto"/>
                <w:szCs w:val="21"/>
                <w:highlight w:val="none"/>
                <w:lang w:val="en-US" w:eastAsia="zh-CN"/>
              </w:rPr>
              <w:t>25.5</w:t>
            </w:r>
          </w:p>
        </w:tc>
        <w:tc>
          <w:tcPr>
            <w:tcW w:w="838" w:type="dxa"/>
            <w:shd w:val="clear" w:color="auto" w:fill="auto"/>
            <w:noWrap w:val="0"/>
            <w:vAlign w:val="center"/>
          </w:tcPr>
          <w:p w14:paraId="7D7330EE">
            <w:pPr>
              <w:spacing w:line="280" w:lineRule="exact"/>
              <w:jc w:val="center"/>
              <w:rPr>
                <w:rFonts w:hint="eastAsia" w:cs="Times New Roman"/>
                <w:color w:val="auto"/>
                <w:szCs w:val="21"/>
                <w:highlight w:val="none"/>
                <w:lang w:val="en-US" w:eastAsia="zh-CN"/>
              </w:rPr>
            </w:pPr>
            <w:r>
              <w:rPr>
                <w:rFonts w:hint="eastAsia" w:cs="Times New Roman"/>
                <w:color w:val="auto"/>
                <w:szCs w:val="21"/>
                <w:highlight w:val="none"/>
                <w:lang w:val="en-US" w:eastAsia="zh-CN"/>
              </w:rPr>
              <w:t>25.5</w:t>
            </w:r>
          </w:p>
        </w:tc>
        <w:tc>
          <w:tcPr>
            <w:tcW w:w="750" w:type="dxa"/>
            <w:shd w:val="clear" w:color="auto" w:fill="auto"/>
            <w:noWrap w:val="0"/>
            <w:vAlign w:val="center"/>
          </w:tcPr>
          <w:p w14:paraId="46E6BDB6">
            <w:pPr>
              <w:spacing w:line="280" w:lineRule="exact"/>
              <w:jc w:val="center"/>
              <w:rPr>
                <w:rFonts w:hint="eastAsia" w:cs="Times New Roman"/>
                <w:color w:val="auto"/>
                <w:szCs w:val="21"/>
                <w:highlight w:val="none"/>
                <w:lang w:val="en-US" w:eastAsia="zh-CN"/>
              </w:rPr>
            </w:pPr>
            <w:r>
              <w:rPr>
                <w:rFonts w:hint="eastAsia" w:cs="Times New Roman"/>
                <w:color w:val="auto"/>
                <w:szCs w:val="21"/>
                <w:highlight w:val="none"/>
                <w:lang w:val="en-US" w:eastAsia="zh-CN"/>
              </w:rPr>
              <w:t>25.5</w:t>
            </w:r>
          </w:p>
        </w:tc>
        <w:tc>
          <w:tcPr>
            <w:tcW w:w="1096" w:type="dxa"/>
            <w:shd w:val="clear" w:color="auto" w:fill="auto"/>
            <w:noWrap w:val="0"/>
            <w:vAlign w:val="center"/>
          </w:tcPr>
          <w:p w14:paraId="555B47DB">
            <w:pPr>
              <w:spacing w:line="280" w:lineRule="exact"/>
              <w:jc w:val="center"/>
              <w:rPr>
                <w:rFonts w:hint="eastAsia"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1</w:t>
            </w:r>
          </w:p>
        </w:tc>
      </w:tr>
      <w:tr w14:paraId="1F96C7F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27" w:type="dxa"/>
            <w:shd w:val="clear" w:color="auto" w:fill="auto"/>
            <w:noWrap w:val="0"/>
            <w:vAlign w:val="center"/>
          </w:tcPr>
          <w:p w14:paraId="35CA7889">
            <w:pPr>
              <w:spacing w:line="280" w:lineRule="exact"/>
              <w:jc w:val="center"/>
              <w:rPr>
                <w:rFonts w:hint="default" w:ascii="Times New Roman" w:hAnsi="Times New Roman"/>
                <w:color w:val="auto"/>
                <w:szCs w:val="21"/>
                <w:highlight w:val="none"/>
                <w:lang w:val="en-US" w:eastAsia="zh-CN"/>
              </w:rPr>
            </w:pPr>
            <w:r>
              <w:rPr>
                <w:rFonts w:hint="eastAsia"/>
                <w:color w:val="auto"/>
                <w:szCs w:val="21"/>
                <w:highlight w:val="none"/>
                <w:lang w:val="en-US" w:eastAsia="zh-CN"/>
              </w:rPr>
              <w:t>26</w:t>
            </w:r>
          </w:p>
        </w:tc>
        <w:tc>
          <w:tcPr>
            <w:tcW w:w="1428" w:type="dxa"/>
            <w:shd w:val="clear" w:color="auto" w:fill="auto"/>
            <w:noWrap w:val="0"/>
            <w:vAlign w:val="center"/>
          </w:tcPr>
          <w:p w14:paraId="61FE65A7">
            <w:pPr>
              <w:autoSpaceDN w:val="0"/>
              <w:adjustRightInd w:val="0"/>
              <w:snapToGrid w:val="0"/>
              <w:jc w:val="center"/>
              <w:textAlignment w:val="top"/>
              <w:rPr>
                <w:rFonts w:hint="eastAsia" w:ascii="Times New Roman" w:hAnsi="Times New Roman" w:eastAsia="宋体" w:cs="Times New Roman"/>
                <w:color w:val="auto"/>
                <w:kern w:val="2"/>
                <w:sz w:val="21"/>
                <w:szCs w:val="21"/>
                <w:highlight w:val="none"/>
                <w:lang w:val="en-US" w:eastAsia="zh-CN" w:bidi="ar-SA"/>
              </w:rPr>
            </w:pPr>
            <w:r>
              <w:rPr>
                <w:rFonts w:hint="eastAsia" w:ascii="宋体"/>
                <w:color w:val="auto"/>
                <w:szCs w:val="21"/>
                <w:highlight w:val="none"/>
                <w:lang w:val="en-US" w:eastAsia="zh-CN"/>
              </w:rPr>
              <w:t>自动贴膜机</w:t>
            </w:r>
          </w:p>
        </w:tc>
        <w:tc>
          <w:tcPr>
            <w:tcW w:w="537" w:type="dxa"/>
            <w:shd w:val="clear" w:color="auto" w:fill="auto"/>
            <w:noWrap w:val="0"/>
            <w:vAlign w:val="center"/>
          </w:tcPr>
          <w:p w14:paraId="29EA1B70">
            <w:pPr>
              <w:spacing w:line="280" w:lineRule="exact"/>
              <w:jc w:val="center"/>
              <w:rPr>
                <w:rFonts w:hint="default" w:ascii="Times New Roman" w:hAnsi="Times New Roman"/>
                <w:color w:val="auto"/>
                <w:szCs w:val="21"/>
                <w:highlight w:val="none"/>
                <w:lang w:val="en-US" w:eastAsia="zh-CN"/>
              </w:rPr>
            </w:pPr>
            <w:r>
              <w:rPr>
                <w:rFonts w:hint="eastAsia"/>
                <w:color w:val="auto"/>
                <w:szCs w:val="21"/>
                <w:highlight w:val="none"/>
                <w:lang w:val="en-US" w:eastAsia="zh-CN"/>
              </w:rPr>
              <w:t>72</w:t>
            </w:r>
          </w:p>
        </w:tc>
        <w:tc>
          <w:tcPr>
            <w:tcW w:w="537" w:type="dxa"/>
            <w:shd w:val="clear" w:color="auto" w:fill="auto"/>
            <w:noWrap w:val="0"/>
            <w:vAlign w:val="center"/>
          </w:tcPr>
          <w:p w14:paraId="08D7C0D4">
            <w:pPr>
              <w:spacing w:line="280" w:lineRule="exact"/>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-0.61</w:t>
            </w:r>
          </w:p>
        </w:tc>
        <w:tc>
          <w:tcPr>
            <w:tcW w:w="537" w:type="dxa"/>
            <w:shd w:val="clear" w:color="auto" w:fill="auto"/>
            <w:noWrap w:val="0"/>
            <w:vAlign w:val="center"/>
          </w:tcPr>
          <w:p w14:paraId="2210D906">
            <w:pPr>
              <w:spacing w:line="280" w:lineRule="exact"/>
              <w:jc w:val="center"/>
              <w:rPr>
                <w:rFonts w:hint="default" w:ascii="Times New Roman" w:hAnsi="Times New Roman" w:eastAsia="宋体" w:cs="Times New Roman"/>
                <w:color w:val="auto"/>
                <w:szCs w:val="21"/>
                <w:highlight w:val="none"/>
                <w:lang w:val="en-US" w:eastAsia="zh-CN"/>
              </w:rPr>
            </w:pPr>
            <w:r>
              <w:rPr>
                <w:rFonts w:hint="eastAsia"/>
                <w:color w:val="auto"/>
                <w:highlight w:val="none"/>
              </w:rPr>
              <w:t>120.57</w:t>
            </w:r>
          </w:p>
        </w:tc>
        <w:tc>
          <w:tcPr>
            <w:tcW w:w="558" w:type="dxa"/>
            <w:shd w:val="clear" w:color="auto" w:fill="auto"/>
            <w:noWrap w:val="0"/>
            <w:vAlign w:val="center"/>
          </w:tcPr>
          <w:p w14:paraId="0AC3B21F">
            <w:pPr>
              <w:spacing w:line="280" w:lineRule="exact"/>
              <w:jc w:val="center"/>
              <w:rPr>
                <w:rFonts w:hint="eastAsia"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1.2</w:t>
            </w:r>
          </w:p>
        </w:tc>
        <w:tc>
          <w:tcPr>
            <w:tcW w:w="537" w:type="dxa"/>
            <w:shd w:val="clear" w:color="auto" w:fill="auto"/>
            <w:noWrap w:val="0"/>
            <w:vAlign w:val="center"/>
          </w:tcPr>
          <w:p w14:paraId="1DC90412">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52.2</w:t>
            </w:r>
          </w:p>
        </w:tc>
        <w:tc>
          <w:tcPr>
            <w:tcW w:w="537" w:type="dxa"/>
            <w:shd w:val="clear" w:color="auto" w:fill="auto"/>
            <w:noWrap w:val="0"/>
            <w:vAlign w:val="center"/>
          </w:tcPr>
          <w:p w14:paraId="408E2BE8">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118.9</w:t>
            </w:r>
          </w:p>
        </w:tc>
        <w:tc>
          <w:tcPr>
            <w:tcW w:w="542" w:type="dxa"/>
            <w:shd w:val="clear" w:color="auto" w:fill="auto"/>
            <w:noWrap w:val="0"/>
            <w:vAlign w:val="center"/>
          </w:tcPr>
          <w:p w14:paraId="1CAE49CB">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95.9</w:t>
            </w:r>
          </w:p>
        </w:tc>
        <w:tc>
          <w:tcPr>
            <w:tcW w:w="558" w:type="dxa"/>
            <w:shd w:val="clear" w:color="auto" w:fill="auto"/>
            <w:noWrap w:val="0"/>
            <w:vAlign w:val="center"/>
          </w:tcPr>
          <w:p w14:paraId="7DEC2267">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59.8</w:t>
            </w:r>
          </w:p>
        </w:tc>
        <w:tc>
          <w:tcPr>
            <w:tcW w:w="542" w:type="dxa"/>
            <w:shd w:val="clear" w:color="auto" w:fill="auto"/>
            <w:noWrap w:val="0"/>
            <w:vAlign w:val="center"/>
          </w:tcPr>
          <w:p w14:paraId="7B8857F2">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 xml:space="preserve">49.8 </w:t>
            </w:r>
          </w:p>
        </w:tc>
        <w:tc>
          <w:tcPr>
            <w:tcW w:w="542" w:type="dxa"/>
            <w:shd w:val="clear" w:color="auto" w:fill="auto"/>
            <w:noWrap w:val="0"/>
            <w:vAlign w:val="center"/>
          </w:tcPr>
          <w:p w14:paraId="6B5D3BFC">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 xml:space="preserve">49.8 </w:t>
            </w:r>
          </w:p>
        </w:tc>
        <w:tc>
          <w:tcPr>
            <w:tcW w:w="542" w:type="dxa"/>
            <w:shd w:val="clear" w:color="auto" w:fill="auto"/>
            <w:noWrap w:val="0"/>
            <w:vAlign w:val="center"/>
          </w:tcPr>
          <w:p w14:paraId="588AB0E5">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 xml:space="preserve">49.8 </w:t>
            </w:r>
          </w:p>
        </w:tc>
        <w:tc>
          <w:tcPr>
            <w:tcW w:w="555" w:type="dxa"/>
            <w:shd w:val="clear" w:color="auto" w:fill="auto"/>
            <w:noWrap w:val="0"/>
            <w:vAlign w:val="center"/>
          </w:tcPr>
          <w:p w14:paraId="21E60888">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 xml:space="preserve">49.8 </w:t>
            </w:r>
          </w:p>
        </w:tc>
        <w:tc>
          <w:tcPr>
            <w:tcW w:w="542" w:type="dxa"/>
            <w:vMerge w:val="continue"/>
            <w:shd w:val="clear" w:color="auto" w:fill="auto"/>
            <w:noWrap w:val="0"/>
            <w:vAlign w:val="center"/>
          </w:tcPr>
          <w:p w14:paraId="50B2C549">
            <w:pPr>
              <w:spacing w:line="280" w:lineRule="exact"/>
              <w:jc w:val="center"/>
              <w:rPr>
                <w:rFonts w:hint="default" w:ascii="Times New Roman" w:hAnsi="Times New Roman" w:eastAsia="宋体"/>
                <w:color w:val="auto"/>
                <w:szCs w:val="21"/>
                <w:highlight w:val="none"/>
                <w:lang w:val="en-US" w:eastAsia="zh-CN"/>
              </w:rPr>
            </w:pPr>
          </w:p>
        </w:tc>
        <w:tc>
          <w:tcPr>
            <w:tcW w:w="897" w:type="dxa"/>
            <w:shd w:val="clear" w:color="auto" w:fill="auto"/>
            <w:noWrap w:val="0"/>
            <w:vAlign w:val="center"/>
          </w:tcPr>
          <w:p w14:paraId="494F2231">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24.3</w:t>
            </w:r>
          </w:p>
        </w:tc>
        <w:tc>
          <w:tcPr>
            <w:tcW w:w="746" w:type="dxa"/>
            <w:shd w:val="clear" w:color="auto" w:fill="auto"/>
            <w:noWrap w:val="0"/>
            <w:vAlign w:val="center"/>
          </w:tcPr>
          <w:p w14:paraId="43F3AC0D">
            <w:pPr>
              <w:spacing w:line="280" w:lineRule="exact"/>
              <w:jc w:val="center"/>
              <w:rPr>
                <w:rFonts w:hint="eastAsia" w:cs="Times New Roman"/>
                <w:color w:val="auto"/>
                <w:szCs w:val="21"/>
                <w:highlight w:val="none"/>
                <w:lang w:val="en-US" w:eastAsia="zh-CN"/>
              </w:rPr>
            </w:pPr>
            <w:r>
              <w:rPr>
                <w:rFonts w:hint="eastAsia" w:cs="Times New Roman"/>
                <w:color w:val="auto"/>
                <w:szCs w:val="21"/>
                <w:highlight w:val="none"/>
                <w:lang w:val="en-US" w:eastAsia="zh-CN"/>
              </w:rPr>
              <w:t>25.5</w:t>
            </w:r>
          </w:p>
        </w:tc>
        <w:tc>
          <w:tcPr>
            <w:tcW w:w="689" w:type="dxa"/>
            <w:shd w:val="clear" w:color="auto" w:fill="auto"/>
            <w:noWrap w:val="0"/>
            <w:vAlign w:val="center"/>
          </w:tcPr>
          <w:p w14:paraId="14FFCF75">
            <w:pPr>
              <w:spacing w:line="280" w:lineRule="exact"/>
              <w:jc w:val="center"/>
              <w:rPr>
                <w:rFonts w:hint="eastAsia" w:cs="Times New Roman"/>
                <w:color w:val="auto"/>
                <w:szCs w:val="21"/>
                <w:highlight w:val="none"/>
                <w:lang w:val="en-US" w:eastAsia="zh-CN"/>
              </w:rPr>
            </w:pPr>
            <w:r>
              <w:rPr>
                <w:rFonts w:hint="eastAsia" w:cs="Times New Roman"/>
                <w:color w:val="auto"/>
                <w:szCs w:val="21"/>
                <w:highlight w:val="none"/>
                <w:lang w:val="en-US" w:eastAsia="zh-CN"/>
              </w:rPr>
              <w:t>25.5</w:t>
            </w:r>
          </w:p>
        </w:tc>
        <w:tc>
          <w:tcPr>
            <w:tcW w:w="838" w:type="dxa"/>
            <w:shd w:val="clear" w:color="auto" w:fill="auto"/>
            <w:noWrap w:val="0"/>
            <w:vAlign w:val="center"/>
          </w:tcPr>
          <w:p w14:paraId="2A12586C">
            <w:pPr>
              <w:spacing w:line="280" w:lineRule="exact"/>
              <w:jc w:val="center"/>
              <w:rPr>
                <w:rFonts w:hint="eastAsia" w:cs="Times New Roman"/>
                <w:color w:val="auto"/>
                <w:szCs w:val="21"/>
                <w:highlight w:val="none"/>
                <w:lang w:val="en-US" w:eastAsia="zh-CN"/>
              </w:rPr>
            </w:pPr>
            <w:r>
              <w:rPr>
                <w:rFonts w:hint="eastAsia" w:cs="Times New Roman"/>
                <w:color w:val="auto"/>
                <w:szCs w:val="21"/>
                <w:highlight w:val="none"/>
                <w:lang w:val="en-US" w:eastAsia="zh-CN"/>
              </w:rPr>
              <w:t>25.5</w:t>
            </w:r>
          </w:p>
        </w:tc>
        <w:tc>
          <w:tcPr>
            <w:tcW w:w="750" w:type="dxa"/>
            <w:shd w:val="clear" w:color="auto" w:fill="auto"/>
            <w:noWrap w:val="0"/>
            <w:vAlign w:val="center"/>
          </w:tcPr>
          <w:p w14:paraId="39B0ADA0">
            <w:pPr>
              <w:spacing w:line="280" w:lineRule="exact"/>
              <w:jc w:val="center"/>
              <w:rPr>
                <w:rFonts w:hint="eastAsia" w:cs="Times New Roman"/>
                <w:color w:val="auto"/>
                <w:szCs w:val="21"/>
                <w:highlight w:val="none"/>
                <w:lang w:val="en-US" w:eastAsia="zh-CN"/>
              </w:rPr>
            </w:pPr>
            <w:r>
              <w:rPr>
                <w:rFonts w:hint="eastAsia" w:cs="Times New Roman"/>
                <w:color w:val="auto"/>
                <w:szCs w:val="21"/>
                <w:highlight w:val="none"/>
                <w:lang w:val="en-US" w:eastAsia="zh-CN"/>
              </w:rPr>
              <w:t>25.5</w:t>
            </w:r>
          </w:p>
        </w:tc>
        <w:tc>
          <w:tcPr>
            <w:tcW w:w="1096" w:type="dxa"/>
            <w:shd w:val="clear" w:color="auto" w:fill="auto"/>
            <w:noWrap w:val="0"/>
            <w:vAlign w:val="center"/>
          </w:tcPr>
          <w:p w14:paraId="5102B2C3">
            <w:pPr>
              <w:spacing w:line="280" w:lineRule="exact"/>
              <w:jc w:val="center"/>
              <w:rPr>
                <w:rFonts w:hint="eastAsia"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1</w:t>
            </w:r>
          </w:p>
        </w:tc>
      </w:tr>
      <w:tr w14:paraId="71A30F5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51" w:hRule="atLeast"/>
          <w:jc w:val="center"/>
        </w:trPr>
        <w:tc>
          <w:tcPr>
            <w:tcW w:w="427" w:type="dxa"/>
            <w:shd w:val="clear" w:color="auto" w:fill="auto"/>
            <w:noWrap w:val="0"/>
            <w:vAlign w:val="center"/>
          </w:tcPr>
          <w:p w14:paraId="6FE9EDE1">
            <w:pPr>
              <w:spacing w:line="280" w:lineRule="exact"/>
              <w:jc w:val="center"/>
              <w:rPr>
                <w:rFonts w:hint="default" w:ascii="Times New Roman" w:hAnsi="Times New Roman"/>
                <w:color w:val="auto"/>
                <w:szCs w:val="21"/>
                <w:highlight w:val="none"/>
                <w:lang w:val="en-US" w:eastAsia="zh-CN"/>
              </w:rPr>
            </w:pPr>
            <w:r>
              <w:rPr>
                <w:rFonts w:hint="eastAsia"/>
                <w:color w:val="auto"/>
                <w:szCs w:val="21"/>
                <w:highlight w:val="none"/>
                <w:lang w:val="en-US" w:eastAsia="zh-CN"/>
              </w:rPr>
              <w:t>27</w:t>
            </w:r>
          </w:p>
        </w:tc>
        <w:tc>
          <w:tcPr>
            <w:tcW w:w="1428" w:type="dxa"/>
            <w:shd w:val="clear" w:color="auto" w:fill="auto"/>
            <w:noWrap w:val="0"/>
            <w:vAlign w:val="center"/>
          </w:tcPr>
          <w:p w14:paraId="0255C8B6">
            <w:pPr>
              <w:autoSpaceDN w:val="0"/>
              <w:adjustRightInd w:val="0"/>
              <w:snapToGrid w:val="0"/>
              <w:jc w:val="center"/>
              <w:textAlignment w:val="top"/>
              <w:rPr>
                <w:rFonts w:hint="eastAsia" w:ascii="Times New Roman" w:hAnsi="Times New Roman" w:eastAsia="宋体" w:cs="Times New Roman"/>
                <w:color w:val="auto"/>
                <w:kern w:val="2"/>
                <w:sz w:val="21"/>
                <w:szCs w:val="21"/>
                <w:highlight w:val="none"/>
                <w:lang w:val="en-US" w:eastAsia="zh-CN" w:bidi="ar-SA"/>
              </w:rPr>
            </w:pPr>
            <w:r>
              <w:rPr>
                <w:rFonts w:hint="eastAsia" w:ascii="宋体"/>
                <w:color w:val="auto"/>
                <w:szCs w:val="21"/>
                <w:highlight w:val="none"/>
              </w:rPr>
              <w:t>自动注液机</w:t>
            </w:r>
          </w:p>
        </w:tc>
        <w:tc>
          <w:tcPr>
            <w:tcW w:w="537" w:type="dxa"/>
            <w:shd w:val="clear" w:color="auto" w:fill="auto"/>
            <w:noWrap w:val="0"/>
            <w:vAlign w:val="center"/>
          </w:tcPr>
          <w:p w14:paraId="3C415394">
            <w:pPr>
              <w:spacing w:line="280" w:lineRule="exact"/>
              <w:jc w:val="center"/>
              <w:rPr>
                <w:rFonts w:hint="default" w:ascii="Times New Roman" w:hAnsi="Times New Roman"/>
                <w:color w:val="auto"/>
                <w:szCs w:val="21"/>
                <w:highlight w:val="none"/>
                <w:lang w:val="en-US" w:eastAsia="zh-CN"/>
              </w:rPr>
            </w:pPr>
            <w:r>
              <w:rPr>
                <w:rFonts w:hint="eastAsia"/>
                <w:color w:val="auto"/>
                <w:szCs w:val="21"/>
                <w:highlight w:val="none"/>
                <w:lang w:val="en-US" w:eastAsia="zh-CN"/>
              </w:rPr>
              <w:t>75</w:t>
            </w:r>
          </w:p>
        </w:tc>
        <w:tc>
          <w:tcPr>
            <w:tcW w:w="537" w:type="dxa"/>
            <w:shd w:val="clear" w:color="auto" w:fill="auto"/>
            <w:noWrap w:val="0"/>
            <w:vAlign w:val="center"/>
          </w:tcPr>
          <w:p w14:paraId="6C6E46E4">
            <w:pPr>
              <w:spacing w:line="280" w:lineRule="exact"/>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-26.18</w:t>
            </w:r>
          </w:p>
        </w:tc>
        <w:tc>
          <w:tcPr>
            <w:tcW w:w="537" w:type="dxa"/>
            <w:shd w:val="clear" w:color="auto" w:fill="auto"/>
            <w:noWrap w:val="0"/>
            <w:vAlign w:val="center"/>
          </w:tcPr>
          <w:p w14:paraId="6B1F7404">
            <w:pPr>
              <w:spacing w:line="280" w:lineRule="exact"/>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137.04</w:t>
            </w:r>
          </w:p>
        </w:tc>
        <w:tc>
          <w:tcPr>
            <w:tcW w:w="558" w:type="dxa"/>
            <w:shd w:val="clear" w:color="auto" w:fill="auto"/>
            <w:noWrap w:val="0"/>
            <w:vAlign w:val="center"/>
          </w:tcPr>
          <w:p w14:paraId="651BAA74">
            <w:pPr>
              <w:spacing w:line="280" w:lineRule="exact"/>
              <w:jc w:val="center"/>
              <w:rPr>
                <w:rFonts w:hint="eastAsia"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1.2</w:t>
            </w:r>
          </w:p>
        </w:tc>
        <w:tc>
          <w:tcPr>
            <w:tcW w:w="537" w:type="dxa"/>
            <w:shd w:val="clear" w:color="auto" w:fill="auto"/>
            <w:noWrap w:val="0"/>
            <w:vAlign w:val="center"/>
          </w:tcPr>
          <w:p w14:paraId="04E69F80">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72.8</w:t>
            </w:r>
          </w:p>
        </w:tc>
        <w:tc>
          <w:tcPr>
            <w:tcW w:w="537" w:type="dxa"/>
            <w:shd w:val="clear" w:color="auto" w:fill="auto"/>
            <w:noWrap w:val="0"/>
            <w:vAlign w:val="center"/>
          </w:tcPr>
          <w:p w14:paraId="5328CD3A">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83.2</w:t>
            </w:r>
          </w:p>
        </w:tc>
        <w:tc>
          <w:tcPr>
            <w:tcW w:w="542" w:type="dxa"/>
            <w:shd w:val="clear" w:color="auto" w:fill="auto"/>
            <w:noWrap w:val="0"/>
            <w:vAlign w:val="center"/>
          </w:tcPr>
          <w:p w14:paraId="55A70513">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74.8</w:t>
            </w:r>
          </w:p>
        </w:tc>
        <w:tc>
          <w:tcPr>
            <w:tcW w:w="558" w:type="dxa"/>
            <w:shd w:val="clear" w:color="auto" w:fill="auto"/>
            <w:noWrap w:val="0"/>
            <w:vAlign w:val="center"/>
          </w:tcPr>
          <w:p w14:paraId="4030B6DA">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36.8</w:t>
            </w:r>
          </w:p>
        </w:tc>
        <w:tc>
          <w:tcPr>
            <w:tcW w:w="542" w:type="dxa"/>
            <w:shd w:val="clear" w:color="auto" w:fill="auto"/>
            <w:noWrap w:val="0"/>
            <w:vAlign w:val="center"/>
          </w:tcPr>
          <w:p w14:paraId="2FB69AD9">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 xml:space="preserve">49.8 </w:t>
            </w:r>
          </w:p>
        </w:tc>
        <w:tc>
          <w:tcPr>
            <w:tcW w:w="542" w:type="dxa"/>
            <w:shd w:val="clear" w:color="auto" w:fill="auto"/>
            <w:noWrap w:val="0"/>
            <w:vAlign w:val="center"/>
          </w:tcPr>
          <w:p w14:paraId="5575F720">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 xml:space="preserve">49.8 </w:t>
            </w:r>
          </w:p>
        </w:tc>
        <w:tc>
          <w:tcPr>
            <w:tcW w:w="542" w:type="dxa"/>
            <w:shd w:val="clear" w:color="auto" w:fill="auto"/>
            <w:noWrap w:val="0"/>
            <w:vAlign w:val="center"/>
          </w:tcPr>
          <w:p w14:paraId="438DBA57">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 xml:space="preserve">49.8 </w:t>
            </w:r>
          </w:p>
        </w:tc>
        <w:tc>
          <w:tcPr>
            <w:tcW w:w="555" w:type="dxa"/>
            <w:shd w:val="clear" w:color="auto" w:fill="auto"/>
            <w:noWrap w:val="0"/>
            <w:vAlign w:val="center"/>
          </w:tcPr>
          <w:p w14:paraId="694E4E7E">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 xml:space="preserve">49.8 </w:t>
            </w:r>
          </w:p>
        </w:tc>
        <w:tc>
          <w:tcPr>
            <w:tcW w:w="542" w:type="dxa"/>
            <w:vMerge w:val="continue"/>
            <w:shd w:val="clear" w:color="auto" w:fill="auto"/>
            <w:noWrap w:val="0"/>
            <w:vAlign w:val="center"/>
          </w:tcPr>
          <w:p w14:paraId="3361CE92">
            <w:pPr>
              <w:spacing w:line="280" w:lineRule="exact"/>
              <w:jc w:val="center"/>
              <w:rPr>
                <w:rFonts w:hint="default" w:ascii="Times New Roman" w:hAnsi="Times New Roman" w:eastAsia="宋体"/>
                <w:color w:val="auto"/>
                <w:szCs w:val="21"/>
                <w:highlight w:val="none"/>
                <w:lang w:val="en-US" w:eastAsia="zh-CN"/>
              </w:rPr>
            </w:pPr>
          </w:p>
        </w:tc>
        <w:tc>
          <w:tcPr>
            <w:tcW w:w="897" w:type="dxa"/>
            <w:shd w:val="clear" w:color="auto" w:fill="auto"/>
            <w:noWrap w:val="0"/>
            <w:vAlign w:val="center"/>
          </w:tcPr>
          <w:p w14:paraId="6F10B357">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24.3</w:t>
            </w:r>
          </w:p>
        </w:tc>
        <w:tc>
          <w:tcPr>
            <w:tcW w:w="746" w:type="dxa"/>
            <w:shd w:val="clear" w:color="auto" w:fill="auto"/>
            <w:noWrap w:val="0"/>
            <w:vAlign w:val="center"/>
          </w:tcPr>
          <w:p w14:paraId="203DE6EB">
            <w:pPr>
              <w:spacing w:line="280" w:lineRule="exact"/>
              <w:jc w:val="center"/>
              <w:rPr>
                <w:rFonts w:hint="eastAsia" w:cs="Times New Roman"/>
                <w:color w:val="auto"/>
                <w:szCs w:val="21"/>
                <w:highlight w:val="none"/>
                <w:lang w:val="en-US" w:eastAsia="zh-CN"/>
              </w:rPr>
            </w:pPr>
            <w:r>
              <w:rPr>
                <w:rFonts w:hint="eastAsia" w:cs="Times New Roman"/>
                <w:color w:val="auto"/>
                <w:szCs w:val="21"/>
                <w:highlight w:val="none"/>
                <w:lang w:val="en-US" w:eastAsia="zh-CN"/>
              </w:rPr>
              <w:t>25.5</w:t>
            </w:r>
          </w:p>
        </w:tc>
        <w:tc>
          <w:tcPr>
            <w:tcW w:w="689" w:type="dxa"/>
            <w:shd w:val="clear" w:color="auto" w:fill="auto"/>
            <w:noWrap w:val="0"/>
            <w:vAlign w:val="center"/>
          </w:tcPr>
          <w:p w14:paraId="7847DD72">
            <w:pPr>
              <w:spacing w:line="280" w:lineRule="exact"/>
              <w:jc w:val="center"/>
              <w:rPr>
                <w:rFonts w:hint="eastAsia" w:cs="Times New Roman"/>
                <w:color w:val="auto"/>
                <w:szCs w:val="21"/>
                <w:highlight w:val="none"/>
                <w:lang w:val="en-US" w:eastAsia="zh-CN"/>
              </w:rPr>
            </w:pPr>
            <w:r>
              <w:rPr>
                <w:rFonts w:hint="eastAsia" w:cs="Times New Roman"/>
                <w:color w:val="auto"/>
                <w:szCs w:val="21"/>
                <w:highlight w:val="none"/>
                <w:lang w:val="en-US" w:eastAsia="zh-CN"/>
              </w:rPr>
              <w:t>25.5</w:t>
            </w:r>
          </w:p>
        </w:tc>
        <w:tc>
          <w:tcPr>
            <w:tcW w:w="838" w:type="dxa"/>
            <w:shd w:val="clear" w:color="auto" w:fill="auto"/>
            <w:noWrap w:val="0"/>
            <w:vAlign w:val="center"/>
          </w:tcPr>
          <w:p w14:paraId="05113EE4">
            <w:pPr>
              <w:spacing w:line="280" w:lineRule="exact"/>
              <w:jc w:val="center"/>
              <w:rPr>
                <w:rFonts w:hint="eastAsia" w:cs="Times New Roman"/>
                <w:color w:val="auto"/>
                <w:szCs w:val="21"/>
                <w:highlight w:val="none"/>
                <w:lang w:val="en-US" w:eastAsia="zh-CN"/>
              </w:rPr>
            </w:pPr>
            <w:r>
              <w:rPr>
                <w:rFonts w:hint="eastAsia" w:cs="Times New Roman"/>
                <w:color w:val="auto"/>
                <w:szCs w:val="21"/>
                <w:highlight w:val="none"/>
                <w:lang w:val="en-US" w:eastAsia="zh-CN"/>
              </w:rPr>
              <w:t>25.5</w:t>
            </w:r>
          </w:p>
        </w:tc>
        <w:tc>
          <w:tcPr>
            <w:tcW w:w="750" w:type="dxa"/>
            <w:shd w:val="clear" w:color="auto" w:fill="auto"/>
            <w:noWrap w:val="0"/>
            <w:vAlign w:val="center"/>
          </w:tcPr>
          <w:p w14:paraId="2A4E9577">
            <w:pPr>
              <w:spacing w:line="280" w:lineRule="exact"/>
              <w:jc w:val="center"/>
              <w:rPr>
                <w:rFonts w:hint="eastAsia" w:cs="Times New Roman"/>
                <w:color w:val="auto"/>
                <w:szCs w:val="21"/>
                <w:highlight w:val="none"/>
                <w:lang w:val="en-US" w:eastAsia="zh-CN"/>
              </w:rPr>
            </w:pPr>
            <w:r>
              <w:rPr>
                <w:rFonts w:hint="eastAsia" w:cs="Times New Roman"/>
                <w:color w:val="auto"/>
                <w:szCs w:val="21"/>
                <w:highlight w:val="none"/>
                <w:lang w:val="en-US" w:eastAsia="zh-CN"/>
              </w:rPr>
              <w:t>25.5</w:t>
            </w:r>
          </w:p>
        </w:tc>
        <w:tc>
          <w:tcPr>
            <w:tcW w:w="1096" w:type="dxa"/>
            <w:shd w:val="clear" w:color="auto" w:fill="auto"/>
            <w:noWrap w:val="0"/>
            <w:vAlign w:val="center"/>
          </w:tcPr>
          <w:p w14:paraId="6329A026">
            <w:pPr>
              <w:spacing w:line="280" w:lineRule="exact"/>
              <w:jc w:val="center"/>
              <w:rPr>
                <w:rFonts w:hint="eastAsia"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1</w:t>
            </w:r>
          </w:p>
        </w:tc>
      </w:tr>
      <w:tr w14:paraId="672B5C7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27" w:type="dxa"/>
            <w:shd w:val="clear" w:color="auto" w:fill="auto"/>
            <w:noWrap w:val="0"/>
            <w:vAlign w:val="center"/>
          </w:tcPr>
          <w:p w14:paraId="3FF3671E">
            <w:pPr>
              <w:spacing w:line="280" w:lineRule="exact"/>
              <w:jc w:val="center"/>
              <w:rPr>
                <w:rFonts w:hint="default" w:ascii="Times New Roman" w:hAnsi="Times New Roman"/>
                <w:color w:val="auto"/>
                <w:szCs w:val="21"/>
                <w:highlight w:val="none"/>
                <w:lang w:val="en-US" w:eastAsia="zh-CN"/>
              </w:rPr>
            </w:pPr>
            <w:r>
              <w:rPr>
                <w:rFonts w:hint="eastAsia"/>
                <w:color w:val="auto"/>
                <w:szCs w:val="21"/>
                <w:highlight w:val="none"/>
                <w:lang w:val="en-US" w:eastAsia="zh-CN"/>
              </w:rPr>
              <w:t>28</w:t>
            </w:r>
          </w:p>
        </w:tc>
        <w:tc>
          <w:tcPr>
            <w:tcW w:w="1428" w:type="dxa"/>
            <w:shd w:val="clear" w:color="auto" w:fill="auto"/>
            <w:noWrap w:val="0"/>
            <w:vAlign w:val="center"/>
          </w:tcPr>
          <w:p w14:paraId="139F3E9D">
            <w:pPr>
              <w:autoSpaceDN w:val="0"/>
              <w:adjustRightInd w:val="0"/>
              <w:snapToGrid w:val="0"/>
              <w:jc w:val="center"/>
              <w:textAlignment w:val="top"/>
              <w:rPr>
                <w:rFonts w:hint="eastAsia"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Cs w:val="21"/>
                <w:highlight w:val="none"/>
              </w:rPr>
              <w:t>自动二封成型机</w:t>
            </w:r>
          </w:p>
        </w:tc>
        <w:tc>
          <w:tcPr>
            <w:tcW w:w="537" w:type="dxa"/>
            <w:shd w:val="clear" w:color="auto" w:fill="auto"/>
            <w:noWrap w:val="0"/>
            <w:vAlign w:val="center"/>
          </w:tcPr>
          <w:p w14:paraId="01E2EA2F">
            <w:pPr>
              <w:spacing w:line="280" w:lineRule="exact"/>
              <w:jc w:val="center"/>
              <w:rPr>
                <w:rFonts w:hint="default" w:ascii="Times New Roman" w:hAnsi="Times New Roman"/>
                <w:color w:val="auto"/>
                <w:szCs w:val="21"/>
                <w:highlight w:val="none"/>
                <w:lang w:val="en-US" w:eastAsia="zh-CN"/>
              </w:rPr>
            </w:pPr>
            <w:r>
              <w:rPr>
                <w:rFonts w:hint="eastAsia"/>
                <w:color w:val="auto"/>
                <w:szCs w:val="21"/>
                <w:highlight w:val="none"/>
                <w:lang w:val="en-US" w:eastAsia="zh-CN"/>
              </w:rPr>
              <w:t>75</w:t>
            </w:r>
          </w:p>
        </w:tc>
        <w:tc>
          <w:tcPr>
            <w:tcW w:w="537" w:type="dxa"/>
            <w:shd w:val="clear" w:color="auto" w:fill="auto"/>
            <w:noWrap w:val="0"/>
            <w:vAlign w:val="center"/>
          </w:tcPr>
          <w:p w14:paraId="33F6350C">
            <w:pPr>
              <w:spacing w:line="280" w:lineRule="exact"/>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-23.99</w:t>
            </w:r>
          </w:p>
        </w:tc>
        <w:tc>
          <w:tcPr>
            <w:tcW w:w="537" w:type="dxa"/>
            <w:shd w:val="clear" w:color="auto" w:fill="auto"/>
            <w:noWrap w:val="0"/>
            <w:vAlign w:val="center"/>
          </w:tcPr>
          <w:p w14:paraId="3CC1A445">
            <w:pPr>
              <w:spacing w:line="280" w:lineRule="exact"/>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128.7</w:t>
            </w:r>
          </w:p>
        </w:tc>
        <w:tc>
          <w:tcPr>
            <w:tcW w:w="558" w:type="dxa"/>
            <w:shd w:val="clear" w:color="auto" w:fill="auto"/>
            <w:noWrap w:val="0"/>
            <w:vAlign w:val="center"/>
          </w:tcPr>
          <w:p w14:paraId="6110C077">
            <w:pPr>
              <w:spacing w:line="280" w:lineRule="exact"/>
              <w:jc w:val="center"/>
              <w:rPr>
                <w:rFonts w:hint="eastAsia"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1.2</w:t>
            </w:r>
          </w:p>
        </w:tc>
        <w:tc>
          <w:tcPr>
            <w:tcW w:w="537" w:type="dxa"/>
            <w:shd w:val="clear" w:color="auto" w:fill="auto"/>
            <w:noWrap w:val="0"/>
            <w:vAlign w:val="center"/>
          </w:tcPr>
          <w:p w14:paraId="6E72842E">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72.5</w:t>
            </w:r>
          </w:p>
        </w:tc>
        <w:tc>
          <w:tcPr>
            <w:tcW w:w="537" w:type="dxa"/>
            <w:shd w:val="clear" w:color="auto" w:fill="auto"/>
            <w:noWrap w:val="0"/>
            <w:vAlign w:val="center"/>
          </w:tcPr>
          <w:p w14:paraId="70E042AE">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92.3</w:t>
            </w:r>
          </w:p>
        </w:tc>
        <w:tc>
          <w:tcPr>
            <w:tcW w:w="542" w:type="dxa"/>
            <w:shd w:val="clear" w:color="auto" w:fill="auto"/>
            <w:noWrap w:val="0"/>
            <w:vAlign w:val="center"/>
          </w:tcPr>
          <w:p w14:paraId="2542BB51">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76.8</w:t>
            </w:r>
          </w:p>
        </w:tc>
        <w:tc>
          <w:tcPr>
            <w:tcW w:w="558" w:type="dxa"/>
            <w:shd w:val="clear" w:color="auto" w:fill="auto"/>
            <w:noWrap w:val="0"/>
            <w:vAlign w:val="center"/>
          </w:tcPr>
          <w:p w14:paraId="1B2E1070">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44.7</w:t>
            </w:r>
          </w:p>
        </w:tc>
        <w:tc>
          <w:tcPr>
            <w:tcW w:w="542" w:type="dxa"/>
            <w:shd w:val="clear" w:color="auto" w:fill="auto"/>
            <w:noWrap w:val="0"/>
            <w:vAlign w:val="center"/>
          </w:tcPr>
          <w:p w14:paraId="5682855B">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 xml:space="preserve">49.8 </w:t>
            </w:r>
          </w:p>
        </w:tc>
        <w:tc>
          <w:tcPr>
            <w:tcW w:w="542" w:type="dxa"/>
            <w:shd w:val="clear" w:color="auto" w:fill="auto"/>
            <w:noWrap w:val="0"/>
            <w:vAlign w:val="center"/>
          </w:tcPr>
          <w:p w14:paraId="068C2423">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 xml:space="preserve">49.8 </w:t>
            </w:r>
          </w:p>
        </w:tc>
        <w:tc>
          <w:tcPr>
            <w:tcW w:w="542" w:type="dxa"/>
            <w:shd w:val="clear" w:color="auto" w:fill="auto"/>
            <w:noWrap w:val="0"/>
            <w:vAlign w:val="center"/>
          </w:tcPr>
          <w:p w14:paraId="57955B21">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 xml:space="preserve">49.8 </w:t>
            </w:r>
          </w:p>
        </w:tc>
        <w:tc>
          <w:tcPr>
            <w:tcW w:w="555" w:type="dxa"/>
            <w:shd w:val="clear" w:color="auto" w:fill="auto"/>
            <w:noWrap w:val="0"/>
            <w:vAlign w:val="center"/>
          </w:tcPr>
          <w:p w14:paraId="6FF39436">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 xml:space="preserve">49.8 </w:t>
            </w:r>
          </w:p>
        </w:tc>
        <w:tc>
          <w:tcPr>
            <w:tcW w:w="542" w:type="dxa"/>
            <w:vMerge w:val="continue"/>
            <w:shd w:val="clear" w:color="auto" w:fill="auto"/>
            <w:noWrap w:val="0"/>
            <w:vAlign w:val="center"/>
          </w:tcPr>
          <w:p w14:paraId="6C8CEF52">
            <w:pPr>
              <w:spacing w:line="280" w:lineRule="exact"/>
              <w:jc w:val="center"/>
              <w:rPr>
                <w:rFonts w:hint="default" w:ascii="Times New Roman" w:hAnsi="Times New Roman" w:eastAsia="宋体"/>
                <w:color w:val="auto"/>
                <w:szCs w:val="21"/>
                <w:highlight w:val="none"/>
                <w:lang w:val="en-US" w:eastAsia="zh-CN"/>
              </w:rPr>
            </w:pPr>
          </w:p>
        </w:tc>
        <w:tc>
          <w:tcPr>
            <w:tcW w:w="897" w:type="dxa"/>
            <w:shd w:val="clear" w:color="auto" w:fill="auto"/>
            <w:noWrap w:val="0"/>
            <w:vAlign w:val="center"/>
          </w:tcPr>
          <w:p w14:paraId="76E863B7">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24.3</w:t>
            </w:r>
          </w:p>
        </w:tc>
        <w:tc>
          <w:tcPr>
            <w:tcW w:w="746" w:type="dxa"/>
            <w:shd w:val="clear" w:color="auto" w:fill="auto"/>
            <w:noWrap w:val="0"/>
            <w:vAlign w:val="center"/>
          </w:tcPr>
          <w:p w14:paraId="2E9C7BFC">
            <w:pPr>
              <w:spacing w:line="280" w:lineRule="exact"/>
              <w:jc w:val="center"/>
              <w:rPr>
                <w:rFonts w:hint="eastAsia" w:cs="Times New Roman"/>
                <w:color w:val="auto"/>
                <w:szCs w:val="21"/>
                <w:highlight w:val="none"/>
                <w:lang w:val="en-US" w:eastAsia="zh-CN"/>
              </w:rPr>
            </w:pPr>
            <w:r>
              <w:rPr>
                <w:rFonts w:hint="eastAsia" w:cs="Times New Roman"/>
                <w:color w:val="auto"/>
                <w:szCs w:val="21"/>
                <w:highlight w:val="none"/>
                <w:lang w:val="en-US" w:eastAsia="zh-CN"/>
              </w:rPr>
              <w:t>25.5</w:t>
            </w:r>
          </w:p>
        </w:tc>
        <w:tc>
          <w:tcPr>
            <w:tcW w:w="689" w:type="dxa"/>
            <w:shd w:val="clear" w:color="auto" w:fill="auto"/>
            <w:noWrap w:val="0"/>
            <w:vAlign w:val="center"/>
          </w:tcPr>
          <w:p w14:paraId="1806894D">
            <w:pPr>
              <w:spacing w:line="280" w:lineRule="exact"/>
              <w:jc w:val="center"/>
              <w:rPr>
                <w:rFonts w:hint="eastAsia" w:cs="Times New Roman"/>
                <w:color w:val="auto"/>
                <w:szCs w:val="21"/>
                <w:highlight w:val="none"/>
                <w:lang w:val="en-US" w:eastAsia="zh-CN"/>
              </w:rPr>
            </w:pPr>
            <w:r>
              <w:rPr>
                <w:rFonts w:hint="eastAsia" w:cs="Times New Roman"/>
                <w:color w:val="auto"/>
                <w:szCs w:val="21"/>
                <w:highlight w:val="none"/>
                <w:lang w:val="en-US" w:eastAsia="zh-CN"/>
              </w:rPr>
              <w:t>25.5</w:t>
            </w:r>
          </w:p>
        </w:tc>
        <w:tc>
          <w:tcPr>
            <w:tcW w:w="838" w:type="dxa"/>
            <w:shd w:val="clear" w:color="auto" w:fill="auto"/>
            <w:noWrap w:val="0"/>
            <w:vAlign w:val="center"/>
          </w:tcPr>
          <w:p w14:paraId="31AA09B1">
            <w:pPr>
              <w:spacing w:line="280" w:lineRule="exact"/>
              <w:jc w:val="center"/>
              <w:rPr>
                <w:rFonts w:hint="eastAsia" w:cs="Times New Roman"/>
                <w:color w:val="auto"/>
                <w:szCs w:val="21"/>
                <w:highlight w:val="none"/>
                <w:lang w:val="en-US" w:eastAsia="zh-CN"/>
              </w:rPr>
            </w:pPr>
            <w:r>
              <w:rPr>
                <w:rFonts w:hint="eastAsia" w:cs="Times New Roman"/>
                <w:color w:val="auto"/>
                <w:szCs w:val="21"/>
                <w:highlight w:val="none"/>
                <w:lang w:val="en-US" w:eastAsia="zh-CN"/>
              </w:rPr>
              <w:t>25.5</w:t>
            </w:r>
          </w:p>
        </w:tc>
        <w:tc>
          <w:tcPr>
            <w:tcW w:w="750" w:type="dxa"/>
            <w:shd w:val="clear" w:color="auto" w:fill="auto"/>
            <w:noWrap w:val="0"/>
            <w:vAlign w:val="center"/>
          </w:tcPr>
          <w:p w14:paraId="7FA6A960">
            <w:pPr>
              <w:spacing w:line="280" w:lineRule="exact"/>
              <w:jc w:val="center"/>
              <w:rPr>
                <w:rFonts w:hint="eastAsia" w:cs="Times New Roman"/>
                <w:color w:val="auto"/>
                <w:szCs w:val="21"/>
                <w:highlight w:val="none"/>
                <w:lang w:val="en-US" w:eastAsia="zh-CN"/>
              </w:rPr>
            </w:pPr>
            <w:r>
              <w:rPr>
                <w:rFonts w:hint="eastAsia" w:cs="Times New Roman"/>
                <w:color w:val="auto"/>
                <w:szCs w:val="21"/>
                <w:highlight w:val="none"/>
                <w:lang w:val="en-US" w:eastAsia="zh-CN"/>
              </w:rPr>
              <w:t>25.5</w:t>
            </w:r>
          </w:p>
        </w:tc>
        <w:tc>
          <w:tcPr>
            <w:tcW w:w="1096" w:type="dxa"/>
            <w:shd w:val="clear" w:color="auto" w:fill="auto"/>
            <w:noWrap w:val="0"/>
            <w:vAlign w:val="center"/>
          </w:tcPr>
          <w:p w14:paraId="0CAE2EAE">
            <w:pPr>
              <w:spacing w:line="280" w:lineRule="exact"/>
              <w:jc w:val="center"/>
              <w:rPr>
                <w:rFonts w:hint="eastAsia"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1</w:t>
            </w:r>
          </w:p>
        </w:tc>
      </w:tr>
      <w:tr w14:paraId="0CC56C6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27" w:type="dxa"/>
            <w:shd w:val="clear" w:color="auto" w:fill="auto"/>
            <w:noWrap w:val="0"/>
            <w:vAlign w:val="center"/>
          </w:tcPr>
          <w:p w14:paraId="6549B70C">
            <w:pPr>
              <w:spacing w:line="280" w:lineRule="exact"/>
              <w:jc w:val="center"/>
              <w:rPr>
                <w:rFonts w:hint="default" w:ascii="Times New Roman" w:hAnsi="Times New Roman"/>
                <w:color w:val="auto"/>
                <w:szCs w:val="21"/>
                <w:highlight w:val="none"/>
                <w:lang w:val="en-US" w:eastAsia="zh-CN"/>
              </w:rPr>
            </w:pPr>
            <w:r>
              <w:rPr>
                <w:rFonts w:hint="eastAsia"/>
                <w:color w:val="auto"/>
                <w:szCs w:val="21"/>
                <w:highlight w:val="none"/>
                <w:lang w:val="en-US" w:eastAsia="zh-CN"/>
              </w:rPr>
              <w:t>29</w:t>
            </w:r>
          </w:p>
        </w:tc>
        <w:tc>
          <w:tcPr>
            <w:tcW w:w="1428" w:type="dxa"/>
            <w:shd w:val="clear" w:color="auto" w:fill="auto"/>
            <w:noWrap w:val="0"/>
            <w:vAlign w:val="center"/>
          </w:tcPr>
          <w:p w14:paraId="698CC698">
            <w:pPr>
              <w:autoSpaceDN w:val="0"/>
              <w:adjustRightInd w:val="0"/>
              <w:snapToGrid w:val="0"/>
              <w:jc w:val="center"/>
              <w:textAlignment w:val="top"/>
              <w:rPr>
                <w:rFonts w:hint="default" w:ascii="Times New Roman" w:hAnsi="Times New Roman" w:cs="Times New Roman"/>
                <w:color w:val="auto"/>
                <w:szCs w:val="21"/>
                <w:highlight w:val="none"/>
                <w:lang w:val="en-US"/>
              </w:rPr>
            </w:pPr>
            <w:r>
              <w:rPr>
                <w:rFonts w:hint="default" w:ascii="Times New Roman" w:hAnsi="Times New Roman" w:cs="Times New Roman"/>
                <w:color w:val="auto"/>
                <w:szCs w:val="21"/>
                <w:highlight w:val="none"/>
                <w:lang w:val="en-US" w:eastAsia="zh-CN"/>
              </w:rPr>
              <w:t>激光模分一体机</w:t>
            </w:r>
            <w:r>
              <w:rPr>
                <w:rFonts w:hint="eastAsia" w:ascii="Times New Roman" w:hAnsi="Times New Roman" w:cs="Times New Roman"/>
                <w:color w:val="auto"/>
                <w:szCs w:val="21"/>
                <w:highlight w:val="none"/>
                <w:lang w:val="en-US" w:eastAsia="zh-CN"/>
              </w:rPr>
              <w:t>1#</w:t>
            </w:r>
          </w:p>
        </w:tc>
        <w:tc>
          <w:tcPr>
            <w:tcW w:w="537" w:type="dxa"/>
            <w:shd w:val="clear" w:color="auto" w:fill="auto"/>
            <w:noWrap w:val="0"/>
            <w:vAlign w:val="center"/>
          </w:tcPr>
          <w:p w14:paraId="2C016ECC">
            <w:pPr>
              <w:spacing w:line="280" w:lineRule="exact"/>
              <w:jc w:val="center"/>
              <w:rPr>
                <w:rFonts w:hint="default" w:ascii="Times New Roman" w:hAnsi="Times New Roman"/>
                <w:color w:val="auto"/>
                <w:szCs w:val="21"/>
                <w:highlight w:val="none"/>
                <w:lang w:val="en-US" w:eastAsia="zh-CN"/>
              </w:rPr>
            </w:pPr>
            <w:r>
              <w:rPr>
                <w:rFonts w:hint="eastAsia"/>
                <w:color w:val="auto"/>
                <w:szCs w:val="21"/>
                <w:highlight w:val="none"/>
                <w:lang w:val="en-US" w:eastAsia="zh-CN"/>
              </w:rPr>
              <w:t>80</w:t>
            </w:r>
          </w:p>
        </w:tc>
        <w:tc>
          <w:tcPr>
            <w:tcW w:w="537" w:type="dxa"/>
            <w:shd w:val="clear" w:color="auto" w:fill="auto"/>
            <w:noWrap w:val="0"/>
            <w:vAlign w:val="center"/>
          </w:tcPr>
          <w:p w14:paraId="21C1117F">
            <w:pPr>
              <w:spacing w:line="280" w:lineRule="exact"/>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-20.74</w:t>
            </w:r>
          </w:p>
        </w:tc>
        <w:tc>
          <w:tcPr>
            <w:tcW w:w="537" w:type="dxa"/>
            <w:shd w:val="clear" w:color="auto" w:fill="auto"/>
            <w:noWrap w:val="0"/>
            <w:vAlign w:val="center"/>
          </w:tcPr>
          <w:p w14:paraId="1BC35EAB">
            <w:pPr>
              <w:spacing w:line="280" w:lineRule="exact"/>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116.04</w:t>
            </w:r>
          </w:p>
        </w:tc>
        <w:tc>
          <w:tcPr>
            <w:tcW w:w="558" w:type="dxa"/>
            <w:shd w:val="clear" w:color="auto" w:fill="auto"/>
            <w:noWrap w:val="0"/>
            <w:vAlign w:val="center"/>
          </w:tcPr>
          <w:p w14:paraId="415A05D7">
            <w:pPr>
              <w:spacing w:line="280" w:lineRule="exact"/>
              <w:jc w:val="center"/>
              <w:rPr>
                <w:rFonts w:hint="eastAsia"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1.2</w:t>
            </w:r>
          </w:p>
        </w:tc>
        <w:tc>
          <w:tcPr>
            <w:tcW w:w="537" w:type="dxa"/>
            <w:shd w:val="clear" w:color="auto" w:fill="auto"/>
            <w:noWrap w:val="0"/>
            <w:vAlign w:val="center"/>
          </w:tcPr>
          <w:p w14:paraId="4723BDC1">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73.1</w:t>
            </w:r>
          </w:p>
        </w:tc>
        <w:tc>
          <w:tcPr>
            <w:tcW w:w="537" w:type="dxa"/>
            <w:shd w:val="clear" w:color="auto" w:fill="auto"/>
            <w:noWrap w:val="0"/>
            <w:vAlign w:val="center"/>
          </w:tcPr>
          <w:p w14:paraId="02078638">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76.6</w:t>
            </w:r>
          </w:p>
        </w:tc>
        <w:tc>
          <w:tcPr>
            <w:tcW w:w="542" w:type="dxa"/>
            <w:shd w:val="clear" w:color="auto" w:fill="auto"/>
            <w:noWrap w:val="0"/>
            <w:vAlign w:val="center"/>
          </w:tcPr>
          <w:p w14:paraId="65D32690">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74.9</w:t>
            </w:r>
          </w:p>
        </w:tc>
        <w:tc>
          <w:tcPr>
            <w:tcW w:w="558" w:type="dxa"/>
            <w:shd w:val="clear" w:color="auto" w:fill="auto"/>
            <w:noWrap w:val="0"/>
            <w:vAlign w:val="center"/>
          </w:tcPr>
          <w:p w14:paraId="550DA11E">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59.7</w:t>
            </w:r>
          </w:p>
        </w:tc>
        <w:tc>
          <w:tcPr>
            <w:tcW w:w="542" w:type="dxa"/>
            <w:shd w:val="clear" w:color="auto" w:fill="auto"/>
            <w:noWrap w:val="0"/>
            <w:vAlign w:val="center"/>
          </w:tcPr>
          <w:p w14:paraId="38074C76">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 xml:space="preserve">54.8 </w:t>
            </w:r>
          </w:p>
        </w:tc>
        <w:tc>
          <w:tcPr>
            <w:tcW w:w="542" w:type="dxa"/>
            <w:shd w:val="clear" w:color="auto" w:fill="auto"/>
            <w:noWrap w:val="0"/>
            <w:vAlign w:val="center"/>
          </w:tcPr>
          <w:p w14:paraId="125D3F81">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 xml:space="preserve">54.8 </w:t>
            </w:r>
          </w:p>
        </w:tc>
        <w:tc>
          <w:tcPr>
            <w:tcW w:w="542" w:type="dxa"/>
            <w:shd w:val="clear" w:color="auto" w:fill="auto"/>
            <w:noWrap w:val="0"/>
            <w:vAlign w:val="center"/>
          </w:tcPr>
          <w:p w14:paraId="1EBAF896">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 xml:space="preserve">54.8 </w:t>
            </w:r>
          </w:p>
        </w:tc>
        <w:tc>
          <w:tcPr>
            <w:tcW w:w="555" w:type="dxa"/>
            <w:shd w:val="clear" w:color="auto" w:fill="auto"/>
            <w:noWrap w:val="0"/>
            <w:vAlign w:val="center"/>
          </w:tcPr>
          <w:p w14:paraId="5CC2365B">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 xml:space="preserve">54.8 </w:t>
            </w:r>
          </w:p>
        </w:tc>
        <w:tc>
          <w:tcPr>
            <w:tcW w:w="542" w:type="dxa"/>
            <w:vMerge w:val="continue"/>
            <w:shd w:val="clear" w:color="auto" w:fill="auto"/>
            <w:noWrap w:val="0"/>
            <w:vAlign w:val="center"/>
          </w:tcPr>
          <w:p w14:paraId="6BBA9F4A">
            <w:pPr>
              <w:spacing w:line="280" w:lineRule="exact"/>
              <w:jc w:val="center"/>
              <w:rPr>
                <w:rFonts w:hint="default" w:ascii="Times New Roman" w:hAnsi="Times New Roman" w:eastAsia="宋体"/>
                <w:color w:val="auto"/>
                <w:szCs w:val="21"/>
                <w:highlight w:val="none"/>
                <w:lang w:val="en-US" w:eastAsia="zh-CN"/>
              </w:rPr>
            </w:pPr>
          </w:p>
        </w:tc>
        <w:tc>
          <w:tcPr>
            <w:tcW w:w="897" w:type="dxa"/>
            <w:shd w:val="clear" w:color="auto" w:fill="auto"/>
            <w:noWrap w:val="0"/>
            <w:vAlign w:val="center"/>
          </w:tcPr>
          <w:p w14:paraId="0F976E89">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24.3</w:t>
            </w:r>
          </w:p>
        </w:tc>
        <w:tc>
          <w:tcPr>
            <w:tcW w:w="746" w:type="dxa"/>
            <w:shd w:val="clear" w:color="auto" w:fill="auto"/>
            <w:noWrap w:val="0"/>
            <w:vAlign w:val="center"/>
          </w:tcPr>
          <w:p w14:paraId="63484E70">
            <w:pPr>
              <w:spacing w:line="280" w:lineRule="exact"/>
              <w:jc w:val="center"/>
              <w:rPr>
                <w:rFonts w:hint="eastAsia" w:cs="Times New Roman"/>
                <w:color w:val="auto"/>
                <w:szCs w:val="21"/>
                <w:highlight w:val="none"/>
                <w:lang w:val="en-US" w:eastAsia="zh-CN"/>
              </w:rPr>
            </w:pPr>
            <w:r>
              <w:rPr>
                <w:rFonts w:hint="eastAsia" w:cs="Times New Roman"/>
                <w:color w:val="auto"/>
                <w:szCs w:val="21"/>
                <w:highlight w:val="none"/>
                <w:lang w:val="en-US" w:eastAsia="zh-CN"/>
              </w:rPr>
              <w:t>30.5</w:t>
            </w:r>
          </w:p>
        </w:tc>
        <w:tc>
          <w:tcPr>
            <w:tcW w:w="689" w:type="dxa"/>
            <w:shd w:val="clear" w:color="auto" w:fill="auto"/>
            <w:noWrap w:val="0"/>
            <w:vAlign w:val="center"/>
          </w:tcPr>
          <w:p w14:paraId="057EBE3B">
            <w:pPr>
              <w:spacing w:line="280" w:lineRule="exact"/>
              <w:jc w:val="center"/>
              <w:rPr>
                <w:rFonts w:hint="eastAsia" w:cs="Times New Roman"/>
                <w:color w:val="auto"/>
                <w:szCs w:val="21"/>
                <w:highlight w:val="none"/>
                <w:lang w:val="en-US" w:eastAsia="zh-CN"/>
              </w:rPr>
            </w:pPr>
            <w:r>
              <w:rPr>
                <w:rFonts w:hint="eastAsia" w:cs="Times New Roman"/>
                <w:color w:val="auto"/>
                <w:szCs w:val="21"/>
                <w:highlight w:val="none"/>
                <w:lang w:val="en-US" w:eastAsia="zh-CN"/>
              </w:rPr>
              <w:t>30.5</w:t>
            </w:r>
          </w:p>
        </w:tc>
        <w:tc>
          <w:tcPr>
            <w:tcW w:w="838" w:type="dxa"/>
            <w:shd w:val="clear" w:color="auto" w:fill="auto"/>
            <w:noWrap w:val="0"/>
            <w:vAlign w:val="center"/>
          </w:tcPr>
          <w:p w14:paraId="6035439E">
            <w:pPr>
              <w:spacing w:line="280" w:lineRule="exact"/>
              <w:jc w:val="center"/>
              <w:rPr>
                <w:rFonts w:hint="eastAsia" w:cs="Times New Roman"/>
                <w:color w:val="auto"/>
                <w:szCs w:val="21"/>
                <w:highlight w:val="none"/>
                <w:lang w:val="en-US" w:eastAsia="zh-CN"/>
              </w:rPr>
            </w:pPr>
            <w:r>
              <w:rPr>
                <w:rFonts w:hint="eastAsia" w:cs="Times New Roman"/>
                <w:color w:val="auto"/>
                <w:szCs w:val="21"/>
                <w:highlight w:val="none"/>
                <w:lang w:val="en-US" w:eastAsia="zh-CN"/>
              </w:rPr>
              <w:t>30.5</w:t>
            </w:r>
          </w:p>
        </w:tc>
        <w:tc>
          <w:tcPr>
            <w:tcW w:w="750" w:type="dxa"/>
            <w:shd w:val="clear" w:color="auto" w:fill="auto"/>
            <w:noWrap w:val="0"/>
            <w:vAlign w:val="center"/>
          </w:tcPr>
          <w:p w14:paraId="41CCEED7">
            <w:pPr>
              <w:spacing w:line="280" w:lineRule="exact"/>
              <w:jc w:val="center"/>
              <w:rPr>
                <w:rFonts w:hint="eastAsia" w:cs="Times New Roman"/>
                <w:color w:val="auto"/>
                <w:szCs w:val="21"/>
                <w:highlight w:val="none"/>
                <w:lang w:val="en-US" w:eastAsia="zh-CN"/>
              </w:rPr>
            </w:pPr>
            <w:r>
              <w:rPr>
                <w:rFonts w:hint="eastAsia" w:cs="Times New Roman"/>
                <w:color w:val="auto"/>
                <w:szCs w:val="21"/>
                <w:highlight w:val="none"/>
                <w:lang w:val="en-US" w:eastAsia="zh-CN"/>
              </w:rPr>
              <w:t>30.5</w:t>
            </w:r>
          </w:p>
        </w:tc>
        <w:tc>
          <w:tcPr>
            <w:tcW w:w="1096" w:type="dxa"/>
            <w:shd w:val="clear" w:color="auto" w:fill="auto"/>
            <w:noWrap w:val="0"/>
            <w:vAlign w:val="center"/>
          </w:tcPr>
          <w:p w14:paraId="2630676C">
            <w:pPr>
              <w:spacing w:line="280" w:lineRule="exact"/>
              <w:jc w:val="center"/>
              <w:rPr>
                <w:rFonts w:hint="eastAsia"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1</w:t>
            </w:r>
          </w:p>
        </w:tc>
      </w:tr>
      <w:tr w14:paraId="4731DCB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27" w:type="dxa"/>
            <w:shd w:val="clear" w:color="auto" w:fill="auto"/>
            <w:noWrap w:val="0"/>
            <w:vAlign w:val="center"/>
          </w:tcPr>
          <w:p w14:paraId="4CC90BA1">
            <w:pPr>
              <w:spacing w:line="280" w:lineRule="exact"/>
              <w:jc w:val="center"/>
              <w:rPr>
                <w:rFonts w:hint="default" w:ascii="Times New Roman" w:hAnsi="Times New Roman"/>
                <w:color w:val="auto"/>
                <w:szCs w:val="21"/>
                <w:highlight w:val="none"/>
                <w:lang w:val="en-US" w:eastAsia="zh-CN"/>
              </w:rPr>
            </w:pPr>
            <w:r>
              <w:rPr>
                <w:rFonts w:hint="eastAsia"/>
                <w:color w:val="auto"/>
                <w:szCs w:val="21"/>
                <w:highlight w:val="none"/>
                <w:lang w:val="en-US" w:eastAsia="zh-CN"/>
              </w:rPr>
              <w:t>30</w:t>
            </w:r>
          </w:p>
        </w:tc>
        <w:tc>
          <w:tcPr>
            <w:tcW w:w="1428" w:type="dxa"/>
            <w:shd w:val="clear" w:color="auto" w:fill="auto"/>
            <w:noWrap w:val="0"/>
            <w:vAlign w:val="center"/>
          </w:tcPr>
          <w:p w14:paraId="4C5EE75F">
            <w:pPr>
              <w:autoSpaceDN w:val="0"/>
              <w:adjustRightInd w:val="0"/>
              <w:snapToGrid w:val="0"/>
              <w:jc w:val="center"/>
              <w:textAlignment w:val="top"/>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lang w:val="en-US" w:eastAsia="zh-CN"/>
              </w:rPr>
              <w:t>激光模分一体机</w:t>
            </w:r>
            <w:r>
              <w:rPr>
                <w:rFonts w:hint="eastAsia" w:ascii="Times New Roman" w:hAnsi="Times New Roman" w:cs="Times New Roman"/>
                <w:color w:val="auto"/>
                <w:szCs w:val="21"/>
                <w:highlight w:val="none"/>
                <w:lang w:val="en-US" w:eastAsia="zh-CN"/>
              </w:rPr>
              <w:t>2#</w:t>
            </w:r>
          </w:p>
        </w:tc>
        <w:tc>
          <w:tcPr>
            <w:tcW w:w="537" w:type="dxa"/>
            <w:shd w:val="clear" w:color="auto" w:fill="auto"/>
            <w:noWrap w:val="0"/>
            <w:vAlign w:val="center"/>
          </w:tcPr>
          <w:p w14:paraId="6554D500">
            <w:pPr>
              <w:spacing w:line="280" w:lineRule="exact"/>
              <w:jc w:val="center"/>
              <w:rPr>
                <w:rFonts w:hint="default" w:ascii="Times New Roman" w:hAnsi="Times New Roman"/>
                <w:color w:val="auto"/>
                <w:szCs w:val="21"/>
                <w:highlight w:val="none"/>
                <w:lang w:val="en-US" w:eastAsia="zh-CN"/>
              </w:rPr>
            </w:pPr>
            <w:r>
              <w:rPr>
                <w:rFonts w:hint="eastAsia"/>
                <w:color w:val="auto"/>
                <w:szCs w:val="21"/>
                <w:highlight w:val="none"/>
                <w:lang w:val="en-US" w:eastAsia="zh-CN"/>
              </w:rPr>
              <w:t>80</w:t>
            </w:r>
          </w:p>
        </w:tc>
        <w:tc>
          <w:tcPr>
            <w:tcW w:w="537" w:type="dxa"/>
            <w:shd w:val="clear" w:color="auto" w:fill="auto"/>
            <w:noWrap w:val="0"/>
            <w:vAlign w:val="center"/>
          </w:tcPr>
          <w:p w14:paraId="7E70449D">
            <w:pPr>
              <w:spacing w:line="280" w:lineRule="exact"/>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-25.08</w:t>
            </w:r>
          </w:p>
        </w:tc>
        <w:tc>
          <w:tcPr>
            <w:tcW w:w="537" w:type="dxa"/>
            <w:shd w:val="clear" w:color="auto" w:fill="auto"/>
            <w:noWrap w:val="0"/>
            <w:vAlign w:val="center"/>
          </w:tcPr>
          <w:p w14:paraId="6942F452">
            <w:pPr>
              <w:spacing w:line="280" w:lineRule="exact"/>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113.51</w:t>
            </w:r>
          </w:p>
        </w:tc>
        <w:tc>
          <w:tcPr>
            <w:tcW w:w="558" w:type="dxa"/>
            <w:shd w:val="clear" w:color="auto" w:fill="auto"/>
            <w:noWrap w:val="0"/>
            <w:vAlign w:val="center"/>
          </w:tcPr>
          <w:p w14:paraId="5609C006">
            <w:pPr>
              <w:spacing w:line="280" w:lineRule="exact"/>
              <w:jc w:val="center"/>
              <w:rPr>
                <w:rFonts w:hint="eastAsia"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1.2</w:t>
            </w:r>
          </w:p>
        </w:tc>
        <w:tc>
          <w:tcPr>
            <w:tcW w:w="537" w:type="dxa"/>
            <w:shd w:val="clear" w:color="auto" w:fill="auto"/>
            <w:noWrap w:val="0"/>
            <w:vAlign w:val="center"/>
          </w:tcPr>
          <w:p w14:paraId="18EAE86B">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76.1</w:t>
            </w:r>
          </w:p>
        </w:tc>
        <w:tc>
          <w:tcPr>
            <w:tcW w:w="537" w:type="dxa"/>
            <w:shd w:val="clear" w:color="auto" w:fill="auto"/>
            <w:noWrap w:val="0"/>
            <w:vAlign w:val="center"/>
          </w:tcPr>
          <w:p w14:paraId="656F7B51">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55.3</w:t>
            </w:r>
          </w:p>
        </w:tc>
        <w:tc>
          <w:tcPr>
            <w:tcW w:w="542" w:type="dxa"/>
            <w:shd w:val="clear" w:color="auto" w:fill="auto"/>
            <w:noWrap w:val="0"/>
            <w:vAlign w:val="center"/>
          </w:tcPr>
          <w:p w14:paraId="38D44398">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72.4</w:t>
            </w:r>
          </w:p>
        </w:tc>
        <w:tc>
          <w:tcPr>
            <w:tcW w:w="558" w:type="dxa"/>
            <w:shd w:val="clear" w:color="auto" w:fill="auto"/>
            <w:noWrap w:val="0"/>
            <w:vAlign w:val="center"/>
          </w:tcPr>
          <w:p w14:paraId="7DA2BCCF">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62.2</w:t>
            </w:r>
          </w:p>
        </w:tc>
        <w:tc>
          <w:tcPr>
            <w:tcW w:w="542" w:type="dxa"/>
            <w:shd w:val="clear" w:color="auto" w:fill="auto"/>
            <w:noWrap w:val="0"/>
            <w:vAlign w:val="center"/>
          </w:tcPr>
          <w:p w14:paraId="22E7DEAA">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 xml:space="preserve">54.8 </w:t>
            </w:r>
          </w:p>
        </w:tc>
        <w:tc>
          <w:tcPr>
            <w:tcW w:w="542" w:type="dxa"/>
            <w:shd w:val="clear" w:color="auto" w:fill="auto"/>
            <w:noWrap w:val="0"/>
            <w:vAlign w:val="center"/>
          </w:tcPr>
          <w:p w14:paraId="110AD583">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 xml:space="preserve">54.8 </w:t>
            </w:r>
          </w:p>
        </w:tc>
        <w:tc>
          <w:tcPr>
            <w:tcW w:w="542" w:type="dxa"/>
            <w:shd w:val="clear" w:color="auto" w:fill="auto"/>
            <w:noWrap w:val="0"/>
            <w:vAlign w:val="center"/>
          </w:tcPr>
          <w:p w14:paraId="4585761D">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 xml:space="preserve">54.8 </w:t>
            </w:r>
          </w:p>
        </w:tc>
        <w:tc>
          <w:tcPr>
            <w:tcW w:w="555" w:type="dxa"/>
            <w:shd w:val="clear" w:color="auto" w:fill="auto"/>
            <w:noWrap w:val="0"/>
            <w:vAlign w:val="center"/>
          </w:tcPr>
          <w:p w14:paraId="5825F961">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 xml:space="preserve">54.8 </w:t>
            </w:r>
          </w:p>
        </w:tc>
        <w:tc>
          <w:tcPr>
            <w:tcW w:w="542" w:type="dxa"/>
            <w:vMerge w:val="continue"/>
            <w:shd w:val="clear" w:color="auto" w:fill="auto"/>
            <w:noWrap w:val="0"/>
            <w:vAlign w:val="center"/>
          </w:tcPr>
          <w:p w14:paraId="5D737B5D">
            <w:pPr>
              <w:spacing w:line="280" w:lineRule="exact"/>
              <w:jc w:val="center"/>
              <w:rPr>
                <w:rFonts w:hint="default" w:ascii="Times New Roman" w:hAnsi="Times New Roman" w:eastAsia="宋体"/>
                <w:color w:val="auto"/>
                <w:szCs w:val="21"/>
                <w:highlight w:val="none"/>
                <w:lang w:val="en-US" w:eastAsia="zh-CN"/>
              </w:rPr>
            </w:pPr>
          </w:p>
        </w:tc>
        <w:tc>
          <w:tcPr>
            <w:tcW w:w="897" w:type="dxa"/>
            <w:shd w:val="clear" w:color="auto" w:fill="auto"/>
            <w:noWrap w:val="0"/>
            <w:vAlign w:val="center"/>
          </w:tcPr>
          <w:p w14:paraId="3EEC1CFA">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24.3</w:t>
            </w:r>
          </w:p>
        </w:tc>
        <w:tc>
          <w:tcPr>
            <w:tcW w:w="746" w:type="dxa"/>
            <w:shd w:val="clear" w:color="auto" w:fill="auto"/>
            <w:noWrap w:val="0"/>
            <w:vAlign w:val="center"/>
          </w:tcPr>
          <w:p w14:paraId="2858410F">
            <w:pPr>
              <w:spacing w:line="280" w:lineRule="exact"/>
              <w:jc w:val="center"/>
              <w:rPr>
                <w:rFonts w:hint="eastAsia" w:cs="Times New Roman"/>
                <w:color w:val="auto"/>
                <w:szCs w:val="21"/>
                <w:highlight w:val="none"/>
                <w:lang w:val="en-US" w:eastAsia="zh-CN"/>
              </w:rPr>
            </w:pPr>
            <w:r>
              <w:rPr>
                <w:rFonts w:hint="eastAsia" w:cs="Times New Roman"/>
                <w:color w:val="auto"/>
                <w:szCs w:val="21"/>
                <w:highlight w:val="none"/>
                <w:lang w:val="en-US" w:eastAsia="zh-CN"/>
              </w:rPr>
              <w:t>30.5</w:t>
            </w:r>
          </w:p>
        </w:tc>
        <w:tc>
          <w:tcPr>
            <w:tcW w:w="689" w:type="dxa"/>
            <w:shd w:val="clear" w:color="auto" w:fill="auto"/>
            <w:noWrap w:val="0"/>
            <w:vAlign w:val="center"/>
          </w:tcPr>
          <w:p w14:paraId="3EE367FF">
            <w:pPr>
              <w:spacing w:line="280" w:lineRule="exact"/>
              <w:jc w:val="center"/>
              <w:rPr>
                <w:rFonts w:hint="eastAsia" w:cs="Times New Roman"/>
                <w:color w:val="auto"/>
                <w:szCs w:val="21"/>
                <w:highlight w:val="none"/>
                <w:lang w:val="en-US" w:eastAsia="zh-CN"/>
              </w:rPr>
            </w:pPr>
            <w:r>
              <w:rPr>
                <w:rFonts w:hint="eastAsia" w:cs="Times New Roman"/>
                <w:color w:val="auto"/>
                <w:szCs w:val="21"/>
                <w:highlight w:val="none"/>
                <w:lang w:val="en-US" w:eastAsia="zh-CN"/>
              </w:rPr>
              <w:t>30.5</w:t>
            </w:r>
          </w:p>
        </w:tc>
        <w:tc>
          <w:tcPr>
            <w:tcW w:w="838" w:type="dxa"/>
            <w:shd w:val="clear" w:color="auto" w:fill="auto"/>
            <w:noWrap w:val="0"/>
            <w:vAlign w:val="center"/>
          </w:tcPr>
          <w:p w14:paraId="4CAE190D">
            <w:pPr>
              <w:spacing w:line="280" w:lineRule="exact"/>
              <w:jc w:val="center"/>
              <w:rPr>
                <w:rFonts w:hint="eastAsia" w:cs="Times New Roman"/>
                <w:color w:val="auto"/>
                <w:szCs w:val="21"/>
                <w:highlight w:val="none"/>
                <w:lang w:val="en-US" w:eastAsia="zh-CN"/>
              </w:rPr>
            </w:pPr>
            <w:r>
              <w:rPr>
                <w:rFonts w:hint="eastAsia" w:cs="Times New Roman"/>
                <w:color w:val="auto"/>
                <w:szCs w:val="21"/>
                <w:highlight w:val="none"/>
                <w:lang w:val="en-US" w:eastAsia="zh-CN"/>
              </w:rPr>
              <w:t>30.5</w:t>
            </w:r>
          </w:p>
        </w:tc>
        <w:tc>
          <w:tcPr>
            <w:tcW w:w="750" w:type="dxa"/>
            <w:shd w:val="clear" w:color="auto" w:fill="auto"/>
            <w:noWrap w:val="0"/>
            <w:vAlign w:val="center"/>
          </w:tcPr>
          <w:p w14:paraId="29B2FA2D">
            <w:pPr>
              <w:spacing w:line="280" w:lineRule="exact"/>
              <w:jc w:val="center"/>
              <w:rPr>
                <w:rFonts w:hint="eastAsia" w:cs="Times New Roman"/>
                <w:color w:val="auto"/>
                <w:szCs w:val="21"/>
                <w:highlight w:val="none"/>
                <w:lang w:val="en-US" w:eastAsia="zh-CN"/>
              </w:rPr>
            </w:pPr>
            <w:r>
              <w:rPr>
                <w:rFonts w:hint="eastAsia" w:cs="Times New Roman"/>
                <w:color w:val="auto"/>
                <w:szCs w:val="21"/>
                <w:highlight w:val="none"/>
                <w:lang w:val="en-US" w:eastAsia="zh-CN"/>
              </w:rPr>
              <w:t>30.5</w:t>
            </w:r>
          </w:p>
        </w:tc>
        <w:tc>
          <w:tcPr>
            <w:tcW w:w="1096" w:type="dxa"/>
            <w:shd w:val="clear" w:color="auto" w:fill="auto"/>
            <w:noWrap w:val="0"/>
            <w:vAlign w:val="center"/>
          </w:tcPr>
          <w:p w14:paraId="75770412">
            <w:pPr>
              <w:spacing w:line="280" w:lineRule="exact"/>
              <w:jc w:val="center"/>
              <w:rPr>
                <w:rFonts w:hint="eastAsia"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1</w:t>
            </w:r>
          </w:p>
        </w:tc>
      </w:tr>
      <w:tr w14:paraId="210193A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27" w:type="dxa"/>
            <w:shd w:val="clear" w:color="auto" w:fill="auto"/>
            <w:noWrap w:val="0"/>
            <w:vAlign w:val="center"/>
          </w:tcPr>
          <w:p w14:paraId="47AF1ED8">
            <w:pPr>
              <w:spacing w:line="280" w:lineRule="exact"/>
              <w:jc w:val="center"/>
              <w:rPr>
                <w:rFonts w:hint="default" w:ascii="Times New Roman" w:hAnsi="Times New Roman"/>
                <w:color w:val="auto"/>
                <w:szCs w:val="21"/>
                <w:highlight w:val="none"/>
                <w:lang w:val="en-US" w:eastAsia="zh-CN"/>
              </w:rPr>
            </w:pPr>
            <w:r>
              <w:rPr>
                <w:rFonts w:hint="eastAsia"/>
                <w:color w:val="auto"/>
                <w:szCs w:val="21"/>
                <w:highlight w:val="none"/>
                <w:lang w:val="en-US" w:eastAsia="zh-CN"/>
              </w:rPr>
              <w:t>31</w:t>
            </w:r>
          </w:p>
        </w:tc>
        <w:tc>
          <w:tcPr>
            <w:tcW w:w="1428" w:type="dxa"/>
            <w:shd w:val="clear" w:color="auto" w:fill="auto"/>
            <w:noWrap w:val="0"/>
            <w:vAlign w:val="center"/>
          </w:tcPr>
          <w:p w14:paraId="7836B756">
            <w:pPr>
              <w:autoSpaceDN w:val="0"/>
              <w:adjustRightInd w:val="0"/>
              <w:snapToGrid w:val="0"/>
              <w:jc w:val="center"/>
              <w:textAlignment w:val="top"/>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夹具化成</w:t>
            </w:r>
            <w:r>
              <w:rPr>
                <w:rFonts w:hint="default" w:ascii="Times New Roman" w:hAnsi="Times New Roman" w:cs="Times New Roman"/>
                <w:color w:val="auto"/>
                <w:szCs w:val="21"/>
                <w:highlight w:val="none"/>
                <w:lang w:val="en-US" w:eastAsia="zh-CN"/>
              </w:rPr>
              <w:t>设备线</w:t>
            </w:r>
          </w:p>
        </w:tc>
        <w:tc>
          <w:tcPr>
            <w:tcW w:w="537" w:type="dxa"/>
            <w:shd w:val="clear" w:color="auto" w:fill="auto"/>
            <w:noWrap w:val="0"/>
            <w:vAlign w:val="center"/>
          </w:tcPr>
          <w:p w14:paraId="6EA45145">
            <w:pPr>
              <w:spacing w:line="280" w:lineRule="exact"/>
              <w:jc w:val="center"/>
              <w:rPr>
                <w:rFonts w:hint="default" w:ascii="Times New Roman" w:hAnsi="Times New Roman"/>
                <w:color w:val="auto"/>
                <w:szCs w:val="21"/>
                <w:highlight w:val="none"/>
                <w:lang w:val="en-US" w:eastAsia="zh-CN"/>
              </w:rPr>
            </w:pPr>
            <w:r>
              <w:rPr>
                <w:rFonts w:hint="eastAsia"/>
                <w:color w:val="auto"/>
                <w:szCs w:val="21"/>
                <w:highlight w:val="none"/>
                <w:lang w:val="en-US" w:eastAsia="zh-CN"/>
              </w:rPr>
              <w:t>75</w:t>
            </w:r>
          </w:p>
        </w:tc>
        <w:tc>
          <w:tcPr>
            <w:tcW w:w="537" w:type="dxa"/>
            <w:shd w:val="clear" w:color="auto" w:fill="auto"/>
            <w:noWrap w:val="0"/>
            <w:vAlign w:val="center"/>
          </w:tcPr>
          <w:p w14:paraId="5E4A0CBE">
            <w:pPr>
              <w:spacing w:line="280" w:lineRule="exact"/>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-74.03</w:t>
            </w:r>
          </w:p>
        </w:tc>
        <w:tc>
          <w:tcPr>
            <w:tcW w:w="537" w:type="dxa"/>
            <w:shd w:val="clear" w:color="auto" w:fill="auto"/>
            <w:noWrap w:val="0"/>
            <w:vAlign w:val="center"/>
          </w:tcPr>
          <w:p w14:paraId="14D19E6E">
            <w:pPr>
              <w:spacing w:line="280" w:lineRule="exact"/>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121.78</w:t>
            </w:r>
          </w:p>
        </w:tc>
        <w:tc>
          <w:tcPr>
            <w:tcW w:w="558" w:type="dxa"/>
            <w:shd w:val="clear" w:color="auto" w:fill="auto"/>
            <w:noWrap w:val="0"/>
            <w:vAlign w:val="center"/>
          </w:tcPr>
          <w:p w14:paraId="7DE41801">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1.1</w:t>
            </w:r>
          </w:p>
        </w:tc>
        <w:tc>
          <w:tcPr>
            <w:tcW w:w="537" w:type="dxa"/>
            <w:shd w:val="clear" w:color="auto" w:fill="auto"/>
            <w:noWrap w:val="0"/>
            <w:vAlign w:val="center"/>
          </w:tcPr>
          <w:p w14:paraId="0D46CF4C">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122.9</w:t>
            </w:r>
          </w:p>
        </w:tc>
        <w:tc>
          <w:tcPr>
            <w:tcW w:w="537" w:type="dxa"/>
            <w:shd w:val="clear" w:color="auto" w:fill="auto"/>
            <w:noWrap w:val="0"/>
            <w:vAlign w:val="center"/>
          </w:tcPr>
          <w:p w14:paraId="2065A595">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41.7</w:t>
            </w:r>
          </w:p>
        </w:tc>
        <w:tc>
          <w:tcPr>
            <w:tcW w:w="542" w:type="dxa"/>
            <w:shd w:val="clear" w:color="auto" w:fill="auto"/>
            <w:noWrap w:val="0"/>
            <w:vAlign w:val="center"/>
          </w:tcPr>
          <w:p w14:paraId="1C6AB34E">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26.3</w:t>
            </w:r>
          </w:p>
        </w:tc>
        <w:tc>
          <w:tcPr>
            <w:tcW w:w="558" w:type="dxa"/>
            <w:shd w:val="clear" w:color="auto" w:fill="auto"/>
            <w:noWrap w:val="0"/>
            <w:vAlign w:val="center"/>
          </w:tcPr>
          <w:p w14:paraId="726862C5">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37.2</w:t>
            </w:r>
          </w:p>
        </w:tc>
        <w:tc>
          <w:tcPr>
            <w:tcW w:w="542" w:type="dxa"/>
            <w:shd w:val="clear" w:color="auto" w:fill="auto"/>
            <w:noWrap w:val="0"/>
            <w:vAlign w:val="center"/>
          </w:tcPr>
          <w:p w14:paraId="71D1D4B2">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 xml:space="preserve">49.8 </w:t>
            </w:r>
          </w:p>
        </w:tc>
        <w:tc>
          <w:tcPr>
            <w:tcW w:w="542" w:type="dxa"/>
            <w:shd w:val="clear" w:color="auto" w:fill="auto"/>
            <w:noWrap w:val="0"/>
            <w:vAlign w:val="center"/>
          </w:tcPr>
          <w:p w14:paraId="2A22D74F">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 xml:space="preserve">49.8 </w:t>
            </w:r>
          </w:p>
        </w:tc>
        <w:tc>
          <w:tcPr>
            <w:tcW w:w="542" w:type="dxa"/>
            <w:shd w:val="clear" w:color="auto" w:fill="auto"/>
            <w:noWrap w:val="0"/>
            <w:vAlign w:val="center"/>
          </w:tcPr>
          <w:p w14:paraId="6C5ED021">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 xml:space="preserve">49.9 </w:t>
            </w:r>
          </w:p>
        </w:tc>
        <w:tc>
          <w:tcPr>
            <w:tcW w:w="555" w:type="dxa"/>
            <w:shd w:val="clear" w:color="auto" w:fill="auto"/>
            <w:noWrap w:val="0"/>
            <w:vAlign w:val="center"/>
          </w:tcPr>
          <w:p w14:paraId="15B564F1">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 xml:space="preserve">49.8 </w:t>
            </w:r>
          </w:p>
        </w:tc>
        <w:tc>
          <w:tcPr>
            <w:tcW w:w="542" w:type="dxa"/>
            <w:vMerge w:val="continue"/>
            <w:shd w:val="clear" w:color="auto" w:fill="auto"/>
            <w:noWrap w:val="0"/>
            <w:vAlign w:val="center"/>
          </w:tcPr>
          <w:p w14:paraId="3B93EB1C">
            <w:pPr>
              <w:spacing w:line="280" w:lineRule="exact"/>
              <w:jc w:val="center"/>
              <w:rPr>
                <w:rFonts w:hint="default" w:ascii="Times New Roman" w:hAnsi="Times New Roman" w:eastAsia="宋体"/>
                <w:color w:val="auto"/>
                <w:szCs w:val="21"/>
                <w:highlight w:val="none"/>
                <w:lang w:val="en-US" w:eastAsia="zh-CN"/>
              </w:rPr>
            </w:pPr>
          </w:p>
        </w:tc>
        <w:tc>
          <w:tcPr>
            <w:tcW w:w="897" w:type="dxa"/>
            <w:shd w:val="clear" w:color="auto" w:fill="auto"/>
            <w:noWrap w:val="0"/>
            <w:vAlign w:val="center"/>
          </w:tcPr>
          <w:p w14:paraId="098A62DB">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24.3</w:t>
            </w:r>
          </w:p>
        </w:tc>
        <w:tc>
          <w:tcPr>
            <w:tcW w:w="746" w:type="dxa"/>
            <w:shd w:val="clear" w:color="auto" w:fill="auto"/>
            <w:noWrap w:val="0"/>
            <w:vAlign w:val="center"/>
          </w:tcPr>
          <w:p w14:paraId="3B2E574C">
            <w:pPr>
              <w:spacing w:line="280" w:lineRule="exact"/>
              <w:jc w:val="center"/>
              <w:rPr>
                <w:rFonts w:hint="eastAsia" w:cs="Times New Roman"/>
                <w:color w:val="auto"/>
                <w:szCs w:val="21"/>
                <w:highlight w:val="none"/>
                <w:lang w:val="en-US" w:eastAsia="zh-CN"/>
              </w:rPr>
            </w:pPr>
            <w:r>
              <w:rPr>
                <w:rFonts w:hint="eastAsia" w:cs="Times New Roman"/>
                <w:color w:val="auto"/>
                <w:szCs w:val="21"/>
                <w:highlight w:val="none"/>
                <w:lang w:val="en-US" w:eastAsia="zh-CN"/>
              </w:rPr>
              <w:t>25.5</w:t>
            </w:r>
          </w:p>
        </w:tc>
        <w:tc>
          <w:tcPr>
            <w:tcW w:w="689" w:type="dxa"/>
            <w:shd w:val="clear" w:color="auto" w:fill="auto"/>
            <w:noWrap w:val="0"/>
            <w:vAlign w:val="center"/>
          </w:tcPr>
          <w:p w14:paraId="4CB42A5E">
            <w:pPr>
              <w:spacing w:line="280" w:lineRule="exact"/>
              <w:jc w:val="center"/>
              <w:rPr>
                <w:rFonts w:hint="eastAsia" w:cs="Times New Roman"/>
                <w:color w:val="auto"/>
                <w:szCs w:val="21"/>
                <w:highlight w:val="none"/>
                <w:lang w:val="en-US" w:eastAsia="zh-CN"/>
              </w:rPr>
            </w:pPr>
            <w:r>
              <w:rPr>
                <w:rFonts w:hint="eastAsia" w:cs="Times New Roman"/>
                <w:color w:val="auto"/>
                <w:szCs w:val="21"/>
                <w:highlight w:val="none"/>
                <w:lang w:val="en-US" w:eastAsia="zh-CN"/>
              </w:rPr>
              <w:t>25.5</w:t>
            </w:r>
          </w:p>
        </w:tc>
        <w:tc>
          <w:tcPr>
            <w:tcW w:w="838" w:type="dxa"/>
            <w:shd w:val="clear" w:color="auto" w:fill="auto"/>
            <w:noWrap w:val="0"/>
            <w:vAlign w:val="center"/>
          </w:tcPr>
          <w:p w14:paraId="1B08E63E">
            <w:pPr>
              <w:spacing w:line="280" w:lineRule="exact"/>
              <w:jc w:val="center"/>
              <w:rPr>
                <w:rFonts w:hint="eastAsia" w:cs="Times New Roman"/>
                <w:color w:val="auto"/>
                <w:szCs w:val="21"/>
                <w:highlight w:val="none"/>
                <w:lang w:val="en-US" w:eastAsia="zh-CN"/>
              </w:rPr>
            </w:pPr>
            <w:r>
              <w:rPr>
                <w:rFonts w:hint="eastAsia" w:cs="Times New Roman"/>
                <w:color w:val="auto"/>
                <w:szCs w:val="21"/>
                <w:highlight w:val="none"/>
                <w:lang w:val="en-US" w:eastAsia="zh-CN"/>
              </w:rPr>
              <w:t>25.6</w:t>
            </w:r>
          </w:p>
        </w:tc>
        <w:tc>
          <w:tcPr>
            <w:tcW w:w="750" w:type="dxa"/>
            <w:shd w:val="clear" w:color="auto" w:fill="auto"/>
            <w:noWrap w:val="0"/>
            <w:vAlign w:val="center"/>
          </w:tcPr>
          <w:p w14:paraId="4A407D1D">
            <w:pPr>
              <w:spacing w:line="280" w:lineRule="exact"/>
              <w:jc w:val="center"/>
              <w:rPr>
                <w:rFonts w:hint="eastAsia" w:cs="Times New Roman"/>
                <w:color w:val="auto"/>
                <w:szCs w:val="21"/>
                <w:highlight w:val="none"/>
                <w:lang w:val="en-US" w:eastAsia="zh-CN"/>
              </w:rPr>
            </w:pPr>
            <w:r>
              <w:rPr>
                <w:rFonts w:hint="eastAsia" w:cs="Times New Roman"/>
                <w:color w:val="auto"/>
                <w:szCs w:val="21"/>
                <w:highlight w:val="none"/>
                <w:lang w:val="en-US" w:eastAsia="zh-CN"/>
              </w:rPr>
              <w:t>25.5</w:t>
            </w:r>
          </w:p>
        </w:tc>
        <w:tc>
          <w:tcPr>
            <w:tcW w:w="1096" w:type="dxa"/>
            <w:shd w:val="clear" w:color="auto" w:fill="auto"/>
            <w:noWrap w:val="0"/>
            <w:vAlign w:val="center"/>
          </w:tcPr>
          <w:p w14:paraId="0DEC7947">
            <w:pPr>
              <w:spacing w:line="280" w:lineRule="exact"/>
              <w:jc w:val="center"/>
              <w:rPr>
                <w:rFonts w:hint="eastAsia"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1</w:t>
            </w:r>
          </w:p>
        </w:tc>
      </w:tr>
      <w:tr w14:paraId="2D0F85B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27" w:type="dxa"/>
            <w:shd w:val="clear" w:color="auto" w:fill="auto"/>
            <w:noWrap w:val="0"/>
            <w:vAlign w:val="center"/>
          </w:tcPr>
          <w:p w14:paraId="77BBD859">
            <w:pPr>
              <w:spacing w:line="280" w:lineRule="exact"/>
              <w:jc w:val="center"/>
              <w:rPr>
                <w:rFonts w:hint="default" w:ascii="Times New Roman" w:hAnsi="Times New Roman"/>
                <w:color w:val="auto"/>
                <w:szCs w:val="21"/>
                <w:highlight w:val="none"/>
                <w:lang w:val="en-US" w:eastAsia="zh-CN"/>
              </w:rPr>
            </w:pPr>
            <w:r>
              <w:rPr>
                <w:rFonts w:hint="eastAsia"/>
                <w:color w:val="auto"/>
                <w:szCs w:val="21"/>
                <w:highlight w:val="none"/>
                <w:lang w:val="en-US" w:eastAsia="zh-CN"/>
              </w:rPr>
              <w:t>32</w:t>
            </w:r>
          </w:p>
        </w:tc>
        <w:tc>
          <w:tcPr>
            <w:tcW w:w="1428" w:type="dxa"/>
            <w:shd w:val="clear" w:color="auto" w:fill="auto"/>
            <w:noWrap w:val="0"/>
            <w:vAlign w:val="center"/>
          </w:tcPr>
          <w:p w14:paraId="6BABD18D">
            <w:pPr>
              <w:autoSpaceDN w:val="0"/>
              <w:adjustRightInd w:val="0"/>
              <w:snapToGrid w:val="0"/>
              <w:jc w:val="center"/>
              <w:textAlignment w:val="top"/>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分容设备</w:t>
            </w:r>
            <w:r>
              <w:rPr>
                <w:rFonts w:hint="default" w:ascii="Times New Roman" w:hAnsi="Times New Roman" w:cs="Times New Roman"/>
                <w:color w:val="auto"/>
                <w:szCs w:val="21"/>
                <w:highlight w:val="none"/>
                <w:lang w:val="en-US" w:eastAsia="zh-CN"/>
              </w:rPr>
              <w:t>线</w:t>
            </w:r>
          </w:p>
        </w:tc>
        <w:tc>
          <w:tcPr>
            <w:tcW w:w="537" w:type="dxa"/>
            <w:shd w:val="clear" w:color="auto" w:fill="auto"/>
            <w:noWrap w:val="0"/>
            <w:vAlign w:val="center"/>
          </w:tcPr>
          <w:p w14:paraId="47C362E4">
            <w:pPr>
              <w:spacing w:line="280" w:lineRule="exact"/>
              <w:jc w:val="center"/>
              <w:rPr>
                <w:rFonts w:hint="default" w:ascii="Times New Roman" w:hAnsi="Times New Roman"/>
                <w:color w:val="auto"/>
                <w:szCs w:val="21"/>
                <w:highlight w:val="none"/>
                <w:lang w:val="en-US" w:eastAsia="zh-CN"/>
              </w:rPr>
            </w:pPr>
            <w:r>
              <w:rPr>
                <w:rFonts w:hint="eastAsia"/>
                <w:color w:val="auto"/>
                <w:szCs w:val="21"/>
                <w:highlight w:val="none"/>
                <w:lang w:val="en-US" w:eastAsia="zh-CN"/>
              </w:rPr>
              <w:t>72</w:t>
            </w:r>
          </w:p>
        </w:tc>
        <w:tc>
          <w:tcPr>
            <w:tcW w:w="537" w:type="dxa"/>
            <w:shd w:val="clear" w:color="auto" w:fill="auto"/>
            <w:noWrap w:val="0"/>
            <w:vAlign w:val="center"/>
          </w:tcPr>
          <w:p w14:paraId="244EB362">
            <w:pPr>
              <w:spacing w:line="280" w:lineRule="exact"/>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-69.56</w:t>
            </w:r>
          </w:p>
        </w:tc>
        <w:tc>
          <w:tcPr>
            <w:tcW w:w="537" w:type="dxa"/>
            <w:shd w:val="clear" w:color="auto" w:fill="auto"/>
            <w:noWrap w:val="0"/>
            <w:vAlign w:val="center"/>
          </w:tcPr>
          <w:p w14:paraId="1FC6B21B">
            <w:pPr>
              <w:spacing w:line="280" w:lineRule="exact"/>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108.83</w:t>
            </w:r>
          </w:p>
        </w:tc>
        <w:tc>
          <w:tcPr>
            <w:tcW w:w="558" w:type="dxa"/>
            <w:shd w:val="clear" w:color="auto" w:fill="auto"/>
            <w:noWrap w:val="0"/>
            <w:vAlign w:val="center"/>
          </w:tcPr>
          <w:p w14:paraId="1E2BF862">
            <w:pPr>
              <w:spacing w:line="280" w:lineRule="exact"/>
              <w:jc w:val="center"/>
              <w:rPr>
                <w:rFonts w:hint="eastAsia"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1.1</w:t>
            </w:r>
          </w:p>
        </w:tc>
        <w:tc>
          <w:tcPr>
            <w:tcW w:w="537" w:type="dxa"/>
            <w:shd w:val="clear" w:color="auto" w:fill="auto"/>
            <w:noWrap w:val="0"/>
            <w:vAlign w:val="center"/>
          </w:tcPr>
          <w:p w14:paraId="714F5E46">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123.9</w:t>
            </w:r>
          </w:p>
        </w:tc>
        <w:tc>
          <w:tcPr>
            <w:tcW w:w="537" w:type="dxa"/>
            <w:shd w:val="clear" w:color="auto" w:fill="auto"/>
            <w:noWrap w:val="0"/>
            <w:vAlign w:val="center"/>
          </w:tcPr>
          <w:p w14:paraId="0E11B093">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28.4</w:t>
            </w:r>
          </w:p>
        </w:tc>
        <w:tc>
          <w:tcPr>
            <w:tcW w:w="542" w:type="dxa"/>
            <w:shd w:val="clear" w:color="auto" w:fill="auto"/>
            <w:noWrap w:val="0"/>
            <w:vAlign w:val="center"/>
          </w:tcPr>
          <w:p w14:paraId="4C6D096B">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25.4</w:t>
            </w:r>
          </w:p>
        </w:tc>
        <w:tc>
          <w:tcPr>
            <w:tcW w:w="558" w:type="dxa"/>
            <w:shd w:val="clear" w:color="auto" w:fill="auto"/>
            <w:noWrap w:val="0"/>
            <w:vAlign w:val="center"/>
          </w:tcPr>
          <w:p w14:paraId="05FA2B40">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51.8</w:t>
            </w:r>
          </w:p>
        </w:tc>
        <w:tc>
          <w:tcPr>
            <w:tcW w:w="542" w:type="dxa"/>
            <w:shd w:val="clear" w:color="auto" w:fill="auto"/>
            <w:noWrap w:val="0"/>
            <w:vAlign w:val="center"/>
          </w:tcPr>
          <w:p w14:paraId="3583A006">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 xml:space="preserve">46.8 </w:t>
            </w:r>
          </w:p>
        </w:tc>
        <w:tc>
          <w:tcPr>
            <w:tcW w:w="542" w:type="dxa"/>
            <w:shd w:val="clear" w:color="auto" w:fill="auto"/>
            <w:noWrap w:val="0"/>
            <w:vAlign w:val="center"/>
          </w:tcPr>
          <w:p w14:paraId="713D74F0">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 xml:space="preserve">46.9 </w:t>
            </w:r>
          </w:p>
        </w:tc>
        <w:tc>
          <w:tcPr>
            <w:tcW w:w="542" w:type="dxa"/>
            <w:shd w:val="clear" w:color="auto" w:fill="auto"/>
            <w:noWrap w:val="0"/>
            <w:vAlign w:val="center"/>
          </w:tcPr>
          <w:p w14:paraId="760A3D5D">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 xml:space="preserve">46.9 </w:t>
            </w:r>
          </w:p>
        </w:tc>
        <w:tc>
          <w:tcPr>
            <w:tcW w:w="555" w:type="dxa"/>
            <w:shd w:val="clear" w:color="auto" w:fill="auto"/>
            <w:noWrap w:val="0"/>
            <w:vAlign w:val="center"/>
          </w:tcPr>
          <w:p w14:paraId="42972314">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 xml:space="preserve">46.8 </w:t>
            </w:r>
          </w:p>
        </w:tc>
        <w:tc>
          <w:tcPr>
            <w:tcW w:w="542" w:type="dxa"/>
            <w:vMerge w:val="continue"/>
            <w:shd w:val="clear" w:color="auto" w:fill="auto"/>
            <w:noWrap w:val="0"/>
            <w:vAlign w:val="center"/>
          </w:tcPr>
          <w:p w14:paraId="4649E116">
            <w:pPr>
              <w:spacing w:line="280" w:lineRule="exact"/>
              <w:jc w:val="center"/>
              <w:rPr>
                <w:rFonts w:hint="default" w:ascii="Times New Roman" w:hAnsi="Times New Roman" w:eastAsia="宋体"/>
                <w:color w:val="auto"/>
                <w:szCs w:val="21"/>
                <w:highlight w:val="none"/>
                <w:lang w:val="en-US" w:eastAsia="zh-CN"/>
              </w:rPr>
            </w:pPr>
          </w:p>
        </w:tc>
        <w:tc>
          <w:tcPr>
            <w:tcW w:w="897" w:type="dxa"/>
            <w:shd w:val="clear" w:color="auto" w:fill="auto"/>
            <w:noWrap w:val="0"/>
            <w:vAlign w:val="center"/>
          </w:tcPr>
          <w:p w14:paraId="7C0B401C">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24.3</w:t>
            </w:r>
          </w:p>
        </w:tc>
        <w:tc>
          <w:tcPr>
            <w:tcW w:w="746" w:type="dxa"/>
            <w:shd w:val="clear" w:color="auto" w:fill="auto"/>
            <w:noWrap w:val="0"/>
            <w:vAlign w:val="center"/>
          </w:tcPr>
          <w:p w14:paraId="172E7647">
            <w:pPr>
              <w:spacing w:line="280" w:lineRule="exact"/>
              <w:jc w:val="center"/>
              <w:rPr>
                <w:rFonts w:hint="eastAsia" w:cs="Times New Roman"/>
                <w:color w:val="auto"/>
                <w:szCs w:val="21"/>
                <w:highlight w:val="none"/>
                <w:lang w:val="en-US" w:eastAsia="zh-CN"/>
              </w:rPr>
            </w:pPr>
            <w:r>
              <w:rPr>
                <w:rFonts w:hint="eastAsia" w:cs="Times New Roman"/>
                <w:color w:val="auto"/>
                <w:szCs w:val="21"/>
                <w:highlight w:val="none"/>
                <w:lang w:val="en-US" w:eastAsia="zh-CN"/>
              </w:rPr>
              <w:t>22.5</w:t>
            </w:r>
          </w:p>
        </w:tc>
        <w:tc>
          <w:tcPr>
            <w:tcW w:w="689" w:type="dxa"/>
            <w:shd w:val="clear" w:color="auto" w:fill="auto"/>
            <w:noWrap w:val="0"/>
            <w:vAlign w:val="center"/>
          </w:tcPr>
          <w:p w14:paraId="2406A4B1">
            <w:pPr>
              <w:spacing w:line="280" w:lineRule="exact"/>
              <w:jc w:val="center"/>
              <w:rPr>
                <w:rFonts w:hint="eastAsia" w:cs="Times New Roman"/>
                <w:color w:val="auto"/>
                <w:szCs w:val="21"/>
                <w:highlight w:val="none"/>
                <w:lang w:val="en-US" w:eastAsia="zh-CN"/>
              </w:rPr>
            </w:pPr>
            <w:r>
              <w:rPr>
                <w:rFonts w:hint="eastAsia" w:cs="Times New Roman"/>
                <w:color w:val="auto"/>
                <w:szCs w:val="21"/>
                <w:highlight w:val="none"/>
                <w:lang w:val="en-US" w:eastAsia="zh-CN"/>
              </w:rPr>
              <w:t>22.6</w:t>
            </w:r>
          </w:p>
        </w:tc>
        <w:tc>
          <w:tcPr>
            <w:tcW w:w="838" w:type="dxa"/>
            <w:shd w:val="clear" w:color="auto" w:fill="auto"/>
            <w:noWrap w:val="0"/>
            <w:vAlign w:val="center"/>
          </w:tcPr>
          <w:p w14:paraId="6C9C67A2">
            <w:pPr>
              <w:spacing w:line="280" w:lineRule="exact"/>
              <w:jc w:val="center"/>
              <w:rPr>
                <w:rFonts w:hint="eastAsia" w:cs="Times New Roman"/>
                <w:color w:val="auto"/>
                <w:szCs w:val="21"/>
                <w:highlight w:val="none"/>
                <w:lang w:val="en-US" w:eastAsia="zh-CN"/>
              </w:rPr>
            </w:pPr>
            <w:r>
              <w:rPr>
                <w:rFonts w:hint="eastAsia" w:cs="Times New Roman"/>
                <w:color w:val="auto"/>
                <w:szCs w:val="21"/>
                <w:highlight w:val="none"/>
                <w:lang w:val="en-US" w:eastAsia="zh-CN"/>
              </w:rPr>
              <w:t>22.6</w:t>
            </w:r>
          </w:p>
        </w:tc>
        <w:tc>
          <w:tcPr>
            <w:tcW w:w="750" w:type="dxa"/>
            <w:shd w:val="clear" w:color="auto" w:fill="auto"/>
            <w:noWrap w:val="0"/>
            <w:vAlign w:val="center"/>
          </w:tcPr>
          <w:p w14:paraId="452F6BE8">
            <w:pPr>
              <w:spacing w:line="280" w:lineRule="exact"/>
              <w:jc w:val="center"/>
              <w:rPr>
                <w:rFonts w:hint="eastAsia" w:cs="Times New Roman"/>
                <w:color w:val="auto"/>
                <w:szCs w:val="21"/>
                <w:highlight w:val="none"/>
                <w:lang w:val="en-US" w:eastAsia="zh-CN"/>
              </w:rPr>
            </w:pPr>
            <w:r>
              <w:rPr>
                <w:rFonts w:hint="eastAsia" w:cs="Times New Roman"/>
                <w:color w:val="auto"/>
                <w:szCs w:val="21"/>
                <w:highlight w:val="none"/>
                <w:lang w:val="en-US" w:eastAsia="zh-CN"/>
              </w:rPr>
              <w:t>22.5</w:t>
            </w:r>
          </w:p>
        </w:tc>
        <w:tc>
          <w:tcPr>
            <w:tcW w:w="1096" w:type="dxa"/>
            <w:shd w:val="clear" w:color="auto" w:fill="auto"/>
            <w:noWrap w:val="0"/>
            <w:vAlign w:val="center"/>
          </w:tcPr>
          <w:p w14:paraId="73D5B9C0">
            <w:pPr>
              <w:spacing w:line="280" w:lineRule="exact"/>
              <w:jc w:val="center"/>
              <w:rPr>
                <w:rFonts w:hint="eastAsia"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1</w:t>
            </w:r>
          </w:p>
        </w:tc>
      </w:tr>
      <w:tr w14:paraId="6F0F41C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27" w:type="dxa"/>
            <w:shd w:val="clear" w:color="auto" w:fill="auto"/>
            <w:noWrap w:val="0"/>
            <w:vAlign w:val="center"/>
          </w:tcPr>
          <w:p w14:paraId="71A529A5">
            <w:pPr>
              <w:spacing w:line="280" w:lineRule="exact"/>
              <w:jc w:val="center"/>
              <w:rPr>
                <w:rFonts w:hint="default" w:ascii="Times New Roman" w:hAnsi="Times New Roman"/>
                <w:color w:val="auto"/>
                <w:szCs w:val="21"/>
                <w:highlight w:val="none"/>
                <w:lang w:val="en-US" w:eastAsia="zh-CN"/>
              </w:rPr>
            </w:pPr>
            <w:r>
              <w:rPr>
                <w:rFonts w:hint="eastAsia"/>
                <w:color w:val="auto"/>
                <w:szCs w:val="21"/>
                <w:highlight w:val="none"/>
                <w:lang w:val="en-US" w:eastAsia="zh-CN"/>
              </w:rPr>
              <w:t>33</w:t>
            </w:r>
          </w:p>
        </w:tc>
        <w:tc>
          <w:tcPr>
            <w:tcW w:w="1428" w:type="dxa"/>
            <w:shd w:val="clear" w:color="auto" w:fill="auto"/>
            <w:noWrap w:val="0"/>
            <w:vAlign w:val="center"/>
          </w:tcPr>
          <w:p w14:paraId="2ED8879E">
            <w:pPr>
              <w:autoSpaceDN w:val="0"/>
              <w:adjustRightInd w:val="0"/>
              <w:snapToGrid w:val="0"/>
              <w:jc w:val="center"/>
              <w:textAlignment w:val="top"/>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lang w:val="en-US" w:eastAsia="zh-CN"/>
              </w:rPr>
              <w:t>OCV测试线</w:t>
            </w:r>
          </w:p>
        </w:tc>
        <w:tc>
          <w:tcPr>
            <w:tcW w:w="537" w:type="dxa"/>
            <w:shd w:val="clear" w:color="auto" w:fill="auto"/>
            <w:noWrap w:val="0"/>
            <w:vAlign w:val="center"/>
          </w:tcPr>
          <w:p w14:paraId="5B8D84D3">
            <w:pPr>
              <w:spacing w:line="280" w:lineRule="exact"/>
              <w:jc w:val="center"/>
              <w:rPr>
                <w:rFonts w:hint="default" w:ascii="Times New Roman" w:hAnsi="Times New Roman"/>
                <w:color w:val="auto"/>
                <w:szCs w:val="21"/>
                <w:highlight w:val="none"/>
                <w:lang w:val="en-US" w:eastAsia="zh-CN"/>
              </w:rPr>
            </w:pPr>
            <w:r>
              <w:rPr>
                <w:rFonts w:hint="eastAsia"/>
                <w:color w:val="auto"/>
                <w:szCs w:val="21"/>
                <w:highlight w:val="none"/>
                <w:lang w:val="en-US" w:eastAsia="zh-CN"/>
              </w:rPr>
              <w:t>70</w:t>
            </w:r>
          </w:p>
        </w:tc>
        <w:tc>
          <w:tcPr>
            <w:tcW w:w="537" w:type="dxa"/>
            <w:shd w:val="clear" w:color="auto" w:fill="auto"/>
            <w:noWrap w:val="0"/>
            <w:vAlign w:val="center"/>
          </w:tcPr>
          <w:p w14:paraId="55F6393A">
            <w:pPr>
              <w:spacing w:line="280" w:lineRule="exact"/>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-67.14</w:t>
            </w:r>
          </w:p>
        </w:tc>
        <w:tc>
          <w:tcPr>
            <w:tcW w:w="537" w:type="dxa"/>
            <w:shd w:val="clear" w:color="auto" w:fill="auto"/>
            <w:noWrap w:val="0"/>
            <w:vAlign w:val="center"/>
          </w:tcPr>
          <w:p w14:paraId="3E09D055">
            <w:pPr>
              <w:spacing w:line="280" w:lineRule="exact"/>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99.42</w:t>
            </w:r>
          </w:p>
        </w:tc>
        <w:tc>
          <w:tcPr>
            <w:tcW w:w="558" w:type="dxa"/>
            <w:shd w:val="clear" w:color="auto" w:fill="auto"/>
            <w:noWrap w:val="0"/>
            <w:vAlign w:val="center"/>
          </w:tcPr>
          <w:p w14:paraId="41A60601">
            <w:pPr>
              <w:spacing w:line="280" w:lineRule="exact"/>
              <w:jc w:val="center"/>
              <w:rPr>
                <w:rFonts w:hint="eastAsia"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1.1</w:t>
            </w:r>
          </w:p>
        </w:tc>
        <w:tc>
          <w:tcPr>
            <w:tcW w:w="537" w:type="dxa"/>
            <w:shd w:val="clear" w:color="auto" w:fill="auto"/>
            <w:noWrap w:val="0"/>
            <w:vAlign w:val="center"/>
          </w:tcPr>
          <w:p w14:paraId="576F35E7">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124.5</w:t>
            </w:r>
          </w:p>
        </w:tc>
        <w:tc>
          <w:tcPr>
            <w:tcW w:w="537" w:type="dxa"/>
            <w:shd w:val="clear" w:color="auto" w:fill="auto"/>
            <w:noWrap w:val="0"/>
            <w:vAlign w:val="center"/>
          </w:tcPr>
          <w:p w14:paraId="62BD3AF6">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17.5</w:t>
            </w:r>
          </w:p>
        </w:tc>
        <w:tc>
          <w:tcPr>
            <w:tcW w:w="542" w:type="dxa"/>
            <w:shd w:val="clear" w:color="auto" w:fill="auto"/>
            <w:noWrap w:val="0"/>
            <w:vAlign w:val="center"/>
          </w:tcPr>
          <w:p w14:paraId="1312C19A">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25.4</w:t>
            </w:r>
          </w:p>
        </w:tc>
        <w:tc>
          <w:tcPr>
            <w:tcW w:w="558" w:type="dxa"/>
            <w:shd w:val="clear" w:color="auto" w:fill="auto"/>
            <w:noWrap w:val="0"/>
            <w:vAlign w:val="center"/>
          </w:tcPr>
          <w:p w14:paraId="658B75F7">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63.0</w:t>
            </w:r>
          </w:p>
        </w:tc>
        <w:tc>
          <w:tcPr>
            <w:tcW w:w="542" w:type="dxa"/>
            <w:shd w:val="clear" w:color="auto" w:fill="auto"/>
            <w:noWrap w:val="0"/>
            <w:vAlign w:val="center"/>
          </w:tcPr>
          <w:p w14:paraId="5458C8C2">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 xml:space="preserve">44.8 </w:t>
            </w:r>
          </w:p>
        </w:tc>
        <w:tc>
          <w:tcPr>
            <w:tcW w:w="542" w:type="dxa"/>
            <w:shd w:val="clear" w:color="auto" w:fill="auto"/>
            <w:noWrap w:val="0"/>
            <w:vAlign w:val="center"/>
          </w:tcPr>
          <w:p w14:paraId="3984B3EF">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 xml:space="preserve">45.1 </w:t>
            </w:r>
          </w:p>
        </w:tc>
        <w:tc>
          <w:tcPr>
            <w:tcW w:w="542" w:type="dxa"/>
            <w:shd w:val="clear" w:color="auto" w:fill="auto"/>
            <w:noWrap w:val="0"/>
            <w:vAlign w:val="center"/>
          </w:tcPr>
          <w:p w14:paraId="094CCDF6">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 xml:space="preserve">44.9 </w:t>
            </w:r>
          </w:p>
        </w:tc>
        <w:tc>
          <w:tcPr>
            <w:tcW w:w="555" w:type="dxa"/>
            <w:shd w:val="clear" w:color="auto" w:fill="auto"/>
            <w:noWrap w:val="0"/>
            <w:vAlign w:val="center"/>
          </w:tcPr>
          <w:p w14:paraId="3FC2DF41">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 xml:space="preserve">44.8 </w:t>
            </w:r>
          </w:p>
        </w:tc>
        <w:tc>
          <w:tcPr>
            <w:tcW w:w="542" w:type="dxa"/>
            <w:vMerge w:val="continue"/>
            <w:shd w:val="clear" w:color="auto" w:fill="auto"/>
            <w:noWrap w:val="0"/>
            <w:vAlign w:val="center"/>
          </w:tcPr>
          <w:p w14:paraId="6AB627AD">
            <w:pPr>
              <w:spacing w:line="280" w:lineRule="exact"/>
              <w:jc w:val="center"/>
              <w:rPr>
                <w:rFonts w:hint="default" w:ascii="Times New Roman" w:hAnsi="Times New Roman" w:eastAsia="宋体"/>
                <w:color w:val="auto"/>
                <w:szCs w:val="21"/>
                <w:highlight w:val="none"/>
                <w:lang w:val="en-US" w:eastAsia="zh-CN"/>
              </w:rPr>
            </w:pPr>
          </w:p>
        </w:tc>
        <w:tc>
          <w:tcPr>
            <w:tcW w:w="897" w:type="dxa"/>
            <w:shd w:val="clear" w:color="auto" w:fill="auto"/>
            <w:noWrap w:val="0"/>
            <w:vAlign w:val="center"/>
          </w:tcPr>
          <w:p w14:paraId="3113CF0D">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24.3</w:t>
            </w:r>
          </w:p>
        </w:tc>
        <w:tc>
          <w:tcPr>
            <w:tcW w:w="746" w:type="dxa"/>
            <w:shd w:val="clear" w:color="auto" w:fill="auto"/>
            <w:noWrap w:val="0"/>
            <w:vAlign w:val="center"/>
          </w:tcPr>
          <w:p w14:paraId="0D76C025">
            <w:pPr>
              <w:spacing w:line="280" w:lineRule="exact"/>
              <w:jc w:val="center"/>
              <w:rPr>
                <w:rFonts w:hint="eastAsia" w:cs="Times New Roman"/>
                <w:color w:val="auto"/>
                <w:szCs w:val="21"/>
                <w:highlight w:val="none"/>
                <w:lang w:val="en-US" w:eastAsia="zh-CN"/>
              </w:rPr>
            </w:pPr>
            <w:r>
              <w:rPr>
                <w:rFonts w:hint="eastAsia" w:cs="Times New Roman"/>
                <w:color w:val="auto"/>
                <w:szCs w:val="21"/>
                <w:highlight w:val="none"/>
                <w:lang w:val="en-US" w:eastAsia="zh-CN"/>
              </w:rPr>
              <w:t>20.5</w:t>
            </w:r>
          </w:p>
        </w:tc>
        <w:tc>
          <w:tcPr>
            <w:tcW w:w="689" w:type="dxa"/>
            <w:shd w:val="clear" w:color="auto" w:fill="auto"/>
            <w:noWrap w:val="0"/>
            <w:vAlign w:val="center"/>
          </w:tcPr>
          <w:p w14:paraId="7068B075">
            <w:pPr>
              <w:spacing w:line="280" w:lineRule="exact"/>
              <w:jc w:val="center"/>
              <w:rPr>
                <w:rFonts w:hint="eastAsia" w:cs="Times New Roman"/>
                <w:color w:val="auto"/>
                <w:szCs w:val="21"/>
                <w:highlight w:val="none"/>
                <w:lang w:val="en-US" w:eastAsia="zh-CN"/>
              </w:rPr>
            </w:pPr>
            <w:r>
              <w:rPr>
                <w:rFonts w:hint="eastAsia" w:cs="Times New Roman"/>
                <w:color w:val="auto"/>
                <w:szCs w:val="21"/>
                <w:highlight w:val="none"/>
                <w:lang w:val="en-US" w:eastAsia="zh-CN"/>
              </w:rPr>
              <w:t>20.8</w:t>
            </w:r>
          </w:p>
        </w:tc>
        <w:tc>
          <w:tcPr>
            <w:tcW w:w="838" w:type="dxa"/>
            <w:shd w:val="clear" w:color="auto" w:fill="auto"/>
            <w:noWrap w:val="0"/>
            <w:vAlign w:val="center"/>
          </w:tcPr>
          <w:p w14:paraId="17EEABF8">
            <w:pPr>
              <w:spacing w:line="280" w:lineRule="exact"/>
              <w:jc w:val="center"/>
              <w:rPr>
                <w:rFonts w:hint="eastAsia" w:cs="Times New Roman"/>
                <w:color w:val="auto"/>
                <w:szCs w:val="21"/>
                <w:highlight w:val="none"/>
                <w:lang w:val="en-US" w:eastAsia="zh-CN"/>
              </w:rPr>
            </w:pPr>
            <w:r>
              <w:rPr>
                <w:rFonts w:hint="eastAsia" w:cs="Times New Roman"/>
                <w:color w:val="auto"/>
                <w:szCs w:val="21"/>
                <w:highlight w:val="none"/>
                <w:lang w:val="en-US" w:eastAsia="zh-CN"/>
              </w:rPr>
              <w:t>20.6</w:t>
            </w:r>
          </w:p>
        </w:tc>
        <w:tc>
          <w:tcPr>
            <w:tcW w:w="750" w:type="dxa"/>
            <w:shd w:val="clear" w:color="auto" w:fill="auto"/>
            <w:noWrap w:val="0"/>
            <w:vAlign w:val="center"/>
          </w:tcPr>
          <w:p w14:paraId="384A0C28">
            <w:pPr>
              <w:spacing w:line="280" w:lineRule="exact"/>
              <w:jc w:val="center"/>
              <w:rPr>
                <w:rFonts w:hint="eastAsia" w:cs="Times New Roman"/>
                <w:color w:val="auto"/>
                <w:szCs w:val="21"/>
                <w:highlight w:val="none"/>
                <w:lang w:val="en-US" w:eastAsia="zh-CN"/>
              </w:rPr>
            </w:pPr>
            <w:r>
              <w:rPr>
                <w:rFonts w:hint="eastAsia" w:cs="Times New Roman"/>
                <w:color w:val="auto"/>
                <w:szCs w:val="21"/>
                <w:highlight w:val="none"/>
                <w:lang w:val="en-US" w:eastAsia="zh-CN"/>
              </w:rPr>
              <w:t>20.5</w:t>
            </w:r>
          </w:p>
        </w:tc>
        <w:tc>
          <w:tcPr>
            <w:tcW w:w="1096" w:type="dxa"/>
            <w:shd w:val="clear" w:color="auto" w:fill="auto"/>
            <w:noWrap w:val="0"/>
            <w:vAlign w:val="center"/>
          </w:tcPr>
          <w:p w14:paraId="7079AFF4">
            <w:pPr>
              <w:spacing w:line="280" w:lineRule="exact"/>
              <w:jc w:val="center"/>
              <w:rPr>
                <w:rFonts w:hint="eastAsia"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1</w:t>
            </w:r>
          </w:p>
        </w:tc>
      </w:tr>
      <w:tr w14:paraId="6B22746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27" w:type="dxa"/>
            <w:shd w:val="clear" w:color="auto" w:fill="auto"/>
            <w:noWrap w:val="0"/>
            <w:vAlign w:val="center"/>
          </w:tcPr>
          <w:p w14:paraId="7BF7A6BF">
            <w:pPr>
              <w:spacing w:line="280" w:lineRule="exact"/>
              <w:jc w:val="center"/>
              <w:rPr>
                <w:rFonts w:hint="default" w:ascii="Times New Roman" w:hAnsi="Times New Roman"/>
                <w:color w:val="auto"/>
                <w:szCs w:val="21"/>
                <w:highlight w:val="none"/>
                <w:lang w:val="en-US" w:eastAsia="zh-CN"/>
              </w:rPr>
            </w:pPr>
            <w:r>
              <w:rPr>
                <w:rFonts w:hint="eastAsia"/>
                <w:color w:val="auto"/>
                <w:szCs w:val="21"/>
                <w:highlight w:val="none"/>
                <w:lang w:val="en-US" w:eastAsia="zh-CN"/>
              </w:rPr>
              <w:t>34</w:t>
            </w:r>
          </w:p>
        </w:tc>
        <w:tc>
          <w:tcPr>
            <w:tcW w:w="1428" w:type="dxa"/>
            <w:shd w:val="clear" w:color="auto" w:fill="auto"/>
            <w:noWrap w:val="0"/>
            <w:vAlign w:val="center"/>
          </w:tcPr>
          <w:p w14:paraId="1D679AFC">
            <w:pPr>
              <w:autoSpaceDN w:val="0"/>
              <w:adjustRightInd w:val="0"/>
              <w:snapToGrid w:val="0"/>
              <w:jc w:val="center"/>
              <w:textAlignment w:val="top"/>
              <w:rPr>
                <w:rFonts w:hint="default" w:ascii="Times New Roman" w:hAnsi="Times New Roman" w:eastAsia="宋体" w:cs="Times New Roman"/>
                <w:color w:val="auto"/>
                <w:szCs w:val="21"/>
                <w:highlight w:val="none"/>
                <w:lang w:val="en-US" w:eastAsia="zh-CN"/>
              </w:rPr>
            </w:pPr>
            <w:r>
              <w:rPr>
                <w:rFonts w:hint="default" w:ascii="Times New Roman" w:hAnsi="Times New Roman" w:cs="Times New Roman"/>
                <w:color w:val="auto"/>
                <w:szCs w:val="21"/>
                <w:highlight w:val="none"/>
              </w:rPr>
              <w:t>冷水机组</w:t>
            </w:r>
            <w:r>
              <w:rPr>
                <w:rFonts w:hint="eastAsia" w:ascii="Times New Roman" w:hAnsi="Times New Roman" w:cs="Times New Roman"/>
                <w:color w:val="auto"/>
                <w:szCs w:val="21"/>
                <w:highlight w:val="none"/>
                <w:lang w:val="en-US" w:eastAsia="zh-CN"/>
              </w:rPr>
              <w:t>1#</w:t>
            </w:r>
          </w:p>
        </w:tc>
        <w:tc>
          <w:tcPr>
            <w:tcW w:w="537" w:type="dxa"/>
            <w:shd w:val="clear" w:color="auto" w:fill="auto"/>
            <w:noWrap w:val="0"/>
            <w:vAlign w:val="center"/>
          </w:tcPr>
          <w:p w14:paraId="2BDB92FC">
            <w:pPr>
              <w:spacing w:line="280" w:lineRule="exact"/>
              <w:jc w:val="center"/>
              <w:rPr>
                <w:rFonts w:hint="default" w:ascii="Times New Roman" w:hAnsi="Times New Roman"/>
                <w:color w:val="auto"/>
                <w:szCs w:val="21"/>
                <w:highlight w:val="none"/>
                <w:lang w:val="en-US" w:eastAsia="zh-CN"/>
              </w:rPr>
            </w:pPr>
            <w:r>
              <w:rPr>
                <w:rFonts w:hint="eastAsia"/>
                <w:color w:val="auto"/>
                <w:szCs w:val="21"/>
                <w:highlight w:val="none"/>
                <w:lang w:val="en-US" w:eastAsia="zh-CN"/>
              </w:rPr>
              <w:t>75</w:t>
            </w:r>
          </w:p>
        </w:tc>
        <w:tc>
          <w:tcPr>
            <w:tcW w:w="537" w:type="dxa"/>
            <w:shd w:val="clear" w:color="auto" w:fill="auto"/>
            <w:noWrap w:val="0"/>
            <w:vAlign w:val="center"/>
          </w:tcPr>
          <w:p w14:paraId="5CFE7C09">
            <w:pPr>
              <w:spacing w:line="280" w:lineRule="exact"/>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Cs w:val="21"/>
                <w:highlight w:val="none"/>
                <w:lang w:val="en-US" w:eastAsia="zh-CN"/>
              </w:rPr>
              <w:t>32.72</w:t>
            </w:r>
          </w:p>
        </w:tc>
        <w:tc>
          <w:tcPr>
            <w:tcW w:w="537" w:type="dxa"/>
            <w:shd w:val="clear" w:color="auto" w:fill="auto"/>
            <w:noWrap w:val="0"/>
            <w:vAlign w:val="center"/>
          </w:tcPr>
          <w:p w14:paraId="164CB666">
            <w:pPr>
              <w:spacing w:line="280" w:lineRule="exact"/>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Cs w:val="21"/>
                <w:highlight w:val="none"/>
                <w:lang w:val="en-US" w:eastAsia="zh-CN"/>
              </w:rPr>
              <w:t>156.17</w:t>
            </w:r>
          </w:p>
        </w:tc>
        <w:tc>
          <w:tcPr>
            <w:tcW w:w="558" w:type="dxa"/>
            <w:shd w:val="clear" w:color="auto" w:fill="auto"/>
            <w:noWrap w:val="0"/>
            <w:vAlign w:val="center"/>
          </w:tcPr>
          <w:p w14:paraId="78A90758">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1.3</w:t>
            </w:r>
          </w:p>
        </w:tc>
        <w:tc>
          <w:tcPr>
            <w:tcW w:w="537" w:type="dxa"/>
            <w:shd w:val="clear" w:color="auto" w:fill="auto"/>
            <w:noWrap w:val="0"/>
            <w:vAlign w:val="center"/>
          </w:tcPr>
          <w:p w14:paraId="668445BC">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10.4</w:t>
            </w:r>
          </w:p>
        </w:tc>
        <w:tc>
          <w:tcPr>
            <w:tcW w:w="537" w:type="dxa"/>
            <w:shd w:val="clear" w:color="auto" w:fill="auto"/>
            <w:noWrap w:val="0"/>
            <w:vAlign w:val="center"/>
          </w:tcPr>
          <w:p w14:paraId="3F2FA970">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137.6</w:t>
            </w:r>
          </w:p>
        </w:tc>
        <w:tc>
          <w:tcPr>
            <w:tcW w:w="542" w:type="dxa"/>
            <w:shd w:val="clear" w:color="auto" w:fill="auto"/>
            <w:noWrap w:val="0"/>
            <w:vAlign w:val="center"/>
          </w:tcPr>
          <w:p w14:paraId="3A86A9E0">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138.4</w:t>
            </w:r>
          </w:p>
        </w:tc>
        <w:tc>
          <w:tcPr>
            <w:tcW w:w="558" w:type="dxa"/>
            <w:shd w:val="clear" w:color="auto" w:fill="auto"/>
            <w:noWrap w:val="0"/>
            <w:vAlign w:val="center"/>
          </w:tcPr>
          <w:p w14:paraId="6EB5287C">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33.6</w:t>
            </w:r>
          </w:p>
        </w:tc>
        <w:tc>
          <w:tcPr>
            <w:tcW w:w="542" w:type="dxa"/>
            <w:shd w:val="clear" w:color="auto" w:fill="auto"/>
            <w:noWrap w:val="0"/>
            <w:vAlign w:val="center"/>
          </w:tcPr>
          <w:p w14:paraId="3A36D2A5">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 xml:space="preserve">50.7 </w:t>
            </w:r>
          </w:p>
        </w:tc>
        <w:tc>
          <w:tcPr>
            <w:tcW w:w="542" w:type="dxa"/>
            <w:shd w:val="clear" w:color="auto" w:fill="auto"/>
            <w:noWrap w:val="0"/>
            <w:vAlign w:val="center"/>
          </w:tcPr>
          <w:p w14:paraId="5BA8A426">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 xml:space="preserve">49.8 </w:t>
            </w:r>
          </w:p>
        </w:tc>
        <w:tc>
          <w:tcPr>
            <w:tcW w:w="542" w:type="dxa"/>
            <w:shd w:val="clear" w:color="auto" w:fill="auto"/>
            <w:noWrap w:val="0"/>
            <w:vAlign w:val="center"/>
          </w:tcPr>
          <w:p w14:paraId="035AE870">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 xml:space="preserve">49.8 </w:t>
            </w:r>
          </w:p>
        </w:tc>
        <w:tc>
          <w:tcPr>
            <w:tcW w:w="555" w:type="dxa"/>
            <w:shd w:val="clear" w:color="auto" w:fill="auto"/>
            <w:noWrap w:val="0"/>
            <w:vAlign w:val="center"/>
          </w:tcPr>
          <w:p w14:paraId="5A665D3C">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 xml:space="preserve">49.9 </w:t>
            </w:r>
          </w:p>
        </w:tc>
        <w:tc>
          <w:tcPr>
            <w:tcW w:w="542" w:type="dxa"/>
            <w:vMerge w:val="continue"/>
            <w:shd w:val="clear" w:color="auto" w:fill="auto"/>
            <w:noWrap w:val="0"/>
            <w:vAlign w:val="center"/>
          </w:tcPr>
          <w:p w14:paraId="6CFC8C96">
            <w:pPr>
              <w:spacing w:line="280" w:lineRule="exact"/>
              <w:jc w:val="center"/>
              <w:rPr>
                <w:rFonts w:hint="default" w:ascii="Times New Roman" w:hAnsi="Times New Roman" w:eastAsia="宋体"/>
                <w:color w:val="auto"/>
                <w:szCs w:val="21"/>
                <w:highlight w:val="none"/>
                <w:lang w:val="en-US" w:eastAsia="zh-CN"/>
              </w:rPr>
            </w:pPr>
          </w:p>
        </w:tc>
        <w:tc>
          <w:tcPr>
            <w:tcW w:w="897" w:type="dxa"/>
            <w:shd w:val="clear" w:color="auto" w:fill="auto"/>
            <w:noWrap w:val="0"/>
            <w:vAlign w:val="center"/>
          </w:tcPr>
          <w:p w14:paraId="66697BB5">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24.3</w:t>
            </w:r>
          </w:p>
        </w:tc>
        <w:tc>
          <w:tcPr>
            <w:tcW w:w="746" w:type="dxa"/>
            <w:shd w:val="clear" w:color="auto" w:fill="auto"/>
            <w:noWrap w:val="0"/>
            <w:vAlign w:val="center"/>
          </w:tcPr>
          <w:p w14:paraId="1D5480FB">
            <w:pPr>
              <w:spacing w:line="280" w:lineRule="exact"/>
              <w:jc w:val="center"/>
              <w:rPr>
                <w:rFonts w:hint="eastAsia" w:cs="Times New Roman"/>
                <w:color w:val="auto"/>
                <w:szCs w:val="21"/>
                <w:highlight w:val="none"/>
                <w:lang w:val="en-US" w:eastAsia="zh-CN"/>
              </w:rPr>
            </w:pPr>
            <w:r>
              <w:rPr>
                <w:rFonts w:hint="eastAsia" w:cs="Times New Roman"/>
                <w:color w:val="auto"/>
                <w:szCs w:val="21"/>
                <w:highlight w:val="none"/>
                <w:lang w:val="en-US" w:eastAsia="zh-CN"/>
              </w:rPr>
              <w:t>26.4</w:t>
            </w:r>
          </w:p>
        </w:tc>
        <w:tc>
          <w:tcPr>
            <w:tcW w:w="689" w:type="dxa"/>
            <w:shd w:val="clear" w:color="auto" w:fill="auto"/>
            <w:noWrap w:val="0"/>
            <w:vAlign w:val="center"/>
          </w:tcPr>
          <w:p w14:paraId="2CAB7FFA">
            <w:pPr>
              <w:spacing w:line="280" w:lineRule="exact"/>
              <w:jc w:val="center"/>
              <w:rPr>
                <w:rFonts w:hint="eastAsia" w:cs="Times New Roman"/>
                <w:color w:val="auto"/>
                <w:szCs w:val="21"/>
                <w:highlight w:val="none"/>
                <w:lang w:val="en-US" w:eastAsia="zh-CN"/>
              </w:rPr>
            </w:pPr>
            <w:r>
              <w:rPr>
                <w:rFonts w:hint="eastAsia" w:cs="Times New Roman"/>
                <w:color w:val="auto"/>
                <w:szCs w:val="21"/>
                <w:highlight w:val="none"/>
                <w:lang w:val="en-US" w:eastAsia="zh-CN"/>
              </w:rPr>
              <w:t>25.5</w:t>
            </w:r>
          </w:p>
        </w:tc>
        <w:tc>
          <w:tcPr>
            <w:tcW w:w="838" w:type="dxa"/>
            <w:shd w:val="clear" w:color="auto" w:fill="auto"/>
            <w:noWrap w:val="0"/>
            <w:vAlign w:val="center"/>
          </w:tcPr>
          <w:p w14:paraId="124670C9">
            <w:pPr>
              <w:spacing w:line="280" w:lineRule="exact"/>
              <w:jc w:val="center"/>
              <w:rPr>
                <w:rFonts w:hint="eastAsia" w:cs="Times New Roman"/>
                <w:color w:val="auto"/>
                <w:szCs w:val="21"/>
                <w:highlight w:val="none"/>
                <w:lang w:val="en-US" w:eastAsia="zh-CN"/>
              </w:rPr>
            </w:pPr>
            <w:r>
              <w:rPr>
                <w:rFonts w:hint="eastAsia" w:cs="Times New Roman"/>
                <w:color w:val="auto"/>
                <w:szCs w:val="21"/>
                <w:highlight w:val="none"/>
                <w:lang w:val="en-US" w:eastAsia="zh-CN"/>
              </w:rPr>
              <w:t>25.5</w:t>
            </w:r>
          </w:p>
        </w:tc>
        <w:tc>
          <w:tcPr>
            <w:tcW w:w="750" w:type="dxa"/>
            <w:shd w:val="clear" w:color="auto" w:fill="auto"/>
            <w:noWrap w:val="0"/>
            <w:vAlign w:val="center"/>
          </w:tcPr>
          <w:p w14:paraId="7FB6B1C6">
            <w:pPr>
              <w:spacing w:line="280" w:lineRule="exact"/>
              <w:jc w:val="center"/>
              <w:rPr>
                <w:rFonts w:hint="eastAsia" w:cs="Times New Roman"/>
                <w:color w:val="auto"/>
                <w:szCs w:val="21"/>
                <w:highlight w:val="none"/>
                <w:lang w:val="en-US" w:eastAsia="zh-CN"/>
              </w:rPr>
            </w:pPr>
            <w:r>
              <w:rPr>
                <w:rFonts w:hint="eastAsia" w:cs="Times New Roman"/>
                <w:color w:val="auto"/>
                <w:szCs w:val="21"/>
                <w:highlight w:val="none"/>
                <w:lang w:val="en-US" w:eastAsia="zh-CN"/>
              </w:rPr>
              <w:t>25.6</w:t>
            </w:r>
          </w:p>
        </w:tc>
        <w:tc>
          <w:tcPr>
            <w:tcW w:w="1096" w:type="dxa"/>
            <w:shd w:val="clear" w:color="auto" w:fill="auto"/>
            <w:noWrap w:val="0"/>
            <w:vAlign w:val="center"/>
          </w:tcPr>
          <w:p w14:paraId="56F52507">
            <w:pPr>
              <w:spacing w:line="280" w:lineRule="exact"/>
              <w:jc w:val="center"/>
              <w:rPr>
                <w:rFonts w:hint="eastAsia"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1</w:t>
            </w:r>
          </w:p>
        </w:tc>
      </w:tr>
      <w:tr w14:paraId="42C5A37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27" w:type="dxa"/>
            <w:shd w:val="clear" w:color="auto" w:fill="auto"/>
            <w:noWrap w:val="0"/>
            <w:vAlign w:val="center"/>
          </w:tcPr>
          <w:p w14:paraId="7FEF73F8">
            <w:pPr>
              <w:spacing w:line="280" w:lineRule="exact"/>
              <w:jc w:val="center"/>
              <w:rPr>
                <w:rFonts w:hint="default" w:ascii="Times New Roman" w:hAnsi="Times New Roman"/>
                <w:color w:val="auto"/>
                <w:szCs w:val="21"/>
                <w:highlight w:val="none"/>
                <w:lang w:val="en-US" w:eastAsia="zh-CN"/>
              </w:rPr>
            </w:pPr>
            <w:r>
              <w:rPr>
                <w:rFonts w:hint="eastAsia"/>
                <w:color w:val="auto"/>
                <w:szCs w:val="21"/>
                <w:highlight w:val="none"/>
                <w:lang w:val="en-US" w:eastAsia="zh-CN"/>
              </w:rPr>
              <w:t>35</w:t>
            </w:r>
          </w:p>
        </w:tc>
        <w:tc>
          <w:tcPr>
            <w:tcW w:w="1428" w:type="dxa"/>
            <w:shd w:val="clear" w:color="auto" w:fill="auto"/>
            <w:noWrap w:val="0"/>
            <w:vAlign w:val="center"/>
          </w:tcPr>
          <w:p w14:paraId="4CB7FEDB">
            <w:pPr>
              <w:autoSpaceDN w:val="0"/>
              <w:adjustRightInd w:val="0"/>
              <w:snapToGrid w:val="0"/>
              <w:jc w:val="center"/>
              <w:textAlignment w:val="top"/>
              <w:rPr>
                <w:rFonts w:hint="default" w:ascii="Times New Roman" w:hAnsi="Times New Roman" w:cs="Times New Roman"/>
                <w:color w:val="auto"/>
                <w:szCs w:val="21"/>
                <w:highlight w:val="none"/>
                <w:lang w:val="en-US" w:eastAsia="zh-CN"/>
              </w:rPr>
            </w:pPr>
            <w:r>
              <w:rPr>
                <w:rFonts w:hint="default" w:ascii="Times New Roman" w:hAnsi="Times New Roman" w:cs="Times New Roman"/>
                <w:color w:val="auto"/>
                <w:szCs w:val="21"/>
                <w:highlight w:val="none"/>
              </w:rPr>
              <w:t>冷水机组</w:t>
            </w:r>
            <w:r>
              <w:rPr>
                <w:rFonts w:hint="eastAsia" w:ascii="Times New Roman" w:hAnsi="Times New Roman" w:cs="Times New Roman"/>
                <w:color w:val="auto"/>
                <w:szCs w:val="21"/>
                <w:highlight w:val="none"/>
                <w:lang w:val="en-US" w:eastAsia="zh-CN"/>
              </w:rPr>
              <w:t>2#</w:t>
            </w:r>
          </w:p>
        </w:tc>
        <w:tc>
          <w:tcPr>
            <w:tcW w:w="537" w:type="dxa"/>
            <w:shd w:val="clear" w:color="auto" w:fill="auto"/>
            <w:noWrap w:val="0"/>
            <w:vAlign w:val="center"/>
          </w:tcPr>
          <w:p w14:paraId="621FD400">
            <w:pPr>
              <w:spacing w:line="280" w:lineRule="exact"/>
              <w:jc w:val="center"/>
              <w:rPr>
                <w:rFonts w:hint="eastAsia" w:ascii="Times New Roman" w:hAnsi="Times New Roman"/>
                <w:color w:val="auto"/>
                <w:szCs w:val="21"/>
                <w:highlight w:val="none"/>
                <w:lang w:val="en-US" w:eastAsia="zh-CN"/>
              </w:rPr>
            </w:pPr>
            <w:r>
              <w:rPr>
                <w:rFonts w:hint="eastAsia"/>
                <w:color w:val="auto"/>
                <w:szCs w:val="21"/>
                <w:highlight w:val="none"/>
                <w:lang w:val="en-US" w:eastAsia="zh-CN"/>
              </w:rPr>
              <w:t>75</w:t>
            </w:r>
          </w:p>
        </w:tc>
        <w:tc>
          <w:tcPr>
            <w:tcW w:w="537" w:type="dxa"/>
            <w:shd w:val="clear" w:color="auto" w:fill="auto"/>
            <w:noWrap w:val="0"/>
            <w:vAlign w:val="center"/>
          </w:tcPr>
          <w:p w14:paraId="44870033">
            <w:pPr>
              <w:spacing w:line="280" w:lineRule="exact"/>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34.96</w:t>
            </w:r>
          </w:p>
        </w:tc>
        <w:tc>
          <w:tcPr>
            <w:tcW w:w="537" w:type="dxa"/>
            <w:shd w:val="clear" w:color="auto" w:fill="auto"/>
            <w:noWrap w:val="0"/>
            <w:vAlign w:val="center"/>
          </w:tcPr>
          <w:p w14:paraId="3B444B39">
            <w:pPr>
              <w:spacing w:line="280" w:lineRule="exact"/>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147.69</w:t>
            </w:r>
          </w:p>
        </w:tc>
        <w:tc>
          <w:tcPr>
            <w:tcW w:w="558" w:type="dxa"/>
            <w:shd w:val="clear" w:color="auto" w:fill="auto"/>
            <w:noWrap w:val="0"/>
            <w:vAlign w:val="center"/>
          </w:tcPr>
          <w:p w14:paraId="1714EF64">
            <w:pPr>
              <w:spacing w:line="280" w:lineRule="exact"/>
              <w:jc w:val="center"/>
              <w:rPr>
                <w:rFonts w:hint="eastAsia"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1.3</w:t>
            </w:r>
          </w:p>
        </w:tc>
        <w:tc>
          <w:tcPr>
            <w:tcW w:w="537" w:type="dxa"/>
            <w:shd w:val="clear" w:color="auto" w:fill="auto"/>
            <w:noWrap w:val="0"/>
            <w:vAlign w:val="center"/>
          </w:tcPr>
          <w:p w14:paraId="32CE7803">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11.1</w:t>
            </w:r>
          </w:p>
        </w:tc>
        <w:tc>
          <w:tcPr>
            <w:tcW w:w="537" w:type="dxa"/>
            <w:shd w:val="clear" w:color="auto" w:fill="auto"/>
            <w:noWrap w:val="0"/>
            <w:vAlign w:val="center"/>
          </w:tcPr>
          <w:p w14:paraId="26764351">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137.4</w:t>
            </w:r>
          </w:p>
        </w:tc>
        <w:tc>
          <w:tcPr>
            <w:tcW w:w="542" w:type="dxa"/>
            <w:shd w:val="clear" w:color="auto" w:fill="auto"/>
            <w:noWrap w:val="0"/>
            <w:vAlign w:val="center"/>
          </w:tcPr>
          <w:p w14:paraId="1D664031">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138.8</w:t>
            </w:r>
          </w:p>
        </w:tc>
        <w:tc>
          <w:tcPr>
            <w:tcW w:w="558" w:type="dxa"/>
            <w:shd w:val="clear" w:color="auto" w:fill="auto"/>
            <w:noWrap w:val="0"/>
            <w:vAlign w:val="center"/>
          </w:tcPr>
          <w:p w14:paraId="608EC3D6">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44.3</w:t>
            </w:r>
          </w:p>
        </w:tc>
        <w:tc>
          <w:tcPr>
            <w:tcW w:w="542" w:type="dxa"/>
            <w:shd w:val="clear" w:color="auto" w:fill="auto"/>
            <w:noWrap w:val="0"/>
            <w:vAlign w:val="center"/>
          </w:tcPr>
          <w:p w14:paraId="6DEAEC3A">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 xml:space="preserve">50.6 </w:t>
            </w:r>
          </w:p>
        </w:tc>
        <w:tc>
          <w:tcPr>
            <w:tcW w:w="542" w:type="dxa"/>
            <w:shd w:val="clear" w:color="auto" w:fill="auto"/>
            <w:noWrap w:val="0"/>
            <w:vAlign w:val="center"/>
          </w:tcPr>
          <w:p w14:paraId="73B5A84D">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 xml:space="preserve">49.8 </w:t>
            </w:r>
          </w:p>
        </w:tc>
        <w:tc>
          <w:tcPr>
            <w:tcW w:w="542" w:type="dxa"/>
            <w:shd w:val="clear" w:color="auto" w:fill="auto"/>
            <w:noWrap w:val="0"/>
            <w:vAlign w:val="center"/>
          </w:tcPr>
          <w:p w14:paraId="111E457B">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 xml:space="preserve">49.8 </w:t>
            </w:r>
          </w:p>
        </w:tc>
        <w:tc>
          <w:tcPr>
            <w:tcW w:w="555" w:type="dxa"/>
            <w:shd w:val="clear" w:color="auto" w:fill="auto"/>
            <w:noWrap w:val="0"/>
            <w:vAlign w:val="center"/>
          </w:tcPr>
          <w:p w14:paraId="4E804B0B">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 xml:space="preserve">49.8 </w:t>
            </w:r>
          </w:p>
        </w:tc>
        <w:tc>
          <w:tcPr>
            <w:tcW w:w="542" w:type="dxa"/>
            <w:vMerge w:val="continue"/>
            <w:shd w:val="clear" w:color="auto" w:fill="auto"/>
            <w:noWrap w:val="0"/>
            <w:vAlign w:val="center"/>
          </w:tcPr>
          <w:p w14:paraId="77A37A3B">
            <w:pPr>
              <w:spacing w:line="280" w:lineRule="exact"/>
              <w:jc w:val="center"/>
              <w:rPr>
                <w:rFonts w:hint="default" w:ascii="Times New Roman" w:hAnsi="Times New Roman" w:eastAsia="宋体"/>
                <w:color w:val="auto"/>
                <w:szCs w:val="21"/>
                <w:highlight w:val="none"/>
                <w:lang w:val="en-US" w:eastAsia="zh-CN"/>
              </w:rPr>
            </w:pPr>
          </w:p>
        </w:tc>
        <w:tc>
          <w:tcPr>
            <w:tcW w:w="897" w:type="dxa"/>
            <w:shd w:val="clear" w:color="auto" w:fill="auto"/>
            <w:noWrap w:val="0"/>
            <w:vAlign w:val="center"/>
          </w:tcPr>
          <w:p w14:paraId="64F147AE">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24.3</w:t>
            </w:r>
          </w:p>
        </w:tc>
        <w:tc>
          <w:tcPr>
            <w:tcW w:w="746" w:type="dxa"/>
            <w:shd w:val="clear" w:color="auto" w:fill="auto"/>
            <w:noWrap w:val="0"/>
            <w:vAlign w:val="center"/>
          </w:tcPr>
          <w:p w14:paraId="3F49AA1B">
            <w:pPr>
              <w:spacing w:line="280" w:lineRule="exact"/>
              <w:jc w:val="center"/>
              <w:rPr>
                <w:rFonts w:hint="eastAsia" w:cs="Times New Roman"/>
                <w:color w:val="auto"/>
                <w:szCs w:val="21"/>
                <w:highlight w:val="none"/>
                <w:lang w:val="en-US" w:eastAsia="zh-CN"/>
              </w:rPr>
            </w:pPr>
            <w:r>
              <w:rPr>
                <w:rFonts w:hint="eastAsia" w:cs="Times New Roman"/>
                <w:color w:val="auto"/>
                <w:szCs w:val="21"/>
                <w:highlight w:val="none"/>
                <w:lang w:val="en-US" w:eastAsia="zh-CN"/>
              </w:rPr>
              <w:t>26.3</w:t>
            </w:r>
          </w:p>
        </w:tc>
        <w:tc>
          <w:tcPr>
            <w:tcW w:w="689" w:type="dxa"/>
            <w:shd w:val="clear" w:color="auto" w:fill="auto"/>
            <w:noWrap w:val="0"/>
            <w:vAlign w:val="center"/>
          </w:tcPr>
          <w:p w14:paraId="12B0D95F">
            <w:pPr>
              <w:spacing w:line="280" w:lineRule="exact"/>
              <w:jc w:val="center"/>
              <w:rPr>
                <w:rFonts w:hint="eastAsia" w:cs="Times New Roman"/>
                <w:color w:val="auto"/>
                <w:szCs w:val="21"/>
                <w:highlight w:val="none"/>
                <w:lang w:val="en-US" w:eastAsia="zh-CN"/>
              </w:rPr>
            </w:pPr>
            <w:r>
              <w:rPr>
                <w:rFonts w:hint="eastAsia" w:cs="Times New Roman"/>
                <w:color w:val="auto"/>
                <w:szCs w:val="21"/>
                <w:highlight w:val="none"/>
                <w:lang w:val="en-US" w:eastAsia="zh-CN"/>
              </w:rPr>
              <w:t>25.5</w:t>
            </w:r>
          </w:p>
        </w:tc>
        <w:tc>
          <w:tcPr>
            <w:tcW w:w="838" w:type="dxa"/>
            <w:shd w:val="clear" w:color="auto" w:fill="auto"/>
            <w:noWrap w:val="0"/>
            <w:vAlign w:val="center"/>
          </w:tcPr>
          <w:p w14:paraId="1790B9FB">
            <w:pPr>
              <w:spacing w:line="280" w:lineRule="exact"/>
              <w:jc w:val="center"/>
              <w:rPr>
                <w:rFonts w:hint="eastAsia" w:cs="Times New Roman"/>
                <w:color w:val="auto"/>
                <w:szCs w:val="21"/>
                <w:highlight w:val="none"/>
                <w:lang w:val="en-US" w:eastAsia="zh-CN"/>
              </w:rPr>
            </w:pPr>
            <w:r>
              <w:rPr>
                <w:rFonts w:hint="eastAsia" w:cs="Times New Roman"/>
                <w:color w:val="auto"/>
                <w:szCs w:val="21"/>
                <w:highlight w:val="none"/>
                <w:lang w:val="en-US" w:eastAsia="zh-CN"/>
              </w:rPr>
              <w:t>25.5</w:t>
            </w:r>
          </w:p>
        </w:tc>
        <w:tc>
          <w:tcPr>
            <w:tcW w:w="750" w:type="dxa"/>
            <w:shd w:val="clear" w:color="auto" w:fill="auto"/>
            <w:noWrap w:val="0"/>
            <w:vAlign w:val="center"/>
          </w:tcPr>
          <w:p w14:paraId="0FC42962">
            <w:pPr>
              <w:spacing w:line="280" w:lineRule="exact"/>
              <w:jc w:val="center"/>
              <w:rPr>
                <w:rFonts w:hint="eastAsia" w:cs="Times New Roman"/>
                <w:color w:val="auto"/>
                <w:szCs w:val="21"/>
                <w:highlight w:val="none"/>
                <w:lang w:val="en-US" w:eastAsia="zh-CN"/>
              </w:rPr>
            </w:pPr>
            <w:r>
              <w:rPr>
                <w:rFonts w:hint="eastAsia" w:cs="Times New Roman"/>
                <w:color w:val="auto"/>
                <w:szCs w:val="21"/>
                <w:highlight w:val="none"/>
                <w:lang w:val="en-US" w:eastAsia="zh-CN"/>
              </w:rPr>
              <w:t>25.5</w:t>
            </w:r>
          </w:p>
        </w:tc>
        <w:tc>
          <w:tcPr>
            <w:tcW w:w="1096" w:type="dxa"/>
            <w:shd w:val="clear" w:color="auto" w:fill="auto"/>
            <w:noWrap w:val="0"/>
            <w:vAlign w:val="center"/>
          </w:tcPr>
          <w:p w14:paraId="5FE8679F">
            <w:pPr>
              <w:spacing w:line="280" w:lineRule="exact"/>
              <w:jc w:val="center"/>
              <w:rPr>
                <w:rFonts w:hint="eastAsia"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1</w:t>
            </w:r>
          </w:p>
        </w:tc>
      </w:tr>
      <w:tr w14:paraId="558D5AB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27" w:type="dxa"/>
            <w:shd w:val="clear" w:color="auto" w:fill="auto"/>
            <w:noWrap w:val="0"/>
            <w:vAlign w:val="center"/>
          </w:tcPr>
          <w:p w14:paraId="50CC7D0E">
            <w:pPr>
              <w:spacing w:line="280" w:lineRule="exact"/>
              <w:jc w:val="center"/>
              <w:rPr>
                <w:rFonts w:hint="default" w:ascii="Times New Roman" w:hAnsi="Times New Roman"/>
                <w:color w:val="auto"/>
                <w:szCs w:val="21"/>
                <w:highlight w:val="none"/>
                <w:lang w:val="en-US" w:eastAsia="zh-CN"/>
              </w:rPr>
            </w:pPr>
            <w:r>
              <w:rPr>
                <w:rFonts w:hint="eastAsia"/>
                <w:color w:val="auto"/>
                <w:szCs w:val="21"/>
                <w:highlight w:val="none"/>
                <w:lang w:val="en-US" w:eastAsia="zh-CN"/>
              </w:rPr>
              <w:t>36</w:t>
            </w:r>
          </w:p>
        </w:tc>
        <w:tc>
          <w:tcPr>
            <w:tcW w:w="1428" w:type="dxa"/>
            <w:shd w:val="clear" w:color="auto" w:fill="auto"/>
            <w:noWrap w:val="0"/>
            <w:vAlign w:val="center"/>
          </w:tcPr>
          <w:p w14:paraId="0717A8E7">
            <w:pPr>
              <w:autoSpaceDN w:val="0"/>
              <w:adjustRightInd w:val="0"/>
              <w:snapToGrid w:val="0"/>
              <w:jc w:val="center"/>
              <w:textAlignment w:val="top"/>
              <w:rPr>
                <w:rFonts w:hint="default" w:ascii="Times New Roman" w:hAnsi="Times New Roman" w:cs="Times New Roman"/>
                <w:color w:val="auto"/>
                <w:szCs w:val="21"/>
                <w:highlight w:val="none"/>
                <w:lang w:val="en-US" w:eastAsia="zh-CN"/>
              </w:rPr>
            </w:pPr>
            <w:r>
              <w:rPr>
                <w:rFonts w:hint="default" w:ascii="Times New Roman" w:hAnsi="Times New Roman" w:cs="Times New Roman"/>
                <w:color w:val="auto"/>
                <w:szCs w:val="21"/>
                <w:highlight w:val="none"/>
              </w:rPr>
              <w:t>冷水机组</w:t>
            </w:r>
            <w:r>
              <w:rPr>
                <w:rFonts w:hint="eastAsia" w:ascii="Times New Roman" w:hAnsi="Times New Roman" w:cs="Times New Roman"/>
                <w:color w:val="auto"/>
                <w:szCs w:val="21"/>
                <w:highlight w:val="none"/>
                <w:lang w:val="en-US" w:eastAsia="zh-CN"/>
              </w:rPr>
              <w:t>3#</w:t>
            </w:r>
          </w:p>
        </w:tc>
        <w:tc>
          <w:tcPr>
            <w:tcW w:w="537" w:type="dxa"/>
            <w:shd w:val="clear" w:color="auto" w:fill="auto"/>
            <w:noWrap w:val="0"/>
            <w:vAlign w:val="center"/>
          </w:tcPr>
          <w:p w14:paraId="7B16921F">
            <w:pPr>
              <w:spacing w:line="280" w:lineRule="exact"/>
              <w:jc w:val="center"/>
              <w:rPr>
                <w:rFonts w:hint="eastAsia" w:ascii="Times New Roman" w:hAnsi="Times New Roman"/>
                <w:color w:val="auto"/>
                <w:szCs w:val="21"/>
                <w:highlight w:val="none"/>
                <w:lang w:val="en-US" w:eastAsia="zh-CN"/>
              </w:rPr>
            </w:pPr>
            <w:r>
              <w:rPr>
                <w:rFonts w:hint="eastAsia"/>
                <w:color w:val="auto"/>
                <w:szCs w:val="21"/>
                <w:highlight w:val="none"/>
                <w:lang w:val="en-US" w:eastAsia="zh-CN"/>
              </w:rPr>
              <w:t>75</w:t>
            </w:r>
          </w:p>
        </w:tc>
        <w:tc>
          <w:tcPr>
            <w:tcW w:w="537" w:type="dxa"/>
            <w:shd w:val="clear" w:color="auto" w:fill="auto"/>
            <w:noWrap w:val="0"/>
            <w:vAlign w:val="center"/>
          </w:tcPr>
          <w:p w14:paraId="75976CF4">
            <w:pPr>
              <w:spacing w:line="280" w:lineRule="exact"/>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35.8</w:t>
            </w:r>
          </w:p>
        </w:tc>
        <w:tc>
          <w:tcPr>
            <w:tcW w:w="537" w:type="dxa"/>
            <w:shd w:val="clear" w:color="auto" w:fill="auto"/>
            <w:noWrap w:val="0"/>
            <w:vAlign w:val="center"/>
          </w:tcPr>
          <w:p w14:paraId="0AB1CC28">
            <w:pPr>
              <w:spacing w:line="280" w:lineRule="exact"/>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144.83</w:t>
            </w:r>
          </w:p>
        </w:tc>
        <w:tc>
          <w:tcPr>
            <w:tcW w:w="558" w:type="dxa"/>
            <w:shd w:val="clear" w:color="auto" w:fill="auto"/>
            <w:noWrap w:val="0"/>
            <w:vAlign w:val="center"/>
          </w:tcPr>
          <w:p w14:paraId="356409C8">
            <w:pPr>
              <w:spacing w:line="280" w:lineRule="exact"/>
              <w:jc w:val="center"/>
              <w:rPr>
                <w:rFonts w:hint="eastAsia"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1.3</w:t>
            </w:r>
          </w:p>
        </w:tc>
        <w:tc>
          <w:tcPr>
            <w:tcW w:w="537" w:type="dxa"/>
            <w:shd w:val="clear" w:color="auto" w:fill="auto"/>
            <w:noWrap w:val="0"/>
            <w:vAlign w:val="center"/>
          </w:tcPr>
          <w:p w14:paraId="783D037E">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10.9</w:t>
            </w:r>
          </w:p>
        </w:tc>
        <w:tc>
          <w:tcPr>
            <w:tcW w:w="537" w:type="dxa"/>
            <w:shd w:val="clear" w:color="auto" w:fill="auto"/>
            <w:noWrap w:val="0"/>
            <w:vAlign w:val="center"/>
          </w:tcPr>
          <w:p w14:paraId="02966F95">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131.4</w:t>
            </w:r>
          </w:p>
        </w:tc>
        <w:tc>
          <w:tcPr>
            <w:tcW w:w="542" w:type="dxa"/>
            <w:shd w:val="clear" w:color="auto" w:fill="auto"/>
            <w:noWrap w:val="0"/>
            <w:vAlign w:val="center"/>
          </w:tcPr>
          <w:p w14:paraId="158198AB">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138.6</w:t>
            </w:r>
          </w:p>
        </w:tc>
        <w:tc>
          <w:tcPr>
            <w:tcW w:w="558" w:type="dxa"/>
            <w:shd w:val="clear" w:color="auto" w:fill="auto"/>
            <w:noWrap w:val="0"/>
            <w:vAlign w:val="center"/>
          </w:tcPr>
          <w:p w14:paraId="7764118A">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45.4</w:t>
            </w:r>
          </w:p>
        </w:tc>
        <w:tc>
          <w:tcPr>
            <w:tcW w:w="542" w:type="dxa"/>
            <w:shd w:val="clear" w:color="auto" w:fill="auto"/>
            <w:noWrap w:val="0"/>
            <w:vAlign w:val="center"/>
          </w:tcPr>
          <w:p w14:paraId="291065DE">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 xml:space="preserve">50.6 </w:t>
            </w:r>
          </w:p>
        </w:tc>
        <w:tc>
          <w:tcPr>
            <w:tcW w:w="542" w:type="dxa"/>
            <w:shd w:val="clear" w:color="auto" w:fill="auto"/>
            <w:noWrap w:val="0"/>
            <w:vAlign w:val="center"/>
          </w:tcPr>
          <w:p w14:paraId="36FFACA0">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 xml:space="preserve">49.8 </w:t>
            </w:r>
          </w:p>
        </w:tc>
        <w:tc>
          <w:tcPr>
            <w:tcW w:w="542" w:type="dxa"/>
            <w:shd w:val="clear" w:color="auto" w:fill="auto"/>
            <w:noWrap w:val="0"/>
            <w:vAlign w:val="center"/>
          </w:tcPr>
          <w:p w14:paraId="70E48FC0">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 xml:space="preserve">49.8 </w:t>
            </w:r>
          </w:p>
        </w:tc>
        <w:tc>
          <w:tcPr>
            <w:tcW w:w="555" w:type="dxa"/>
            <w:shd w:val="clear" w:color="auto" w:fill="auto"/>
            <w:noWrap w:val="0"/>
            <w:vAlign w:val="center"/>
          </w:tcPr>
          <w:p w14:paraId="0585FB70">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 xml:space="preserve">49.8 </w:t>
            </w:r>
          </w:p>
        </w:tc>
        <w:tc>
          <w:tcPr>
            <w:tcW w:w="542" w:type="dxa"/>
            <w:vMerge w:val="continue"/>
            <w:shd w:val="clear" w:color="auto" w:fill="auto"/>
            <w:noWrap w:val="0"/>
            <w:vAlign w:val="center"/>
          </w:tcPr>
          <w:p w14:paraId="5DF030CB">
            <w:pPr>
              <w:spacing w:line="280" w:lineRule="exact"/>
              <w:jc w:val="center"/>
              <w:rPr>
                <w:rFonts w:hint="default" w:ascii="Times New Roman" w:hAnsi="Times New Roman" w:eastAsia="宋体"/>
                <w:color w:val="auto"/>
                <w:szCs w:val="21"/>
                <w:highlight w:val="none"/>
                <w:lang w:val="en-US" w:eastAsia="zh-CN"/>
              </w:rPr>
            </w:pPr>
          </w:p>
        </w:tc>
        <w:tc>
          <w:tcPr>
            <w:tcW w:w="897" w:type="dxa"/>
            <w:shd w:val="clear" w:color="auto" w:fill="auto"/>
            <w:noWrap w:val="0"/>
            <w:vAlign w:val="center"/>
          </w:tcPr>
          <w:p w14:paraId="2A52C72B">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24.3</w:t>
            </w:r>
          </w:p>
        </w:tc>
        <w:tc>
          <w:tcPr>
            <w:tcW w:w="746" w:type="dxa"/>
            <w:shd w:val="clear" w:color="auto" w:fill="auto"/>
            <w:noWrap w:val="0"/>
            <w:vAlign w:val="center"/>
          </w:tcPr>
          <w:p w14:paraId="044DBD47">
            <w:pPr>
              <w:spacing w:line="280" w:lineRule="exact"/>
              <w:jc w:val="center"/>
              <w:rPr>
                <w:rFonts w:hint="eastAsia" w:cs="Times New Roman"/>
                <w:color w:val="auto"/>
                <w:szCs w:val="21"/>
                <w:highlight w:val="none"/>
                <w:lang w:val="en-US" w:eastAsia="zh-CN"/>
              </w:rPr>
            </w:pPr>
            <w:r>
              <w:rPr>
                <w:rFonts w:hint="eastAsia" w:cs="Times New Roman"/>
                <w:color w:val="auto"/>
                <w:szCs w:val="21"/>
                <w:highlight w:val="none"/>
                <w:lang w:val="en-US" w:eastAsia="zh-CN"/>
              </w:rPr>
              <w:t>26.3</w:t>
            </w:r>
          </w:p>
        </w:tc>
        <w:tc>
          <w:tcPr>
            <w:tcW w:w="689" w:type="dxa"/>
            <w:shd w:val="clear" w:color="auto" w:fill="auto"/>
            <w:noWrap w:val="0"/>
            <w:vAlign w:val="center"/>
          </w:tcPr>
          <w:p w14:paraId="42999A40">
            <w:pPr>
              <w:spacing w:line="280" w:lineRule="exact"/>
              <w:jc w:val="center"/>
              <w:rPr>
                <w:rFonts w:hint="eastAsia" w:cs="Times New Roman"/>
                <w:color w:val="auto"/>
                <w:szCs w:val="21"/>
                <w:highlight w:val="none"/>
                <w:lang w:val="en-US" w:eastAsia="zh-CN"/>
              </w:rPr>
            </w:pPr>
            <w:r>
              <w:rPr>
                <w:rFonts w:hint="eastAsia" w:cs="Times New Roman"/>
                <w:color w:val="auto"/>
                <w:szCs w:val="21"/>
                <w:highlight w:val="none"/>
                <w:lang w:val="en-US" w:eastAsia="zh-CN"/>
              </w:rPr>
              <w:t>25.5</w:t>
            </w:r>
          </w:p>
        </w:tc>
        <w:tc>
          <w:tcPr>
            <w:tcW w:w="838" w:type="dxa"/>
            <w:shd w:val="clear" w:color="auto" w:fill="auto"/>
            <w:noWrap w:val="0"/>
            <w:vAlign w:val="center"/>
          </w:tcPr>
          <w:p w14:paraId="1F4B8A98">
            <w:pPr>
              <w:spacing w:line="280" w:lineRule="exact"/>
              <w:jc w:val="center"/>
              <w:rPr>
                <w:rFonts w:hint="eastAsia" w:cs="Times New Roman"/>
                <w:color w:val="auto"/>
                <w:szCs w:val="21"/>
                <w:highlight w:val="none"/>
                <w:lang w:val="en-US" w:eastAsia="zh-CN"/>
              </w:rPr>
            </w:pPr>
            <w:r>
              <w:rPr>
                <w:rFonts w:hint="eastAsia" w:cs="Times New Roman"/>
                <w:color w:val="auto"/>
                <w:szCs w:val="21"/>
                <w:highlight w:val="none"/>
                <w:lang w:val="en-US" w:eastAsia="zh-CN"/>
              </w:rPr>
              <w:t>25.5</w:t>
            </w:r>
          </w:p>
        </w:tc>
        <w:tc>
          <w:tcPr>
            <w:tcW w:w="750" w:type="dxa"/>
            <w:shd w:val="clear" w:color="auto" w:fill="auto"/>
            <w:noWrap w:val="0"/>
            <w:vAlign w:val="center"/>
          </w:tcPr>
          <w:p w14:paraId="757DF530">
            <w:pPr>
              <w:spacing w:line="280" w:lineRule="exact"/>
              <w:jc w:val="center"/>
              <w:rPr>
                <w:rFonts w:hint="eastAsia" w:cs="Times New Roman"/>
                <w:color w:val="auto"/>
                <w:szCs w:val="21"/>
                <w:highlight w:val="none"/>
                <w:lang w:val="en-US" w:eastAsia="zh-CN"/>
              </w:rPr>
            </w:pPr>
            <w:r>
              <w:rPr>
                <w:rFonts w:hint="eastAsia" w:cs="Times New Roman"/>
                <w:color w:val="auto"/>
                <w:szCs w:val="21"/>
                <w:highlight w:val="none"/>
                <w:lang w:val="en-US" w:eastAsia="zh-CN"/>
              </w:rPr>
              <w:t>25.5</w:t>
            </w:r>
          </w:p>
        </w:tc>
        <w:tc>
          <w:tcPr>
            <w:tcW w:w="1096" w:type="dxa"/>
            <w:shd w:val="clear" w:color="auto" w:fill="auto"/>
            <w:noWrap w:val="0"/>
            <w:vAlign w:val="center"/>
          </w:tcPr>
          <w:p w14:paraId="7D7C791D">
            <w:pPr>
              <w:spacing w:line="280" w:lineRule="exact"/>
              <w:jc w:val="center"/>
              <w:rPr>
                <w:rFonts w:hint="eastAsia"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1</w:t>
            </w:r>
          </w:p>
        </w:tc>
      </w:tr>
      <w:tr w14:paraId="44E54D4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27" w:type="dxa"/>
            <w:shd w:val="clear" w:color="auto" w:fill="auto"/>
            <w:noWrap w:val="0"/>
            <w:vAlign w:val="center"/>
          </w:tcPr>
          <w:p w14:paraId="4290ADF1">
            <w:pPr>
              <w:spacing w:line="280" w:lineRule="exact"/>
              <w:jc w:val="center"/>
              <w:rPr>
                <w:rFonts w:hint="default" w:ascii="Times New Roman" w:hAnsi="Times New Roman"/>
                <w:color w:val="auto"/>
                <w:szCs w:val="21"/>
                <w:highlight w:val="none"/>
                <w:lang w:val="en-US" w:eastAsia="zh-CN"/>
              </w:rPr>
            </w:pPr>
            <w:r>
              <w:rPr>
                <w:rFonts w:hint="eastAsia"/>
                <w:color w:val="auto"/>
                <w:szCs w:val="21"/>
                <w:highlight w:val="none"/>
                <w:lang w:val="en-US" w:eastAsia="zh-CN"/>
              </w:rPr>
              <w:t>37</w:t>
            </w:r>
          </w:p>
        </w:tc>
        <w:tc>
          <w:tcPr>
            <w:tcW w:w="1428" w:type="dxa"/>
            <w:shd w:val="clear" w:color="auto" w:fill="auto"/>
            <w:noWrap w:val="0"/>
            <w:vAlign w:val="center"/>
          </w:tcPr>
          <w:p w14:paraId="1B12959E">
            <w:pPr>
              <w:autoSpaceDN w:val="0"/>
              <w:adjustRightInd w:val="0"/>
              <w:snapToGrid w:val="0"/>
              <w:jc w:val="center"/>
              <w:textAlignment w:val="top"/>
              <w:rPr>
                <w:rFonts w:hint="default" w:ascii="Times New Roman" w:hAnsi="Times New Roman" w:cs="Times New Roman"/>
                <w:color w:val="auto"/>
                <w:szCs w:val="21"/>
                <w:highlight w:val="none"/>
                <w:lang w:val="en-US" w:eastAsia="zh-CN"/>
              </w:rPr>
            </w:pPr>
            <w:r>
              <w:rPr>
                <w:rFonts w:hint="default" w:ascii="Times New Roman" w:hAnsi="Times New Roman" w:cs="Times New Roman"/>
                <w:color w:val="auto"/>
                <w:szCs w:val="21"/>
                <w:highlight w:val="none"/>
              </w:rPr>
              <w:t>冷水机组</w:t>
            </w:r>
            <w:r>
              <w:rPr>
                <w:rFonts w:hint="eastAsia" w:ascii="Times New Roman" w:hAnsi="Times New Roman" w:cs="Times New Roman"/>
                <w:color w:val="auto"/>
                <w:szCs w:val="21"/>
                <w:highlight w:val="none"/>
                <w:lang w:val="en-US" w:eastAsia="zh-CN"/>
              </w:rPr>
              <w:t>4#</w:t>
            </w:r>
          </w:p>
        </w:tc>
        <w:tc>
          <w:tcPr>
            <w:tcW w:w="537" w:type="dxa"/>
            <w:shd w:val="clear" w:color="auto" w:fill="auto"/>
            <w:noWrap w:val="0"/>
            <w:vAlign w:val="center"/>
          </w:tcPr>
          <w:p w14:paraId="42554BC5">
            <w:pPr>
              <w:spacing w:line="280" w:lineRule="exact"/>
              <w:jc w:val="center"/>
              <w:rPr>
                <w:rFonts w:hint="eastAsia" w:ascii="Times New Roman" w:hAnsi="Times New Roman"/>
                <w:color w:val="auto"/>
                <w:szCs w:val="21"/>
                <w:highlight w:val="none"/>
                <w:lang w:val="en-US" w:eastAsia="zh-CN"/>
              </w:rPr>
            </w:pPr>
            <w:r>
              <w:rPr>
                <w:rFonts w:hint="eastAsia"/>
                <w:color w:val="auto"/>
                <w:szCs w:val="21"/>
                <w:highlight w:val="none"/>
                <w:lang w:val="en-US" w:eastAsia="zh-CN"/>
              </w:rPr>
              <w:t>75</w:t>
            </w:r>
          </w:p>
        </w:tc>
        <w:tc>
          <w:tcPr>
            <w:tcW w:w="537" w:type="dxa"/>
            <w:shd w:val="clear" w:color="auto" w:fill="auto"/>
            <w:noWrap w:val="0"/>
            <w:vAlign w:val="center"/>
          </w:tcPr>
          <w:p w14:paraId="1612C210">
            <w:pPr>
              <w:spacing w:line="280" w:lineRule="exact"/>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36.64</w:t>
            </w:r>
          </w:p>
        </w:tc>
        <w:tc>
          <w:tcPr>
            <w:tcW w:w="537" w:type="dxa"/>
            <w:shd w:val="clear" w:color="auto" w:fill="auto"/>
            <w:noWrap w:val="0"/>
            <w:vAlign w:val="center"/>
          </w:tcPr>
          <w:p w14:paraId="5C4D8423">
            <w:pPr>
              <w:spacing w:line="280" w:lineRule="exact"/>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142.63</w:t>
            </w:r>
          </w:p>
        </w:tc>
        <w:tc>
          <w:tcPr>
            <w:tcW w:w="558" w:type="dxa"/>
            <w:shd w:val="clear" w:color="auto" w:fill="auto"/>
            <w:noWrap w:val="0"/>
            <w:vAlign w:val="center"/>
          </w:tcPr>
          <w:p w14:paraId="7E2EC6C4">
            <w:pPr>
              <w:spacing w:line="280" w:lineRule="exact"/>
              <w:jc w:val="center"/>
              <w:rPr>
                <w:rFonts w:hint="eastAsia"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1.3</w:t>
            </w:r>
          </w:p>
        </w:tc>
        <w:tc>
          <w:tcPr>
            <w:tcW w:w="537" w:type="dxa"/>
            <w:shd w:val="clear" w:color="auto" w:fill="auto"/>
            <w:noWrap w:val="0"/>
            <w:vAlign w:val="center"/>
          </w:tcPr>
          <w:p w14:paraId="1435B132">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11.5</w:t>
            </w:r>
          </w:p>
        </w:tc>
        <w:tc>
          <w:tcPr>
            <w:tcW w:w="537" w:type="dxa"/>
            <w:shd w:val="clear" w:color="auto" w:fill="auto"/>
            <w:noWrap w:val="0"/>
            <w:vAlign w:val="center"/>
          </w:tcPr>
          <w:p w14:paraId="5BD7B860">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128.7</w:t>
            </w:r>
          </w:p>
        </w:tc>
        <w:tc>
          <w:tcPr>
            <w:tcW w:w="542" w:type="dxa"/>
            <w:shd w:val="clear" w:color="auto" w:fill="auto"/>
            <w:noWrap w:val="0"/>
            <w:vAlign w:val="center"/>
          </w:tcPr>
          <w:p w14:paraId="014DB0E5">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141.0</w:t>
            </w:r>
          </w:p>
        </w:tc>
        <w:tc>
          <w:tcPr>
            <w:tcW w:w="558" w:type="dxa"/>
            <w:shd w:val="clear" w:color="auto" w:fill="auto"/>
            <w:noWrap w:val="0"/>
            <w:vAlign w:val="center"/>
          </w:tcPr>
          <w:p w14:paraId="6053012B">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45.3</w:t>
            </w:r>
          </w:p>
        </w:tc>
        <w:tc>
          <w:tcPr>
            <w:tcW w:w="542" w:type="dxa"/>
            <w:shd w:val="clear" w:color="auto" w:fill="auto"/>
            <w:noWrap w:val="0"/>
            <w:vAlign w:val="center"/>
          </w:tcPr>
          <w:p w14:paraId="6F209F07">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 xml:space="preserve">50.6 </w:t>
            </w:r>
          </w:p>
        </w:tc>
        <w:tc>
          <w:tcPr>
            <w:tcW w:w="542" w:type="dxa"/>
            <w:shd w:val="clear" w:color="auto" w:fill="auto"/>
            <w:noWrap w:val="0"/>
            <w:vAlign w:val="center"/>
          </w:tcPr>
          <w:p w14:paraId="25F3FA02">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 xml:space="preserve">49.8 </w:t>
            </w:r>
          </w:p>
        </w:tc>
        <w:tc>
          <w:tcPr>
            <w:tcW w:w="542" w:type="dxa"/>
            <w:shd w:val="clear" w:color="auto" w:fill="auto"/>
            <w:noWrap w:val="0"/>
            <w:vAlign w:val="center"/>
          </w:tcPr>
          <w:p w14:paraId="5F4C528A">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 xml:space="preserve">49.8 </w:t>
            </w:r>
          </w:p>
        </w:tc>
        <w:tc>
          <w:tcPr>
            <w:tcW w:w="555" w:type="dxa"/>
            <w:shd w:val="clear" w:color="auto" w:fill="auto"/>
            <w:noWrap w:val="0"/>
            <w:vAlign w:val="center"/>
          </w:tcPr>
          <w:p w14:paraId="6575CE59">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 xml:space="preserve">49.8 </w:t>
            </w:r>
          </w:p>
        </w:tc>
        <w:tc>
          <w:tcPr>
            <w:tcW w:w="542" w:type="dxa"/>
            <w:vMerge w:val="continue"/>
            <w:shd w:val="clear" w:color="auto" w:fill="auto"/>
            <w:noWrap w:val="0"/>
            <w:vAlign w:val="center"/>
          </w:tcPr>
          <w:p w14:paraId="19A2C469">
            <w:pPr>
              <w:spacing w:line="280" w:lineRule="exact"/>
              <w:jc w:val="center"/>
              <w:rPr>
                <w:rFonts w:hint="default" w:ascii="Times New Roman" w:hAnsi="Times New Roman" w:eastAsia="宋体"/>
                <w:color w:val="auto"/>
                <w:szCs w:val="21"/>
                <w:highlight w:val="none"/>
                <w:lang w:val="en-US" w:eastAsia="zh-CN"/>
              </w:rPr>
            </w:pPr>
          </w:p>
        </w:tc>
        <w:tc>
          <w:tcPr>
            <w:tcW w:w="897" w:type="dxa"/>
            <w:shd w:val="clear" w:color="auto" w:fill="auto"/>
            <w:noWrap w:val="0"/>
            <w:vAlign w:val="center"/>
          </w:tcPr>
          <w:p w14:paraId="0DB778B6">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24.3</w:t>
            </w:r>
          </w:p>
        </w:tc>
        <w:tc>
          <w:tcPr>
            <w:tcW w:w="746" w:type="dxa"/>
            <w:shd w:val="clear" w:color="auto" w:fill="auto"/>
            <w:noWrap w:val="0"/>
            <w:vAlign w:val="center"/>
          </w:tcPr>
          <w:p w14:paraId="66E30CD8">
            <w:pPr>
              <w:spacing w:line="280" w:lineRule="exact"/>
              <w:jc w:val="center"/>
              <w:rPr>
                <w:rFonts w:hint="eastAsia" w:cs="Times New Roman"/>
                <w:color w:val="auto"/>
                <w:szCs w:val="21"/>
                <w:highlight w:val="none"/>
                <w:lang w:val="en-US" w:eastAsia="zh-CN"/>
              </w:rPr>
            </w:pPr>
            <w:r>
              <w:rPr>
                <w:rFonts w:hint="eastAsia" w:cs="Times New Roman"/>
                <w:color w:val="auto"/>
                <w:szCs w:val="21"/>
                <w:highlight w:val="none"/>
                <w:lang w:val="en-US" w:eastAsia="zh-CN"/>
              </w:rPr>
              <w:t>26.3</w:t>
            </w:r>
          </w:p>
        </w:tc>
        <w:tc>
          <w:tcPr>
            <w:tcW w:w="689" w:type="dxa"/>
            <w:shd w:val="clear" w:color="auto" w:fill="auto"/>
            <w:noWrap w:val="0"/>
            <w:vAlign w:val="center"/>
          </w:tcPr>
          <w:p w14:paraId="3FC9B47D">
            <w:pPr>
              <w:spacing w:line="280" w:lineRule="exact"/>
              <w:jc w:val="center"/>
              <w:rPr>
                <w:rFonts w:hint="eastAsia" w:cs="Times New Roman"/>
                <w:color w:val="auto"/>
                <w:szCs w:val="21"/>
                <w:highlight w:val="none"/>
                <w:lang w:val="en-US" w:eastAsia="zh-CN"/>
              </w:rPr>
            </w:pPr>
            <w:r>
              <w:rPr>
                <w:rFonts w:hint="eastAsia" w:cs="Times New Roman"/>
                <w:color w:val="auto"/>
                <w:szCs w:val="21"/>
                <w:highlight w:val="none"/>
                <w:lang w:val="en-US" w:eastAsia="zh-CN"/>
              </w:rPr>
              <w:t>25.5</w:t>
            </w:r>
          </w:p>
        </w:tc>
        <w:tc>
          <w:tcPr>
            <w:tcW w:w="838" w:type="dxa"/>
            <w:shd w:val="clear" w:color="auto" w:fill="auto"/>
            <w:noWrap w:val="0"/>
            <w:vAlign w:val="center"/>
          </w:tcPr>
          <w:p w14:paraId="1C6A7E10">
            <w:pPr>
              <w:spacing w:line="280" w:lineRule="exact"/>
              <w:jc w:val="center"/>
              <w:rPr>
                <w:rFonts w:hint="eastAsia" w:cs="Times New Roman"/>
                <w:color w:val="auto"/>
                <w:szCs w:val="21"/>
                <w:highlight w:val="none"/>
                <w:lang w:val="en-US" w:eastAsia="zh-CN"/>
              </w:rPr>
            </w:pPr>
            <w:r>
              <w:rPr>
                <w:rFonts w:hint="eastAsia" w:cs="Times New Roman"/>
                <w:color w:val="auto"/>
                <w:szCs w:val="21"/>
                <w:highlight w:val="none"/>
                <w:lang w:val="en-US" w:eastAsia="zh-CN"/>
              </w:rPr>
              <w:t>25.5</w:t>
            </w:r>
          </w:p>
        </w:tc>
        <w:tc>
          <w:tcPr>
            <w:tcW w:w="750" w:type="dxa"/>
            <w:shd w:val="clear" w:color="auto" w:fill="auto"/>
            <w:noWrap w:val="0"/>
            <w:vAlign w:val="center"/>
          </w:tcPr>
          <w:p w14:paraId="4D38A2CE">
            <w:pPr>
              <w:spacing w:line="280" w:lineRule="exact"/>
              <w:jc w:val="center"/>
              <w:rPr>
                <w:rFonts w:hint="eastAsia" w:cs="Times New Roman"/>
                <w:color w:val="auto"/>
                <w:szCs w:val="21"/>
                <w:highlight w:val="none"/>
                <w:lang w:val="en-US" w:eastAsia="zh-CN"/>
              </w:rPr>
            </w:pPr>
            <w:r>
              <w:rPr>
                <w:rFonts w:hint="eastAsia" w:cs="Times New Roman"/>
                <w:color w:val="auto"/>
                <w:szCs w:val="21"/>
                <w:highlight w:val="none"/>
                <w:lang w:val="en-US" w:eastAsia="zh-CN"/>
              </w:rPr>
              <w:t>25.5</w:t>
            </w:r>
          </w:p>
        </w:tc>
        <w:tc>
          <w:tcPr>
            <w:tcW w:w="1096" w:type="dxa"/>
            <w:shd w:val="clear" w:color="auto" w:fill="auto"/>
            <w:noWrap w:val="0"/>
            <w:vAlign w:val="center"/>
          </w:tcPr>
          <w:p w14:paraId="38657652">
            <w:pPr>
              <w:spacing w:line="280" w:lineRule="exact"/>
              <w:jc w:val="center"/>
              <w:rPr>
                <w:rFonts w:hint="eastAsia"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1</w:t>
            </w:r>
          </w:p>
        </w:tc>
      </w:tr>
      <w:tr w14:paraId="6C07C29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27" w:type="dxa"/>
            <w:shd w:val="clear" w:color="auto" w:fill="auto"/>
            <w:noWrap w:val="0"/>
            <w:vAlign w:val="center"/>
          </w:tcPr>
          <w:p w14:paraId="32630133">
            <w:pPr>
              <w:spacing w:line="280" w:lineRule="exact"/>
              <w:jc w:val="center"/>
              <w:rPr>
                <w:rFonts w:hint="default" w:ascii="Times New Roman" w:hAnsi="Times New Roman"/>
                <w:color w:val="auto"/>
                <w:szCs w:val="21"/>
                <w:highlight w:val="none"/>
                <w:lang w:val="en-US" w:eastAsia="zh-CN"/>
              </w:rPr>
            </w:pPr>
            <w:r>
              <w:rPr>
                <w:rFonts w:hint="eastAsia"/>
                <w:color w:val="auto"/>
                <w:szCs w:val="21"/>
                <w:highlight w:val="none"/>
                <w:lang w:val="en-US" w:eastAsia="zh-CN"/>
              </w:rPr>
              <w:t>38</w:t>
            </w:r>
          </w:p>
        </w:tc>
        <w:tc>
          <w:tcPr>
            <w:tcW w:w="1428" w:type="dxa"/>
            <w:shd w:val="clear" w:color="auto" w:fill="auto"/>
            <w:noWrap w:val="0"/>
            <w:vAlign w:val="center"/>
          </w:tcPr>
          <w:p w14:paraId="3CBB4A53">
            <w:pPr>
              <w:autoSpaceDN w:val="0"/>
              <w:adjustRightInd w:val="0"/>
              <w:snapToGrid w:val="0"/>
              <w:jc w:val="center"/>
              <w:textAlignment w:val="top"/>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冷水机组</w:t>
            </w:r>
            <w:r>
              <w:rPr>
                <w:rFonts w:hint="eastAsia" w:ascii="Times New Roman" w:hAnsi="Times New Roman" w:cs="Times New Roman"/>
                <w:color w:val="auto"/>
                <w:szCs w:val="21"/>
                <w:highlight w:val="none"/>
                <w:lang w:val="en-US" w:eastAsia="zh-CN"/>
              </w:rPr>
              <w:t>5#</w:t>
            </w:r>
          </w:p>
        </w:tc>
        <w:tc>
          <w:tcPr>
            <w:tcW w:w="537" w:type="dxa"/>
            <w:shd w:val="clear" w:color="auto" w:fill="auto"/>
            <w:noWrap w:val="0"/>
            <w:vAlign w:val="center"/>
          </w:tcPr>
          <w:p w14:paraId="745976BF">
            <w:pPr>
              <w:spacing w:line="280" w:lineRule="exact"/>
              <w:jc w:val="center"/>
              <w:rPr>
                <w:rFonts w:hint="eastAsia" w:ascii="Times New Roman" w:hAnsi="Times New Roman"/>
                <w:color w:val="auto"/>
                <w:szCs w:val="21"/>
                <w:highlight w:val="none"/>
                <w:lang w:val="en-US" w:eastAsia="zh-CN"/>
              </w:rPr>
            </w:pPr>
            <w:r>
              <w:rPr>
                <w:rFonts w:hint="eastAsia"/>
                <w:color w:val="auto"/>
                <w:szCs w:val="21"/>
                <w:highlight w:val="none"/>
                <w:lang w:val="en-US" w:eastAsia="zh-CN"/>
              </w:rPr>
              <w:t>75</w:t>
            </w:r>
          </w:p>
        </w:tc>
        <w:tc>
          <w:tcPr>
            <w:tcW w:w="537" w:type="dxa"/>
            <w:shd w:val="clear" w:color="auto" w:fill="auto"/>
            <w:noWrap w:val="0"/>
            <w:vAlign w:val="center"/>
          </w:tcPr>
          <w:p w14:paraId="3520C67C">
            <w:pPr>
              <w:spacing w:line="280" w:lineRule="exact"/>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37.38</w:t>
            </w:r>
          </w:p>
        </w:tc>
        <w:tc>
          <w:tcPr>
            <w:tcW w:w="537" w:type="dxa"/>
            <w:shd w:val="clear" w:color="auto" w:fill="auto"/>
            <w:noWrap w:val="0"/>
            <w:vAlign w:val="center"/>
          </w:tcPr>
          <w:p w14:paraId="205FDF53">
            <w:pPr>
              <w:spacing w:line="280" w:lineRule="exact"/>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140.31</w:t>
            </w:r>
          </w:p>
        </w:tc>
        <w:tc>
          <w:tcPr>
            <w:tcW w:w="558" w:type="dxa"/>
            <w:shd w:val="clear" w:color="auto" w:fill="auto"/>
            <w:noWrap w:val="0"/>
            <w:vAlign w:val="center"/>
          </w:tcPr>
          <w:p w14:paraId="187BED6F">
            <w:pPr>
              <w:spacing w:line="280" w:lineRule="exact"/>
              <w:jc w:val="center"/>
              <w:rPr>
                <w:rFonts w:hint="eastAsia"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1.3</w:t>
            </w:r>
          </w:p>
        </w:tc>
        <w:tc>
          <w:tcPr>
            <w:tcW w:w="537" w:type="dxa"/>
            <w:shd w:val="clear" w:color="auto" w:fill="auto"/>
            <w:noWrap w:val="0"/>
            <w:vAlign w:val="center"/>
          </w:tcPr>
          <w:p w14:paraId="2448F748">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10.8</w:t>
            </w:r>
          </w:p>
        </w:tc>
        <w:tc>
          <w:tcPr>
            <w:tcW w:w="537" w:type="dxa"/>
            <w:shd w:val="clear" w:color="auto" w:fill="auto"/>
            <w:noWrap w:val="0"/>
            <w:vAlign w:val="center"/>
          </w:tcPr>
          <w:p w14:paraId="1F556B3F">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124.4</w:t>
            </w:r>
          </w:p>
        </w:tc>
        <w:tc>
          <w:tcPr>
            <w:tcW w:w="542" w:type="dxa"/>
            <w:shd w:val="clear" w:color="auto" w:fill="auto"/>
            <w:noWrap w:val="0"/>
            <w:vAlign w:val="center"/>
          </w:tcPr>
          <w:p w14:paraId="737D8873">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139.3</w:t>
            </w:r>
          </w:p>
        </w:tc>
        <w:tc>
          <w:tcPr>
            <w:tcW w:w="558" w:type="dxa"/>
            <w:shd w:val="clear" w:color="auto" w:fill="auto"/>
            <w:noWrap w:val="0"/>
            <w:vAlign w:val="center"/>
          </w:tcPr>
          <w:p w14:paraId="5713001C">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40.5</w:t>
            </w:r>
          </w:p>
        </w:tc>
        <w:tc>
          <w:tcPr>
            <w:tcW w:w="542" w:type="dxa"/>
            <w:shd w:val="clear" w:color="auto" w:fill="auto"/>
            <w:noWrap w:val="0"/>
            <w:vAlign w:val="center"/>
          </w:tcPr>
          <w:p w14:paraId="55519C52">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 xml:space="preserve">50.7 </w:t>
            </w:r>
          </w:p>
        </w:tc>
        <w:tc>
          <w:tcPr>
            <w:tcW w:w="542" w:type="dxa"/>
            <w:shd w:val="clear" w:color="auto" w:fill="auto"/>
            <w:noWrap w:val="0"/>
            <w:vAlign w:val="center"/>
          </w:tcPr>
          <w:p w14:paraId="619A6543">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 xml:space="preserve">49.8 </w:t>
            </w:r>
          </w:p>
        </w:tc>
        <w:tc>
          <w:tcPr>
            <w:tcW w:w="542" w:type="dxa"/>
            <w:shd w:val="clear" w:color="auto" w:fill="auto"/>
            <w:noWrap w:val="0"/>
            <w:vAlign w:val="center"/>
          </w:tcPr>
          <w:p w14:paraId="5DD64DDA">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 xml:space="preserve">49.8 </w:t>
            </w:r>
          </w:p>
        </w:tc>
        <w:tc>
          <w:tcPr>
            <w:tcW w:w="555" w:type="dxa"/>
            <w:shd w:val="clear" w:color="auto" w:fill="auto"/>
            <w:noWrap w:val="0"/>
            <w:vAlign w:val="center"/>
          </w:tcPr>
          <w:p w14:paraId="5F020003">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 xml:space="preserve">49.8 </w:t>
            </w:r>
          </w:p>
        </w:tc>
        <w:tc>
          <w:tcPr>
            <w:tcW w:w="542" w:type="dxa"/>
            <w:vMerge w:val="continue"/>
            <w:shd w:val="clear" w:color="auto" w:fill="auto"/>
            <w:noWrap w:val="0"/>
            <w:vAlign w:val="center"/>
          </w:tcPr>
          <w:p w14:paraId="721CE74C">
            <w:pPr>
              <w:spacing w:line="280" w:lineRule="exact"/>
              <w:jc w:val="center"/>
              <w:rPr>
                <w:rFonts w:hint="default" w:ascii="Times New Roman" w:hAnsi="Times New Roman" w:eastAsia="宋体"/>
                <w:color w:val="auto"/>
                <w:szCs w:val="21"/>
                <w:highlight w:val="none"/>
                <w:lang w:val="en-US" w:eastAsia="zh-CN"/>
              </w:rPr>
            </w:pPr>
          </w:p>
        </w:tc>
        <w:tc>
          <w:tcPr>
            <w:tcW w:w="897" w:type="dxa"/>
            <w:shd w:val="clear" w:color="auto" w:fill="auto"/>
            <w:noWrap w:val="0"/>
            <w:vAlign w:val="center"/>
          </w:tcPr>
          <w:p w14:paraId="32978CB9">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24.3</w:t>
            </w:r>
          </w:p>
        </w:tc>
        <w:tc>
          <w:tcPr>
            <w:tcW w:w="746" w:type="dxa"/>
            <w:shd w:val="clear" w:color="auto" w:fill="auto"/>
            <w:noWrap w:val="0"/>
            <w:vAlign w:val="center"/>
          </w:tcPr>
          <w:p w14:paraId="195A0FC0">
            <w:pPr>
              <w:spacing w:line="280" w:lineRule="exact"/>
              <w:jc w:val="center"/>
              <w:rPr>
                <w:rFonts w:hint="eastAsia" w:cs="Times New Roman"/>
                <w:color w:val="auto"/>
                <w:szCs w:val="21"/>
                <w:highlight w:val="none"/>
                <w:lang w:val="en-US" w:eastAsia="zh-CN"/>
              </w:rPr>
            </w:pPr>
            <w:r>
              <w:rPr>
                <w:rFonts w:hint="eastAsia" w:cs="Times New Roman"/>
                <w:color w:val="auto"/>
                <w:szCs w:val="21"/>
                <w:highlight w:val="none"/>
                <w:lang w:val="en-US" w:eastAsia="zh-CN"/>
              </w:rPr>
              <w:t>26.4</w:t>
            </w:r>
          </w:p>
        </w:tc>
        <w:tc>
          <w:tcPr>
            <w:tcW w:w="689" w:type="dxa"/>
            <w:shd w:val="clear" w:color="auto" w:fill="auto"/>
            <w:noWrap w:val="0"/>
            <w:vAlign w:val="center"/>
          </w:tcPr>
          <w:p w14:paraId="27F73F47">
            <w:pPr>
              <w:spacing w:line="280" w:lineRule="exact"/>
              <w:jc w:val="center"/>
              <w:rPr>
                <w:rFonts w:hint="eastAsia" w:cs="Times New Roman"/>
                <w:color w:val="auto"/>
                <w:szCs w:val="21"/>
                <w:highlight w:val="none"/>
                <w:lang w:val="en-US" w:eastAsia="zh-CN"/>
              </w:rPr>
            </w:pPr>
            <w:r>
              <w:rPr>
                <w:rFonts w:hint="eastAsia" w:cs="Times New Roman"/>
                <w:color w:val="auto"/>
                <w:szCs w:val="21"/>
                <w:highlight w:val="none"/>
                <w:lang w:val="en-US" w:eastAsia="zh-CN"/>
              </w:rPr>
              <w:t>25.5</w:t>
            </w:r>
          </w:p>
        </w:tc>
        <w:tc>
          <w:tcPr>
            <w:tcW w:w="838" w:type="dxa"/>
            <w:shd w:val="clear" w:color="auto" w:fill="auto"/>
            <w:noWrap w:val="0"/>
            <w:vAlign w:val="center"/>
          </w:tcPr>
          <w:p w14:paraId="01802FE2">
            <w:pPr>
              <w:spacing w:line="280" w:lineRule="exact"/>
              <w:jc w:val="center"/>
              <w:rPr>
                <w:rFonts w:hint="eastAsia" w:cs="Times New Roman"/>
                <w:color w:val="auto"/>
                <w:szCs w:val="21"/>
                <w:highlight w:val="none"/>
                <w:lang w:val="en-US" w:eastAsia="zh-CN"/>
              </w:rPr>
            </w:pPr>
            <w:r>
              <w:rPr>
                <w:rFonts w:hint="eastAsia" w:cs="Times New Roman"/>
                <w:color w:val="auto"/>
                <w:szCs w:val="21"/>
                <w:highlight w:val="none"/>
                <w:lang w:val="en-US" w:eastAsia="zh-CN"/>
              </w:rPr>
              <w:t>25.5</w:t>
            </w:r>
          </w:p>
        </w:tc>
        <w:tc>
          <w:tcPr>
            <w:tcW w:w="750" w:type="dxa"/>
            <w:shd w:val="clear" w:color="auto" w:fill="auto"/>
            <w:noWrap w:val="0"/>
            <w:vAlign w:val="center"/>
          </w:tcPr>
          <w:p w14:paraId="04ADE406">
            <w:pPr>
              <w:spacing w:line="280" w:lineRule="exact"/>
              <w:jc w:val="center"/>
              <w:rPr>
                <w:rFonts w:hint="eastAsia" w:cs="Times New Roman"/>
                <w:color w:val="auto"/>
                <w:szCs w:val="21"/>
                <w:highlight w:val="none"/>
                <w:lang w:val="en-US" w:eastAsia="zh-CN"/>
              </w:rPr>
            </w:pPr>
            <w:r>
              <w:rPr>
                <w:rFonts w:hint="eastAsia" w:cs="Times New Roman"/>
                <w:color w:val="auto"/>
                <w:szCs w:val="21"/>
                <w:highlight w:val="none"/>
                <w:lang w:val="en-US" w:eastAsia="zh-CN"/>
              </w:rPr>
              <w:t>25.5</w:t>
            </w:r>
          </w:p>
        </w:tc>
        <w:tc>
          <w:tcPr>
            <w:tcW w:w="1096" w:type="dxa"/>
            <w:shd w:val="clear" w:color="auto" w:fill="auto"/>
            <w:noWrap w:val="0"/>
            <w:vAlign w:val="center"/>
          </w:tcPr>
          <w:p w14:paraId="0B3BED18">
            <w:pPr>
              <w:spacing w:line="280" w:lineRule="exact"/>
              <w:jc w:val="center"/>
              <w:rPr>
                <w:rFonts w:hint="eastAsia"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1</w:t>
            </w:r>
          </w:p>
        </w:tc>
      </w:tr>
      <w:tr w14:paraId="04375C7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27" w:type="dxa"/>
            <w:shd w:val="clear" w:color="auto" w:fill="auto"/>
            <w:noWrap w:val="0"/>
            <w:vAlign w:val="center"/>
          </w:tcPr>
          <w:p w14:paraId="15DCAB02">
            <w:pPr>
              <w:spacing w:line="280" w:lineRule="exact"/>
              <w:jc w:val="center"/>
              <w:rPr>
                <w:rFonts w:hint="default" w:ascii="Times New Roman" w:hAnsi="Times New Roman"/>
                <w:color w:val="auto"/>
                <w:szCs w:val="21"/>
                <w:highlight w:val="none"/>
                <w:lang w:val="en-US" w:eastAsia="zh-CN"/>
              </w:rPr>
            </w:pPr>
            <w:r>
              <w:rPr>
                <w:rFonts w:hint="eastAsia"/>
                <w:color w:val="auto"/>
                <w:szCs w:val="21"/>
                <w:highlight w:val="none"/>
                <w:lang w:val="en-US" w:eastAsia="zh-CN"/>
              </w:rPr>
              <w:t>39</w:t>
            </w:r>
          </w:p>
        </w:tc>
        <w:tc>
          <w:tcPr>
            <w:tcW w:w="1428" w:type="dxa"/>
            <w:shd w:val="clear" w:color="auto" w:fill="auto"/>
            <w:noWrap w:val="0"/>
            <w:vAlign w:val="center"/>
          </w:tcPr>
          <w:p w14:paraId="6B748FC9">
            <w:pPr>
              <w:autoSpaceDN w:val="0"/>
              <w:adjustRightInd w:val="0"/>
              <w:snapToGrid w:val="0"/>
              <w:jc w:val="center"/>
              <w:textAlignment w:val="top"/>
              <w:rPr>
                <w:rFonts w:hint="default" w:ascii="Times New Roman" w:hAnsi="Times New Roman" w:eastAsia="宋体" w:cs="Times New Roman"/>
                <w:color w:val="auto"/>
                <w:szCs w:val="21"/>
                <w:highlight w:val="none"/>
                <w:lang w:val="en-US" w:eastAsia="zh-CN"/>
              </w:rPr>
            </w:pPr>
            <w:r>
              <w:rPr>
                <w:rFonts w:hint="eastAsia" w:ascii="Times New Roman" w:hAnsi="Times New Roman" w:cs="Times New Roman"/>
                <w:color w:val="auto"/>
                <w:szCs w:val="21"/>
                <w:highlight w:val="none"/>
                <w:lang w:val="en-US" w:eastAsia="zh-CN"/>
              </w:rPr>
              <w:t>空压机1#</w:t>
            </w:r>
          </w:p>
        </w:tc>
        <w:tc>
          <w:tcPr>
            <w:tcW w:w="537" w:type="dxa"/>
            <w:shd w:val="clear" w:color="auto" w:fill="auto"/>
            <w:noWrap w:val="0"/>
            <w:vAlign w:val="center"/>
          </w:tcPr>
          <w:p w14:paraId="33FD3080">
            <w:pPr>
              <w:spacing w:line="280" w:lineRule="exact"/>
              <w:jc w:val="center"/>
              <w:rPr>
                <w:rFonts w:hint="default" w:ascii="Times New Roman" w:hAnsi="Times New Roman"/>
                <w:color w:val="auto"/>
                <w:szCs w:val="21"/>
                <w:highlight w:val="none"/>
                <w:lang w:val="en-US" w:eastAsia="zh-CN"/>
              </w:rPr>
            </w:pPr>
            <w:r>
              <w:rPr>
                <w:rFonts w:hint="eastAsia"/>
                <w:color w:val="auto"/>
                <w:szCs w:val="21"/>
                <w:highlight w:val="none"/>
                <w:lang w:val="en-US" w:eastAsia="zh-CN"/>
              </w:rPr>
              <w:t>95</w:t>
            </w:r>
          </w:p>
        </w:tc>
        <w:tc>
          <w:tcPr>
            <w:tcW w:w="537" w:type="dxa"/>
            <w:shd w:val="clear" w:color="auto" w:fill="auto"/>
            <w:noWrap w:val="0"/>
            <w:vAlign w:val="center"/>
          </w:tcPr>
          <w:p w14:paraId="1634875A">
            <w:pPr>
              <w:spacing w:line="280" w:lineRule="exact"/>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-86.92</w:t>
            </w:r>
          </w:p>
        </w:tc>
        <w:tc>
          <w:tcPr>
            <w:tcW w:w="537" w:type="dxa"/>
            <w:shd w:val="clear" w:color="auto" w:fill="auto"/>
            <w:noWrap w:val="0"/>
            <w:vAlign w:val="center"/>
          </w:tcPr>
          <w:p w14:paraId="1765A346">
            <w:pPr>
              <w:spacing w:line="280" w:lineRule="exact"/>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145.79</w:t>
            </w:r>
          </w:p>
        </w:tc>
        <w:tc>
          <w:tcPr>
            <w:tcW w:w="558" w:type="dxa"/>
            <w:shd w:val="clear" w:color="auto" w:fill="auto"/>
            <w:noWrap w:val="0"/>
            <w:vAlign w:val="center"/>
          </w:tcPr>
          <w:p w14:paraId="491DE630">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1.5</w:t>
            </w:r>
          </w:p>
        </w:tc>
        <w:tc>
          <w:tcPr>
            <w:tcW w:w="537" w:type="dxa"/>
            <w:shd w:val="clear" w:color="auto" w:fill="auto"/>
            <w:noWrap w:val="0"/>
            <w:vAlign w:val="center"/>
          </w:tcPr>
          <w:p w14:paraId="578F83BA">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128.1</w:t>
            </w:r>
          </w:p>
        </w:tc>
        <w:tc>
          <w:tcPr>
            <w:tcW w:w="537" w:type="dxa"/>
            <w:shd w:val="clear" w:color="auto" w:fill="auto"/>
            <w:noWrap w:val="0"/>
            <w:vAlign w:val="center"/>
          </w:tcPr>
          <w:p w14:paraId="22AB6011">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70.2</w:t>
            </w:r>
          </w:p>
        </w:tc>
        <w:tc>
          <w:tcPr>
            <w:tcW w:w="542" w:type="dxa"/>
            <w:shd w:val="clear" w:color="auto" w:fill="auto"/>
            <w:noWrap w:val="0"/>
            <w:vAlign w:val="center"/>
          </w:tcPr>
          <w:p w14:paraId="5BDDC392">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19.4</w:t>
            </w:r>
          </w:p>
        </w:tc>
        <w:tc>
          <w:tcPr>
            <w:tcW w:w="558" w:type="dxa"/>
            <w:shd w:val="clear" w:color="auto" w:fill="auto"/>
            <w:noWrap w:val="0"/>
            <w:vAlign w:val="center"/>
          </w:tcPr>
          <w:p w14:paraId="61901FC3">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9.8</w:t>
            </w:r>
          </w:p>
        </w:tc>
        <w:tc>
          <w:tcPr>
            <w:tcW w:w="542" w:type="dxa"/>
            <w:shd w:val="clear" w:color="auto" w:fill="auto"/>
            <w:noWrap w:val="0"/>
            <w:vAlign w:val="center"/>
          </w:tcPr>
          <w:p w14:paraId="3C259343">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 xml:space="preserve">69.8 </w:t>
            </w:r>
          </w:p>
        </w:tc>
        <w:tc>
          <w:tcPr>
            <w:tcW w:w="542" w:type="dxa"/>
            <w:shd w:val="clear" w:color="auto" w:fill="auto"/>
            <w:noWrap w:val="0"/>
            <w:vAlign w:val="center"/>
          </w:tcPr>
          <w:p w14:paraId="7049BCD8">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 xml:space="preserve">69.8 </w:t>
            </w:r>
          </w:p>
        </w:tc>
        <w:tc>
          <w:tcPr>
            <w:tcW w:w="542" w:type="dxa"/>
            <w:shd w:val="clear" w:color="auto" w:fill="auto"/>
            <w:noWrap w:val="0"/>
            <w:vAlign w:val="center"/>
          </w:tcPr>
          <w:p w14:paraId="26ECF504">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 xml:space="preserve">70.1 </w:t>
            </w:r>
          </w:p>
        </w:tc>
        <w:tc>
          <w:tcPr>
            <w:tcW w:w="555" w:type="dxa"/>
            <w:shd w:val="clear" w:color="auto" w:fill="auto"/>
            <w:noWrap w:val="0"/>
            <w:vAlign w:val="center"/>
          </w:tcPr>
          <w:p w14:paraId="144E73B4">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 xml:space="preserve">70.8 </w:t>
            </w:r>
          </w:p>
        </w:tc>
        <w:tc>
          <w:tcPr>
            <w:tcW w:w="542" w:type="dxa"/>
            <w:vMerge w:val="continue"/>
            <w:shd w:val="clear" w:color="auto" w:fill="auto"/>
            <w:noWrap w:val="0"/>
            <w:vAlign w:val="center"/>
          </w:tcPr>
          <w:p w14:paraId="31B7328A">
            <w:pPr>
              <w:spacing w:line="280" w:lineRule="exact"/>
              <w:jc w:val="center"/>
              <w:rPr>
                <w:rFonts w:hint="default" w:ascii="Times New Roman" w:hAnsi="Times New Roman" w:eastAsia="宋体"/>
                <w:color w:val="auto"/>
                <w:szCs w:val="21"/>
                <w:highlight w:val="none"/>
                <w:lang w:val="en-US" w:eastAsia="zh-CN"/>
              </w:rPr>
            </w:pPr>
          </w:p>
        </w:tc>
        <w:tc>
          <w:tcPr>
            <w:tcW w:w="897" w:type="dxa"/>
            <w:shd w:val="clear" w:color="auto" w:fill="auto"/>
            <w:noWrap w:val="0"/>
            <w:vAlign w:val="center"/>
          </w:tcPr>
          <w:p w14:paraId="45561044">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24.3</w:t>
            </w:r>
          </w:p>
        </w:tc>
        <w:tc>
          <w:tcPr>
            <w:tcW w:w="746" w:type="dxa"/>
            <w:shd w:val="clear" w:color="auto" w:fill="auto"/>
            <w:noWrap w:val="0"/>
            <w:vAlign w:val="center"/>
          </w:tcPr>
          <w:p w14:paraId="6B6D749B">
            <w:pPr>
              <w:spacing w:line="280" w:lineRule="exact"/>
              <w:jc w:val="center"/>
              <w:rPr>
                <w:rFonts w:hint="eastAsia" w:cs="Times New Roman"/>
                <w:color w:val="auto"/>
                <w:szCs w:val="21"/>
                <w:highlight w:val="none"/>
                <w:lang w:val="en-US" w:eastAsia="zh-CN"/>
              </w:rPr>
            </w:pPr>
            <w:r>
              <w:rPr>
                <w:rFonts w:hint="eastAsia" w:cs="Times New Roman"/>
                <w:color w:val="auto"/>
                <w:szCs w:val="21"/>
                <w:highlight w:val="none"/>
                <w:lang w:val="en-US" w:eastAsia="zh-CN"/>
              </w:rPr>
              <w:t>45.5</w:t>
            </w:r>
          </w:p>
        </w:tc>
        <w:tc>
          <w:tcPr>
            <w:tcW w:w="689" w:type="dxa"/>
            <w:shd w:val="clear" w:color="auto" w:fill="auto"/>
            <w:noWrap w:val="0"/>
            <w:vAlign w:val="center"/>
          </w:tcPr>
          <w:p w14:paraId="00E69E24">
            <w:pPr>
              <w:spacing w:line="280" w:lineRule="exact"/>
              <w:jc w:val="center"/>
              <w:rPr>
                <w:rFonts w:hint="eastAsia" w:cs="Times New Roman"/>
                <w:color w:val="auto"/>
                <w:szCs w:val="21"/>
                <w:highlight w:val="none"/>
                <w:lang w:val="en-US" w:eastAsia="zh-CN"/>
              </w:rPr>
            </w:pPr>
            <w:r>
              <w:rPr>
                <w:rFonts w:hint="eastAsia" w:cs="Times New Roman"/>
                <w:color w:val="auto"/>
                <w:szCs w:val="21"/>
                <w:highlight w:val="none"/>
                <w:lang w:val="en-US" w:eastAsia="zh-CN"/>
              </w:rPr>
              <w:t>45.5</w:t>
            </w:r>
          </w:p>
        </w:tc>
        <w:tc>
          <w:tcPr>
            <w:tcW w:w="838" w:type="dxa"/>
            <w:shd w:val="clear" w:color="auto" w:fill="auto"/>
            <w:noWrap w:val="0"/>
            <w:vAlign w:val="center"/>
          </w:tcPr>
          <w:p w14:paraId="497B0140">
            <w:pPr>
              <w:spacing w:line="280" w:lineRule="exact"/>
              <w:jc w:val="center"/>
              <w:rPr>
                <w:rFonts w:hint="eastAsia" w:cs="Times New Roman"/>
                <w:color w:val="auto"/>
                <w:szCs w:val="21"/>
                <w:highlight w:val="none"/>
                <w:lang w:val="en-US" w:eastAsia="zh-CN"/>
              </w:rPr>
            </w:pPr>
            <w:r>
              <w:rPr>
                <w:rFonts w:hint="eastAsia" w:cs="Times New Roman"/>
                <w:color w:val="auto"/>
                <w:szCs w:val="21"/>
                <w:highlight w:val="none"/>
                <w:lang w:val="en-US" w:eastAsia="zh-CN"/>
              </w:rPr>
              <w:t>45.8</w:t>
            </w:r>
          </w:p>
        </w:tc>
        <w:tc>
          <w:tcPr>
            <w:tcW w:w="750" w:type="dxa"/>
            <w:shd w:val="clear" w:color="auto" w:fill="auto"/>
            <w:noWrap w:val="0"/>
            <w:vAlign w:val="center"/>
          </w:tcPr>
          <w:p w14:paraId="39BC93D8">
            <w:pPr>
              <w:spacing w:line="280" w:lineRule="exact"/>
              <w:jc w:val="center"/>
              <w:rPr>
                <w:rFonts w:hint="eastAsia" w:cs="Times New Roman"/>
                <w:color w:val="auto"/>
                <w:szCs w:val="21"/>
                <w:highlight w:val="none"/>
                <w:lang w:val="en-US" w:eastAsia="zh-CN"/>
              </w:rPr>
            </w:pPr>
            <w:r>
              <w:rPr>
                <w:rFonts w:hint="eastAsia" w:cs="Times New Roman"/>
                <w:color w:val="auto"/>
                <w:szCs w:val="21"/>
                <w:highlight w:val="none"/>
                <w:lang w:val="en-US" w:eastAsia="zh-CN"/>
              </w:rPr>
              <w:t>46.5</w:t>
            </w:r>
          </w:p>
        </w:tc>
        <w:tc>
          <w:tcPr>
            <w:tcW w:w="1096" w:type="dxa"/>
            <w:shd w:val="clear" w:color="auto" w:fill="auto"/>
            <w:noWrap w:val="0"/>
            <w:vAlign w:val="center"/>
          </w:tcPr>
          <w:p w14:paraId="5F56A0E3">
            <w:pPr>
              <w:spacing w:line="280" w:lineRule="exact"/>
              <w:jc w:val="center"/>
              <w:rPr>
                <w:rFonts w:hint="eastAsia"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1</w:t>
            </w:r>
          </w:p>
        </w:tc>
      </w:tr>
      <w:tr w14:paraId="5EC07F3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27" w:type="dxa"/>
            <w:shd w:val="clear" w:color="auto" w:fill="auto"/>
            <w:noWrap w:val="0"/>
            <w:vAlign w:val="center"/>
          </w:tcPr>
          <w:p w14:paraId="448572BD">
            <w:pPr>
              <w:spacing w:line="280" w:lineRule="exact"/>
              <w:jc w:val="center"/>
              <w:rPr>
                <w:rFonts w:hint="default" w:ascii="Times New Roman" w:hAnsi="Times New Roman"/>
                <w:color w:val="auto"/>
                <w:szCs w:val="21"/>
                <w:highlight w:val="none"/>
                <w:lang w:val="en-US" w:eastAsia="zh-CN"/>
              </w:rPr>
            </w:pPr>
            <w:r>
              <w:rPr>
                <w:rFonts w:hint="eastAsia"/>
                <w:color w:val="auto"/>
                <w:szCs w:val="21"/>
                <w:highlight w:val="none"/>
                <w:lang w:val="en-US" w:eastAsia="zh-CN"/>
              </w:rPr>
              <w:t>40</w:t>
            </w:r>
          </w:p>
        </w:tc>
        <w:tc>
          <w:tcPr>
            <w:tcW w:w="1428" w:type="dxa"/>
            <w:shd w:val="clear" w:color="auto" w:fill="auto"/>
            <w:noWrap w:val="0"/>
            <w:vAlign w:val="center"/>
          </w:tcPr>
          <w:p w14:paraId="4509F18B">
            <w:pPr>
              <w:autoSpaceDN w:val="0"/>
              <w:adjustRightInd w:val="0"/>
              <w:snapToGrid w:val="0"/>
              <w:jc w:val="center"/>
              <w:textAlignment w:val="top"/>
              <w:rPr>
                <w:rFonts w:hint="default" w:ascii="Times New Roman" w:hAnsi="Times New Roman" w:cs="Times New Roman"/>
                <w:color w:val="auto"/>
                <w:szCs w:val="21"/>
                <w:highlight w:val="none"/>
              </w:rPr>
            </w:pPr>
            <w:r>
              <w:rPr>
                <w:rFonts w:hint="eastAsia" w:ascii="Times New Roman" w:hAnsi="Times New Roman" w:cs="Times New Roman"/>
                <w:color w:val="auto"/>
                <w:szCs w:val="21"/>
                <w:highlight w:val="none"/>
                <w:lang w:val="en-US" w:eastAsia="zh-CN"/>
              </w:rPr>
              <w:t>空压机2#</w:t>
            </w:r>
          </w:p>
        </w:tc>
        <w:tc>
          <w:tcPr>
            <w:tcW w:w="537" w:type="dxa"/>
            <w:shd w:val="clear" w:color="auto" w:fill="auto"/>
            <w:noWrap w:val="0"/>
            <w:vAlign w:val="center"/>
          </w:tcPr>
          <w:p w14:paraId="5DAFC046">
            <w:pPr>
              <w:spacing w:line="280" w:lineRule="exact"/>
              <w:jc w:val="center"/>
              <w:rPr>
                <w:rFonts w:hint="default" w:ascii="Times New Roman" w:hAnsi="Times New Roman"/>
                <w:color w:val="auto"/>
                <w:szCs w:val="21"/>
                <w:highlight w:val="none"/>
                <w:lang w:val="en-US" w:eastAsia="zh-CN"/>
              </w:rPr>
            </w:pPr>
            <w:r>
              <w:rPr>
                <w:rFonts w:hint="eastAsia"/>
                <w:color w:val="auto"/>
                <w:szCs w:val="21"/>
                <w:highlight w:val="none"/>
                <w:lang w:val="en-US" w:eastAsia="zh-CN"/>
              </w:rPr>
              <w:t>95</w:t>
            </w:r>
          </w:p>
        </w:tc>
        <w:tc>
          <w:tcPr>
            <w:tcW w:w="537" w:type="dxa"/>
            <w:shd w:val="clear" w:color="auto" w:fill="auto"/>
            <w:noWrap w:val="0"/>
            <w:vAlign w:val="center"/>
          </w:tcPr>
          <w:p w14:paraId="2B94624B">
            <w:pPr>
              <w:spacing w:line="280" w:lineRule="exact"/>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-83.23</w:t>
            </w:r>
          </w:p>
        </w:tc>
        <w:tc>
          <w:tcPr>
            <w:tcW w:w="537" w:type="dxa"/>
            <w:shd w:val="clear" w:color="auto" w:fill="auto"/>
            <w:noWrap w:val="0"/>
            <w:vAlign w:val="center"/>
          </w:tcPr>
          <w:p w14:paraId="10C8E201">
            <w:pPr>
              <w:spacing w:line="280" w:lineRule="exact"/>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146.58</w:t>
            </w:r>
          </w:p>
        </w:tc>
        <w:tc>
          <w:tcPr>
            <w:tcW w:w="558" w:type="dxa"/>
            <w:shd w:val="clear" w:color="auto" w:fill="auto"/>
            <w:noWrap w:val="0"/>
            <w:vAlign w:val="center"/>
          </w:tcPr>
          <w:p w14:paraId="135CDC59">
            <w:pPr>
              <w:spacing w:line="280" w:lineRule="exact"/>
              <w:jc w:val="center"/>
              <w:rPr>
                <w:rFonts w:hint="eastAsia"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1.5</w:t>
            </w:r>
          </w:p>
        </w:tc>
        <w:tc>
          <w:tcPr>
            <w:tcW w:w="537" w:type="dxa"/>
            <w:shd w:val="clear" w:color="auto" w:fill="auto"/>
            <w:noWrap w:val="0"/>
            <w:vAlign w:val="center"/>
          </w:tcPr>
          <w:p w14:paraId="5E31EC27">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125.9</w:t>
            </w:r>
          </w:p>
        </w:tc>
        <w:tc>
          <w:tcPr>
            <w:tcW w:w="537" w:type="dxa"/>
            <w:shd w:val="clear" w:color="auto" w:fill="auto"/>
            <w:noWrap w:val="0"/>
            <w:vAlign w:val="center"/>
          </w:tcPr>
          <w:p w14:paraId="625306C2">
            <w:pPr>
              <w:spacing w:line="280" w:lineRule="exact"/>
              <w:jc w:val="center"/>
              <w:rPr>
                <w:rFonts w:hint="default" w:cs="Times New Roman"/>
                <w:color w:val="auto"/>
                <w:szCs w:val="21"/>
                <w:highlight w:val="none"/>
                <w:lang w:val="en-US" w:eastAsia="zh-CN"/>
              </w:rPr>
            </w:pPr>
            <w:r>
              <w:rPr>
                <w:rFonts w:hint="eastAsia" w:cs="Times New Roman"/>
                <w:color w:val="auto"/>
                <w:szCs w:val="21"/>
                <w:highlight w:val="none"/>
                <w:lang w:val="en-US" w:eastAsia="zh-CN"/>
              </w:rPr>
              <w:t>67.9</w:t>
            </w:r>
          </w:p>
        </w:tc>
        <w:tc>
          <w:tcPr>
            <w:tcW w:w="542" w:type="dxa"/>
            <w:shd w:val="clear" w:color="auto" w:fill="auto"/>
            <w:noWrap w:val="0"/>
            <w:vAlign w:val="center"/>
          </w:tcPr>
          <w:p w14:paraId="07E4BC13">
            <w:pPr>
              <w:spacing w:line="280" w:lineRule="exact"/>
              <w:jc w:val="center"/>
              <w:rPr>
                <w:rFonts w:hint="default" w:cs="Times New Roman"/>
                <w:color w:val="auto"/>
                <w:szCs w:val="21"/>
                <w:highlight w:val="none"/>
                <w:lang w:val="en-US" w:eastAsia="zh-CN"/>
              </w:rPr>
            </w:pPr>
            <w:r>
              <w:rPr>
                <w:rFonts w:hint="eastAsia" w:cs="Times New Roman"/>
                <w:color w:val="auto"/>
                <w:szCs w:val="21"/>
                <w:highlight w:val="none"/>
                <w:lang w:val="en-US" w:eastAsia="zh-CN"/>
              </w:rPr>
              <w:t>23.9</w:t>
            </w:r>
          </w:p>
        </w:tc>
        <w:tc>
          <w:tcPr>
            <w:tcW w:w="558" w:type="dxa"/>
            <w:shd w:val="clear" w:color="auto" w:fill="auto"/>
            <w:noWrap w:val="0"/>
            <w:vAlign w:val="center"/>
          </w:tcPr>
          <w:p w14:paraId="6E8936D8">
            <w:pPr>
              <w:spacing w:line="280" w:lineRule="exact"/>
              <w:jc w:val="center"/>
              <w:rPr>
                <w:rFonts w:hint="default" w:cs="Times New Roman"/>
                <w:color w:val="auto"/>
                <w:szCs w:val="21"/>
                <w:highlight w:val="none"/>
                <w:lang w:val="en-US" w:eastAsia="zh-CN"/>
              </w:rPr>
            </w:pPr>
            <w:r>
              <w:rPr>
                <w:rFonts w:hint="eastAsia" w:cs="Times New Roman"/>
                <w:color w:val="auto"/>
                <w:szCs w:val="21"/>
                <w:highlight w:val="none"/>
                <w:lang w:val="en-US" w:eastAsia="zh-CN"/>
              </w:rPr>
              <w:t>11.3</w:t>
            </w:r>
          </w:p>
        </w:tc>
        <w:tc>
          <w:tcPr>
            <w:tcW w:w="542" w:type="dxa"/>
            <w:shd w:val="clear" w:color="auto" w:fill="auto"/>
            <w:noWrap w:val="0"/>
            <w:vAlign w:val="center"/>
          </w:tcPr>
          <w:p w14:paraId="34FC203F">
            <w:pPr>
              <w:spacing w:line="280" w:lineRule="exact"/>
              <w:jc w:val="center"/>
              <w:rPr>
                <w:rFonts w:hint="eastAsia" w:cs="Times New Roman"/>
                <w:color w:val="auto"/>
                <w:szCs w:val="21"/>
                <w:highlight w:val="none"/>
                <w:lang w:val="en-US" w:eastAsia="zh-CN"/>
              </w:rPr>
            </w:pPr>
            <w:r>
              <w:rPr>
                <w:rFonts w:hint="eastAsia" w:cs="Times New Roman"/>
                <w:color w:val="auto"/>
                <w:szCs w:val="21"/>
                <w:highlight w:val="none"/>
                <w:lang w:val="en-US" w:eastAsia="zh-CN"/>
              </w:rPr>
              <w:t xml:space="preserve">69.8 </w:t>
            </w:r>
          </w:p>
        </w:tc>
        <w:tc>
          <w:tcPr>
            <w:tcW w:w="542" w:type="dxa"/>
            <w:shd w:val="clear" w:color="auto" w:fill="auto"/>
            <w:noWrap w:val="0"/>
            <w:vAlign w:val="center"/>
          </w:tcPr>
          <w:p w14:paraId="764DE176">
            <w:pPr>
              <w:spacing w:line="280" w:lineRule="exact"/>
              <w:jc w:val="center"/>
              <w:rPr>
                <w:rFonts w:hint="eastAsia" w:cs="Times New Roman"/>
                <w:color w:val="auto"/>
                <w:szCs w:val="21"/>
                <w:highlight w:val="none"/>
                <w:lang w:val="en-US" w:eastAsia="zh-CN"/>
              </w:rPr>
            </w:pPr>
            <w:r>
              <w:rPr>
                <w:rFonts w:hint="eastAsia" w:cs="Times New Roman"/>
                <w:color w:val="auto"/>
                <w:szCs w:val="21"/>
                <w:highlight w:val="none"/>
                <w:lang w:val="en-US" w:eastAsia="zh-CN"/>
              </w:rPr>
              <w:t xml:space="preserve">69.8 </w:t>
            </w:r>
          </w:p>
        </w:tc>
        <w:tc>
          <w:tcPr>
            <w:tcW w:w="542" w:type="dxa"/>
            <w:shd w:val="clear" w:color="auto" w:fill="auto"/>
            <w:noWrap w:val="0"/>
            <w:vAlign w:val="center"/>
          </w:tcPr>
          <w:p w14:paraId="4847E8B2">
            <w:pPr>
              <w:spacing w:line="280" w:lineRule="exact"/>
              <w:jc w:val="center"/>
              <w:rPr>
                <w:rFonts w:hint="eastAsia" w:cs="Times New Roman"/>
                <w:color w:val="auto"/>
                <w:szCs w:val="21"/>
                <w:highlight w:val="none"/>
                <w:lang w:val="en-US" w:eastAsia="zh-CN"/>
              </w:rPr>
            </w:pPr>
            <w:r>
              <w:rPr>
                <w:rFonts w:hint="eastAsia" w:cs="Times New Roman"/>
                <w:color w:val="auto"/>
                <w:szCs w:val="21"/>
                <w:highlight w:val="none"/>
                <w:lang w:val="en-US" w:eastAsia="zh-CN"/>
              </w:rPr>
              <w:t xml:space="preserve">70.0 </w:t>
            </w:r>
          </w:p>
        </w:tc>
        <w:tc>
          <w:tcPr>
            <w:tcW w:w="555" w:type="dxa"/>
            <w:shd w:val="clear" w:color="auto" w:fill="auto"/>
            <w:noWrap w:val="0"/>
            <w:vAlign w:val="center"/>
          </w:tcPr>
          <w:p w14:paraId="6AF3FEBF">
            <w:pPr>
              <w:spacing w:line="280" w:lineRule="exact"/>
              <w:jc w:val="center"/>
              <w:rPr>
                <w:rFonts w:hint="eastAsia" w:cs="Times New Roman"/>
                <w:color w:val="auto"/>
                <w:szCs w:val="21"/>
                <w:highlight w:val="none"/>
                <w:lang w:val="en-US" w:eastAsia="zh-CN"/>
              </w:rPr>
            </w:pPr>
            <w:r>
              <w:rPr>
                <w:rFonts w:hint="eastAsia" w:cs="Times New Roman"/>
                <w:color w:val="auto"/>
                <w:szCs w:val="21"/>
                <w:highlight w:val="none"/>
                <w:lang w:val="en-US" w:eastAsia="zh-CN"/>
              </w:rPr>
              <w:t xml:space="preserve">70.6 </w:t>
            </w:r>
          </w:p>
        </w:tc>
        <w:tc>
          <w:tcPr>
            <w:tcW w:w="542" w:type="dxa"/>
            <w:vMerge w:val="continue"/>
            <w:shd w:val="clear" w:color="auto" w:fill="auto"/>
            <w:noWrap w:val="0"/>
            <w:vAlign w:val="center"/>
          </w:tcPr>
          <w:p w14:paraId="6A5C79EF">
            <w:pPr>
              <w:spacing w:line="280" w:lineRule="exact"/>
              <w:jc w:val="center"/>
              <w:rPr>
                <w:rFonts w:hint="default" w:ascii="Times New Roman" w:hAnsi="Times New Roman" w:eastAsia="宋体"/>
                <w:color w:val="auto"/>
                <w:szCs w:val="21"/>
                <w:highlight w:val="none"/>
                <w:lang w:val="en-US" w:eastAsia="zh-CN"/>
              </w:rPr>
            </w:pPr>
          </w:p>
        </w:tc>
        <w:tc>
          <w:tcPr>
            <w:tcW w:w="897" w:type="dxa"/>
            <w:shd w:val="clear" w:color="auto" w:fill="auto"/>
            <w:noWrap w:val="0"/>
            <w:vAlign w:val="center"/>
          </w:tcPr>
          <w:p w14:paraId="220483B8">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24.3</w:t>
            </w:r>
          </w:p>
        </w:tc>
        <w:tc>
          <w:tcPr>
            <w:tcW w:w="746" w:type="dxa"/>
            <w:shd w:val="clear" w:color="auto" w:fill="auto"/>
            <w:noWrap w:val="0"/>
            <w:vAlign w:val="center"/>
          </w:tcPr>
          <w:p w14:paraId="6B9C2F9D">
            <w:pPr>
              <w:spacing w:line="280" w:lineRule="exact"/>
              <w:jc w:val="center"/>
              <w:rPr>
                <w:rFonts w:hint="eastAsia" w:cs="Times New Roman"/>
                <w:color w:val="auto"/>
                <w:szCs w:val="21"/>
                <w:highlight w:val="none"/>
                <w:lang w:val="en-US" w:eastAsia="zh-CN"/>
              </w:rPr>
            </w:pPr>
            <w:r>
              <w:rPr>
                <w:rFonts w:hint="eastAsia" w:cs="Times New Roman"/>
                <w:color w:val="auto"/>
                <w:szCs w:val="21"/>
                <w:highlight w:val="none"/>
                <w:lang w:val="en-US" w:eastAsia="zh-CN"/>
              </w:rPr>
              <w:t>45.5</w:t>
            </w:r>
          </w:p>
        </w:tc>
        <w:tc>
          <w:tcPr>
            <w:tcW w:w="689" w:type="dxa"/>
            <w:shd w:val="clear" w:color="auto" w:fill="auto"/>
            <w:noWrap w:val="0"/>
            <w:vAlign w:val="center"/>
          </w:tcPr>
          <w:p w14:paraId="3AD609E0">
            <w:pPr>
              <w:spacing w:line="280" w:lineRule="exact"/>
              <w:jc w:val="center"/>
              <w:rPr>
                <w:rFonts w:hint="eastAsia" w:cs="Times New Roman"/>
                <w:color w:val="auto"/>
                <w:szCs w:val="21"/>
                <w:highlight w:val="none"/>
                <w:lang w:val="en-US" w:eastAsia="zh-CN"/>
              </w:rPr>
            </w:pPr>
            <w:r>
              <w:rPr>
                <w:rFonts w:hint="eastAsia" w:cs="Times New Roman"/>
                <w:color w:val="auto"/>
                <w:szCs w:val="21"/>
                <w:highlight w:val="none"/>
                <w:lang w:val="en-US" w:eastAsia="zh-CN"/>
              </w:rPr>
              <w:t>45.5</w:t>
            </w:r>
          </w:p>
        </w:tc>
        <w:tc>
          <w:tcPr>
            <w:tcW w:w="838" w:type="dxa"/>
            <w:shd w:val="clear" w:color="auto" w:fill="auto"/>
            <w:noWrap w:val="0"/>
            <w:vAlign w:val="center"/>
          </w:tcPr>
          <w:p w14:paraId="6B109AD5">
            <w:pPr>
              <w:spacing w:line="280" w:lineRule="exact"/>
              <w:jc w:val="center"/>
              <w:rPr>
                <w:rFonts w:hint="eastAsia" w:cs="Times New Roman"/>
                <w:color w:val="auto"/>
                <w:szCs w:val="21"/>
                <w:highlight w:val="none"/>
                <w:lang w:val="en-US" w:eastAsia="zh-CN"/>
              </w:rPr>
            </w:pPr>
            <w:r>
              <w:rPr>
                <w:rFonts w:hint="eastAsia" w:cs="Times New Roman"/>
                <w:color w:val="auto"/>
                <w:szCs w:val="21"/>
                <w:highlight w:val="none"/>
                <w:lang w:val="en-US" w:eastAsia="zh-CN"/>
              </w:rPr>
              <w:t>45.7</w:t>
            </w:r>
          </w:p>
        </w:tc>
        <w:tc>
          <w:tcPr>
            <w:tcW w:w="750" w:type="dxa"/>
            <w:shd w:val="clear" w:color="auto" w:fill="auto"/>
            <w:noWrap w:val="0"/>
            <w:vAlign w:val="center"/>
          </w:tcPr>
          <w:p w14:paraId="64182E24">
            <w:pPr>
              <w:spacing w:line="280" w:lineRule="exact"/>
              <w:jc w:val="center"/>
              <w:rPr>
                <w:rFonts w:hint="eastAsia" w:cs="Times New Roman"/>
                <w:color w:val="auto"/>
                <w:szCs w:val="21"/>
                <w:highlight w:val="none"/>
                <w:lang w:val="en-US" w:eastAsia="zh-CN"/>
              </w:rPr>
            </w:pPr>
            <w:r>
              <w:rPr>
                <w:rFonts w:hint="eastAsia" w:cs="Times New Roman"/>
                <w:color w:val="auto"/>
                <w:szCs w:val="21"/>
                <w:highlight w:val="none"/>
                <w:lang w:val="en-US" w:eastAsia="zh-CN"/>
              </w:rPr>
              <w:t>46.3</w:t>
            </w:r>
          </w:p>
        </w:tc>
        <w:tc>
          <w:tcPr>
            <w:tcW w:w="1096" w:type="dxa"/>
            <w:shd w:val="clear" w:color="auto" w:fill="auto"/>
            <w:noWrap w:val="0"/>
            <w:vAlign w:val="center"/>
          </w:tcPr>
          <w:p w14:paraId="65F275D2">
            <w:pPr>
              <w:spacing w:line="280" w:lineRule="exact"/>
              <w:jc w:val="center"/>
              <w:rPr>
                <w:rFonts w:hint="eastAsia"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1</w:t>
            </w:r>
          </w:p>
        </w:tc>
      </w:tr>
      <w:tr w14:paraId="2BA284F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27" w:type="dxa"/>
            <w:shd w:val="clear" w:color="auto" w:fill="auto"/>
            <w:noWrap w:val="0"/>
            <w:vAlign w:val="center"/>
          </w:tcPr>
          <w:p w14:paraId="0165CFA7">
            <w:pPr>
              <w:spacing w:line="280" w:lineRule="exact"/>
              <w:jc w:val="center"/>
              <w:rPr>
                <w:rFonts w:hint="default"/>
                <w:color w:val="auto"/>
                <w:szCs w:val="21"/>
                <w:highlight w:val="none"/>
                <w:lang w:val="en-US" w:eastAsia="zh-CN"/>
              </w:rPr>
            </w:pPr>
            <w:r>
              <w:rPr>
                <w:rFonts w:hint="eastAsia"/>
                <w:color w:val="auto"/>
                <w:szCs w:val="21"/>
                <w:highlight w:val="none"/>
                <w:lang w:val="en-US" w:eastAsia="zh-CN"/>
              </w:rPr>
              <w:t>41</w:t>
            </w:r>
          </w:p>
        </w:tc>
        <w:tc>
          <w:tcPr>
            <w:tcW w:w="1428" w:type="dxa"/>
            <w:shd w:val="clear" w:color="auto" w:fill="auto"/>
            <w:noWrap w:val="0"/>
            <w:vAlign w:val="center"/>
          </w:tcPr>
          <w:p w14:paraId="221D277D">
            <w:pPr>
              <w:autoSpaceDN w:val="0"/>
              <w:adjustRightInd w:val="0"/>
              <w:snapToGrid w:val="0"/>
              <w:jc w:val="center"/>
              <w:textAlignment w:val="top"/>
              <w:rPr>
                <w:rFonts w:hint="default" w:ascii="Times New Roman" w:hAnsi="Times New Roman" w:cs="Times New Roman"/>
                <w:color w:val="auto"/>
                <w:szCs w:val="21"/>
                <w:highlight w:val="none"/>
                <w:lang w:val="en-US" w:eastAsia="zh-CN"/>
              </w:rPr>
            </w:pPr>
            <w:r>
              <w:rPr>
                <w:rFonts w:hint="eastAsia" w:ascii="Times New Roman" w:hAnsi="Times New Roman" w:cs="Times New Roman"/>
                <w:color w:val="auto"/>
                <w:sz w:val="21"/>
                <w:szCs w:val="21"/>
                <w:highlight w:val="none"/>
                <w:lang w:val="en-US" w:eastAsia="zh-CN"/>
              </w:rPr>
              <w:t>鼓风热再生吸附式干燥机</w:t>
            </w:r>
            <w:r>
              <w:rPr>
                <w:rFonts w:hint="eastAsia" w:cs="Times New Roman"/>
                <w:color w:val="auto"/>
                <w:sz w:val="21"/>
                <w:szCs w:val="21"/>
                <w:highlight w:val="none"/>
                <w:lang w:val="en-US" w:eastAsia="zh-CN"/>
              </w:rPr>
              <w:t>1#</w:t>
            </w:r>
          </w:p>
        </w:tc>
        <w:tc>
          <w:tcPr>
            <w:tcW w:w="537" w:type="dxa"/>
            <w:shd w:val="clear" w:color="auto" w:fill="auto"/>
            <w:noWrap w:val="0"/>
            <w:vAlign w:val="center"/>
          </w:tcPr>
          <w:p w14:paraId="69045C3D">
            <w:pPr>
              <w:spacing w:line="280" w:lineRule="exact"/>
              <w:jc w:val="center"/>
              <w:rPr>
                <w:rFonts w:hint="default"/>
                <w:color w:val="auto"/>
                <w:szCs w:val="21"/>
                <w:highlight w:val="none"/>
                <w:lang w:val="en-US" w:eastAsia="zh-CN"/>
              </w:rPr>
            </w:pPr>
            <w:r>
              <w:rPr>
                <w:rFonts w:hint="eastAsia"/>
                <w:color w:val="auto"/>
                <w:szCs w:val="21"/>
                <w:highlight w:val="none"/>
                <w:lang w:val="en-US" w:eastAsia="zh-CN"/>
              </w:rPr>
              <w:t>80</w:t>
            </w:r>
          </w:p>
        </w:tc>
        <w:tc>
          <w:tcPr>
            <w:tcW w:w="537" w:type="dxa"/>
            <w:shd w:val="clear" w:color="auto" w:fill="auto"/>
            <w:noWrap w:val="0"/>
            <w:vAlign w:val="center"/>
          </w:tcPr>
          <w:p w14:paraId="048907EC">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-85.92</w:t>
            </w:r>
          </w:p>
        </w:tc>
        <w:tc>
          <w:tcPr>
            <w:tcW w:w="537" w:type="dxa"/>
            <w:shd w:val="clear" w:color="auto" w:fill="auto"/>
            <w:noWrap w:val="0"/>
            <w:vAlign w:val="center"/>
          </w:tcPr>
          <w:p w14:paraId="3E829424">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146</w:t>
            </w:r>
          </w:p>
        </w:tc>
        <w:tc>
          <w:tcPr>
            <w:tcW w:w="558" w:type="dxa"/>
            <w:shd w:val="clear" w:color="auto" w:fill="auto"/>
            <w:noWrap w:val="0"/>
            <w:vAlign w:val="center"/>
          </w:tcPr>
          <w:p w14:paraId="0746EFD1">
            <w:pPr>
              <w:spacing w:line="280" w:lineRule="exact"/>
              <w:jc w:val="center"/>
              <w:rPr>
                <w:rFonts w:hint="default" w:cs="Times New Roman"/>
                <w:color w:val="auto"/>
                <w:szCs w:val="21"/>
                <w:highlight w:val="none"/>
                <w:lang w:val="en-US" w:eastAsia="zh-CN"/>
              </w:rPr>
            </w:pPr>
            <w:r>
              <w:rPr>
                <w:rFonts w:hint="eastAsia" w:cs="Times New Roman"/>
                <w:color w:val="auto"/>
                <w:szCs w:val="21"/>
                <w:highlight w:val="none"/>
                <w:lang w:val="en-US" w:eastAsia="zh-CN"/>
              </w:rPr>
              <w:t>1.4</w:t>
            </w:r>
          </w:p>
        </w:tc>
        <w:tc>
          <w:tcPr>
            <w:tcW w:w="537" w:type="dxa"/>
            <w:shd w:val="clear" w:color="auto" w:fill="auto"/>
            <w:noWrap w:val="0"/>
            <w:vAlign w:val="center"/>
          </w:tcPr>
          <w:p w14:paraId="12213E02">
            <w:pPr>
              <w:spacing w:line="280" w:lineRule="exact"/>
              <w:jc w:val="center"/>
              <w:rPr>
                <w:rFonts w:hint="default" w:cs="Times New Roman"/>
                <w:color w:val="auto"/>
                <w:szCs w:val="21"/>
                <w:highlight w:val="none"/>
                <w:lang w:val="en-US" w:eastAsia="zh-CN"/>
              </w:rPr>
            </w:pPr>
            <w:r>
              <w:rPr>
                <w:rFonts w:hint="eastAsia" w:cs="Times New Roman"/>
                <w:color w:val="auto"/>
                <w:szCs w:val="21"/>
                <w:highlight w:val="none"/>
                <w:lang w:val="en-US" w:eastAsia="zh-CN"/>
              </w:rPr>
              <w:t>122.8</w:t>
            </w:r>
          </w:p>
        </w:tc>
        <w:tc>
          <w:tcPr>
            <w:tcW w:w="537" w:type="dxa"/>
            <w:shd w:val="clear" w:color="auto" w:fill="auto"/>
            <w:noWrap w:val="0"/>
            <w:vAlign w:val="center"/>
          </w:tcPr>
          <w:p w14:paraId="55D7BBDF">
            <w:pPr>
              <w:spacing w:line="280" w:lineRule="exact"/>
              <w:jc w:val="center"/>
              <w:rPr>
                <w:rFonts w:hint="default" w:cs="Times New Roman"/>
                <w:color w:val="auto"/>
                <w:szCs w:val="21"/>
                <w:highlight w:val="none"/>
                <w:lang w:val="en-US" w:eastAsia="zh-CN"/>
              </w:rPr>
            </w:pPr>
            <w:r>
              <w:rPr>
                <w:rFonts w:hint="eastAsia" w:cs="Times New Roman"/>
                <w:color w:val="auto"/>
                <w:szCs w:val="21"/>
                <w:highlight w:val="none"/>
                <w:lang w:val="en-US" w:eastAsia="zh-CN"/>
              </w:rPr>
              <w:t>69.1</w:t>
            </w:r>
          </w:p>
        </w:tc>
        <w:tc>
          <w:tcPr>
            <w:tcW w:w="542" w:type="dxa"/>
            <w:shd w:val="clear" w:color="auto" w:fill="auto"/>
            <w:noWrap w:val="0"/>
            <w:vAlign w:val="center"/>
          </w:tcPr>
          <w:p w14:paraId="2123C691">
            <w:pPr>
              <w:spacing w:line="280" w:lineRule="exact"/>
              <w:jc w:val="center"/>
              <w:rPr>
                <w:rFonts w:hint="default" w:cs="Times New Roman"/>
                <w:color w:val="auto"/>
                <w:szCs w:val="21"/>
                <w:highlight w:val="none"/>
                <w:lang w:val="en-US" w:eastAsia="zh-CN"/>
              </w:rPr>
            </w:pPr>
            <w:r>
              <w:rPr>
                <w:rFonts w:hint="eastAsia" w:cs="Times New Roman"/>
                <w:color w:val="auto"/>
                <w:szCs w:val="21"/>
                <w:highlight w:val="none"/>
                <w:lang w:val="en-US" w:eastAsia="zh-CN"/>
              </w:rPr>
              <w:t>22.7</w:t>
            </w:r>
          </w:p>
        </w:tc>
        <w:tc>
          <w:tcPr>
            <w:tcW w:w="558" w:type="dxa"/>
            <w:shd w:val="clear" w:color="auto" w:fill="auto"/>
            <w:noWrap w:val="0"/>
            <w:vAlign w:val="center"/>
          </w:tcPr>
          <w:p w14:paraId="18CFFEC5">
            <w:pPr>
              <w:spacing w:line="280" w:lineRule="exact"/>
              <w:jc w:val="center"/>
              <w:rPr>
                <w:rFonts w:hint="default" w:cs="Times New Roman"/>
                <w:color w:val="auto"/>
                <w:szCs w:val="21"/>
                <w:highlight w:val="none"/>
                <w:lang w:val="en-US" w:eastAsia="zh-CN"/>
              </w:rPr>
            </w:pPr>
            <w:r>
              <w:rPr>
                <w:rFonts w:hint="eastAsia" w:cs="Times New Roman"/>
                <w:color w:val="auto"/>
                <w:szCs w:val="21"/>
                <w:highlight w:val="none"/>
                <w:lang w:val="en-US" w:eastAsia="zh-CN"/>
              </w:rPr>
              <w:t>10.1</w:t>
            </w:r>
          </w:p>
        </w:tc>
        <w:tc>
          <w:tcPr>
            <w:tcW w:w="542" w:type="dxa"/>
            <w:shd w:val="clear" w:color="auto" w:fill="auto"/>
            <w:noWrap w:val="0"/>
            <w:vAlign w:val="center"/>
          </w:tcPr>
          <w:p w14:paraId="2A57A536">
            <w:pPr>
              <w:spacing w:line="280" w:lineRule="exact"/>
              <w:jc w:val="center"/>
              <w:rPr>
                <w:rFonts w:hint="eastAsia" w:cs="Times New Roman"/>
                <w:color w:val="auto"/>
                <w:szCs w:val="21"/>
                <w:highlight w:val="none"/>
                <w:lang w:val="en-US" w:eastAsia="zh-CN"/>
              </w:rPr>
            </w:pPr>
            <w:r>
              <w:rPr>
                <w:rFonts w:hint="eastAsia" w:cs="Times New Roman"/>
                <w:color w:val="auto"/>
                <w:szCs w:val="21"/>
                <w:highlight w:val="none"/>
                <w:lang w:val="en-US" w:eastAsia="zh-CN"/>
              </w:rPr>
              <w:t xml:space="preserve">54.8 </w:t>
            </w:r>
          </w:p>
        </w:tc>
        <w:tc>
          <w:tcPr>
            <w:tcW w:w="542" w:type="dxa"/>
            <w:shd w:val="clear" w:color="auto" w:fill="auto"/>
            <w:noWrap w:val="0"/>
            <w:vAlign w:val="center"/>
          </w:tcPr>
          <w:p w14:paraId="63CAEC66">
            <w:pPr>
              <w:spacing w:line="280" w:lineRule="exact"/>
              <w:jc w:val="center"/>
              <w:rPr>
                <w:rFonts w:hint="eastAsia" w:cs="Times New Roman"/>
                <w:color w:val="auto"/>
                <w:szCs w:val="21"/>
                <w:highlight w:val="none"/>
                <w:lang w:val="en-US" w:eastAsia="zh-CN"/>
              </w:rPr>
            </w:pPr>
            <w:r>
              <w:rPr>
                <w:rFonts w:hint="eastAsia" w:cs="Times New Roman"/>
                <w:color w:val="auto"/>
                <w:szCs w:val="21"/>
                <w:highlight w:val="none"/>
                <w:lang w:val="en-US" w:eastAsia="zh-CN"/>
              </w:rPr>
              <w:t xml:space="preserve">54.8 </w:t>
            </w:r>
          </w:p>
        </w:tc>
        <w:tc>
          <w:tcPr>
            <w:tcW w:w="542" w:type="dxa"/>
            <w:shd w:val="clear" w:color="auto" w:fill="auto"/>
            <w:noWrap w:val="0"/>
            <w:vAlign w:val="center"/>
          </w:tcPr>
          <w:p w14:paraId="68D923C0">
            <w:pPr>
              <w:spacing w:line="280" w:lineRule="exact"/>
              <w:jc w:val="center"/>
              <w:rPr>
                <w:rFonts w:hint="eastAsia" w:cs="Times New Roman"/>
                <w:color w:val="auto"/>
                <w:szCs w:val="21"/>
                <w:highlight w:val="none"/>
                <w:lang w:val="en-US" w:eastAsia="zh-CN"/>
              </w:rPr>
            </w:pPr>
            <w:r>
              <w:rPr>
                <w:rFonts w:hint="eastAsia" w:cs="Times New Roman"/>
                <w:color w:val="auto"/>
                <w:szCs w:val="21"/>
                <w:highlight w:val="none"/>
                <w:lang w:val="en-US" w:eastAsia="zh-CN"/>
              </w:rPr>
              <w:t xml:space="preserve">55.0 </w:t>
            </w:r>
          </w:p>
        </w:tc>
        <w:tc>
          <w:tcPr>
            <w:tcW w:w="555" w:type="dxa"/>
            <w:shd w:val="clear" w:color="auto" w:fill="auto"/>
            <w:noWrap w:val="0"/>
            <w:vAlign w:val="center"/>
          </w:tcPr>
          <w:p w14:paraId="7570BB14">
            <w:pPr>
              <w:spacing w:line="280" w:lineRule="exact"/>
              <w:jc w:val="center"/>
              <w:rPr>
                <w:rFonts w:hint="eastAsia" w:cs="Times New Roman"/>
                <w:color w:val="auto"/>
                <w:szCs w:val="21"/>
                <w:highlight w:val="none"/>
                <w:lang w:val="en-US" w:eastAsia="zh-CN"/>
              </w:rPr>
            </w:pPr>
            <w:r>
              <w:rPr>
                <w:rFonts w:hint="eastAsia" w:cs="Times New Roman"/>
                <w:color w:val="auto"/>
                <w:szCs w:val="21"/>
                <w:highlight w:val="none"/>
                <w:lang w:val="en-US" w:eastAsia="zh-CN"/>
              </w:rPr>
              <w:t xml:space="preserve">55.8 </w:t>
            </w:r>
          </w:p>
        </w:tc>
        <w:tc>
          <w:tcPr>
            <w:tcW w:w="542" w:type="dxa"/>
            <w:vMerge w:val="continue"/>
            <w:shd w:val="clear" w:color="auto" w:fill="auto"/>
            <w:noWrap w:val="0"/>
            <w:vAlign w:val="center"/>
          </w:tcPr>
          <w:p w14:paraId="3D629196">
            <w:pPr>
              <w:spacing w:line="280" w:lineRule="exact"/>
              <w:jc w:val="center"/>
              <w:rPr>
                <w:rFonts w:hint="default" w:ascii="Times New Roman" w:hAnsi="Times New Roman" w:eastAsia="宋体"/>
                <w:color w:val="auto"/>
                <w:szCs w:val="21"/>
                <w:highlight w:val="none"/>
                <w:lang w:val="en-US" w:eastAsia="zh-CN"/>
              </w:rPr>
            </w:pPr>
          </w:p>
        </w:tc>
        <w:tc>
          <w:tcPr>
            <w:tcW w:w="897" w:type="dxa"/>
            <w:shd w:val="clear" w:color="auto" w:fill="auto"/>
            <w:noWrap w:val="0"/>
            <w:vAlign w:val="center"/>
          </w:tcPr>
          <w:p w14:paraId="1822BFFB">
            <w:pPr>
              <w:spacing w:line="280" w:lineRule="exact"/>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24.3</w:t>
            </w:r>
          </w:p>
        </w:tc>
        <w:tc>
          <w:tcPr>
            <w:tcW w:w="746" w:type="dxa"/>
            <w:shd w:val="clear" w:color="auto" w:fill="auto"/>
            <w:noWrap w:val="0"/>
            <w:vAlign w:val="center"/>
          </w:tcPr>
          <w:p w14:paraId="707AE21B">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30.5</w:t>
            </w:r>
          </w:p>
        </w:tc>
        <w:tc>
          <w:tcPr>
            <w:tcW w:w="689" w:type="dxa"/>
            <w:shd w:val="clear" w:color="auto" w:fill="auto"/>
            <w:noWrap w:val="0"/>
            <w:vAlign w:val="center"/>
          </w:tcPr>
          <w:p w14:paraId="50044FA7">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30.5</w:t>
            </w:r>
          </w:p>
        </w:tc>
        <w:tc>
          <w:tcPr>
            <w:tcW w:w="838" w:type="dxa"/>
            <w:shd w:val="clear" w:color="auto" w:fill="auto"/>
            <w:noWrap w:val="0"/>
            <w:vAlign w:val="center"/>
          </w:tcPr>
          <w:p w14:paraId="10769DC2">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30.7</w:t>
            </w:r>
          </w:p>
        </w:tc>
        <w:tc>
          <w:tcPr>
            <w:tcW w:w="750" w:type="dxa"/>
            <w:shd w:val="clear" w:color="auto" w:fill="auto"/>
            <w:noWrap w:val="0"/>
            <w:vAlign w:val="center"/>
          </w:tcPr>
          <w:p w14:paraId="3CC3365E">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31.5</w:t>
            </w:r>
          </w:p>
        </w:tc>
        <w:tc>
          <w:tcPr>
            <w:tcW w:w="1096" w:type="dxa"/>
            <w:shd w:val="clear" w:color="auto" w:fill="auto"/>
            <w:noWrap w:val="0"/>
            <w:vAlign w:val="center"/>
          </w:tcPr>
          <w:p w14:paraId="12913136">
            <w:pPr>
              <w:spacing w:line="280" w:lineRule="exact"/>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1</w:t>
            </w:r>
          </w:p>
        </w:tc>
      </w:tr>
      <w:tr w14:paraId="65C57BC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27" w:type="dxa"/>
            <w:shd w:val="clear" w:color="auto" w:fill="auto"/>
            <w:noWrap w:val="0"/>
            <w:vAlign w:val="center"/>
          </w:tcPr>
          <w:p w14:paraId="189D9588">
            <w:pPr>
              <w:spacing w:line="280" w:lineRule="exact"/>
              <w:jc w:val="center"/>
              <w:rPr>
                <w:rFonts w:hint="default"/>
                <w:color w:val="auto"/>
                <w:szCs w:val="21"/>
                <w:highlight w:val="none"/>
                <w:lang w:val="en-US" w:eastAsia="zh-CN"/>
              </w:rPr>
            </w:pPr>
            <w:r>
              <w:rPr>
                <w:rFonts w:hint="eastAsia"/>
                <w:color w:val="auto"/>
                <w:szCs w:val="21"/>
                <w:highlight w:val="none"/>
                <w:lang w:val="en-US" w:eastAsia="zh-CN"/>
              </w:rPr>
              <w:t>42</w:t>
            </w:r>
          </w:p>
        </w:tc>
        <w:tc>
          <w:tcPr>
            <w:tcW w:w="1428" w:type="dxa"/>
            <w:shd w:val="clear" w:color="auto" w:fill="auto"/>
            <w:noWrap w:val="0"/>
            <w:vAlign w:val="center"/>
          </w:tcPr>
          <w:p w14:paraId="3047D489">
            <w:pPr>
              <w:autoSpaceDN w:val="0"/>
              <w:adjustRightInd w:val="0"/>
              <w:snapToGrid w:val="0"/>
              <w:jc w:val="center"/>
              <w:textAlignment w:val="top"/>
              <w:rPr>
                <w:rFonts w:hint="eastAsia" w:ascii="Times New Roman" w:hAnsi="Times New Roman" w:cs="Times New Roman"/>
                <w:color w:val="auto"/>
                <w:szCs w:val="21"/>
                <w:highlight w:val="none"/>
                <w:lang w:val="en-US" w:eastAsia="zh-CN"/>
              </w:rPr>
            </w:pPr>
            <w:r>
              <w:rPr>
                <w:rFonts w:hint="eastAsia" w:ascii="Times New Roman" w:hAnsi="Times New Roman" w:cs="Times New Roman"/>
                <w:color w:val="auto"/>
                <w:sz w:val="21"/>
                <w:szCs w:val="21"/>
                <w:highlight w:val="none"/>
                <w:lang w:val="en-US" w:eastAsia="zh-CN"/>
              </w:rPr>
              <w:t>鼓风热再生吸附式干燥机</w:t>
            </w:r>
            <w:r>
              <w:rPr>
                <w:rFonts w:hint="eastAsia" w:cs="Times New Roman"/>
                <w:color w:val="auto"/>
                <w:sz w:val="21"/>
                <w:szCs w:val="21"/>
                <w:highlight w:val="none"/>
                <w:lang w:val="en-US" w:eastAsia="zh-CN"/>
              </w:rPr>
              <w:t>1#</w:t>
            </w:r>
          </w:p>
        </w:tc>
        <w:tc>
          <w:tcPr>
            <w:tcW w:w="537" w:type="dxa"/>
            <w:shd w:val="clear" w:color="auto" w:fill="auto"/>
            <w:noWrap w:val="0"/>
            <w:vAlign w:val="center"/>
          </w:tcPr>
          <w:p w14:paraId="47B12C86">
            <w:pPr>
              <w:spacing w:line="280" w:lineRule="exact"/>
              <w:jc w:val="center"/>
              <w:rPr>
                <w:rFonts w:hint="default"/>
                <w:color w:val="auto"/>
                <w:szCs w:val="21"/>
                <w:highlight w:val="none"/>
                <w:lang w:val="en-US" w:eastAsia="zh-CN"/>
              </w:rPr>
            </w:pPr>
            <w:r>
              <w:rPr>
                <w:rFonts w:hint="eastAsia"/>
                <w:color w:val="auto"/>
                <w:szCs w:val="21"/>
                <w:highlight w:val="none"/>
                <w:lang w:val="en-US" w:eastAsia="zh-CN"/>
              </w:rPr>
              <w:t>80</w:t>
            </w:r>
          </w:p>
        </w:tc>
        <w:tc>
          <w:tcPr>
            <w:tcW w:w="537" w:type="dxa"/>
            <w:shd w:val="clear" w:color="auto" w:fill="auto"/>
            <w:noWrap w:val="0"/>
            <w:vAlign w:val="center"/>
          </w:tcPr>
          <w:p w14:paraId="29CC919D">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-82.48</w:t>
            </w:r>
          </w:p>
        </w:tc>
        <w:tc>
          <w:tcPr>
            <w:tcW w:w="537" w:type="dxa"/>
            <w:shd w:val="clear" w:color="auto" w:fill="auto"/>
            <w:noWrap w:val="0"/>
            <w:vAlign w:val="center"/>
          </w:tcPr>
          <w:p w14:paraId="5E3CCCDE">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146.62</w:t>
            </w:r>
          </w:p>
        </w:tc>
        <w:tc>
          <w:tcPr>
            <w:tcW w:w="558" w:type="dxa"/>
            <w:shd w:val="clear" w:color="auto" w:fill="auto"/>
            <w:noWrap w:val="0"/>
            <w:vAlign w:val="center"/>
          </w:tcPr>
          <w:p w14:paraId="13380F4F">
            <w:pPr>
              <w:spacing w:line="280" w:lineRule="exact"/>
              <w:jc w:val="center"/>
              <w:rPr>
                <w:rFonts w:hint="default" w:cs="Times New Roman"/>
                <w:color w:val="auto"/>
                <w:szCs w:val="21"/>
                <w:highlight w:val="none"/>
                <w:lang w:val="en-US" w:eastAsia="zh-CN"/>
              </w:rPr>
            </w:pPr>
            <w:r>
              <w:rPr>
                <w:rFonts w:hint="eastAsia" w:cs="Times New Roman"/>
                <w:color w:val="auto"/>
                <w:szCs w:val="21"/>
                <w:highlight w:val="none"/>
                <w:lang w:val="en-US" w:eastAsia="zh-CN"/>
              </w:rPr>
              <w:t>1.4</w:t>
            </w:r>
          </w:p>
        </w:tc>
        <w:tc>
          <w:tcPr>
            <w:tcW w:w="537" w:type="dxa"/>
            <w:shd w:val="clear" w:color="auto" w:fill="auto"/>
            <w:noWrap w:val="0"/>
            <w:vAlign w:val="center"/>
          </w:tcPr>
          <w:p w14:paraId="1FE057C1">
            <w:pPr>
              <w:spacing w:line="280" w:lineRule="exact"/>
              <w:jc w:val="center"/>
              <w:rPr>
                <w:rFonts w:hint="default" w:cs="Times New Roman"/>
                <w:color w:val="auto"/>
                <w:szCs w:val="21"/>
                <w:highlight w:val="none"/>
                <w:lang w:val="en-US" w:eastAsia="zh-CN"/>
              </w:rPr>
            </w:pPr>
            <w:r>
              <w:rPr>
                <w:rFonts w:hint="eastAsia" w:cs="Times New Roman"/>
                <w:color w:val="auto"/>
                <w:szCs w:val="21"/>
                <w:highlight w:val="none"/>
                <w:lang w:val="en-US" w:eastAsia="zh-CN"/>
              </w:rPr>
              <w:t>126.8</w:t>
            </w:r>
          </w:p>
        </w:tc>
        <w:tc>
          <w:tcPr>
            <w:tcW w:w="537" w:type="dxa"/>
            <w:shd w:val="clear" w:color="auto" w:fill="auto"/>
            <w:noWrap w:val="0"/>
            <w:vAlign w:val="center"/>
          </w:tcPr>
          <w:p w14:paraId="5BDC9C16">
            <w:pPr>
              <w:spacing w:line="280" w:lineRule="exact"/>
              <w:jc w:val="center"/>
              <w:rPr>
                <w:rFonts w:hint="default" w:cs="Times New Roman"/>
                <w:color w:val="auto"/>
                <w:szCs w:val="21"/>
                <w:highlight w:val="none"/>
                <w:lang w:val="en-US" w:eastAsia="zh-CN"/>
              </w:rPr>
            </w:pPr>
            <w:r>
              <w:rPr>
                <w:rFonts w:hint="eastAsia" w:cs="Times New Roman"/>
                <w:color w:val="auto"/>
                <w:szCs w:val="21"/>
                <w:highlight w:val="none"/>
                <w:lang w:val="en-US" w:eastAsia="zh-CN"/>
              </w:rPr>
              <w:t>69.4</w:t>
            </w:r>
          </w:p>
        </w:tc>
        <w:tc>
          <w:tcPr>
            <w:tcW w:w="542" w:type="dxa"/>
            <w:shd w:val="clear" w:color="auto" w:fill="auto"/>
            <w:noWrap w:val="0"/>
            <w:vAlign w:val="center"/>
          </w:tcPr>
          <w:p w14:paraId="70B56E60">
            <w:pPr>
              <w:spacing w:line="280" w:lineRule="exact"/>
              <w:jc w:val="center"/>
              <w:rPr>
                <w:rFonts w:hint="default" w:cs="Times New Roman"/>
                <w:color w:val="auto"/>
                <w:szCs w:val="21"/>
                <w:highlight w:val="none"/>
                <w:lang w:val="en-US" w:eastAsia="zh-CN"/>
              </w:rPr>
            </w:pPr>
            <w:r>
              <w:rPr>
                <w:rFonts w:hint="eastAsia" w:cs="Times New Roman"/>
                <w:color w:val="auto"/>
                <w:szCs w:val="21"/>
                <w:highlight w:val="none"/>
                <w:lang w:val="en-US" w:eastAsia="zh-CN"/>
              </w:rPr>
              <w:t>20.9</w:t>
            </w:r>
          </w:p>
        </w:tc>
        <w:tc>
          <w:tcPr>
            <w:tcW w:w="558" w:type="dxa"/>
            <w:shd w:val="clear" w:color="auto" w:fill="auto"/>
            <w:noWrap w:val="0"/>
            <w:vAlign w:val="center"/>
          </w:tcPr>
          <w:p w14:paraId="16E1C9F5">
            <w:pPr>
              <w:spacing w:line="280" w:lineRule="exact"/>
              <w:jc w:val="center"/>
              <w:rPr>
                <w:rFonts w:hint="default" w:cs="Times New Roman"/>
                <w:color w:val="auto"/>
                <w:szCs w:val="21"/>
                <w:highlight w:val="none"/>
                <w:lang w:val="en-US" w:eastAsia="zh-CN"/>
              </w:rPr>
            </w:pPr>
            <w:r>
              <w:rPr>
                <w:rFonts w:hint="eastAsia" w:cs="Times New Roman"/>
                <w:color w:val="auto"/>
                <w:szCs w:val="21"/>
                <w:highlight w:val="none"/>
                <w:lang w:val="en-US" w:eastAsia="zh-CN"/>
              </w:rPr>
              <w:t>9.7</w:t>
            </w:r>
          </w:p>
        </w:tc>
        <w:tc>
          <w:tcPr>
            <w:tcW w:w="542" w:type="dxa"/>
            <w:shd w:val="clear" w:color="auto" w:fill="auto"/>
            <w:noWrap w:val="0"/>
            <w:vAlign w:val="center"/>
          </w:tcPr>
          <w:p w14:paraId="05485D73">
            <w:pPr>
              <w:spacing w:line="280" w:lineRule="exact"/>
              <w:jc w:val="center"/>
              <w:rPr>
                <w:rFonts w:hint="eastAsia" w:cs="Times New Roman"/>
                <w:color w:val="auto"/>
                <w:szCs w:val="21"/>
                <w:highlight w:val="none"/>
                <w:lang w:val="en-US" w:eastAsia="zh-CN"/>
              </w:rPr>
            </w:pPr>
            <w:r>
              <w:rPr>
                <w:rFonts w:hint="eastAsia" w:cs="Times New Roman"/>
                <w:color w:val="auto"/>
                <w:szCs w:val="21"/>
                <w:highlight w:val="none"/>
                <w:lang w:val="en-US" w:eastAsia="zh-CN"/>
              </w:rPr>
              <w:t xml:space="preserve">54.8 </w:t>
            </w:r>
          </w:p>
        </w:tc>
        <w:tc>
          <w:tcPr>
            <w:tcW w:w="542" w:type="dxa"/>
            <w:shd w:val="clear" w:color="auto" w:fill="auto"/>
            <w:noWrap w:val="0"/>
            <w:vAlign w:val="center"/>
          </w:tcPr>
          <w:p w14:paraId="3F9D9338">
            <w:pPr>
              <w:spacing w:line="280" w:lineRule="exact"/>
              <w:jc w:val="center"/>
              <w:rPr>
                <w:rFonts w:hint="eastAsia" w:cs="Times New Roman"/>
                <w:color w:val="auto"/>
                <w:szCs w:val="21"/>
                <w:highlight w:val="none"/>
                <w:lang w:val="en-US" w:eastAsia="zh-CN"/>
              </w:rPr>
            </w:pPr>
            <w:r>
              <w:rPr>
                <w:rFonts w:hint="eastAsia" w:cs="Times New Roman"/>
                <w:color w:val="auto"/>
                <w:szCs w:val="21"/>
                <w:highlight w:val="none"/>
                <w:lang w:val="en-US" w:eastAsia="zh-CN"/>
              </w:rPr>
              <w:t xml:space="preserve">54.8 </w:t>
            </w:r>
          </w:p>
        </w:tc>
        <w:tc>
          <w:tcPr>
            <w:tcW w:w="542" w:type="dxa"/>
            <w:shd w:val="clear" w:color="auto" w:fill="auto"/>
            <w:noWrap w:val="0"/>
            <w:vAlign w:val="center"/>
          </w:tcPr>
          <w:p w14:paraId="07C4F226">
            <w:pPr>
              <w:spacing w:line="280" w:lineRule="exact"/>
              <w:jc w:val="center"/>
              <w:rPr>
                <w:rFonts w:hint="eastAsia" w:cs="Times New Roman"/>
                <w:color w:val="auto"/>
                <w:szCs w:val="21"/>
                <w:highlight w:val="none"/>
                <w:lang w:val="en-US" w:eastAsia="zh-CN"/>
              </w:rPr>
            </w:pPr>
            <w:r>
              <w:rPr>
                <w:rFonts w:hint="eastAsia" w:cs="Times New Roman"/>
                <w:color w:val="auto"/>
                <w:szCs w:val="21"/>
                <w:highlight w:val="none"/>
                <w:lang w:val="en-US" w:eastAsia="zh-CN"/>
              </w:rPr>
              <w:t xml:space="preserve">55.0 </w:t>
            </w:r>
          </w:p>
        </w:tc>
        <w:tc>
          <w:tcPr>
            <w:tcW w:w="555" w:type="dxa"/>
            <w:shd w:val="clear" w:color="auto" w:fill="auto"/>
            <w:noWrap w:val="0"/>
            <w:vAlign w:val="center"/>
          </w:tcPr>
          <w:p w14:paraId="449A02FA">
            <w:pPr>
              <w:spacing w:line="280" w:lineRule="exact"/>
              <w:jc w:val="center"/>
              <w:rPr>
                <w:rFonts w:hint="eastAsia" w:cs="Times New Roman"/>
                <w:color w:val="auto"/>
                <w:szCs w:val="21"/>
                <w:highlight w:val="none"/>
                <w:lang w:val="en-US" w:eastAsia="zh-CN"/>
              </w:rPr>
            </w:pPr>
            <w:r>
              <w:rPr>
                <w:rFonts w:hint="eastAsia" w:cs="Times New Roman"/>
                <w:color w:val="auto"/>
                <w:szCs w:val="21"/>
                <w:highlight w:val="none"/>
                <w:lang w:val="en-US" w:eastAsia="zh-CN"/>
              </w:rPr>
              <w:t xml:space="preserve">55.8 </w:t>
            </w:r>
          </w:p>
        </w:tc>
        <w:tc>
          <w:tcPr>
            <w:tcW w:w="542" w:type="dxa"/>
            <w:vMerge w:val="continue"/>
            <w:shd w:val="clear" w:color="auto" w:fill="auto"/>
            <w:noWrap w:val="0"/>
            <w:vAlign w:val="center"/>
          </w:tcPr>
          <w:p w14:paraId="08677CDA">
            <w:pPr>
              <w:spacing w:line="280" w:lineRule="exact"/>
              <w:jc w:val="center"/>
              <w:rPr>
                <w:rFonts w:hint="default" w:ascii="Times New Roman" w:hAnsi="Times New Roman" w:eastAsia="宋体"/>
                <w:color w:val="auto"/>
                <w:szCs w:val="21"/>
                <w:highlight w:val="none"/>
                <w:lang w:val="en-US" w:eastAsia="zh-CN"/>
              </w:rPr>
            </w:pPr>
          </w:p>
        </w:tc>
        <w:tc>
          <w:tcPr>
            <w:tcW w:w="897" w:type="dxa"/>
            <w:shd w:val="clear" w:color="auto" w:fill="auto"/>
            <w:noWrap w:val="0"/>
            <w:vAlign w:val="center"/>
          </w:tcPr>
          <w:p w14:paraId="0182571D">
            <w:pPr>
              <w:spacing w:line="280" w:lineRule="exact"/>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24.3</w:t>
            </w:r>
          </w:p>
        </w:tc>
        <w:tc>
          <w:tcPr>
            <w:tcW w:w="746" w:type="dxa"/>
            <w:shd w:val="clear" w:color="auto" w:fill="auto"/>
            <w:noWrap w:val="0"/>
            <w:vAlign w:val="center"/>
          </w:tcPr>
          <w:p w14:paraId="1F8444B1">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30.5</w:t>
            </w:r>
          </w:p>
        </w:tc>
        <w:tc>
          <w:tcPr>
            <w:tcW w:w="689" w:type="dxa"/>
            <w:shd w:val="clear" w:color="auto" w:fill="auto"/>
            <w:noWrap w:val="0"/>
            <w:vAlign w:val="center"/>
          </w:tcPr>
          <w:p w14:paraId="51991731">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30.5</w:t>
            </w:r>
          </w:p>
        </w:tc>
        <w:tc>
          <w:tcPr>
            <w:tcW w:w="838" w:type="dxa"/>
            <w:shd w:val="clear" w:color="auto" w:fill="auto"/>
            <w:noWrap w:val="0"/>
            <w:vAlign w:val="center"/>
          </w:tcPr>
          <w:p w14:paraId="7E8E0E96">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30.7</w:t>
            </w:r>
          </w:p>
        </w:tc>
        <w:tc>
          <w:tcPr>
            <w:tcW w:w="750" w:type="dxa"/>
            <w:shd w:val="clear" w:color="auto" w:fill="auto"/>
            <w:noWrap w:val="0"/>
            <w:vAlign w:val="center"/>
          </w:tcPr>
          <w:p w14:paraId="759B074A">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31.5</w:t>
            </w:r>
          </w:p>
        </w:tc>
        <w:tc>
          <w:tcPr>
            <w:tcW w:w="1096" w:type="dxa"/>
            <w:shd w:val="clear" w:color="auto" w:fill="auto"/>
            <w:noWrap w:val="0"/>
            <w:vAlign w:val="center"/>
          </w:tcPr>
          <w:p w14:paraId="3461E75C">
            <w:pPr>
              <w:spacing w:line="280" w:lineRule="exact"/>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1</w:t>
            </w:r>
          </w:p>
        </w:tc>
      </w:tr>
      <w:tr w14:paraId="15D2F2B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27" w:type="dxa"/>
            <w:shd w:val="clear" w:color="auto" w:fill="auto"/>
            <w:noWrap w:val="0"/>
            <w:vAlign w:val="center"/>
          </w:tcPr>
          <w:p w14:paraId="649C0CC8">
            <w:pPr>
              <w:spacing w:line="280" w:lineRule="exact"/>
              <w:jc w:val="center"/>
              <w:rPr>
                <w:rFonts w:hint="default" w:ascii="Times New Roman" w:hAnsi="Times New Roman"/>
                <w:color w:val="auto"/>
                <w:szCs w:val="21"/>
                <w:highlight w:val="none"/>
                <w:lang w:val="en-US" w:eastAsia="zh-CN"/>
              </w:rPr>
            </w:pPr>
            <w:r>
              <w:rPr>
                <w:rFonts w:hint="eastAsia"/>
                <w:color w:val="auto"/>
                <w:szCs w:val="21"/>
                <w:highlight w:val="none"/>
                <w:lang w:val="en-US" w:eastAsia="zh-CN"/>
              </w:rPr>
              <w:t>43</w:t>
            </w:r>
          </w:p>
        </w:tc>
        <w:tc>
          <w:tcPr>
            <w:tcW w:w="1428" w:type="dxa"/>
            <w:shd w:val="clear" w:color="auto" w:fill="auto"/>
            <w:noWrap w:val="0"/>
            <w:vAlign w:val="center"/>
          </w:tcPr>
          <w:p w14:paraId="49E1BF5C">
            <w:pPr>
              <w:autoSpaceDN w:val="0"/>
              <w:adjustRightInd w:val="0"/>
              <w:snapToGrid w:val="0"/>
              <w:jc w:val="center"/>
              <w:textAlignment w:val="top"/>
              <w:rPr>
                <w:rFonts w:hint="default" w:ascii="Times New Roman" w:hAnsi="Times New Roman" w:eastAsia="宋体" w:cs="Times New Roman"/>
                <w:color w:val="auto"/>
                <w:szCs w:val="21"/>
                <w:highlight w:val="none"/>
                <w:lang w:val="en-US" w:eastAsia="zh-CN"/>
              </w:rPr>
            </w:pPr>
            <w:r>
              <w:rPr>
                <w:rFonts w:hint="eastAsia" w:ascii="Times New Roman" w:hAnsi="Times New Roman" w:cs="Times New Roman"/>
                <w:color w:val="auto"/>
                <w:szCs w:val="21"/>
                <w:highlight w:val="none"/>
                <w:lang w:val="en-US" w:eastAsia="zh-CN"/>
              </w:rPr>
              <w:t>风柜机组1#</w:t>
            </w:r>
          </w:p>
        </w:tc>
        <w:tc>
          <w:tcPr>
            <w:tcW w:w="537" w:type="dxa"/>
            <w:shd w:val="clear" w:color="auto" w:fill="auto"/>
            <w:noWrap w:val="0"/>
            <w:vAlign w:val="center"/>
          </w:tcPr>
          <w:p w14:paraId="2D161915">
            <w:pPr>
              <w:spacing w:line="280" w:lineRule="exact"/>
              <w:jc w:val="center"/>
              <w:rPr>
                <w:rFonts w:hint="default" w:ascii="Times New Roman" w:hAnsi="Times New Roman"/>
                <w:color w:val="auto"/>
                <w:szCs w:val="21"/>
                <w:highlight w:val="none"/>
                <w:lang w:val="en-US" w:eastAsia="zh-CN"/>
              </w:rPr>
            </w:pPr>
            <w:r>
              <w:rPr>
                <w:rFonts w:hint="eastAsia"/>
                <w:color w:val="auto"/>
                <w:szCs w:val="21"/>
                <w:highlight w:val="none"/>
                <w:lang w:val="en-US" w:eastAsia="zh-CN"/>
              </w:rPr>
              <w:t>75</w:t>
            </w:r>
          </w:p>
        </w:tc>
        <w:tc>
          <w:tcPr>
            <w:tcW w:w="537" w:type="dxa"/>
            <w:shd w:val="clear" w:color="auto" w:fill="auto"/>
            <w:noWrap w:val="0"/>
            <w:vAlign w:val="center"/>
          </w:tcPr>
          <w:p w14:paraId="746CA354">
            <w:pPr>
              <w:spacing w:line="280" w:lineRule="exact"/>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56.21</w:t>
            </w:r>
          </w:p>
        </w:tc>
        <w:tc>
          <w:tcPr>
            <w:tcW w:w="537" w:type="dxa"/>
            <w:shd w:val="clear" w:color="auto" w:fill="auto"/>
            <w:noWrap w:val="0"/>
            <w:vAlign w:val="center"/>
          </w:tcPr>
          <w:p w14:paraId="7006ECB9">
            <w:pPr>
              <w:spacing w:line="280" w:lineRule="exact"/>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86.66</w:t>
            </w:r>
          </w:p>
        </w:tc>
        <w:tc>
          <w:tcPr>
            <w:tcW w:w="558" w:type="dxa"/>
            <w:shd w:val="clear" w:color="auto" w:fill="auto"/>
            <w:noWrap w:val="0"/>
            <w:vAlign w:val="center"/>
          </w:tcPr>
          <w:p w14:paraId="6D04E750">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1.4</w:t>
            </w:r>
          </w:p>
        </w:tc>
        <w:tc>
          <w:tcPr>
            <w:tcW w:w="537" w:type="dxa"/>
            <w:shd w:val="clear" w:color="auto" w:fill="auto"/>
            <w:noWrap w:val="0"/>
            <w:vAlign w:val="center"/>
          </w:tcPr>
          <w:p w14:paraId="3F3C77C1">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7.6</w:t>
            </w:r>
          </w:p>
        </w:tc>
        <w:tc>
          <w:tcPr>
            <w:tcW w:w="537" w:type="dxa"/>
            <w:shd w:val="clear" w:color="auto" w:fill="auto"/>
            <w:noWrap w:val="0"/>
            <w:vAlign w:val="center"/>
          </w:tcPr>
          <w:p w14:paraId="67D6DAEB">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65.6</w:t>
            </w:r>
          </w:p>
        </w:tc>
        <w:tc>
          <w:tcPr>
            <w:tcW w:w="542" w:type="dxa"/>
            <w:shd w:val="clear" w:color="auto" w:fill="auto"/>
            <w:noWrap w:val="0"/>
            <w:vAlign w:val="center"/>
          </w:tcPr>
          <w:p w14:paraId="24EC5C45">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81.8</w:t>
            </w:r>
          </w:p>
        </w:tc>
        <w:tc>
          <w:tcPr>
            <w:tcW w:w="558" w:type="dxa"/>
            <w:shd w:val="clear" w:color="auto" w:fill="auto"/>
            <w:noWrap w:val="0"/>
            <w:vAlign w:val="center"/>
          </w:tcPr>
          <w:p w14:paraId="1612A9CD">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43.7</w:t>
            </w:r>
          </w:p>
        </w:tc>
        <w:tc>
          <w:tcPr>
            <w:tcW w:w="542" w:type="dxa"/>
            <w:shd w:val="clear" w:color="auto" w:fill="auto"/>
            <w:noWrap w:val="0"/>
            <w:vAlign w:val="center"/>
          </w:tcPr>
          <w:p w14:paraId="7426B778">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 xml:space="preserve">51.4 </w:t>
            </w:r>
          </w:p>
        </w:tc>
        <w:tc>
          <w:tcPr>
            <w:tcW w:w="542" w:type="dxa"/>
            <w:shd w:val="clear" w:color="auto" w:fill="auto"/>
            <w:noWrap w:val="0"/>
            <w:vAlign w:val="center"/>
          </w:tcPr>
          <w:p w14:paraId="571BE606">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 xml:space="preserve">49.8 </w:t>
            </w:r>
          </w:p>
        </w:tc>
        <w:tc>
          <w:tcPr>
            <w:tcW w:w="542" w:type="dxa"/>
            <w:shd w:val="clear" w:color="auto" w:fill="auto"/>
            <w:noWrap w:val="0"/>
            <w:vAlign w:val="center"/>
          </w:tcPr>
          <w:p w14:paraId="6BA193FD">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 xml:space="preserve">49.8 </w:t>
            </w:r>
          </w:p>
        </w:tc>
        <w:tc>
          <w:tcPr>
            <w:tcW w:w="555" w:type="dxa"/>
            <w:shd w:val="clear" w:color="auto" w:fill="auto"/>
            <w:noWrap w:val="0"/>
            <w:vAlign w:val="center"/>
          </w:tcPr>
          <w:p w14:paraId="266BF507">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 xml:space="preserve">49.8 </w:t>
            </w:r>
          </w:p>
        </w:tc>
        <w:tc>
          <w:tcPr>
            <w:tcW w:w="542" w:type="dxa"/>
            <w:vMerge w:val="continue"/>
            <w:shd w:val="clear" w:color="auto" w:fill="auto"/>
            <w:noWrap w:val="0"/>
            <w:vAlign w:val="center"/>
          </w:tcPr>
          <w:p w14:paraId="75061150">
            <w:pPr>
              <w:spacing w:line="280" w:lineRule="exact"/>
              <w:jc w:val="center"/>
              <w:rPr>
                <w:rFonts w:hint="default" w:ascii="Times New Roman" w:hAnsi="Times New Roman" w:eastAsia="宋体"/>
                <w:color w:val="auto"/>
                <w:szCs w:val="21"/>
                <w:highlight w:val="none"/>
                <w:lang w:val="en-US" w:eastAsia="zh-CN"/>
              </w:rPr>
            </w:pPr>
          </w:p>
        </w:tc>
        <w:tc>
          <w:tcPr>
            <w:tcW w:w="897" w:type="dxa"/>
            <w:shd w:val="clear" w:color="auto" w:fill="auto"/>
            <w:noWrap w:val="0"/>
            <w:vAlign w:val="center"/>
          </w:tcPr>
          <w:p w14:paraId="6A208A8F">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24.3</w:t>
            </w:r>
          </w:p>
        </w:tc>
        <w:tc>
          <w:tcPr>
            <w:tcW w:w="746" w:type="dxa"/>
            <w:shd w:val="clear" w:color="auto" w:fill="auto"/>
            <w:noWrap w:val="0"/>
            <w:vAlign w:val="center"/>
          </w:tcPr>
          <w:p w14:paraId="510A33B2">
            <w:pPr>
              <w:spacing w:line="280" w:lineRule="exact"/>
              <w:jc w:val="center"/>
              <w:rPr>
                <w:rFonts w:hint="eastAsia" w:cs="Times New Roman"/>
                <w:color w:val="auto"/>
                <w:szCs w:val="21"/>
                <w:highlight w:val="none"/>
                <w:lang w:val="en-US" w:eastAsia="zh-CN"/>
              </w:rPr>
            </w:pPr>
            <w:r>
              <w:rPr>
                <w:rFonts w:hint="eastAsia" w:cs="Times New Roman"/>
                <w:color w:val="auto"/>
                <w:szCs w:val="21"/>
                <w:highlight w:val="none"/>
                <w:lang w:val="en-US" w:eastAsia="zh-CN"/>
              </w:rPr>
              <w:t>27.1</w:t>
            </w:r>
          </w:p>
        </w:tc>
        <w:tc>
          <w:tcPr>
            <w:tcW w:w="689" w:type="dxa"/>
            <w:shd w:val="clear" w:color="auto" w:fill="auto"/>
            <w:noWrap w:val="0"/>
            <w:vAlign w:val="center"/>
          </w:tcPr>
          <w:p w14:paraId="1047B702">
            <w:pPr>
              <w:spacing w:line="280" w:lineRule="exact"/>
              <w:jc w:val="center"/>
              <w:rPr>
                <w:rFonts w:hint="eastAsia" w:cs="Times New Roman"/>
                <w:color w:val="auto"/>
                <w:szCs w:val="21"/>
                <w:highlight w:val="none"/>
                <w:lang w:val="en-US" w:eastAsia="zh-CN"/>
              </w:rPr>
            </w:pPr>
            <w:r>
              <w:rPr>
                <w:rFonts w:hint="eastAsia" w:cs="Times New Roman"/>
                <w:color w:val="auto"/>
                <w:szCs w:val="21"/>
                <w:highlight w:val="none"/>
                <w:lang w:val="en-US" w:eastAsia="zh-CN"/>
              </w:rPr>
              <w:t>25.5</w:t>
            </w:r>
          </w:p>
        </w:tc>
        <w:tc>
          <w:tcPr>
            <w:tcW w:w="838" w:type="dxa"/>
            <w:shd w:val="clear" w:color="auto" w:fill="auto"/>
            <w:noWrap w:val="0"/>
            <w:vAlign w:val="center"/>
          </w:tcPr>
          <w:p w14:paraId="3F6B19EE">
            <w:pPr>
              <w:spacing w:line="280" w:lineRule="exact"/>
              <w:jc w:val="center"/>
              <w:rPr>
                <w:rFonts w:hint="eastAsia" w:cs="Times New Roman"/>
                <w:color w:val="auto"/>
                <w:szCs w:val="21"/>
                <w:highlight w:val="none"/>
                <w:lang w:val="en-US" w:eastAsia="zh-CN"/>
              </w:rPr>
            </w:pPr>
            <w:r>
              <w:rPr>
                <w:rFonts w:hint="eastAsia" w:cs="Times New Roman"/>
                <w:color w:val="auto"/>
                <w:szCs w:val="21"/>
                <w:highlight w:val="none"/>
                <w:lang w:val="en-US" w:eastAsia="zh-CN"/>
              </w:rPr>
              <w:t>25.5</w:t>
            </w:r>
          </w:p>
        </w:tc>
        <w:tc>
          <w:tcPr>
            <w:tcW w:w="750" w:type="dxa"/>
            <w:shd w:val="clear" w:color="auto" w:fill="auto"/>
            <w:noWrap w:val="0"/>
            <w:vAlign w:val="center"/>
          </w:tcPr>
          <w:p w14:paraId="57DD48C7">
            <w:pPr>
              <w:spacing w:line="280" w:lineRule="exact"/>
              <w:jc w:val="center"/>
              <w:rPr>
                <w:rFonts w:hint="eastAsia" w:cs="Times New Roman"/>
                <w:color w:val="auto"/>
                <w:szCs w:val="21"/>
                <w:highlight w:val="none"/>
                <w:lang w:val="en-US" w:eastAsia="zh-CN"/>
              </w:rPr>
            </w:pPr>
            <w:r>
              <w:rPr>
                <w:rFonts w:hint="eastAsia" w:cs="Times New Roman"/>
                <w:color w:val="auto"/>
                <w:szCs w:val="21"/>
                <w:highlight w:val="none"/>
                <w:lang w:val="en-US" w:eastAsia="zh-CN"/>
              </w:rPr>
              <w:t>25.5</w:t>
            </w:r>
          </w:p>
        </w:tc>
        <w:tc>
          <w:tcPr>
            <w:tcW w:w="1096" w:type="dxa"/>
            <w:shd w:val="clear" w:color="auto" w:fill="auto"/>
            <w:noWrap w:val="0"/>
            <w:vAlign w:val="center"/>
          </w:tcPr>
          <w:p w14:paraId="63EECF95">
            <w:pPr>
              <w:spacing w:line="280" w:lineRule="exact"/>
              <w:jc w:val="center"/>
              <w:rPr>
                <w:rFonts w:hint="eastAsia"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1</w:t>
            </w:r>
          </w:p>
        </w:tc>
      </w:tr>
      <w:tr w14:paraId="7F9F28C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5" w:hRule="atLeast"/>
          <w:jc w:val="center"/>
        </w:trPr>
        <w:tc>
          <w:tcPr>
            <w:tcW w:w="427" w:type="dxa"/>
            <w:shd w:val="clear" w:color="auto" w:fill="auto"/>
            <w:noWrap w:val="0"/>
            <w:vAlign w:val="center"/>
          </w:tcPr>
          <w:p w14:paraId="4270AA4D">
            <w:pPr>
              <w:spacing w:line="280" w:lineRule="exact"/>
              <w:jc w:val="center"/>
              <w:rPr>
                <w:rFonts w:hint="default" w:ascii="Times New Roman" w:hAnsi="Times New Roman"/>
                <w:color w:val="auto"/>
                <w:szCs w:val="21"/>
                <w:highlight w:val="none"/>
                <w:lang w:val="en-US" w:eastAsia="zh-CN"/>
              </w:rPr>
            </w:pPr>
            <w:r>
              <w:rPr>
                <w:rFonts w:hint="eastAsia"/>
                <w:color w:val="auto"/>
                <w:szCs w:val="21"/>
                <w:highlight w:val="none"/>
                <w:lang w:val="en-US" w:eastAsia="zh-CN"/>
              </w:rPr>
              <w:t>44</w:t>
            </w:r>
          </w:p>
        </w:tc>
        <w:tc>
          <w:tcPr>
            <w:tcW w:w="1428" w:type="dxa"/>
            <w:shd w:val="clear" w:color="auto" w:fill="auto"/>
            <w:noWrap w:val="0"/>
            <w:vAlign w:val="center"/>
          </w:tcPr>
          <w:p w14:paraId="399CD3A3">
            <w:pPr>
              <w:autoSpaceDN w:val="0"/>
              <w:adjustRightInd w:val="0"/>
              <w:snapToGrid w:val="0"/>
              <w:jc w:val="center"/>
              <w:textAlignment w:val="top"/>
              <w:rPr>
                <w:rFonts w:hint="default" w:ascii="Times New Roman" w:hAnsi="Times New Roman" w:cs="Times New Roman"/>
                <w:color w:val="auto"/>
                <w:szCs w:val="21"/>
                <w:highlight w:val="none"/>
              </w:rPr>
            </w:pPr>
            <w:r>
              <w:rPr>
                <w:rFonts w:hint="eastAsia" w:ascii="Times New Roman" w:hAnsi="Times New Roman" w:cs="Times New Roman"/>
                <w:color w:val="auto"/>
                <w:szCs w:val="21"/>
                <w:highlight w:val="none"/>
                <w:lang w:val="en-US" w:eastAsia="zh-CN"/>
              </w:rPr>
              <w:t>风柜机组2#</w:t>
            </w:r>
          </w:p>
        </w:tc>
        <w:tc>
          <w:tcPr>
            <w:tcW w:w="537" w:type="dxa"/>
            <w:shd w:val="clear" w:color="auto" w:fill="auto"/>
            <w:noWrap w:val="0"/>
            <w:vAlign w:val="center"/>
          </w:tcPr>
          <w:p w14:paraId="0756617F">
            <w:pPr>
              <w:spacing w:line="280" w:lineRule="exact"/>
              <w:jc w:val="center"/>
              <w:rPr>
                <w:rFonts w:hint="eastAsia" w:ascii="Times New Roman" w:hAnsi="Times New Roman"/>
                <w:color w:val="auto"/>
                <w:szCs w:val="21"/>
                <w:highlight w:val="none"/>
                <w:lang w:val="en-US" w:eastAsia="zh-CN"/>
              </w:rPr>
            </w:pPr>
            <w:r>
              <w:rPr>
                <w:rFonts w:hint="eastAsia"/>
                <w:color w:val="auto"/>
                <w:szCs w:val="21"/>
                <w:highlight w:val="none"/>
                <w:lang w:val="en-US" w:eastAsia="zh-CN"/>
              </w:rPr>
              <w:t>75</w:t>
            </w:r>
          </w:p>
        </w:tc>
        <w:tc>
          <w:tcPr>
            <w:tcW w:w="537" w:type="dxa"/>
            <w:shd w:val="clear" w:color="auto" w:fill="auto"/>
            <w:noWrap w:val="0"/>
            <w:vAlign w:val="center"/>
          </w:tcPr>
          <w:p w14:paraId="445D9B73">
            <w:pPr>
              <w:spacing w:line="280" w:lineRule="exact"/>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56.86</w:t>
            </w:r>
          </w:p>
        </w:tc>
        <w:tc>
          <w:tcPr>
            <w:tcW w:w="537" w:type="dxa"/>
            <w:shd w:val="clear" w:color="auto" w:fill="auto"/>
            <w:noWrap w:val="0"/>
            <w:vAlign w:val="center"/>
          </w:tcPr>
          <w:p w14:paraId="53ED62A2">
            <w:pPr>
              <w:spacing w:line="280" w:lineRule="exact"/>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84.69</w:t>
            </w:r>
          </w:p>
        </w:tc>
        <w:tc>
          <w:tcPr>
            <w:tcW w:w="558" w:type="dxa"/>
            <w:shd w:val="clear" w:color="auto" w:fill="auto"/>
            <w:noWrap w:val="0"/>
            <w:vAlign w:val="center"/>
          </w:tcPr>
          <w:p w14:paraId="273E8B40">
            <w:pPr>
              <w:spacing w:line="280" w:lineRule="exact"/>
              <w:jc w:val="center"/>
              <w:rPr>
                <w:rFonts w:hint="eastAsia"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1.4</w:t>
            </w:r>
          </w:p>
        </w:tc>
        <w:tc>
          <w:tcPr>
            <w:tcW w:w="537" w:type="dxa"/>
            <w:shd w:val="clear" w:color="auto" w:fill="auto"/>
            <w:noWrap w:val="0"/>
            <w:vAlign w:val="center"/>
          </w:tcPr>
          <w:p w14:paraId="0C768966">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9.8</w:t>
            </w:r>
          </w:p>
        </w:tc>
        <w:tc>
          <w:tcPr>
            <w:tcW w:w="537" w:type="dxa"/>
            <w:shd w:val="clear" w:color="auto" w:fill="auto"/>
            <w:noWrap w:val="0"/>
            <w:vAlign w:val="center"/>
          </w:tcPr>
          <w:p w14:paraId="527242A1">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62.6</w:t>
            </w:r>
          </w:p>
        </w:tc>
        <w:tc>
          <w:tcPr>
            <w:tcW w:w="542" w:type="dxa"/>
            <w:shd w:val="clear" w:color="auto" w:fill="auto"/>
            <w:noWrap w:val="0"/>
            <w:vAlign w:val="center"/>
          </w:tcPr>
          <w:p w14:paraId="3B3714BF">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84.7</w:t>
            </w:r>
          </w:p>
        </w:tc>
        <w:tc>
          <w:tcPr>
            <w:tcW w:w="558" w:type="dxa"/>
            <w:shd w:val="clear" w:color="auto" w:fill="auto"/>
            <w:noWrap w:val="0"/>
            <w:vAlign w:val="center"/>
          </w:tcPr>
          <w:p w14:paraId="3F71E543">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46.5</w:t>
            </w:r>
          </w:p>
        </w:tc>
        <w:tc>
          <w:tcPr>
            <w:tcW w:w="542" w:type="dxa"/>
            <w:shd w:val="clear" w:color="auto" w:fill="auto"/>
            <w:noWrap w:val="0"/>
            <w:vAlign w:val="center"/>
          </w:tcPr>
          <w:p w14:paraId="2C39E883">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 xml:space="preserve">50.8 </w:t>
            </w:r>
          </w:p>
        </w:tc>
        <w:tc>
          <w:tcPr>
            <w:tcW w:w="542" w:type="dxa"/>
            <w:shd w:val="clear" w:color="auto" w:fill="auto"/>
            <w:noWrap w:val="0"/>
            <w:vAlign w:val="center"/>
          </w:tcPr>
          <w:p w14:paraId="53AA2B8B">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 xml:space="preserve">49.8 </w:t>
            </w:r>
          </w:p>
        </w:tc>
        <w:tc>
          <w:tcPr>
            <w:tcW w:w="542" w:type="dxa"/>
            <w:shd w:val="clear" w:color="auto" w:fill="auto"/>
            <w:noWrap w:val="0"/>
            <w:vAlign w:val="center"/>
          </w:tcPr>
          <w:p w14:paraId="70DB8772">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 xml:space="preserve">49.8 </w:t>
            </w:r>
          </w:p>
        </w:tc>
        <w:tc>
          <w:tcPr>
            <w:tcW w:w="555" w:type="dxa"/>
            <w:shd w:val="clear" w:color="auto" w:fill="auto"/>
            <w:noWrap w:val="0"/>
            <w:vAlign w:val="center"/>
          </w:tcPr>
          <w:p w14:paraId="7CBE847E">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 xml:space="preserve">49.8 </w:t>
            </w:r>
          </w:p>
        </w:tc>
        <w:tc>
          <w:tcPr>
            <w:tcW w:w="542" w:type="dxa"/>
            <w:vMerge w:val="continue"/>
            <w:shd w:val="clear" w:color="auto" w:fill="auto"/>
            <w:noWrap w:val="0"/>
            <w:vAlign w:val="center"/>
          </w:tcPr>
          <w:p w14:paraId="4D5107FA">
            <w:pPr>
              <w:spacing w:line="280" w:lineRule="exact"/>
              <w:jc w:val="center"/>
              <w:rPr>
                <w:rFonts w:hint="default" w:ascii="Times New Roman" w:hAnsi="Times New Roman" w:eastAsia="宋体"/>
                <w:color w:val="auto"/>
                <w:szCs w:val="21"/>
                <w:highlight w:val="none"/>
                <w:lang w:val="en-US" w:eastAsia="zh-CN"/>
              </w:rPr>
            </w:pPr>
          </w:p>
        </w:tc>
        <w:tc>
          <w:tcPr>
            <w:tcW w:w="897" w:type="dxa"/>
            <w:shd w:val="clear" w:color="auto" w:fill="auto"/>
            <w:noWrap w:val="0"/>
            <w:vAlign w:val="center"/>
          </w:tcPr>
          <w:p w14:paraId="433686E9">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24.3</w:t>
            </w:r>
          </w:p>
        </w:tc>
        <w:tc>
          <w:tcPr>
            <w:tcW w:w="746" w:type="dxa"/>
            <w:shd w:val="clear" w:color="auto" w:fill="auto"/>
            <w:noWrap w:val="0"/>
            <w:vAlign w:val="center"/>
          </w:tcPr>
          <w:p w14:paraId="1DE78E98">
            <w:pPr>
              <w:spacing w:line="280" w:lineRule="exact"/>
              <w:jc w:val="center"/>
              <w:rPr>
                <w:rFonts w:hint="eastAsia" w:cs="Times New Roman"/>
                <w:color w:val="auto"/>
                <w:szCs w:val="21"/>
                <w:highlight w:val="none"/>
                <w:lang w:val="en-US" w:eastAsia="zh-CN"/>
              </w:rPr>
            </w:pPr>
            <w:r>
              <w:rPr>
                <w:rFonts w:hint="eastAsia" w:cs="Times New Roman"/>
                <w:color w:val="auto"/>
                <w:szCs w:val="21"/>
                <w:highlight w:val="none"/>
                <w:lang w:val="en-US" w:eastAsia="zh-CN"/>
              </w:rPr>
              <w:t>26.5</w:t>
            </w:r>
          </w:p>
        </w:tc>
        <w:tc>
          <w:tcPr>
            <w:tcW w:w="689" w:type="dxa"/>
            <w:shd w:val="clear" w:color="auto" w:fill="auto"/>
            <w:noWrap w:val="0"/>
            <w:vAlign w:val="center"/>
          </w:tcPr>
          <w:p w14:paraId="3024C19B">
            <w:pPr>
              <w:spacing w:line="280" w:lineRule="exact"/>
              <w:jc w:val="center"/>
              <w:rPr>
                <w:rFonts w:hint="eastAsia" w:cs="Times New Roman"/>
                <w:color w:val="auto"/>
                <w:szCs w:val="21"/>
                <w:highlight w:val="none"/>
                <w:lang w:val="en-US" w:eastAsia="zh-CN"/>
              </w:rPr>
            </w:pPr>
            <w:r>
              <w:rPr>
                <w:rFonts w:hint="eastAsia" w:cs="Times New Roman"/>
                <w:color w:val="auto"/>
                <w:szCs w:val="21"/>
                <w:highlight w:val="none"/>
                <w:lang w:val="en-US" w:eastAsia="zh-CN"/>
              </w:rPr>
              <w:t>25.5</w:t>
            </w:r>
          </w:p>
        </w:tc>
        <w:tc>
          <w:tcPr>
            <w:tcW w:w="838" w:type="dxa"/>
            <w:shd w:val="clear" w:color="auto" w:fill="auto"/>
            <w:noWrap w:val="0"/>
            <w:vAlign w:val="center"/>
          </w:tcPr>
          <w:p w14:paraId="59DA1950">
            <w:pPr>
              <w:spacing w:line="280" w:lineRule="exact"/>
              <w:jc w:val="center"/>
              <w:rPr>
                <w:rFonts w:hint="eastAsia" w:cs="Times New Roman"/>
                <w:color w:val="auto"/>
                <w:szCs w:val="21"/>
                <w:highlight w:val="none"/>
                <w:lang w:val="en-US" w:eastAsia="zh-CN"/>
              </w:rPr>
            </w:pPr>
            <w:r>
              <w:rPr>
                <w:rFonts w:hint="eastAsia" w:cs="Times New Roman"/>
                <w:color w:val="auto"/>
                <w:szCs w:val="21"/>
                <w:highlight w:val="none"/>
                <w:lang w:val="en-US" w:eastAsia="zh-CN"/>
              </w:rPr>
              <w:t>25.5</w:t>
            </w:r>
          </w:p>
        </w:tc>
        <w:tc>
          <w:tcPr>
            <w:tcW w:w="750" w:type="dxa"/>
            <w:shd w:val="clear" w:color="auto" w:fill="auto"/>
            <w:noWrap w:val="0"/>
            <w:vAlign w:val="center"/>
          </w:tcPr>
          <w:p w14:paraId="028D7197">
            <w:pPr>
              <w:spacing w:line="280" w:lineRule="exact"/>
              <w:jc w:val="center"/>
              <w:rPr>
                <w:rFonts w:hint="eastAsia" w:cs="Times New Roman"/>
                <w:color w:val="auto"/>
                <w:szCs w:val="21"/>
                <w:highlight w:val="none"/>
                <w:lang w:val="en-US" w:eastAsia="zh-CN"/>
              </w:rPr>
            </w:pPr>
            <w:r>
              <w:rPr>
                <w:rFonts w:hint="eastAsia" w:cs="Times New Roman"/>
                <w:color w:val="auto"/>
                <w:szCs w:val="21"/>
                <w:highlight w:val="none"/>
                <w:lang w:val="en-US" w:eastAsia="zh-CN"/>
              </w:rPr>
              <w:t>25.5</w:t>
            </w:r>
          </w:p>
        </w:tc>
        <w:tc>
          <w:tcPr>
            <w:tcW w:w="1096" w:type="dxa"/>
            <w:shd w:val="clear" w:color="auto" w:fill="auto"/>
            <w:noWrap w:val="0"/>
            <w:vAlign w:val="center"/>
          </w:tcPr>
          <w:p w14:paraId="58BDB852">
            <w:pPr>
              <w:spacing w:line="280" w:lineRule="exact"/>
              <w:jc w:val="center"/>
              <w:rPr>
                <w:rFonts w:hint="eastAsia"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1</w:t>
            </w:r>
          </w:p>
        </w:tc>
      </w:tr>
      <w:tr w14:paraId="6830A1C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27" w:type="dxa"/>
            <w:shd w:val="clear" w:color="auto" w:fill="auto"/>
            <w:noWrap w:val="0"/>
            <w:vAlign w:val="center"/>
          </w:tcPr>
          <w:p w14:paraId="45A49C64">
            <w:pPr>
              <w:spacing w:line="280" w:lineRule="exact"/>
              <w:jc w:val="center"/>
              <w:rPr>
                <w:rFonts w:hint="default" w:ascii="Times New Roman" w:hAnsi="Times New Roman"/>
                <w:color w:val="auto"/>
                <w:szCs w:val="21"/>
                <w:highlight w:val="none"/>
                <w:lang w:val="en-US" w:eastAsia="zh-CN"/>
              </w:rPr>
            </w:pPr>
            <w:r>
              <w:rPr>
                <w:rFonts w:hint="eastAsia"/>
                <w:color w:val="auto"/>
                <w:szCs w:val="21"/>
                <w:highlight w:val="none"/>
                <w:lang w:val="en-US" w:eastAsia="zh-CN"/>
              </w:rPr>
              <w:t>45</w:t>
            </w:r>
          </w:p>
        </w:tc>
        <w:tc>
          <w:tcPr>
            <w:tcW w:w="1428" w:type="dxa"/>
            <w:shd w:val="clear" w:color="auto" w:fill="auto"/>
            <w:noWrap w:val="0"/>
            <w:vAlign w:val="center"/>
          </w:tcPr>
          <w:p w14:paraId="7E626BE6">
            <w:pPr>
              <w:autoSpaceDN w:val="0"/>
              <w:adjustRightInd w:val="0"/>
              <w:snapToGrid w:val="0"/>
              <w:jc w:val="center"/>
              <w:textAlignment w:val="top"/>
              <w:rPr>
                <w:rFonts w:hint="default" w:ascii="Times New Roman" w:hAnsi="Times New Roman" w:cs="Times New Roman"/>
                <w:color w:val="auto"/>
                <w:szCs w:val="21"/>
                <w:highlight w:val="none"/>
              </w:rPr>
            </w:pPr>
            <w:r>
              <w:rPr>
                <w:rFonts w:hint="eastAsia" w:ascii="Times New Roman" w:hAnsi="Times New Roman" w:cs="Times New Roman"/>
                <w:color w:val="auto"/>
                <w:szCs w:val="21"/>
                <w:highlight w:val="none"/>
                <w:lang w:val="en-US" w:eastAsia="zh-CN"/>
              </w:rPr>
              <w:t>风柜机组3#</w:t>
            </w:r>
          </w:p>
        </w:tc>
        <w:tc>
          <w:tcPr>
            <w:tcW w:w="537" w:type="dxa"/>
            <w:shd w:val="clear" w:color="auto" w:fill="auto"/>
            <w:noWrap w:val="0"/>
            <w:vAlign w:val="center"/>
          </w:tcPr>
          <w:p w14:paraId="3D061433">
            <w:pPr>
              <w:spacing w:line="280" w:lineRule="exact"/>
              <w:jc w:val="center"/>
              <w:rPr>
                <w:rFonts w:hint="eastAsia" w:ascii="Times New Roman" w:hAnsi="Times New Roman"/>
                <w:color w:val="auto"/>
                <w:szCs w:val="21"/>
                <w:highlight w:val="none"/>
                <w:lang w:val="en-US" w:eastAsia="zh-CN"/>
              </w:rPr>
            </w:pPr>
            <w:r>
              <w:rPr>
                <w:rFonts w:hint="eastAsia"/>
                <w:color w:val="auto"/>
                <w:szCs w:val="21"/>
                <w:highlight w:val="none"/>
                <w:lang w:val="en-US" w:eastAsia="zh-CN"/>
              </w:rPr>
              <w:t>75</w:t>
            </w:r>
          </w:p>
        </w:tc>
        <w:tc>
          <w:tcPr>
            <w:tcW w:w="537" w:type="dxa"/>
            <w:shd w:val="clear" w:color="auto" w:fill="auto"/>
            <w:noWrap w:val="0"/>
            <w:vAlign w:val="center"/>
          </w:tcPr>
          <w:p w14:paraId="6B24D243">
            <w:pPr>
              <w:spacing w:line="280" w:lineRule="exact"/>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57.83</w:t>
            </w:r>
          </w:p>
        </w:tc>
        <w:tc>
          <w:tcPr>
            <w:tcW w:w="537" w:type="dxa"/>
            <w:shd w:val="clear" w:color="auto" w:fill="auto"/>
            <w:noWrap w:val="0"/>
            <w:vAlign w:val="center"/>
          </w:tcPr>
          <w:p w14:paraId="3A0CBEE9">
            <w:pPr>
              <w:spacing w:line="280" w:lineRule="exact"/>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81.9</w:t>
            </w:r>
          </w:p>
        </w:tc>
        <w:tc>
          <w:tcPr>
            <w:tcW w:w="558" w:type="dxa"/>
            <w:shd w:val="clear" w:color="auto" w:fill="auto"/>
            <w:noWrap w:val="0"/>
            <w:vAlign w:val="center"/>
          </w:tcPr>
          <w:p w14:paraId="5D2AD7C4">
            <w:pPr>
              <w:spacing w:line="280" w:lineRule="exact"/>
              <w:jc w:val="center"/>
              <w:rPr>
                <w:rFonts w:hint="eastAsia"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1.4</w:t>
            </w:r>
          </w:p>
        </w:tc>
        <w:tc>
          <w:tcPr>
            <w:tcW w:w="537" w:type="dxa"/>
            <w:shd w:val="clear" w:color="auto" w:fill="auto"/>
            <w:noWrap w:val="0"/>
            <w:vAlign w:val="center"/>
          </w:tcPr>
          <w:p w14:paraId="466AA607">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8.5</w:t>
            </w:r>
          </w:p>
        </w:tc>
        <w:tc>
          <w:tcPr>
            <w:tcW w:w="537" w:type="dxa"/>
            <w:shd w:val="clear" w:color="auto" w:fill="auto"/>
            <w:noWrap w:val="0"/>
            <w:vAlign w:val="center"/>
          </w:tcPr>
          <w:p w14:paraId="51138AD5">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59.7</w:t>
            </w:r>
          </w:p>
        </w:tc>
        <w:tc>
          <w:tcPr>
            <w:tcW w:w="542" w:type="dxa"/>
            <w:shd w:val="clear" w:color="auto" w:fill="auto"/>
            <w:noWrap w:val="0"/>
            <w:vAlign w:val="center"/>
          </w:tcPr>
          <w:p w14:paraId="19F4801A">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84.4</w:t>
            </w:r>
          </w:p>
        </w:tc>
        <w:tc>
          <w:tcPr>
            <w:tcW w:w="558" w:type="dxa"/>
            <w:shd w:val="clear" w:color="auto" w:fill="auto"/>
            <w:noWrap w:val="0"/>
            <w:vAlign w:val="center"/>
          </w:tcPr>
          <w:p w14:paraId="5E8AEC7A">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54.2</w:t>
            </w:r>
          </w:p>
        </w:tc>
        <w:tc>
          <w:tcPr>
            <w:tcW w:w="542" w:type="dxa"/>
            <w:shd w:val="clear" w:color="auto" w:fill="auto"/>
            <w:noWrap w:val="0"/>
            <w:vAlign w:val="center"/>
          </w:tcPr>
          <w:p w14:paraId="774F1670">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 xml:space="preserve">51.1 </w:t>
            </w:r>
          </w:p>
        </w:tc>
        <w:tc>
          <w:tcPr>
            <w:tcW w:w="542" w:type="dxa"/>
            <w:shd w:val="clear" w:color="auto" w:fill="auto"/>
            <w:noWrap w:val="0"/>
            <w:vAlign w:val="center"/>
          </w:tcPr>
          <w:p w14:paraId="3717317A">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 xml:space="preserve">49.8 </w:t>
            </w:r>
          </w:p>
        </w:tc>
        <w:tc>
          <w:tcPr>
            <w:tcW w:w="542" w:type="dxa"/>
            <w:shd w:val="clear" w:color="auto" w:fill="auto"/>
            <w:noWrap w:val="0"/>
            <w:vAlign w:val="center"/>
          </w:tcPr>
          <w:p w14:paraId="582C1951">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 xml:space="preserve">49.8 </w:t>
            </w:r>
          </w:p>
        </w:tc>
        <w:tc>
          <w:tcPr>
            <w:tcW w:w="555" w:type="dxa"/>
            <w:shd w:val="clear" w:color="auto" w:fill="auto"/>
            <w:noWrap w:val="0"/>
            <w:vAlign w:val="center"/>
          </w:tcPr>
          <w:p w14:paraId="13385E84">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 xml:space="preserve">49.8 </w:t>
            </w:r>
          </w:p>
        </w:tc>
        <w:tc>
          <w:tcPr>
            <w:tcW w:w="542" w:type="dxa"/>
            <w:vMerge w:val="continue"/>
            <w:shd w:val="clear" w:color="auto" w:fill="auto"/>
            <w:noWrap w:val="0"/>
            <w:vAlign w:val="center"/>
          </w:tcPr>
          <w:p w14:paraId="2F2A58C1">
            <w:pPr>
              <w:spacing w:line="280" w:lineRule="exact"/>
              <w:jc w:val="center"/>
              <w:rPr>
                <w:rFonts w:hint="default" w:ascii="Times New Roman" w:hAnsi="Times New Roman" w:eastAsia="宋体"/>
                <w:color w:val="auto"/>
                <w:szCs w:val="21"/>
                <w:highlight w:val="none"/>
                <w:lang w:val="en-US" w:eastAsia="zh-CN"/>
              </w:rPr>
            </w:pPr>
          </w:p>
        </w:tc>
        <w:tc>
          <w:tcPr>
            <w:tcW w:w="897" w:type="dxa"/>
            <w:shd w:val="clear" w:color="auto" w:fill="auto"/>
            <w:noWrap w:val="0"/>
            <w:vAlign w:val="center"/>
          </w:tcPr>
          <w:p w14:paraId="7A24F478">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24.3</w:t>
            </w:r>
          </w:p>
        </w:tc>
        <w:tc>
          <w:tcPr>
            <w:tcW w:w="746" w:type="dxa"/>
            <w:shd w:val="clear" w:color="auto" w:fill="auto"/>
            <w:noWrap w:val="0"/>
            <w:vAlign w:val="center"/>
          </w:tcPr>
          <w:p w14:paraId="193E5F17">
            <w:pPr>
              <w:spacing w:line="280" w:lineRule="exact"/>
              <w:jc w:val="center"/>
              <w:rPr>
                <w:rFonts w:hint="eastAsia" w:cs="Times New Roman"/>
                <w:color w:val="auto"/>
                <w:szCs w:val="21"/>
                <w:highlight w:val="none"/>
                <w:lang w:val="en-US" w:eastAsia="zh-CN"/>
              </w:rPr>
            </w:pPr>
            <w:r>
              <w:rPr>
                <w:rFonts w:hint="eastAsia" w:cs="Times New Roman"/>
                <w:color w:val="auto"/>
                <w:szCs w:val="21"/>
                <w:highlight w:val="none"/>
                <w:lang w:val="en-US" w:eastAsia="zh-CN"/>
              </w:rPr>
              <w:t>26.8</w:t>
            </w:r>
          </w:p>
        </w:tc>
        <w:tc>
          <w:tcPr>
            <w:tcW w:w="689" w:type="dxa"/>
            <w:shd w:val="clear" w:color="auto" w:fill="auto"/>
            <w:noWrap w:val="0"/>
            <w:vAlign w:val="center"/>
          </w:tcPr>
          <w:p w14:paraId="1995C2A0">
            <w:pPr>
              <w:spacing w:line="280" w:lineRule="exact"/>
              <w:jc w:val="center"/>
              <w:rPr>
                <w:rFonts w:hint="eastAsia" w:cs="Times New Roman"/>
                <w:color w:val="auto"/>
                <w:szCs w:val="21"/>
                <w:highlight w:val="none"/>
                <w:lang w:val="en-US" w:eastAsia="zh-CN"/>
              </w:rPr>
            </w:pPr>
            <w:r>
              <w:rPr>
                <w:rFonts w:hint="eastAsia" w:cs="Times New Roman"/>
                <w:color w:val="auto"/>
                <w:szCs w:val="21"/>
                <w:highlight w:val="none"/>
                <w:lang w:val="en-US" w:eastAsia="zh-CN"/>
              </w:rPr>
              <w:t>25.5</w:t>
            </w:r>
          </w:p>
        </w:tc>
        <w:tc>
          <w:tcPr>
            <w:tcW w:w="838" w:type="dxa"/>
            <w:shd w:val="clear" w:color="auto" w:fill="auto"/>
            <w:noWrap w:val="0"/>
            <w:vAlign w:val="center"/>
          </w:tcPr>
          <w:p w14:paraId="0B847F31">
            <w:pPr>
              <w:spacing w:line="280" w:lineRule="exact"/>
              <w:jc w:val="center"/>
              <w:rPr>
                <w:rFonts w:hint="eastAsia" w:cs="Times New Roman"/>
                <w:color w:val="auto"/>
                <w:szCs w:val="21"/>
                <w:highlight w:val="none"/>
                <w:lang w:val="en-US" w:eastAsia="zh-CN"/>
              </w:rPr>
            </w:pPr>
            <w:r>
              <w:rPr>
                <w:rFonts w:hint="eastAsia" w:cs="Times New Roman"/>
                <w:color w:val="auto"/>
                <w:szCs w:val="21"/>
                <w:highlight w:val="none"/>
                <w:lang w:val="en-US" w:eastAsia="zh-CN"/>
              </w:rPr>
              <w:t>25.5</w:t>
            </w:r>
          </w:p>
        </w:tc>
        <w:tc>
          <w:tcPr>
            <w:tcW w:w="750" w:type="dxa"/>
            <w:shd w:val="clear" w:color="auto" w:fill="auto"/>
            <w:noWrap w:val="0"/>
            <w:vAlign w:val="center"/>
          </w:tcPr>
          <w:p w14:paraId="4FEE38CC">
            <w:pPr>
              <w:spacing w:line="280" w:lineRule="exact"/>
              <w:jc w:val="center"/>
              <w:rPr>
                <w:rFonts w:hint="eastAsia" w:cs="Times New Roman"/>
                <w:color w:val="auto"/>
                <w:szCs w:val="21"/>
                <w:highlight w:val="none"/>
                <w:lang w:val="en-US" w:eastAsia="zh-CN"/>
              </w:rPr>
            </w:pPr>
            <w:r>
              <w:rPr>
                <w:rFonts w:hint="eastAsia" w:cs="Times New Roman"/>
                <w:color w:val="auto"/>
                <w:szCs w:val="21"/>
                <w:highlight w:val="none"/>
                <w:lang w:val="en-US" w:eastAsia="zh-CN"/>
              </w:rPr>
              <w:t>25.5</w:t>
            </w:r>
          </w:p>
        </w:tc>
        <w:tc>
          <w:tcPr>
            <w:tcW w:w="1096" w:type="dxa"/>
            <w:shd w:val="clear" w:color="auto" w:fill="auto"/>
            <w:noWrap w:val="0"/>
            <w:vAlign w:val="center"/>
          </w:tcPr>
          <w:p w14:paraId="4C04AED1">
            <w:pPr>
              <w:spacing w:line="280" w:lineRule="exact"/>
              <w:jc w:val="center"/>
              <w:rPr>
                <w:rFonts w:hint="eastAsia"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1</w:t>
            </w:r>
          </w:p>
        </w:tc>
      </w:tr>
      <w:tr w14:paraId="799EDA0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27" w:type="dxa"/>
            <w:shd w:val="clear" w:color="auto" w:fill="auto"/>
            <w:noWrap w:val="0"/>
            <w:vAlign w:val="center"/>
          </w:tcPr>
          <w:p w14:paraId="07B144AA">
            <w:pPr>
              <w:spacing w:line="280" w:lineRule="exact"/>
              <w:jc w:val="center"/>
              <w:rPr>
                <w:rFonts w:hint="default" w:ascii="Times New Roman" w:hAnsi="Times New Roman"/>
                <w:color w:val="auto"/>
                <w:szCs w:val="21"/>
                <w:highlight w:val="none"/>
                <w:lang w:val="en-US" w:eastAsia="zh-CN"/>
              </w:rPr>
            </w:pPr>
            <w:r>
              <w:rPr>
                <w:rFonts w:hint="eastAsia"/>
                <w:color w:val="auto"/>
                <w:szCs w:val="21"/>
                <w:highlight w:val="none"/>
                <w:lang w:val="en-US" w:eastAsia="zh-CN"/>
              </w:rPr>
              <w:t>46</w:t>
            </w:r>
          </w:p>
        </w:tc>
        <w:tc>
          <w:tcPr>
            <w:tcW w:w="1428" w:type="dxa"/>
            <w:shd w:val="clear" w:color="auto" w:fill="auto"/>
            <w:noWrap w:val="0"/>
            <w:vAlign w:val="center"/>
          </w:tcPr>
          <w:p w14:paraId="565458EA">
            <w:pPr>
              <w:spacing w:line="280" w:lineRule="exact"/>
              <w:jc w:val="center"/>
              <w:rPr>
                <w:rFonts w:hint="eastAsia" w:ascii="Times New Roman" w:hAnsi="Times New Roman" w:eastAsia="宋体" w:cs="Times New Roman"/>
                <w:b w:val="0"/>
                <w:bCs w:val="0"/>
                <w:color w:val="auto"/>
                <w:kern w:val="0"/>
                <w:sz w:val="21"/>
                <w:szCs w:val="21"/>
                <w:highlight w:val="none"/>
                <w:vertAlign w:val="baseline"/>
                <w:lang w:val="en-US" w:eastAsia="zh-CN"/>
              </w:rPr>
            </w:pPr>
            <w:r>
              <w:rPr>
                <w:rFonts w:hint="eastAsia" w:ascii="Times New Roman" w:hAnsi="Times New Roman" w:cs="Times New Roman"/>
                <w:color w:val="auto"/>
                <w:szCs w:val="21"/>
                <w:highlight w:val="none"/>
                <w:lang w:val="en-US" w:eastAsia="zh-CN"/>
              </w:rPr>
              <w:t>风柜机组4#</w:t>
            </w:r>
          </w:p>
        </w:tc>
        <w:tc>
          <w:tcPr>
            <w:tcW w:w="537" w:type="dxa"/>
            <w:shd w:val="clear" w:color="auto" w:fill="auto"/>
            <w:noWrap w:val="0"/>
            <w:vAlign w:val="center"/>
          </w:tcPr>
          <w:p w14:paraId="5947296C">
            <w:pPr>
              <w:spacing w:line="280" w:lineRule="exact"/>
              <w:jc w:val="center"/>
              <w:rPr>
                <w:rFonts w:hint="eastAsia" w:ascii="Times New Roman" w:hAnsi="Times New Roman"/>
                <w:color w:val="auto"/>
                <w:szCs w:val="21"/>
                <w:highlight w:val="none"/>
                <w:lang w:val="en-US" w:eastAsia="zh-CN"/>
              </w:rPr>
            </w:pPr>
            <w:r>
              <w:rPr>
                <w:rFonts w:hint="eastAsia"/>
                <w:color w:val="auto"/>
                <w:szCs w:val="21"/>
                <w:highlight w:val="none"/>
                <w:lang w:val="en-US" w:eastAsia="zh-CN"/>
              </w:rPr>
              <w:t>75</w:t>
            </w:r>
          </w:p>
        </w:tc>
        <w:tc>
          <w:tcPr>
            <w:tcW w:w="537" w:type="dxa"/>
            <w:shd w:val="clear" w:color="auto" w:fill="auto"/>
            <w:noWrap w:val="0"/>
            <w:vAlign w:val="center"/>
          </w:tcPr>
          <w:p w14:paraId="4EC55306">
            <w:pPr>
              <w:spacing w:line="280" w:lineRule="exact"/>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58.67</w:t>
            </w:r>
          </w:p>
        </w:tc>
        <w:tc>
          <w:tcPr>
            <w:tcW w:w="537" w:type="dxa"/>
            <w:shd w:val="clear" w:color="auto" w:fill="auto"/>
            <w:noWrap w:val="0"/>
            <w:vAlign w:val="center"/>
          </w:tcPr>
          <w:p w14:paraId="3F89E89C">
            <w:pPr>
              <w:spacing w:line="280" w:lineRule="exact"/>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79.67</w:t>
            </w:r>
          </w:p>
        </w:tc>
        <w:tc>
          <w:tcPr>
            <w:tcW w:w="558" w:type="dxa"/>
            <w:shd w:val="clear" w:color="auto" w:fill="auto"/>
            <w:noWrap w:val="0"/>
            <w:vAlign w:val="center"/>
          </w:tcPr>
          <w:p w14:paraId="50F3FF9B">
            <w:pPr>
              <w:spacing w:line="280" w:lineRule="exact"/>
              <w:jc w:val="center"/>
              <w:rPr>
                <w:rFonts w:hint="eastAsia"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1.4</w:t>
            </w:r>
          </w:p>
        </w:tc>
        <w:tc>
          <w:tcPr>
            <w:tcW w:w="537" w:type="dxa"/>
            <w:shd w:val="clear" w:color="auto" w:fill="auto"/>
            <w:noWrap w:val="0"/>
            <w:vAlign w:val="center"/>
          </w:tcPr>
          <w:p w14:paraId="4461B60B">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8.2</w:t>
            </w:r>
          </w:p>
        </w:tc>
        <w:tc>
          <w:tcPr>
            <w:tcW w:w="537" w:type="dxa"/>
            <w:shd w:val="clear" w:color="auto" w:fill="auto"/>
            <w:noWrap w:val="0"/>
            <w:vAlign w:val="center"/>
          </w:tcPr>
          <w:p w14:paraId="71343450">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56.3</w:t>
            </w:r>
          </w:p>
        </w:tc>
        <w:tc>
          <w:tcPr>
            <w:tcW w:w="542" w:type="dxa"/>
            <w:shd w:val="clear" w:color="auto" w:fill="auto"/>
            <w:noWrap w:val="0"/>
            <w:vAlign w:val="center"/>
          </w:tcPr>
          <w:p w14:paraId="1C93A250">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85.3</w:t>
            </w:r>
          </w:p>
        </w:tc>
        <w:tc>
          <w:tcPr>
            <w:tcW w:w="558" w:type="dxa"/>
            <w:shd w:val="clear" w:color="auto" w:fill="auto"/>
            <w:noWrap w:val="0"/>
            <w:vAlign w:val="center"/>
          </w:tcPr>
          <w:p w14:paraId="26E1733F">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54.9</w:t>
            </w:r>
          </w:p>
        </w:tc>
        <w:tc>
          <w:tcPr>
            <w:tcW w:w="542" w:type="dxa"/>
            <w:shd w:val="clear" w:color="auto" w:fill="auto"/>
            <w:noWrap w:val="0"/>
            <w:vAlign w:val="center"/>
          </w:tcPr>
          <w:p w14:paraId="564690CE">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 xml:space="preserve">51.2 </w:t>
            </w:r>
          </w:p>
        </w:tc>
        <w:tc>
          <w:tcPr>
            <w:tcW w:w="542" w:type="dxa"/>
            <w:shd w:val="clear" w:color="auto" w:fill="auto"/>
            <w:noWrap w:val="0"/>
            <w:vAlign w:val="center"/>
          </w:tcPr>
          <w:p w14:paraId="7C2CD212">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 xml:space="preserve">49.8 </w:t>
            </w:r>
          </w:p>
        </w:tc>
        <w:tc>
          <w:tcPr>
            <w:tcW w:w="542" w:type="dxa"/>
            <w:shd w:val="clear" w:color="auto" w:fill="auto"/>
            <w:noWrap w:val="0"/>
            <w:vAlign w:val="center"/>
          </w:tcPr>
          <w:p w14:paraId="1C793759">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 xml:space="preserve">49.8 </w:t>
            </w:r>
          </w:p>
        </w:tc>
        <w:tc>
          <w:tcPr>
            <w:tcW w:w="555" w:type="dxa"/>
            <w:shd w:val="clear" w:color="auto" w:fill="auto"/>
            <w:noWrap w:val="0"/>
            <w:vAlign w:val="center"/>
          </w:tcPr>
          <w:p w14:paraId="392BEEA4">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 xml:space="preserve">49.8 </w:t>
            </w:r>
          </w:p>
        </w:tc>
        <w:tc>
          <w:tcPr>
            <w:tcW w:w="542" w:type="dxa"/>
            <w:vMerge w:val="continue"/>
            <w:shd w:val="clear" w:color="auto" w:fill="auto"/>
            <w:noWrap w:val="0"/>
            <w:vAlign w:val="center"/>
          </w:tcPr>
          <w:p w14:paraId="29A94ACD">
            <w:pPr>
              <w:spacing w:line="280" w:lineRule="exact"/>
              <w:jc w:val="center"/>
              <w:rPr>
                <w:rFonts w:hint="default" w:ascii="Times New Roman" w:hAnsi="Times New Roman" w:eastAsia="宋体"/>
                <w:color w:val="auto"/>
                <w:szCs w:val="21"/>
                <w:highlight w:val="none"/>
                <w:lang w:val="en-US" w:eastAsia="zh-CN"/>
              </w:rPr>
            </w:pPr>
          </w:p>
        </w:tc>
        <w:tc>
          <w:tcPr>
            <w:tcW w:w="897" w:type="dxa"/>
            <w:shd w:val="clear" w:color="auto" w:fill="auto"/>
            <w:noWrap w:val="0"/>
            <w:vAlign w:val="center"/>
          </w:tcPr>
          <w:p w14:paraId="70BFFAFB">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24.3</w:t>
            </w:r>
          </w:p>
        </w:tc>
        <w:tc>
          <w:tcPr>
            <w:tcW w:w="746" w:type="dxa"/>
            <w:shd w:val="clear" w:color="auto" w:fill="auto"/>
            <w:noWrap w:val="0"/>
            <w:vAlign w:val="center"/>
          </w:tcPr>
          <w:p w14:paraId="6EAF86CE">
            <w:pPr>
              <w:spacing w:line="280" w:lineRule="exact"/>
              <w:jc w:val="center"/>
              <w:rPr>
                <w:rFonts w:hint="eastAsia" w:cs="Times New Roman"/>
                <w:color w:val="auto"/>
                <w:szCs w:val="21"/>
                <w:highlight w:val="none"/>
                <w:lang w:val="en-US" w:eastAsia="zh-CN"/>
              </w:rPr>
            </w:pPr>
            <w:r>
              <w:rPr>
                <w:rFonts w:hint="eastAsia" w:cs="Times New Roman"/>
                <w:color w:val="auto"/>
                <w:szCs w:val="21"/>
                <w:highlight w:val="none"/>
                <w:lang w:val="en-US" w:eastAsia="zh-CN"/>
              </w:rPr>
              <w:t>26.9</w:t>
            </w:r>
          </w:p>
        </w:tc>
        <w:tc>
          <w:tcPr>
            <w:tcW w:w="689" w:type="dxa"/>
            <w:shd w:val="clear" w:color="auto" w:fill="auto"/>
            <w:noWrap w:val="0"/>
            <w:vAlign w:val="center"/>
          </w:tcPr>
          <w:p w14:paraId="29E75828">
            <w:pPr>
              <w:spacing w:line="280" w:lineRule="exact"/>
              <w:jc w:val="center"/>
              <w:rPr>
                <w:rFonts w:hint="eastAsia" w:cs="Times New Roman"/>
                <w:color w:val="auto"/>
                <w:szCs w:val="21"/>
                <w:highlight w:val="none"/>
                <w:lang w:val="en-US" w:eastAsia="zh-CN"/>
              </w:rPr>
            </w:pPr>
            <w:r>
              <w:rPr>
                <w:rFonts w:hint="eastAsia" w:cs="Times New Roman"/>
                <w:color w:val="auto"/>
                <w:szCs w:val="21"/>
                <w:highlight w:val="none"/>
                <w:lang w:val="en-US" w:eastAsia="zh-CN"/>
              </w:rPr>
              <w:t>25.5</w:t>
            </w:r>
          </w:p>
        </w:tc>
        <w:tc>
          <w:tcPr>
            <w:tcW w:w="838" w:type="dxa"/>
            <w:shd w:val="clear" w:color="auto" w:fill="auto"/>
            <w:noWrap w:val="0"/>
            <w:vAlign w:val="center"/>
          </w:tcPr>
          <w:p w14:paraId="2A644759">
            <w:pPr>
              <w:spacing w:line="280" w:lineRule="exact"/>
              <w:jc w:val="center"/>
              <w:rPr>
                <w:rFonts w:hint="eastAsia" w:cs="Times New Roman"/>
                <w:color w:val="auto"/>
                <w:szCs w:val="21"/>
                <w:highlight w:val="none"/>
                <w:lang w:val="en-US" w:eastAsia="zh-CN"/>
              </w:rPr>
            </w:pPr>
            <w:r>
              <w:rPr>
                <w:rFonts w:hint="eastAsia" w:cs="Times New Roman"/>
                <w:color w:val="auto"/>
                <w:szCs w:val="21"/>
                <w:highlight w:val="none"/>
                <w:lang w:val="en-US" w:eastAsia="zh-CN"/>
              </w:rPr>
              <w:t>25.5</w:t>
            </w:r>
          </w:p>
        </w:tc>
        <w:tc>
          <w:tcPr>
            <w:tcW w:w="750" w:type="dxa"/>
            <w:shd w:val="clear" w:color="auto" w:fill="auto"/>
            <w:noWrap w:val="0"/>
            <w:vAlign w:val="center"/>
          </w:tcPr>
          <w:p w14:paraId="0034B920">
            <w:pPr>
              <w:spacing w:line="280" w:lineRule="exact"/>
              <w:jc w:val="center"/>
              <w:rPr>
                <w:rFonts w:hint="eastAsia" w:cs="Times New Roman"/>
                <w:color w:val="auto"/>
                <w:szCs w:val="21"/>
                <w:highlight w:val="none"/>
                <w:lang w:val="en-US" w:eastAsia="zh-CN"/>
              </w:rPr>
            </w:pPr>
            <w:r>
              <w:rPr>
                <w:rFonts w:hint="eastAsia" w:cs="Times New Roman"/>
                <w:color w:val="auto"/>
                <w:szCs w:val="21"/>
                <w:highlight w:val="none"/>
                <w:lang w:val="en-US" w:eastAsia="zh-CN"/>
              </w:rPr>
              <w:t>25.5</w:t>
            </w:r>
          </w:p>
        </w:tc>
        <w:tc>
          <w:tcPr>
            <w:tcW w:w="1096" w:type="dxa"/>
            <w:shd w:val="clear" w:color="auto" w:fill="auto"/>
            <w:noWrap w:val="0"/>
            <w:vAlign w:val="center"/>
          </w:tcPr>
          <w:p w14:paraId="4668AE81">
            <w:pPr>
              <w:spacing w:line="280" w:lineRule="exact"/>
              <w:jc w:val="center"/>
              <w:rPr>
                <w:rFonts w:hint="eastAsia"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1</w:t>
            </w:r>
          </w:p>
        </w:tc>
      </w:tr>
      <w:tr w14:paraId="3E48B08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427" w:type="dxa"/>
            <w:shd w:val="clear" w:color="auto" w:fill="auto"/>
            <w:noWrap w:val="0"/>
            <w:vAlign w:val="center"/>
          </w:tcPr>
          <w:p w14:paraId="0803F686">
            <w:pPr>
              <w:spacing w:line="280" w:lineRule="exact"/>
              <w:jc w:val="center"/>
              <w:rPr>
                <w:rFonts w:hint="default" w:ascii="Times New Roman" w:hAnsi="Times New Roman"/>
                <w:color w:val="auto"/>
                <w:szCs w:val="21"/>
                <w:highlight w:val="none"/>
                <w:lang w:val="en-US" w:eastAsia="zh-CN"/>
              </w:rPr>
            </w:pPr>
            <w:r>
              <w:rPr>
                <w:rFonts w:hint="eastAsia"/>
                <w:color w:val="auto"/>
                <w:szCs w:val="21"/>
                <w:highlight w:val="none"/>
                <w:lang w:val="en-US" w:eastAsia="zh-CN"/>
              </w:rPr>
              <w:t>47</w:t>
            </w:r>
          </w:p>
        </w:tc>
        <w:tc>
          <w:tcPr>
            <w:tcW w:w="1428" w:type="dxa"/>
            <w:shd w:val="clear" w:color="auto" w:fill="auto"/>
            <w:noWrap w:val="0"/>
            <w:vAlign w:val="center"/>
          </w:tcPr>
          <w:p w14:paraId="73C6C895">
            <w:pPr>
              <w:spacing w:line="280" w:lineRule="exact"/>
              <w:jc w:val="center"/>
              <w:rPr>
                <w:rFonts w:hint="eastAsia" w:ascii="Times New Roman" w:hAnsi="Times New Roman" w:eastAsia="宋体" w:cs="Times New Roman"/>
                <w:b w:val="0"/>
                <w:bCs w:val="0"/>
                <w:color w:val="auto"/>
                <w:kern w:val="0"/>
                <w:sz w:val="21"/>
                <w:szCs w:val="21"/>
                <w:highlight w:val="none"/>
                <w:vertAlign w:val="baseline"/>
                <w:lang w:val="en-US" w:eastAsia="zh-CN"/>
              </w:rPr>
            </w:pPr>
            <w:r>
              <w:rPr>
                <w:rFonts w:hint="eastAsia" w:ascii="Times New Roman" w:hAnsi="Times New Roman" w:cs="Times New Roman"/>
                <w:color w:val="auto"/>
                <w:szCs w:val="21"/>
                <w:highlight w:val="none"/>
                <w:lang w:val="en-US" w:eastAsia="zh-CN"/>
              </w:rPr>
              <w:t>风柜机组5#</w:t>
            </w:r>
          </w:p>
        </w:tc>
        <w:tc>
          <w:tcPr>
            <w:tcW w:w="537" w:type="dxa"/>
            <w:shd w:val="clear" w:color="auto" w:fill="auto"/>
            <w:noWrap w:val="0"/>
            <w:vAlign w:val="center"/>
          </w:tcPr>
          <w:p w14:paraId="735CDFEE">
            <w:pPr>
              <w:spacing w:line="280" w:lineRule="exact"/>
              <w:jc w:val="center"/>
              <w:rPr>
                <w:rFonts w:hint="eastAsia" w:ascii="Times New Roman" w:hAnsi="Times New Roman"/>
                <w:color w:val="auto"/>
                <w:szCs w:val="21"/>
                <w:highlight w:val="none"/>
                <w:lang w:val="en-US" w:eastAsia="zh-CN"/>
              </w:rPr>
            </w:pPr>
            <w:r>
              <w:rPr>
                <w:rFonts w:hint="eastAsia"/>
                <w:color w:val="auto"/>
                <w:szCs w:val="21"/>
                <w:highlight w:val="none"/>
                <w:lang w:val="en-US" w:eastAsia="zh-CN"/>
              </w:rPr>
              <w:t>75</w:t>
            </w:r>
          </w:p>
        </w:tc>
        <w:tc>
          <w:tcPr>
            <w:tcW w:w="537" w:type="dxa"/>
            <w:shd w:val="clear" w:color="auto" w:fill="auto"/>
            <w:noWrap w:val="0"/>
            <w:vAlign w:val="center"/>
          </w:tcPr>
          <w:p w14:paraId="712A6641">
            <w:pPr>
              <w:spacing w:line="280" w:lineRule="exact"/>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59.65</w:t>
            </w:r>
          </w:p>
        </w:tc>
        <w:tc>
          <w:tcPr>
            <w:tcW w:w="537" w:type="dxa"/>
            <w:shd w:val="clear" w:color="auto" w:fill="auto"/>
            <w:noWrap w:val="0"/>
            <w:vAlign w:val="center"/>
          </w:tcPr>
          <w:p w14:paraId="54F5BDA1">
            <w:pPr>
              <w:spacing w:line="280" w:lineRule="exact"/>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77.58</w:t>
            </w:r>
          </w:p>
        </w:tc>
        <w:tc>
          <w:tcPr>
            <w:tcW w:w="558" w:type="dxa"/>
            <w:shd w:val="clear" w:color="auto" w:fill="auto"/>
            <w:noWrap w:val="0"/>
            <w:vAlign w:val="center"/>
          </w:tcPr>
          <w:p w14:paraId="7CE8605D">
            <w:pPr>
              <w:spacing w:line="280" w:lineRule="exact"/>
              <w:jc w:val="center"/>
              <w:rPr>
                <w:rFonts w:hint="eastAsia"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1.4</w:t>
            </w:r>
          </w:p>
        </w:tc>
        <w:tc>
          <w:tcPr>
            <w:tcW w:w="537" w:type="dxa"/>
            <w:shd w:val="clear" w:color="auto" w:fill="auto"/>
            <w:noWrap w:val="0"/>
            <w:vAlign w:val="center"/>
          </w:tcPr>
          <w:p w14:paraId="00EB95DD">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7.7</w:t>
            </w:r>
          </w:p>
        </w:tc>
        <w:tc>
          <w:tcPr>
            <w:tcW w:w="537" w:type="dxa"/>
            <w:shd w:val="clear" w:color="auto" w:fill="auto"/>
            <w:noWrap w:val="0"/>
            <w:vAlign w:val="center"/>
          </w:tcPr>
          <w:p w14:paraId="04A8CA61">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55.4</w:t>
            </w:r>
          </w:p>
        </w:tc>
        <w:tc>
          <w:tcPr>
            <w:tcW w:w="542" w:type="dxa"/>
            <w:shd w:val="clear" w:color="auto" w:fill="auto"/>
            <w:noWrap w:val="0"/>
            <w:vAlign w:val="center"/>
          </w:tcPr>
          <w:p w14:paraId="5D700EDE">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83.2</w:t>
            </w:r>
          </w:p>
        </w:tc>
        <w:tc>
          <w:tcPr>
            <w:tcW w:w="558" w:type="dxa"/>
            <w:shd w:val="clear" w:color="auto" w:fill="auto"/>
            <w:noWrap w:val="0"/>
            <w:vAlign w:val="center"/>
          </w:tcPr>
          <w:p w14:paraId="18C108CF">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36.9</w:t>
            </w:r>
          </w:p>
        </w:tc>
        <w:tc>
          <w:tcPr>
            <w:tcW w:w="542" w:type="dxa"/>
            <w:shd w:val="clear" w:color="auto" w:fill="auto"/>
            <w:noWrap w:val="0"/>
            <w:vAlign w:val="center"/>
          </w:tcPr>
          <w:p w14:paraId="232560FC">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 xml:space="preserve">51.4 </w:t>
            </w:r>
          </w:p>
        </w:tc>
        <w:tc>
          <w:tcPr>
            <w:tcW w:w="542" w:type="dxa"/>
            <w:shd w:val="clear" w:color="auto" w:fill="auto"/>
            <w:noWrap w:val="0"/>
            <w:vAlign w:val="center"/>
          </w:tcPr>
          <w:p w14:paraId="0E02B759">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 xml:space="preserve">49.8 </w:t>
            </w:r>
          </w:p>
        </w:tc>
        <w:tc>
          <w:tcPr>
            <w:tcW w:w="542" w:type="dxa"/>
            <w:shd w:val="clear" w:color="auto" w:fill="auto"/>
            <w:noWrap w:val="0"/>
            <w:vAlign w:val="center"/>
          </w:tcPr>
          <w:p w14:paraId="52A8C60E">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 xml:space="preserve">49.8 </w:t>
            </w:r>
          </w:p>
        </w:tc>
        <w:tc>
          <w:tcPr>
            <w:tcW w:w="555" w:type="dxa"/>
            <w:shd w:val="clear" w:color="auto" w:fill="auto"/>
            <w:noWrap w:val="0"/>
            <w:vAlign w:val="center"/>
          </w:tcPr>
          <w:p w14:paraId="4BCFBCD3">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 xml:space="preserve">49.8 </w:t>
            </w:r>
          </w:p>
        </w:tc>
        <w:tc>
          <w:tcPr>
            <w:tcW w:w="542" w:type="dxa"/>
            <w:vMerge w:val="continue"/>
            <w:shd w:val="clear" w:color="auto" w:fill="auto"/>
            <w:noWrap w:val="0"/>
            <w:vAlign w:val="center"/>
          </w:tcPr>
          <w:p w14:paraId="5BF4794C">
            <w:pPr>
              <w:spacing w:line="280" w:lineRule="exact"/>
              <w:jc w:val="center"/>
              <w:rPr>
                <w:rFonts w:hint="default" w:ascii="Times New Roman" w:hAnsi="Times New Roman" w:eastAsia="宋体"/>
                <w:color w:val="auto"/>
                <w:szCs w:val="21"/>
                <w:highlight w:val="none"/>
                <w:lang w:val="en-US" w:eastAsia="zh-CN"/>
              </w:rPr>
            </w:pPr>
          </w:p>
        </w:tc>
        <w:tc>
          <w:tcPr>
            <w:tcW w:w="897" w:type="dxa"/>
            <w:shd w:val="clear" w:color="auto" w:fill="auto"/>
            <w:noWrap w:val="0"/>
            <w:vAlign w:val="center"/>
          </w:tcPr>
          <w:p w14:paraId="721FD74A">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24.3</w:t>
            </w:r>
          </w:p>
        </w:tc>
        <w:tc>
          <w:tcPr>
            <w:tcW w:w="746" w:type="dxa"/>
            <w:shd w:val="clear" w:color="auto" w:fill="auto"/>
            <w:noWrap w:val="0"/>
            <w:vAlign w:val="center"/>
          </w:tcPr>
          <w:p w14:paraId="3F1AA144">
            <w:pPr>
              <w:spacing w:line="280" w:lineRule="exact"/>
              <w:jc w:val="center"/>
              <w:rPr>
                <w:rFonts w:hint="eastAsia" w:cs="Times New Roman"/>
                <w:color w:val="auto"/>
                <w:szCs w:val="21"/>
                <w:highlight w:val="none"/>
                <w:lang w:val="en-US" w:eastAsia="zh-CN"/>
              </w:rPr>
            </w:pPr>
            <w:r>
              <w:rPr>
                <w:rFonts w:hint="eastAsia" w:cs="Times New Roman"/>
                <w:color w:val="auto"/>
                <w:szCs w:val="21"/>
                <w:highlight w:val="none"/>
                <w:lang w:val="en-US" w:eastAsia="zh-CN"/>
              </w:rPr>
              <w:t>27.1</w:t>
            </w:r>
          </w:p>
        </w:tc>
        <w:tc>
          <w:tcPr>
            <w:tcW w:w="689" w:type="dxa"/>
            <w:shd w:val="clear" w:color="auto" w:fill="auto"/>
            <w:noWrap w:val="0"/>
            <w:vAlign w:val="center"/>
          </w:tcPr>
          <w:p w14:paraId="5A1D9DAA">
            <w:pPr>
              <w:spacing w:line="280" w:lineRule="exact"/>
              <w:jc w:val="center"/>
              <w:rPr>
                <w:rFonts w:hint="eastAsia" w:cs="Times New Roman"/>
                <w:color w:val="auto"/>
                <w:szCs w:val="21"/>
                <w:highlight w:val="none"/>
                <w:lang w:val="en-US" w:eastAsia="zh-CN"/>
              </w:rPr>
            </w:pPr>
            <w:r>
              <w:rPr>
                <w:rFonts w:hint="eastAsia" w:cs="Times New Roman"/>
                <w:color w:val="auto"/>
                <w:szCs w:val="21"/>
                <w:highlight w:val="none"/>
                <w:lang w:val="en-US" w:eastAsia="zh-CN"/>
              </w:rPr>
              <w:t>25.5</w:t>
            </w:r>
          </w:p>
        </w:tc>
        <w:tc>
          <w:tcPr>
            <w:tcW w:w="838" w:type="dxa"/>
            <w:shd w:val="clear" w:color="auto" w:fill="auto"/>
            <w:noWrap w:val="0"/>
            <w:vAlign w:val="center"/>
          </w:tcPr>
          <w:p w14:paraId="3047604A">
            <w:pPr>
              <w:spacing w:line="280" w:lineRule="exact"/>
              <w:jc w:val="center"/>
              <w:rPr>
                <w:rFonts w:hint="eastAsia" w:cs="Times New Roman"/>
                <w:color w:val="auto"/>
                <w:szCs w:val="21"/>
                <w:highlight w:val="none"/>
                <w:lang w:val="en-US" w:eastAsia="zh-CN"/>
              </w:rPr>
            </w:pPr>
            <w:r>
              <w:rPr>
                <w:rFonts w:hint="eastAsia" w:cs="Times New Roman"/>
                <w:color w:val="auto"/>
                <w:szCs w:val="21"/>
                <w:highlight w:val="none"/>
                <w:lang w:val="en-US" w:eastAsia="zh-CN"/>
              </w:rPr>
              <w:t>25.5</w:t>
            </w:r>
          </w:p>
        </w:tc>
        <w:tc>
          <w:tcPr>
            <w:tcW w:w="750" w:type="dxa"/>
            <w:shd w:val="clear" w:color="auto" w:fill="auto"/>
            <w:noWrap w:val="0"/>
            <w:vAlign w:val="center"/>
          </w:tcPr>
          <w:p w14:paraId="66272D49">
            <w:pPr>
              <w:spacing w:line="280" w:lineRule="exact"/>
              <w:jc w:val="center"/>
              <w:rPr>
                <w:rFonts w:hint="eastAsia" w:cs="Times New Roman"/>
                <w:color w:val="auto"/>
                <w:szCs w:val="21"/>
                <w:highlight w:val="none"/>
                <w:lang w:val="en-US" w:eastAsia="zh-CN"/>
              </w:rPr>
            </w:pPr>
            <w:r>
              <w:rPr>
                <w:rFonts w:hint="eastAsia" w:cs="Times New Roman"/>
                <w:color w:val="auto"/>
                <w:szCs w:val="21"/>
                <w:highlight w:val="none"/>
                <w:lang w:val="en-US" w:eastAsia="zh-CN"/>
              </w:rPr>
              <w:t>25.5</w:t>
            </w:r>
          </w:p>
        </w:tc>
        <w:tc>
          <w:tcPr>
            <w:tcW w:w="1096" w:type="dxa"/>
            <w:shd w:val="clear" w:color="auto" w:fill="auto"/>
            <w:noWrap w:val="0"/>
            <w:vAlign w:val="center"/>
          </w:tcPr>
          <w:p w14:paraId="0AAC3A40">
            <w:pPr>
              <w:spacing w:line="280" w:lineRule="exact"/>
              <w:jc w:val="center"/>
              <w:rPr>
                <w:rFonts w:hint="eastAsia"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1</w:t>
            </w:r>
          </w:p>
        </w:tc>
      </w:tr>
      <w:tr w14:paraId="3D82721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27" w:type="dxa"/>
            <w:shd w:val="clear" w:color="auto" w:fill="auto"/>
            <w:noWrap w:val="0"/>
            <w:vAlign w:val="center"/>
          </w:tcPr>
          <w:p w14:paraId="3574298D">
            <w:pPr>
              <w:spacing w:line="280" w:lineRule="exact"/>
              <w:jc w:val="center"/>
              <w:rPr>
                <w:rFonts w:hint="default" w:ascii="Times New Roman" w:hAnsi="Times New Roman"/>
                <w:color w:val="auto"/>
                <w:szCs w:val="21"/>
                <w:highlight w:val="none"/>
                <w:lang w:val="en-US" w:eastAsia="zh-CN"/>
              </w:rPr>
            </w:pPr>
            <w:r>
              <w:rPr>
                <w:rFonts w:hint="eastAsia"/>
                <w:color w:val="auto"/>
                <w:szCs w:val="21"/>
                <w:highlight w:val="none"/>
                <w:lang w:val="en-US" w:eastAsia="zh-CN"/>
              </w:rPr>
              <w:t>48</w:t>
            </w:r>
          </w:p>
        </w:tc>
        <w:tc>
          <w:tcPr>
            <w:tcW w:w="1428" w:type="dxa"/>
            <w:shd w:val="clear" w:color="auto" w:fill="auto"/>
            <w:noWrap w:val="0"/>
            <w:vAlign w:val="center"/>
          </w:tcPr>
          <w:p w14:paraId="5406896F">
            <w:pPr>
              <w:spacing w:line="280" w:lineRule="exact"/>
              <w:jc w:val="center"/>
              <w:rPr>
                <w:rFonts w:hint="eastAsia" w:ascii="Times New Roman" w:hAnsi="Times New Roman" w:eastAsia="宋体" w:cs="Times New Roman"/>
                <w:b w:val="0"/>
                <w:bCs w:val="0"/>
                <w:color w:val="auto"/>
                <w:kern w:val="0"/>
                <w:sz w:val="21"/>
                <w:szCs w:val="21"/>
                <w:highlight w:val="none"/>
                <w:vertAlign w:val="baseline"/>
                <w:lang w:val="en-US" w:eastAsia="zh-CN"/>
              </w:rPr>
            </w:pPr>
            <w:r>
              <w:rPr>
                <w:rFonts w:hint="eastAsia" w:ascii="Times New Roman" w:hAnsi="Times New Roman" w:cs="Times New Roman"/>
                <w:color w:val="auto"/>
                <w:szCs w:val="21"/>
                <w:highlight w:val="none"/>
                <w:lang w:val="en-US" w:eastAsia="zh-CN"/>
              </w:rPr>
              <w:t>风柜机组6#</w:t>
            </w:r>
          </w:p>
        </w:tc>
        <w:tc>
          <w:tcPr>
            <w:tcW w:w="537" w:type="dxa"/>
            <w:shd w:val="clear" w:color="auto" w:fill="auto"/>
            <w:noWrap w:val="0"/>
            <w:vAlign w:val="center"/>
          </w:tcPr>
          <w:p w14:paraId="06681AFC">
            <w:pPr>
              <w:spacing w:line="280" w:lineRule="exact"/>
              <w:jc w:val="center"/>
              <w:rPr>
                <w:rFonts w:hint="eastAsia" w:ascii="Times New Roman" w:hAnsi="Times New Roman"/>
                <w:color w:val="auto"/>
                <w:szCs w:val="21"/>
                <w:highlight w:val="none"/>
                <w:lang w:val="en-US" w:eastAsia="zh-CN"/>
              </w:rPr>
            </w:pPr>
            <w:r>
              <w:rPr>
                <w:rFonts w:hint="eastAsia"/>
                <w:color w:val="auto"/>
                <w:szCs w:val="21"/>
                <w:highlight w:val="none"/>
                <w:lang w:val="en-US" w:eastAsia="zh-CN"/>
              </w:rPr>
              <w:t>75</w:t>
            </w:r>
          </w:p>
        </w:tc>
        <w:tc>
          <w:tcPr>
            <w:tcW w:w="537" w:type="dxa"/>
            <w:shd w:val="clear" w:color="auto" w:fill="auto"/>
            <w:noWrap w:val="0"/>
            <w:vAlign w:val="center"/>
          </w:tcPr>
          <w:p w14:paraId="7416ECCA">
            <w:pPr>
              <w:spacing w:line="280" w:lineRule="exact"/>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60.2</w:t>
            </w:r>
          </w:p>
        </w:tc>
        <w:tc>
          <w:tcPr>
            <w:tcW w:w="537" w:type="dxa"/>
            <w:shd w:val="clear" w:color="auto" w:fill="auto"/>
            <w:noWrap w:val="0"/>
            <w:vAlign w:val="center"/>
          </w:tcPr>
          <w:p w14:paraId="1FC513E1">
            <w:pPr>
              <w:spacing w:line="280" w:lineRule="exact"/>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74.93</w:t>
            </w:r>
          </w:p>
        </w:tc>
        <w:tc>
          <w:tcPr>
            <w:tcW w:w="558" w:type="dxa"/>
            <w:shd w:val="clear" w:color="auto" w:fill="auto"/>
            <w:noWrap w:val="0"/>
            <w:vAlign w:val="center"/>
          </w:tcPr>
          <w:p w14:paraId="58BB601B">
            <w:pPr>
              <w:spacing w:line="280" w:lineRule="exact"/>
              <w:jc w:val="center"/>
              <w:rPr>
                <w:rFonts w:hint="eastAsia"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1.4</w:t>
            </w:r>
          </w:p>
        </w:tc>
        <w:tc>
          <w:tcPr>
            <w:tcW w:w="537" w:type="dxa"/>
            <w:shd w:val="clear" w:color="auto" w:fill="auto"/>
            <w:noWrap w:val="0"/>
            <w:vAlign w:val="center"/>
          </w:tcPr>
          <w:p w14:paraId="778787E4">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8.7</w:t>
            </w:r>
          </w:p>
        </w:tc>
        <w:tc>
          <w:tcPr>
            <w:tcW w:w="537" w:type="dxa"/>
            <w:shd w:val="clear" w:color="auto" w:fill="auto"/>
            <w:noWrap w:val="0"/>
            <w:vAlign w:val="center"/>
          </w:tcPr>
          <w:p w14:paraId="16AC503F">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52.3</w:t>
            </w:r>
          </w:p>
        </w:tc>
        <w:tc>
          <w:tcPr>
            <w:tcW w:w="542" w:type="dxa"/>
            <w:shd w:val="clear" w:color="auto" w:fill="auto"/>
            <w:noWrap w:val="0"/>
            <w:vAlign w:val="center"/>
          </w:tcPr>
          <w:p w14:paraId="2FD47C74">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80.1</w:t>
            </w:r>
          </w:p>
        </w:tc>
        <w:tc>
          <w:tcPr>
            <w:tcW w:w="558" w:type="dxa"/>
            <w:shd w:val="clear" w:color="auto" w:fill="auto"/>
            <w:noWrap w:val="0"/>
            <w:vAlign w:val="center"/>
          </w:tcPr>
          <w:p w14:paraId="45267991">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58.8</w:t>
            </w:r>
          </w:p>
        </w:tc>
        <w:tc>
          <w:tcPr>
            <w:tcW w:w="542" w:type="dxa"/>
            <w:shd w:val="clear" w:color="auto" w:fill="auto"/>
            <w:noWrap w:val="0"/>
            <w:vAlign w:val="center"/>
          </w:tcPr>
          <w:p w14:paraId="50D75E17">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 xml:space="preserve">51.1 </w:t>
            </w:r>
          </w:p>
        </w:tc>
        <w:tc>
          <w:tcPr>
            <w:tcW w:w="542" w:type="dxa"/>
            <w:shd w:val="clear" w:color="auto" w:fill="auto"/>
            <w:noWrap w:val="0"/>
            <w:vAlign w:val="center"/>
          </w:tcPr>
          <w:p w14:paraId="46D77C7B">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 xml:space="preserve">49.8 </w:t>
            </w:r>
          </w:p>
        </w:tc>
        <w:tc>
          <w:tcPr>
            <w:tcW w:w="542" w:type="dxa"/>
            <w:shd w:val="clear" w:color="auto" w:fill="auto"/>
            <w:noWrap w:val="0"/>
            <w:vAlign w:val="center"/>
          </w:tcPr>
          <w:p w14:paraId="6F33BB4A">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 xml:space="preserve">49.8 </w:t>
            </w:r>
          </w:p>
        </w:tc>
        <w:tc>
          <w:tcPr>
            <w:tcW w:w="555" w:type="dxa"/>
            <w:shd w:val="clear" w:color="auto" w:fill="auto"/>
            <w:noWrap w:val="0"/>
            <w:vAlign w:val="center"/>
          </w:tcPr>
          <w:p w14:paraId="09BDEF59">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 xml:space="preserve">49.8 </w:t>
            </w:r>
          </w:p>
        </w:tc>
        <w:tc>
          <w:tcPr>
            <w:tcW w:w="542" w:type="dxa"/>
            <w:vMerge w:val="continue"/>
            <w:shd w:val="clear" w:color="auto" w:fill="auto"/>
            <w:noWrap w:val="0"/>
            <w:vAlign w:val="center"/>
          </w:tcPr>
          <w:p w14:paraId="2C154157">
            <w:pPr>
              <w:spacing w:line="280" w:lineRule="exact"/>
              <w:jc w:val="center"/>
              <w:rPr>
                <w:rFonts w:hint="default" w:ascii="Times New Roman" w:hAnsi="Times New Roman" w:eastAsia="宋体"/>
                <w:color w:val="auto"/>
                <w:szCs w:val="21"/>
                <w:highlight w:val="none"/>
                <w:lang w:val="en-US" w:eastAsia="zh-CN"/>
              </w:rPr>
            </w:pPr>
          </w:p>
        </w:tc>
        <w:tc>
          <w:tcPr>
            <w:tcW w:w="897" w:type="dxa"/>
            <w:shd w:val="clear" w:color="auto" w:fill="auto"/>
            <w:noWrap w:val="0"/>
            <w:vAlign w:val="center"/>
          </w:tcPr>
          <w:p w14:paraId="3C85DCB4">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24.3</w:t>
            </w:r>
          </w:p>
        </w:tc>
        <w:tc>
          <w:tcPr>
            <w:tcW w:w="746" w:type="dxa"/>
            <w:shd w:val="clear" w:color="auto" w:fill="auto"/>
            <w:noWrap w:val="0"/>
            <w:vAlign w:val="center"/>
          </w:tcPr>
          <w:p w14:paraId="41CD6B75">
            <w:pPr>
              <w:spacing w:line="280" w:lineRule="exact"/>
              <w:jc w:val="center"/>
              <w:rPr>
                <w:rFonts w:hint="eastAsia" w:cs="Times New Roman"/>
                <w:color w:val="auto"/>
                <w:szCs w:val="21"/>
                <w:highlight w:val="none"/>
                <w:lang w:val="en-US" w:eastAsia="zh-CN"/>
              </w:rPr>
            </w:pPr>
            <w:r>
              <w:rPr>
                <w:rFonts w:hint="eastAsia" w:cs="Times New Roman"/>
                <w:color w:val="auto"/>
                <w:szCs w:val="21"/>
                <w:highlight w:val="none"/>
                <w:lang w:val="en-US" w:eastAsia="zh-CN"/>
              </w:rPr>
              <w:t>26.8</w:t>
            </w:r>
          </w:p>
        </w:tc>
        <w:tc>
          <w:tcPr>
            <w:tcW w:w="689" w:type="dxa"/>
            <w:shd w:val="clear" w:color="auto" w:fill="auto"/>
            <w:noWrap w:val="0"/>
            <w:vAlign w:val="center"/>
          </w:tcPr>
          <w:p w14:paraId="0612C174">
            <w:pPr>
              <w:spacing w:line="280" w:lineRule="exact"/>
              <w:jc w:val="center"/>
              <w:rPr>
                <w:rFonts w:hint="eastAsia" w:cs="Times New Roman"/>
                <w:color w:val="auto"/>
                <w:szCs w:val="21"/>
                <w:highlight w:val="none"/>
                <w:lang w:val="en-US" w:eastAsia="zh-CN"/>
              </w:rPr>
            </w:pPr>
            <w:r>
              <w:rPr>
                <w:rFonts w:hint="eastAsia" w:cs="Times New Roman"/>
                <w:color w:val="auto"/>
                <w:szCs w:val="21"/>
                <w:highlight w:val="none"/>
                <w:lang w:val="en-US" w:eastAsia="zh-CN"/>
              </w:rPr>
              <w:t>25.5</w:t>
            </w:r>
          </w:p>
        </w:tc>
        <w:tc>
          <w:tcPr>
            <w:tcW w:w="838" w:type="dxa"/>
            <w:shd w:val="clear" w:color="auto" w:fill="auto"/>
            <w:noWrap w:val="0"/>
            <w:vAlign w:val="center"/>
          </w:tcPr>
          <w:p w14:paraId="4D3968CE">
            <w:pPr>
              <w:spacing w:line="280" w:lineRule="exact"/>
              <w:jc w:val="center"/>
              <w:rPr>
                <w:rFonts w:hint="eastAsia" w:cs="Times New Roman"/>
                <w:color w:val="auto"/>
                <w:szCs w:val="21"/>
                <w:highlight w:val="none"/>
                <w:lang w:val="en-US" w:eastAsia="zh-CN"/>
              </w:rPr>
            </w:pPr>
            <w:r>
              <w:rPr>
                <w:rFonts w:hint="eastAsia" w:cs="Times New Roman"/>
                <w:color w:val="auto"/>
                <w:szCs w:val="21"/>
                <w:highlight w:val="none"/>
                <w:lang w:val="en-US" w:eastAsia="zh-CN"/>
              </w:rPr>
              <w:t>25.5</w:t>
            </w:r>
          </w:p>
        </w:tc>
        <w:tc>
          <w:tcPr>
            <w:tcW w:w="750" w:type="dxa"/>
            <w:shd w:val="clear" w:color="auto" w:fill="auto"/>
            <w:noWrap w:val="0"/>
            <w:vAlign w:val="center"/>
          </w:tcPr>
          <w:p w14:paraId="31B56D77">
            <w:pPr>
              <w:spacing w:line="280" w:lineRule="exact"/>
              <w:jc w:val="center"/>
              <w:rPr>
                <w:rFonts w:hint="eastAsia" w:cs="Times New Roman"/>
                <w:color w:val="auto"/>
                <w:szCs w:val="21"/>
                <w:highlight w:val="none"/>
                <w:lang w:val="en-US" w:eastAsia="zh-CN"/>
              </w:rPr>
            </w:pPr>
            <w:r>
              <w:rPr>
                <w:rFonts w:hint="eastAsia" w:cs="Times New Roman"/>
                <w:color w:val="auto"/>
                <w:szCs w:val="21"/>
                <w:highlight w:val="none"/>
                <w:lang w:val="en-US" w:eastAsia="zh-CN"/>
              </w:rPr>
              <w:t>25.5</w:t>
            </w:r>
          </w:p>
        </w:tc>
        <w:tc>
          <w:tcPr>
            <w:tcW w:w="1096" w:type="dxa"/>
            <w:shd w:val="clear" w:color="auto" w:fill="auto"/>
            <w:noWrap w:val="0"/>
            <w:vAlign w:val="center"/>
          </w:tcPr>
          <w:p w14:paraId="066B3C9B">
            <w:pPr>
              <w:spacing w:line="280" w:lineRule="exact"/>
              <w:jc w:val="center"/>
              <w:rPr>
                <w:rFonts w:hint="eastAsia"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1</w:t>
            </w:r>
          </w:p>
        </w:tc>
      </w:tr>
      <w:tr w14:paraId="2EE56C8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27" w:type="dxa"/>
            <w:shd w:val="clear" w:color="auto" w:fill="auto"/>
            <w:noWrap w:val="0"/>
            <w:vAlign w:val="center"/>
          </w:tcPr>
          <w:p w14:paraId="5E45EF76">
            <w:pPr>
              <w:spacing w:line="280" w:lineRule="exact"/>
              <w:jc w:val="center"/>
              <w:rPr>
                <w:rFonts w:hint="default" w:ascii="Times New Roman" w:hAnsi="Times New Roman"/>
                <w:color w:val="auto"/>
                <w:szCs w:val="21"/>
                <w:highlight w:val="none"/>
                <w:lang w:val="en-US" w:eastAsia="zh-CN"/>
              </w:rPr>
            </w:pPr>
            <w:r>
              <w:rPr>
                <w:rFonts w:hint="eastAsia"/>
                <w:color w:val="auto"/>
                <w:szCs w:val="21"/>
                <w:highlight w:val="none"/>
                <w:lang w:val="en-US" w:eastAsia="zh-CN"/>
              </w:rPr>
              <w:t>49</w:t>
            </w:r>
          </w:p>
        </w:tc>
        <w:tc>
          <w:tcPr>
            <w:tcW w:w="1428" w:type="dxa"/>
            <w:shd w:val="clear" w:color="auto" w:fill="auto"/>
            <w:noWrap w:val="0"/>
            <w:vAlign w:val="center"/>
          </w:tcPr>
          <w:p w14:paraId="5639EB4A">
            <w:pPr>
              <w:spacing w:line="280" w:lineRule="exact"/>
              <w:jc w:val="center"/>
              <w:rPr>
                <w:rFonts w:hint="eastAsia" w:ascii="Times New Roman" w:hAnsi="Times New Roman" w:cs="Times New Roman"/>
                <w:color w:val="auto"/>
                <w:szCs w:val="21"/>
                <w:highlight w:val="none"/>
                <w:lang w:val="en-US" w:eastAsia="zh-CN"/>
              </w:rPr>
            </w:pPr>
            <w:r>
              <w:rPr>
                <w:rFonts w:hint="eastAsia" w:ascii="Times New Roman" w:hAnsi="Times New Roman" w:cs="Times New Roman"/>
                <w:color w:val="auto"/>
                <w:szCs w:val="21"/>
                <w:highlight w:val="none"/>
                <w:lang w:val="en-US" w:eastAsia="zh-CN"/>
              </w:rPr>
              <w:t>风柜机组7#</w:t>
            </w:r>
          </w:p>
        </w:tc>
        <w:tc>
          <w:tcPr>
            <w:tcW w:w="537" w:type="dxa"/>
            <w:shd w:val="clear" w:color="auto" w:fill="auto"/>
            <w:noWrap w:val="0"/>
            <w:vAlign w:val="center"/>
          </w:tcPr>
          <w:p w14:paraId="443ACF6C">
            <w:pPr>
              <w:spacing w:line="280" w:lineRule="exact"/>
              <w:jc w:val="center"/>
              <w:rPr>
                <w:rFonts w:hint="eastAsia" w:ascii="Times New Roman" w:hAnsi="Times New Roman"/>
                <w:color w:val="auto"/>
                <w:szCs w:val="21"/>
                <w:highlight w:val="none"/>
                <w:lang w:val="en-US" w:eastAsia="zh-CN"/>
              </w:rPr>
            </w:pPr>
            <w:r>
              <w:rPr>
                <w:rFonts w:hint="eastAsia"/>
                <w:color w:val="auto"/>
                <w:szCs w:val="21"/>
                <w:highlight w:val="none"/>
                <w:lang w:val="en-US" w:eastAsia="zh-CN"/>
              </w:rPr>
              <w:t>75</w:t>
            </w:r>
          </w:p>
        </w:tc>
        <w:tc>
          <w:tcPr>
            <w:tcW w:w="537" w:type="dxa"/>
            <w:shd w:val="clear" w:color="auto" w:fill="auto"/>
            <w:noWrap w:val="0"/>
            <w:vAlign w:val="center"/>
          </w:tcPr>
          <w:p w14:paraId="759DE5DE">
            <w:pPr>
              <w:spacing w:line="280" w:lineRule="exact"/>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60.76</w:t>
            </w:r>
          </w:p>
        </w:tc>
        <w:tc>
          <w:tcPr>
            <w:tcW w:w="537" w:type="dxa"/>
            <w:shd w:val="clear" w:color="auto" w:fill="auto"/>
            <w:noWrap w:val="0"/>
            <w:vAlign w:val="center"/>
          </w:tcPr>
          <w:p w14:paraId="07FCFEE1">
            <w:pPr>
              <w:spacing w:line="280" w:lineRule="exact"/>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73.25</w:t>
            </w:r>
          </w:p>
        </w:tc>
        <w:tc>
          <w:tcPr>
            <w:tcW w:w="558" w:type="dxa"/>
            <w:shd w:val="clear" w:color="auto" w:fill="auto"/>
            <w:noWrap w:val="0"/>
            <w:vAlign w:val="center"/>
          </w:tcPr>
          <w:p w14:paraId="35188470">
            <w:pPr>
              <w:spacing w:line="280" w:lineRule="exact"/>
              <w:jc w:val="center"/>
              <w:rPr>
                <w:rFonts w:hint="eastAsia"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1.4</w:t>
            </w:r>
          </w:p>
        </w:tc>
        <w:tc>
          <w:tcPr>
            <w:tcW w:w="537" w:type="dxa"/>
            <w:shd w:val="clear" w:color="auto" w:fill="auto"/>
            <w:noWrap w:val="0"/>
            <w:vAlign w:val="center"/>
          </w:tcPr>
          <w:p w14:paraId="37F621D4">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7.7</w:t>
            </w:r>
          </w:p>
        </w:tc>
        <w:tc>
          <w:tcPr>
            <w:tcW w:w="537" w:type="dxa"/>
            <w:shd w:val="clear" w:color="auto" w:fill="auto"/>
            <w:noWrap w:val="0"/>
            <w:vAlign w:val="center"/>
          </w:tcPr>
          <w:p w14:paraId="4847EFCF">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51.4</w:t>
            </w:r>
          </w:p>
        </w:tc>
        <w:tc>
          <w:tcPr>
            <w:tcW w:w="542" w:type="dxa"/>
            <w:shd w:val="clear" w:color="auto" w:fill="auto"/>
            <w:noWrap w:val="0"/>
            <w:vAlign w:val="center"/>
          </w:tcPr>
          <w:p w14:paraId="71543887">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82.5</w:t>
            </w:r>
          </w:p>
        </w:tc>
        <w:tc>
          <w:tcPr>
            <w:tcW w:w="558" w:type="dxa"/>
            <w:shd w:val="clear" w:color="auto" w:fill="auto"/>
            <w:noWrap w:val="0"/>
            <w:vAlign w:val="center"/>
          </w:tcPr>
          <w:p w14:paraId="43A63212">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47.6</w:t>
            </w:r>
          </w:p>
        </w:tc>
        <w:tc>
          <w:tcPr>
            <w:tcW w:w="542" w:type="dxa"/>
            <w:shd w:val="clear" w:color="auto" w:fill="auto"/>
            <w:noWrap w:val="0"/>
            <w:vAlign w:val="center"/>
          </w:tcPr>
          <w:p w14:paraId="092C293D">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 xml:space="preserve">51.4 </w:t>
            </w:r>
          </w:p>
        </w:tc>
        <w:tc>
          <w:tcPr>
            <w:tcW w:w="542" w:type="dxa"/>
            <w:shd w:val="clear" w:color="auto" w:fill="auto"/>
            <w:noWrap w:val="0"/>
            <w:vAlign w:val="center"/>
          </w:tcPr>
          <w:p w14:paraId="24252C56">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 xml:space="preserve">49.8 </w:t>
            </w:r>
          </w:p>
        </w:tc>
        <w:tc>
          <w:tcPr>
            <w:tcW w:w="542" w:type="dxa"/>
            <w:shd w:val="clear" w:color="auto" w:fill="auto"/>
            <w:noWrap w:val="0"/>
            <w:vAlign w:val="center"/>
          </w:tcPr>
          <w:p w14:paraId="41D5E114">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 xml:space="preserve">49.8 </w:t>
            </w:r>
          </w:p>
        </w:tc>
        <w:tc>
          <w:tcPr>
            <w:tcW w:w="555" w:type="dxa"/>
            <w:shd w:val="clear" w:color="auto" w:fill="auto"/>
            <w:noWrap w:val="0"/>
            <w:vAlign w:val="center"/>
          </w:tcPr>
          <w:p w14:paraId="3052DD5A">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 xml:space="preserve">49.8 </w:t>
            </w:r>
          </w:p>
        </w:tc>
        <w:tc>
          <w:tcPr>
            <w:tcW w:w="542" w:type="dxa"/>
            <w:vMerge w:val="continue"/>
            <w:shd w:val="clear" w:color="auto" w:fill="auto"/>
            <w:noWrap w:val="0"/>
            <w:vAlign w:val="center"/>
          </w:tcPr>
          <w:p w14:paraId="16C88BF7">
            <w:pPr>
              <w:spacing w:line="280" w:lineRule="exact"/>
              <w:jc w:val="center"/>
              <w:rPr>
                <w:rFonts w:hint="default" w:ascii="Times New Roman" w:hAnsi="Times New Roman" w:eastAsia="宋体"/>
                <w:color w:val="auto"/>
                <w:szCs w:val="21"/>
                <w:highlight w:val="none"/>
                <w:lang w:val="en-US" w:eastAsia="zh-CN"/>
              </w:rPr>
            </w:pPr>
          </w:p>
        </w:tc>
        <w:tc>
          <w:tcPr>
            <w:tcW w:w="897" w:type="dxa"/>
            <w:shd w:val="clear" w:color="auto" w:fill="auto"/>
            <w:noWrap w:val="0"/>
            <w:vAlign w:val="center"/>
          </w:tcPr>
          <w:p w14:paraId="357DB82E">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24.3</w:t>
            </w:r>
          </w:p>
        </w:tc>
        <w:tc>
          <w:tcPr>
            <w:tcW w:w="746" w:type="dxa"/>
            <w:shd w:val="clear" w:color="auto" w:fill="auto"/>
            <w:noWrap w:val="0"/>
            <w:vAlign w:val="center"/>
          </w:tcPr>
          <w:p w14:paraId="46F26B45">
            <w:pPr>
              <w:spacing w:line="280" w:lineRule="exact"/>
              <w:jc w:val="center"/>
              <w:rPr>
                <w:rFonts w:hint="eastAsia" w:cs="Times New Roman"/>
                <w:color w:val="auto"/>
                <w:szCs w:val="21"/>
                <w:highlight w:val="none"/>
                <w:lang w:val="en-US" w:eastAsia="zh-CN"/>
              </w:rPr>
            </w:pPr>
            <w:r>
              <w:rPr>
                <w:rFonts w:hint="eastAsia" w:cs="Times New Roman"/>
                <w:color w:val="auto"/>
                <w:szCs w:val="21"/>
                <w:highlight w:val="none"/>
                <w:lang w:val="en-US" w:eastAsia="zh-CN"/>
              </w:rPr>
              <w:t>27.1</w:t>
            </w:r>
          </w:p>
        </w:tc>
        <w:tc>
          <w:tcPr>
            <w:tcW w:w="689" w:type="dxa"/>
            <w:shd w:val="clear" w:color="auto" w:fill="auto"/>
            <w:noWrap w:val="0"/>
            <w:vAlign w:val="center"/>
          </w:tcPr>
          <w:p w14:paraId="0FACA86E">
            <w:pPr>
              <w:spacing w:line="280" w:lineRule="exact"/>
              <w:jc w:val="center"/>
              <w:rPr>
                <w:rFonts w:hint="eastAsia" w:cs="Times New Roman"/>
                <w:color w:val="auto"/>
                <w:szCs w:val="21"/>
                <w:highlight w:val="none"/>
                <w:lang w:val="en-US" w:eastAsia="zh-CN"/>
              </w:rPr>
            </w:pPr>
            <w:r>
              <w:rPr>
                <w:rFonts w:hint="eastAsia" w:cs="Times New Roman"/>
                <w:color w:val="auto"/>
                <w:szCs w:val="21"/>
                <w:highlight w:val="none"/>
                <w:lang w:val="en-US" w:eastAsia="zh-CN"/>
              </w:rPr>
              <w:t>25.5</w:t>
            </w:r>
          </w:p>
        </w:tc>
        <w:tc>
          <w:tcPr>
            <w:tcW w:w="838" w:type="dxa"/>
            <w:shd w:val="clear" w:color="auto" w:fill="auto"/>
            <w:noWrap w:val="0"/>
            <w:vAlign w:val="center"/>
          </w:tcPr>
          <w:p w14:paraId="184732C9">
            <w:pPr>
              <w:spacing w:line="280" w:lineRule="exact"/>
              <w:jc w:val="center"/>
              <w:rPr>
                <w:rFonts w:hint="eastAsia" w:cs="Times New Roman"/>
                <w:color w:val="auto"/>
                <w:szCs w:val="21"/>
                <w:highlight w:val="none"/>
                <w:lang w:val="en-US" w:eastAsia="zh-CN"/>
              </w:rPr>
            </w:pPr>
            <w:r>
              <w:rPr>
                <w:rFonts w:hint="eastAsia" w:cs="Times New Roman"/>
                <w:color w:val="auto"/>
                <w:szCs w:val="21"/>
                <w:highlight w:val="none"/>
                <w:lang w:val="en-US" w:eastAsia="zh-CN"/>
              </w:rPr>
              <w:t>25.5</w:t>
            </w:r>
          </w:p>
        </w:tc>
        <w:tc>
          <w:tcPr>
            <w:tcW w:w="750" w:type="dxa"/>
            <w:shd w:val="clear" w:color="auto" w:fill="auto"/>
            <w:noWrap w:val="0"/>
            <w:vAlign w:val="center"/>
          </w:tcPr>
          <w:p w14:paraId="65923414">
            <w:pPr>
              <w:spacing w:line="280" w:lineRule="exact"/>
              <w:jc w:val="center"/>
              <w:rPr>
                <w:rFonts w:hint="eastAsia" w:cs="Times New Roman"/>
                <w:color w:val="auto"/>
                <w:szCs w:val="21"/>
                <w:highlight w:val="none"/>
                <w:lang w:val="en-US" w:eastAsia="zh-CN"/>
              </w:rPr>
            </w:pPr>
            <w:r>
              <w:rPr>
                <w:rFonts w:hint="eastAsia" w:cs="Times New Roman"/>
                <w:color w:val="auto"/>
                <w:szCs w:val="21"/>
                <w:highlight w:val="none"/>
                <w:lang w:val="en-US" w:eastAsia="zh-CN"/>
              </w:rPr>
              <w:t>25.5</w:t>
            </w:r>
          </w:p>
        </w:tc>
        <w:tc>
          <w:tcPr>
            <w:tcW w:w="1096" w:type="dxa"/>
            <w:shd w:val="clear" w:color="auto" w:fill="auto"/>
            <w:noWrap w:val="0"/>
            <w:vAlign w:val="center"/>
          </w:tcPr>
          <w:p w14:paraId="5CCF6C6C">
            <w:pPr>
              <w:spacing w:line="280" w:lineRule="exact"/>
              <w:jc w:val="center"/>
              <w:rPr>
                <w:rFonts w:hint="eastAsia"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1</w:t>
            </w:r>
          </w:p>
        </w:tc>
      </w:tr>
      <w:tr w14:paraId="6EC68A3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27" w:type="dxa"/>
            <w:shd w:val="clear" w:color="auto" w:fill="auto"/>
            <w:noWrap w:val="0"/>
            <w:vAlign w:val="center"/>
          </w:tcPr>
          <w:p w14:paraId="1DD36224">
            <w:pPr>
              <w:spacing w:line="280" w:lineRule="exact"/>
              <w:jc w:val="center"/>
              <w:rPr>
                <w:rFonts w:hint="default" w:ascii="Times New Roman" w:hAnsi="Times New Roman"/>
                <w:color w:val="auto"/>
                <w:szCs w:val="21"/>
                <w:highlight w:val="none"/>
                <w:lang w:val="en-US" w:eastAsia="zh-CN"/>
              </w:rPr>
            </w:pPr>
            <w:r>
              <w:rPr>
                <w:rFonts w:hint="eastAsia"/>
                <w:color w:val="auto"/>
                <w:szCs w:val="21"/>
                <w:highlight w:val="none"/>
                <w:lang w:val="en-US" w:eastAsia="zh-CN"/>
              </w:rPr>
              <w:t>50</w:t>
            </w:r>
          </w:p>
        </w:tc>
        <w:tc>
          <w:tcPr>
            <w:tcW w:w="1428" w:type="dxa"/>
            <w:shd w:val="clear" w:color="auto" w:fill="auto"/>
            <w:noWrap w:val="0"/>
            <w:vAlign w:val="center"/>
          </w:tcPr>
          <w:p w14:paraId="4241D0DB">
            <w:pPr>
              <w:spacing w:line="280" w:lineRule="exact"/>
              <w:jc w:val="center"/>
              <w:rPr>
                <w:rFonts w:hint="eastAsia" w:ascii="Times New Roman" w:hAnsi="Times New Roman" w:cs="Times New Roman"/>
                <w:color w:val="auto"/>
                <w:szCs w:val="21"/>
                <w:highlight w:val="none"/>
                <w:lang w:val="en-US" w:eastAsia="zh-CN"/>
              </w:rPr>
            </w:pPr>
            <w:r>
              <w:rPr>
                <w:rFonts w:hint="eastAsia" w:ascii="Times New Roman" w:hAnsi="Times New Roman" w:cs="Times New Roman"/>
                <w:color w:val="auto"/>
                <w:szCs w:val="21"/>
                <w:highlight w:val="none"/>
                <w:lang w:val="en-US" w:eastAsia="zh-CN"/>
              </w:rPr>
              <w:t>风柜机组8#</w:t>
            </w:r>
          </w:p>
        </w:tc>
        <w:tc>
          <w:tcPr>
            <w:tcW w:w="537" w:type="dxa"/>
            <w:shd w:val="clear" w:color="auto" w:fill="auto"/>
            <w:noWrap w:val="0"/>
            <w:vAlign w:val="center"/>
          </w:tcPr>
          <w:p w14:paraId="3D80DDCA">
            <w:pPr>
              <w:spacing w:line="280" w:lineRule="exact"/>
              <w:jc w:val="center"/>
              <w:rPr>
                <w:rFonts w:hint="eastAsia" w:ascii="Times New Roman" w:hAnsi="Times New Roman"/>
                <w:color w:val="auto"/>
                <w:szCs w:val="21"/>
                <w:highlight w:val="none"/>
                <w:lang w:val="en-US" w:eastAsia="zh-CN"/>
              </w:rPr>
            </w:pPr>
            <w:r>
              <w:rPr>
                <w:rFonts w:hint="eastAsia"/>
                <w:color w:val="auto"/>
                <w:szCs w:val="21"/>
                <w:highlight w:val="none"/>
                <w:lang w:val="en-US" w:eastAsia="zh-CN"/>
              </w:rPr>
              <w:t>75</w:t>
            </w:r>
          </w:p>
        </w:tc>
        <w:tc>
          <w:tcPr>
            <w:tcW w:w="537" w:type="dxa"/>
            <w:shd w:val="clear" w:color="auto" w:fill="auto"/>
            <w:noWrap w:val="0"/>
            <w:vAlign w:val="center"/>
          </w:tcPr>
          <w:p w14:paraId="755DA866">
            <w:pPr>
              <w:spacing w:line="280" w:lineRule="exact"/>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61.46</w:t>
            </w:r>
          </w:p>
        </w:tc>
        <w:tc>
          <w:tcPr>
            <w:tcW w:w="537" w:type="dxa"/>
            <w:shd w:val="clear" w:color="auto" w:fill="auto"/>
            <w:noWrap w:val="0"/>
            <w:vAlign w:val="center"/>
          </w:tcPr>
          <w:p w14:paraId="762C65FF">
            <w:pPr>
              <w:spacing w:line="280" w:lineRule="exact"/>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71.44</w:t>
            </w:r>
          </w:p>
        </w:tc>
        <w:tc>
          <w:tcPr>
            <w:tcW w:w="558" w:type="dxa"/>
            <w:shd w:val="clear" w:color="auto" w:fill="auto"/>
            <w:noWrap w:val="0"/>
            <w:vAlign w:val="center"/>
          </w:tcPr>
          <w:p w14:paraId="6ABB5276">
            <w:pPr>
              <w:spacing w:line="280" w:lineRule="exact"/>
              <w:jc w:val="center"/>
              <w:rPr>
                <w:rFonts w:hint="eastAsia"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1.4</w:t>
            </w:r>
          </w:p>
        </w:tc>
        <w:tc>
          <w:tcPr>
            <w:tcW w:w="537" w:type="dxa"/>
            <w:shd w:val="clear" w:color="auto" w:fill="auto"/>
            <w:noWrap w:val="0"/>
            <w:vAlign w:val="center"/>
          </w:tcPr>
          <w:p w14:paraId="4B0C4FDC">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8.2</w:t>
            </w:r>
          </w:p>
        </w:tc>
        <w:tc>
          <w:tcPr>
            <w:tcW w:w="537" w:type="dxa"/>
            <w:shd w:val="clear" w:color="auto" w:fill="auto"/>
            <w:noWrap w:val="0"/>
            <w:vAlign w:val="center"/>
          </w:tcPr>
          <w:p w14:paraId="0271FC5D">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47.9</w:t>
            </w:r>
          </w:p>
        </w:tc>
        <w:tc>
          <w:tcPr>
            <w:tcW w:w="542" w:type="dxa"/>
            <w:shd w:val="clear" w:color="auto" w:fill="auto"/>
            <w:noWrap w:val="0"/>
            <w:vAlign w:val="center"/>
          </w:tcPr>
          <w:p w14:paraId="2A5798BD">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81.9</w:t>
            </w:r>
          </w:p>
        </w:tc>
        <w:tc>
          <w:tcPr>
            <w:tcW w:w="558" w:type="dxa"/>
            <w:shd w:val="clear" w:color="auto" w:fill="auto"/>
            <w:noWrap w:val="0"/>
            <w:vAlign w:val="center"/>
          </w:tcPr>
          <w:p w14:paraId="30ED67C7">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42.4</w:t>
            </w:r>
          </w:p>
        </w:tc>
        <w:tc>
          <w:tcPr>
            <w:tcW w:w="542" w:type="dxa"/>
            <w:shd w:val="clear" w:color="auto" w:fill="auto"/>
            <w:noWrap w:val="0"/>
            <w:vAlign w:val="center"/>
          </w:tcPr>
          <w:p w14:paraId="37A3DB95">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 xml:space="preserve">51.2 </w:t>
            </w:r>
          </w:p>
        </w:tc>
        <w:tc>
          <w:tcPr>
            <w:tcW w:w="542" w:type="dxa"/>
            <w:shd w:val="clear" w:color="auto" w:fill="auto"/>
            <w:noWrap w:val="0"/>
            <w:vAlign w:val="center"/>
          </w:tcPr>
          <w:p w14:paraId="471C57D4">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 xml:space="preserve">49.8 </w:t>
            </w:r>
          </w:p>
        </w:tc>
        <w:tc>
          <w:tcPr>
            <w:tcW w:w="542" w:type="dxa"/>
            <w:shd w:val="clear" w:color="auto" w:fill="auto"/>
            <w:noWrap w:val="0"/>
            <w:vAlign w:val="center"/>
          </w:tcPr>
          <w:p w14:paraId="2499CBBB">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 xml:space="preserve">49.8 </w:t>
            </w:r>
          </w:p>
        </w:tc>
        <w:tc>
          <w:tcPr>
            <w:tcW w:w="555" w:type="dxa"/>
            <w:shd w:val="clear" w:color="auto" w:fill="auto"/>
            <w:noWrap w:val="0"/>
            <w:vAlign w:val="center"/>
          </w:tcPr>
          <w:p w14:paraId="5521758B">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 xml:space="preserve">49.8 </w:t>
            </w:r>
          </w:p>
        </w:tc>
        <w:tc>
          <w:tcPr>
            <w:tcW w:w="542" w:type="dxa"/>
            <w:vMerge w:val="continue"/>
            <w:shd w:val="clear" w:color="auto" w:fill="auto"/>
            <w:noWrap w:val="0"/>
            <w:vAlign w:val="center"/>
          </w:tcPr>
          <w:p w14:paraId="6A783A59">
            <w:pPr>
              <w:spacing w:line="280" w:lineRule="exact"/>
              <w:jc w:val="center"/>
              <w:rPr>
                <w:rFonts w:hint="default" w:ascii="Times New Roman" w:hAnsi="Times New Roman" w:eastAsia="宋体"/>
                <w:color w:val="auto"/>
                <w:szCs w:val="21"/>
                <w:highlight w:val="none"/>
                <w:lang w:val="en-US" w:eastAsia="zh-CN"/>
              </w:rPr>
            </w:pPr>
          </w:p>
        </w:tc>
        <w:tc>
          <w:tcPr>
            <w:tcW w:w="897" w:type="dxa"/>
            <w:shd w:val="clear" w:color="auto" w:fill="auto"/>
            <w:noWrap w:val="0"/>
            <w:vAlign w:val="center"/>
          </w:tcPr>
          <w:p w14:paraId="285579FC">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24.3</w:t>
            </w:r>
          </w:p>
        </w:tc>
        <w:tc>
          <w:tcPr>
            <w:tcW w:w="746" w:type="dxa"/>
            <w:shd w:val="clear" w:color="auto" w:fill="auto"/>
            <w:noWrap w:val="0"/>
            <w:vAlign w:val="center"/>
          </w:tcPr>
          <w:p w14:paraId="381CC349">
            <w:pPr>
              <w:spacing w:line="280" w:lineRule="exact"/>
              <w:jc w:val="center"/>
              <w:rPr>
                <w:rFonts w:hint="eastAsia" w:cs="Times New Roman"/>
                <w:color w:val="auto"/>
                <w:szCs w:val="21"/>
                <w:highlight w:val="none"/>
                <w:lang w:val="en-US" w:eastAsia="zh-CN"/>
              </w:rPr>
            </w:pPr>
            <w:r>
              <w:rPr>
                <w:rFonts w:hint="eastAsia" w:cs="Times New Roman"/>
                <w:color w:val="auto"/>
                <w:szCs w:val="21"/>
                <w:highlight w:val="none"/>
                <w:lang w:val="en-US" w:eastAsia="zh-CN"/>
              </w:rPr>
              <w:t>26.9</w:t>
            </w:r>
          </w:p>
        </w:tc>
        <w:tc>
          <w:tcPr>
            <w:tcW w:w="689" w:type="dxa"/>
            <w:shd w:val="clear" w:color="auto" w:fill="auto"/>
            <w:noWrap w:val="0"/>
            <w:vAlign w:val="center"/>
          </w:tcPr>
          <w:p w14:paraId="4BB19B35">
            <w:pPr>
              <w:spacing w:line="280" w:lineRule="exact"/>
              <w:jc w:val="center"/>
              <w:rPr>
                <w:rFonts w:hint="eastAsia" w:cs="Times New Roman"/>
                <w:color w:val="auto"/>
                <w:szCs w:val="21"/>
                <w:highlight w:val="none"/>
                <w:lang w:val="en-US" w:eastAsia="zh-CN"/>
              </w:rPr>
            </w:pPr>
            <w:r>
              <w:rPr>
                <w:rFonts w:hint="eastAsia" w:cs="Times New Roman"/>
                <w:color w:val="auto"/>
                <w:szCs w:val="21"/>
                <w:highlight w:val="none"/>
                <w:lang w:val="en-US" w:eastAsia="zh-CN"/>
              </w:rPr>
              <w:t>25.5</w:t>
            </w:r>
          </w:p>
        </w:tc>
        <w:tc>
          <w:tcPr>
            <w:tcW w:w="838" w:type="dxa"/>
            <w:shd w:val="clear" w:color="auto" w:fill="auto"/>
            <w:noWrap w:val="0"/>
            <w:vAlign w:val="center"/>
          </w:tcPr>
          <w:p w14:paraId="1CF8B9E1">
            <w:pPr>
              <w:spacing w:line="280" w:lineRule="exact"/>
              <w:jc w:val="center"/>
              <w:rPr>
                <w:rFonts w:hint="eastAsia" w:cs="Times New Roman"/>
                <w:color w:val="auto"/>
                <w:szCs w:val="21"/>
                <w:highlight w:val="none"/>
                <w:lang w:val="en-US" w:eastAsia="zh-CN"/>
              </w:rPr>
            </w:pPr>
            <w:r>
              <w:rPr>
                <w:rFonts w:hint="eastAsia" w:cs="Times New Roman"/>
                <w:color w:val="auto"/>
                <w:szCs w:val="21"/>
                <w:highlight w:val="none"/>
                <w:lang w:val="en-US" w:eastAsia="zh-CN"/>
              </w:rPr>
              <w:t>25.5</w:t>
            </w:r>
          </w:p>
        </w:tc>
        <w:tc>
          <w:tcPr>
            <w:tcW w:w="750" w:type="dxa"/>
            <w:shd w:val="clear" w:color="auto" w:fill="auto"/>
            <w:noWrap w:val="0"/>
            <w:vAlign w:val="center"/>
          </w:tcPr>
          <w:p w14:paraId="3B147A8A">
            <w:pPr>
              <w:spacing w:line="280" w:lineRule="exact"/>
              <w:jc w:val="center"/>
              <w:rPr>
                <w:rFonts w:hint="eastAsia" w:cs="Times New Roman"/>
                <w:color w:val="auto"/>
                <w:szCs w:val="21"/>
                <w:highlight w:val="none"/>
                <w:lang w:val="en-US" w:eastAsia="zh-CN"/>
              </w:rPr>
            </w:pPr>
            <w:r>
              <w:rPr>
                <w:rFonts w:hint="eastAsia" w:cs="Times New Roman"/>
                <w:color w:val="auto"/>
                <w:szCs w:val="21"/>
                <w:highlight w:val="none"/>
                <w:lang w:val="en-US" w:eastAsia="zh-CN"/>
              </w:rPr>
              <w:t>25.5</w:t>
            </w:r>
          </w:p>
        </w:tc>
        <w:tc>
          <w:tcPr>
            <w:tcW w:w="1096" w:type="dxa"/>
            <w:shd w:val="clear" w:color="auto" w:fill="auto"/>
            <w:noWrap w:val="0"/>
            <w:vAlign w:val="center"/>
          </w:tcPr>
          <w:p w14:paraId="1DB8E643">
            <w:pPr>
              <w:spacing w:line="280" w:lineRule="exact"/>
              <w:jc w:val="center"/>
              <w:rPr>
                <w:rFonts w:hint="eastAsia"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1</w:t>
            </w:r>
          </w:p>
        </w:tc>
      </w:tr>
      <w:tr w14:paraId="55B0734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27" w:type="dxa"/>
            <w:shd w:val="clear" w:color="auto" w:fill="auto"/>
            <w:noWrap w:val="0"/>
            <w:vAlign w:val="center"/>
          </w:tcPr>
          <w:p w14:paraId="6B2755F8">
            <w:pPr>
              <w:spacing w:line="280" w:lineRule="exact"/>
              <w:jc w:val="center"/>
              <w:rPr>
                <w:rFonts w:hint="default" w:ascii="Times New Roman" w:hAnsi="Times New Roman"/>
                <w:color w:val="auto"/>
                <w:szCs w:val="21"/>
                <w:highlight w:val="none"/>
                <w:lang w:val="en-US" w:eastAsia="zh-CN"/>
              </w:rPr>
            </w:pPr>
            <w:r>
              <w:rPr>
                <w:rFonts w:hint="eastAsia"/>
                <w:color w:val="auto"/>
                <w:szCs w:val="21"/>
                <w:highlight w:val="none"/>
                <w:lang w:val="en-US" w:eastAsia="zh-CN"/>
              </w:rPr>
              <w:t>51</w:t>
            </w:r>
          </w:p>
        </w:tc>
        <w:tc>
          <w:tcPr>
            <w:tcW w:w="1428" w:type="dxa"/>
            <w:shd w:val="clear" w:color="auto" w:fill="auto"/>
            <w:noWrap w:val="0"/>
            <w:vAlign w:val="center"/>
          </w:tcPr>
          <w:p w14:paraId="5CE6C588">
            <w:pPr>
              <w:spacing w:line="280" w:lineRule="exact"/>
              <w:jc w:val="center"/>
              <w:rPr>
                <w:rFonts w:hint="eastAsia" w:ascii="Times New Roman" w:hAnsi="Times New Roman" w:cs="Times New Roman"/>
                <w:color w:val="auto"/>
                <w:szCs w:val="21"/>
                <w:highlight w:val="none"/>
                <w:lang w:val="en-US" w:eastAsia="zh-CN"/>
              </w:rPr>
            </w:pPr>
            <w:r>
              <w:rPr>
                <w:rFonts w:hint="eastAsia" w:ascii="Times New Roman" w:hAnsi="Times New Roman" w:cs="Times New Roman"/>
                <w:color w:val="auto"/>
                <w:szCs w:val="21"/>
                <w:highlight w:val="none"/>
                <w:lang w:val="en-US" w:eastAsia="zh-CN"/>
              </w:rPr>
              <w:t>风柜机组9#</w:t>
            </w:r>
          </w:p>
        </w:tc>
        <w:tc>
          <w:tcPr>
            <w:tcW w:w="537" w:type="dxa"/>
            <w:shd w:val="clear" w:color="auto" w:fill="auto"/>
            <w:noWrap w:val="0"/>
            <w:vAlign w:val="center"/>
          </w:tcPr>
          <w:p w14:paraId="03E3BE64">
            <w:pPr>
              <w:spacing w:line="280" w:lineRule="exact"/>
              <w:jc w:val="center"/>
              <w:rPr>
                <w:rFonts w:hint="eastAsia" w:ascii="Times New Roman" w:hAnsi="Times New Roman"/>
                <w:color w:val="auto"/>
                <w:szCs w:val="21"/>
                <w:highlight w:val="none"/>
                <w:lang w:val="en-US" w:eastAsia="zh-CN"/>
              </w:rPr>
            </w:pPr>
            <w:r>
              <w:rPr>
                <w:rFonts w:hint="eastAsia"/>
                <w:color w:val="auto"/>
                <w:szCs w:val="21"/>
                <w:highlight w:val="none"/>
                <w:lang w:val="en-US" w:eastAsia="zh-CN"/>
              </w:rPr>
              <w:t>75</w:t>
            </w:r>
          </w:p>
        </w:tc>
        <w:tc>
          <w:tcPr>
            <w:tcW w:w="537" w:type="dxa"/>
            <w:shd w:val="clear" w:color="auto" w:fill="auto"/>
            <w:noWrap w:val="0"/>
            <w:vAlign w:val="center"/>
          </w:tcPr>
          <w:p w14:paraId="625B413E">
            <w:pPr>
              <w:spacing w:line="280" w:lineRule="exact"/>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62.3</w:t>
            </w:r>
          </w:p>
        </w:tc>
        <w:tc>
          <w:tcPr>
            <w:tcW w:w="537" w:type="dxa"/>
            <w:shd w:val="clear" w:color="auto" w:fill="auto"/>
            <w:noWrap w:val="0"/>
            <w:vAlign w:val="center"/>
          </w:tcPr>
          <w:p w14:paraId="0AEDED33">
            <w:pPr>
              <w:spacing w:line="280" w:lineRule="exact"/>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69.63</w:t>
            </w:r>
          </w:p>
        </w:tc>
        <w:tc>
          <w:tcPr>
            <w:tcW w:w="558" w:type="dxa"/>
            <w:shd w:val="clear" w:color="auto" w:fill="auto"/>
            <w:noWrap w:val="0"/>
            <w:vAlign w:val="center"/>
          </w:tcPr>
          <w:p w14:paraId="4AE60426">
            <w:pPr>
              <w:spacing w:line="280" w:lineRule="exact"/>
              <w:jc w:val="center"/>
              <w:rPr>
                <w:rFonts w:hint="eastAsia"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1.4</w:t>
            </w:r>
          </w:p>
        </w:tc>
        <w:tc>
          <w:tcPr>
            <w:tcW w:w="537" w:type="dxa"/>
            <w:shd w:val="clear" w:color="auto" w:fill="auto"/>
            <w:noWrap w:val="0"/>
            <w:vAlign w:val="center"/>
          </w:tcPr>
          <w:p w14:paraId="46E6B2DE">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7.7</w:t>
            </w:r>
          </w:p>
        </w:tc>
        <w:tc>
          <w:tcPr>
            <w:tcW w:w="537" w:type="dxa"/>
            <w:shd w:val="clear" w:color="auto" w:fill="auto"/>
            <w:noWrap w:val="0"/>
            <w:vAlign w:val="center"/>
          </w:tcPr>
          <w:p w14:paraId="2DB98907">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45.7</w:t>
            </w:r>
          </w:p>
        </w:tc>
        <w:tc>
          <w:tcPr>
            <w:tcW w:w="542" w:type="dxa"/>
            <w:shd w:val="clear" w:color="auto" w:fill="auto"/>
            <w:noWrap w:val="0"/>
            <w:vAlign w:val="center"/>
          </w:tcPr>
          <w:p w14:paraId="29BB5717">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83.5</w:t>
            </w:r>
          </w:p>
        </w:tc>
        <w:tc>
          <w:tcPr>
            <w:tcW w:w="558" w:type="dxa"/>
            <w:shd w:val="clear" w:color="auto" w:fill="auto"/>
            <w:noWrap w:val="0"/>
            <w:vAlign w:val="center"/>
          </w:tcPr>
          <w:p w14:paraId="0EE3ECB4">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32.3</w:t>
            </w:r>
          </w:p>
        </w:tc>
        <w:tc>
          <w:tcPr>
            <w:tcW w:w="542" w:type="dxa"/>
            <w:shd w:val="clear" w:color="auto" w:fill="auto"/>
            <w:noWrap w:val="0"/>
            <w:vAlign w:val="center"/>
          </w:tcPr>
          <w:p w14:paraId="594DFBA4">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 xml:space="preserve">51.4 </w:t>
            </w:r>
          </w:p>
        </w:tc>
        <w:tc>
          <w:tcPr>
            <w:tcW w:w="542" w:type="dxa"/>
            <w:shd w:val="clear" w:color="auto" w:fill="auto"/>
            <w:noWrap w:val="0"/>
            <w:vAlign w:val="center"/>
          </w:tcPr>
          <w:p w14:paraId="537CC31B">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 xml:space="preserve">49.8 </w:t>
            </w:r>
          </w:p>
        </w:tc>
        <w:tc>
          <w:tcPr>
            <w:tcW w:w="542" w:type="dxa"/>
            <w:shd w:val="clear" w:color="auto" w:fill="auto"/>
            <w:noWrap w:val="0"/>
            <w:vAlign w:val="center"/>
          </w:tcPr>
          <w:p w14:paraId="3E783A15">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 xml:space="preserve">49.8 </w:t>
            </w:r>
          </w:p>
        </w:tc>
        <w:tc>
          <w:tcPr>
            <w:tcW w:w="555" w:type="dxa"/>
            <w:shd w:val="clear" w:color="auto" w:fill="auto"/>
            <w:noWrap w:val="0"/>
            <w:vAlign w:val="center"/>
          </w:tcPr>
          <w:p w14:paraId="53CDD13B">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 xml:space="preserve">49.9 </w:t>
            </w:r>
          </w:p>
        </w:tc>
        <w:tc>
          <w:tcPr>
            <w:tcW w:w="542" w:type="dxa"/>
            <w:vMerge w:val="continue"/>
            <w:shd w:val="clear" w:color="auto" w:fill="auto"/>
            <w:noWrap w:val="0"/>
            <w:vAlign w:val="center"/>
          </w:tcPr>
          <w:p w14:paraId="6A2FF199">
            <w:pPr>
              <w:spacing w:line="280" w:lineRule="exact"/>
              <w:jc w:val="center"/>
              <w:rPr>
                <w:rFonts w:hint="default" w:ascii="Times New Roman" w:hAnsi="Times New Roman" w:eastAsia="宋体"/>
                <w:color w:val="auto"/>
                <w:szCs w:val="21"/>
                <w:highlight w:val="none"/>
                <w:lang w:val="en-US" w:eastAsia="zh-CN"/>
              </w:rPr>
            </w:pPr>
          </w:p>
        </w:tc>
        <w:tc>
          <w:tcPr>
            <w:tcW w:w="897" w:type="dxa"/>
            <w:shd w:val="clear" w:color="auto" w:fill="auto"/>
            <w:noWrap w:val="0"/>
            <w:vAlign w:val="center"/>
          </w:tcPr>
          <w:p w14:paraId="180FDC2A">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24.3</w:t>
            </w:r>
          </w:p>
        </w:tc>
        <w:tc>
          <w:tcPr>
            <w:tcW w:w="746" w:type="dxa"/>
            <w:shd w:val="clear" w:color="auto" w:fill="auto"/>
            <w:noWrap w:val="0"/>
            <w:vAlign w:val="center"/>
          </w:tcPr>
          <w:p w14:paraId="531BFDE1">
            <w:pPr>
              <w:spacing w:line="280" w:lineRule="exact"/>
              <w:jc w:val="center"/>
              <w:rPr>
                <w:rFonts w:hint="eastAsia" w:cs="Times New Roman"/>
                <w:color w:val="auto"/>
                <w:szCs w:val="21"/>
                <w:highlight w:val="none"/>
                <w:lang w:val="en-US" w:eastAsia="zh-CN"/>
              </w:rPr>
            </w:pPr>
            <w:r>
              <w:rPr>
                <w:rFonts w:hint="eastAsia" w:cs="Times New Roman"/>
                <w:color w:val="auto"/>
                <w:szCs w:val="21"/>
                <w:highlight w:val="none"/>
                <w:lang w:val="en-US" w:eastAsia="zh-CN"/>
              </w:rPr>
              <w:t>27.1</w:t>
            </w:r>
          </w:p>
        </w:tc>
        <w:tc>
          <w:tcPr>
            <w:tcW w:w="689" w:type="dxa"/>
            <w:shd w:val="clear" w:color="auto" w:fill="auto"/>
            <w:noWrap w:val="0"/>
            <w:vAlign w:val="center"/>
          </w:tcPr>
          <w:p w14:paraId="23F98B96">
            <w:pPr>
              <w:spacing w:line="280" w:lineRule="exact"/>
              <w:jc w:val="center"/>
              <w:rPr>
                <w:rFonts w:hint="eastAsia" w:cs="Times New Roman"/>
                <w:color w:val="auto"/>
                <w:szCs w:val="21"/>
                <w:highlight w:val="none"/>
                <w:lang w:val="en-US" w:eastAsia="zh-CN"/>
              </w:rPr>
            </w:pPr>
            <w:r>
              <w:rPr>
                <w:rFonts w:hint="eastAsia" w:cs="Times New Roman"/>
                <w:color w:val="auto"/>
                <w:szCs w:val="21"/>
                <w:highlight w:val="none"/>
                <w:lang w:val="en-US" w:eastAsia="zh-CN"/>
              </w:rPr>
              <w:t>25.5</w:t>
            </w:r>
          </w:p>
        </w:tc>
        <w:tc>
          <w:tcPr>
            <w:tcW w:w="838" w:type="dxa"/>
            <w:shd w:val="clear" w:color="auto" w:fill="auto"/>
            <w:noWrap w:val="0"/>
            <w:vAlign w:val="center"/>
          </w:tcPr>
          <w:p w14:paraId="6CC1C7C2">
            <w:pPr>
              <w:spacing w:line="280" w:lineRule="exact"/>
              <w:jc w:val="center"/>
              <w:rPr>
                <w:rFonts w:hint="eastAsia" w:cs="Times New Roman"/>
                <w:color w:val="auto"/>
                <w:szCs w:val="21"/>
                <w:highlight w:val="none"/>
                <w:lang w:val="en-US" w:eastAsia="zh-CN"/>
              </w:rPr>
            </w:pPr>
            <w:r>
              <w:rPr>
                <w:rFonts w:hint="eastAsia" w:cs="Times New Roman"/>
                <w:color w:val="auto"/>
                <w:szCs w:val="21"/>
                <w:highlight w:val="none"/>
                <w:lang w:val="en-US" w:eastAsia="zh-CN"/>
              </w:rPr>
              <w:t>25.5</w:t>
            </w:r>
          </w:p>
        </w:tc>
        <w:tc>
          <w:tcPr>
            <w:tcW w:w="750" w:type="dxa"/>
            <w:shd w:val="clear" w:color="auto" w:fill="auto"/>
            <w:noWrap w:val="0"/>
            <w:vAlign w:val="center"/>
          </w:tcPr>
          <w:p w14:paraId="5DB56DD6">
            <w:pPr>
              <w:spacing w:line="280" w:lineRule="exact"/>
              <w:jc w:val="center"/>
              <w:rPr>
                <w:rFonts w:hint="eastAsia" w:cs="Times New Roman"/>
                <w:color w:val="auto"/>
                <w:szCs w:val="21"/>
                <w:highlight w:val="none"/>
                <w:lang w:val="en-US" w:eastAsia="zh-CN"/>
              </w:rPr>
            </w:pPr>
            <w:r>
              <w:rPr>
                <w:rFonts w:hint="eastAsia" w:cs="Times New Roman"/>
                <w:color w:val="auto"/>
                <w:szCs w:val="21"/>
                <w:highlight w:val="none"/>
                <w:lang w:val="en-US" w:eastAsia="zh-CN"/>
              </w:rPr>
              <w:t>25.6</w:t>
            </w:r>
          </w:p>
        </w:tc>
        <w:tc>
          <w:tcPr>
            <w:tcW w:w="1096" w:type="dxa"/>
            <w:shd w:val="clear" w:color="auto" w:fill="auto"/>
            <w:noWrap w:val="0"/>
            <w:vAlign w:val="center"/>
          </w:tcPr>
          <w:p w14:paraId="431DD968">
            <w:pPr>
              <w:spacing w:line="280" w:lineRule="exact"/>
              <w:jc w:val="center"/>
              <w:rPr>
                <w:rFonts w:hint="eastAsia"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1</w:t>
            </w:r>
          </w:p>
        </w:tc>
      </w:tr>
      <w:tr w14:paraId="69630F6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27" w:type="dxa"/>
            <w:shd w:val="clear" w:color="auto" w:fill="auto"/>
            <w:noWrap w:val="0"/>
            <w:vAlign w:val="center"/>
          </w:tcPr>
          <w:p w14:paraId="5C3D4D9D">
            <w:pPr>
              <w:spacing w:line="280" w:lineRule="exact"/>
              <w:jc w:val="center"/>
              <w:rPr>
                <w:rFonts w:hint="default" w:ascii="Times New Roman" w:hAnsi="Times New Roman"/>
                <w:color w:val="auto"/>
                <w:szCs w:val="21"/>
                <w:highlight w:val="none"/>
                <w:lang w:val="en-US" w:eastAsia="zh-CN"/>
              </w:rPr>
            </w:pPr>
            <w:r>
              <w:rPr>
                <w:rFonts w:hint="eastAsia"/>
                <w:color w:val="auto"/>
                <w:szCs w:val="21"/>
                <w:highlight w:val="none"/>
                <w:lang w:val="en-US" w:eastAsia="zh-CN"/>
              </w:rPr>
              <w:t>52</w:t>
            </w:r>
          </w:p>
        </w:tc>
        <w:tc>
          <w:tcPr>
            <w:tcW w:w="1428" w:type="dxa"/>
            <w:shd w:val="clear" w:color="auto" w:fill="auto"/>
            <w:noWrap w:val="0"/>
            <w:vAlign w:val="center"/>
          </w:tcPr>
          <w:p w14:paraId="479C1EB1">
            <w:pPr>
              <w:spacing w:line="280" w:lineRule="exact"/>
              <w:jc w:val="center"/>
              <w:rPr>
                <w:rFonts w:hint="eastAsia" w:ascii="Times New Roman" w:hAnsi="Times New Roman" w:cs="Times New Roman"/>
                <w:color w:val="auto"/>
                <w:szCs w:val="21"/>
                <w:highlight w:val="none"/>
                <w:lang w:val="en-US" w:eastAsia="zh-CN"/>
              </w:rPr>
            </w:pPr>
            <w:r>
              <w:rPr>
                <w:rFonts w:hint="eastAsia" w:ascii="Times New Roman" w:hAnsi="Times New Roman" w:cs="Times New Roman"/>
                <w:color w:val="auto"/>
                <w:szCs w:val="21"/>
                <w:highlight w:val="none"/>
                <w:lang w:val="en-US" w:eastAsia="zh-CN"/>
              </w:rPr>
              <w:t>风柜机组10#</w:t>
            </w:r>
          </w:p>
        </w:tc>
        <w:tc>
          <w:tcPr>
            <w:tcW w:w="537" w:type="dxa"/>
            <w:shd w:val="clear" w:color="auto" w:fill="auto"/>
            <w:noWrap w:val="0"/>
            <w:vAlign w:val="center"/>
          </w:tcPr>
          <w:p w14:paraId="71DD1E10">
            <w:pPr>
              <w:spacing w:line="280" w:lineRule="exact"/>
              <w:jc w:val="center"/>
              <w:rPr>
                <w:rFonts w:hint="eastAsia" w:ascii="Times New Roman" w:hAnsi="Times New Roman"/>
                <w:color w:val="auto"/>
                <w:szCs w:val="21"/>
                <w:highlight w:val="none"/>
                <w:lang w:val="en-US" w:eastAsia="zh-CN"/>
              </w:rPr>
            </w:pPr>
            <w:r>
              <w:rPr>
                <w:rFonts w:hint="eastAsia"/>
                <w:color w:val="auto"/>
                <w:szCs w:val="21"/>
                <w:highlight w:val="none"/>
                <w:lang w:val="en-US" w:eastAsia="zh-CN"/>
              </w:rPr>
              <w:t>75</w:t>
            </w:r>
          </w:p>
        </w:tc>
        <w:tc>
          <w:tcPr>
            <w:tcW w:w="537" w:type="dxa"/>
            <w:shd w:val="clear" w:color="auto" w:fill="auto"/>
            <w:noWrap w:val="0"/>
            <w:vAlign w:val="center"/>
          </w:tcPr>
          <w:p w14:paraId="0C9CCF01">
            <w:pPr>
              <w:spacing w:line="280" w:lineRule="exact"/>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62.81</w:t>
            </w:r>
          </w:p>
        </w:tc>
        <w:tc>
          <w:tcPr>
            <w:tcW w:w="537" w:type="dxa"/>
            <w:shd w:val="clear" w:color="auto" w:fill="auto"/>
            <w:noWrap w:val="0"/>
            <w:vAlign w:val="center"/>
          </w:tcPr>
          <w:p w14:paraId="636F3C15">
            <w:pPr>
              <w:spacing w:line="280" w:lineRule="exact"/>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68.34</w:t>
            </w:r>
          </w:p>
        </w:tc>
        <w:tc>
          <w:tcPr>
            <w:tcW w:w="558" w:type="dxa"/>
            <w:shd w:val="clear" w:color="auto" w:fill="auto"/>
            <w:noWrap w:val="0"/>
            <w:vAlign w:val="center"/>
          </w:tcPr>
          <w:p w14:paraId="53BE71D2">
            <w:pPr>
              <w:spacing w:line="280" w:lineRule="exact"/>
              <w:jc w:val="center"/>
              <w:rPr>
                <w:rFonts w:hint="eastAsia"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1.4</w:t>
            </w:r>
          </w:p>
        </w:tc>
        <w:tc>
          <w:tcPr>
            <w:tcW w:w="537" w:type="dxa"/>
            <w:shd w:val="clear" w:color="auto" w:fill="auto"/>
            <w:noWrap w:val="0"/>
            <w:vAlign w:val="center"/>
          </w:tcPr>
          <w:p w14:paraId="64467D93">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7.5</w:t>
            </w:r>
          </w:p>
        </w:tc>
        <w:tc>
          <w:tcPr>
            <w:tcW w:w="537" w:type="dxa"/>
            <w:shd w:val="clear" w:color="auto" w:fill="auto"/>
            <w:noWrap w:val="0"/>
            <w:vAlign w:val="center"/>
          </w:tcPr>
          <w:p w14:paraId="4CB88FC7">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45.1</w:t>
            </w:r>
          </w:p>
        </w:tc>
        <w:tc>
          <w:tcPr>
            <w:tcW w:w="542" w:type="dxa"/>
            <w:shd w:val="clear" w:color="auto" w:fill="auto"/>
            <w:noWrap w:val="0"/>
            <w:vAlign w:val="center"/>
          </w:tcPr>
          <w:p w14:paraId="369D1F5F">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81.8</w:t>
            </w:r>
          </w:p>
        </w:tc>
        <w:tc>
          <w:tcPr>
            <w:tcW w:w="558" w:type="dxa"/>
            <w:shd w:val="clear" w:color="auto" w:fill="auto"/>
            <w:noWrap w:val="0"/>
            <w:vAlign w:val="center"/>
          </w:tcPr>
          <w:p w14:paraId="6312B688">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41.6</w:t>
            </w:r>
          </w:p>
        </w:tc>
        <w:tc>
          <w:tcPr>
            <w:tcW w:w="542" w:type="dxa"/>
            <w:shd w:val="clear" w:color="auto" w:fill="auto"/>
            <w:noWrap w:val="0"/>
            <w:vAlign w:val="center"/>
          </w:tcPr>
          <w:p w14:paraId="5A14D8B4">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 xml:space="preserve">51.4 </w:t>
            </w:r>
          </w:p>
        </w:tc>
        <w:tc>
          <w:tcPr>
            <w:tcW w:w="542" w:type="dxa"/>
            <w:shd w:val="clear" w:color="auto" w:fill="auto"/>
            <w:noWrap w:val="0"/>
            <w:vAlign w:val="center"/>
          </w:tcPr>
          <w:p w14:paraId="6ED01B06">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 xml:space="preserve">49.8 </w:t>
            </w:r>
          </w:p>
        </w:tc>
        <w:tc>
          <w:tcPr>
            <w:tcW w:w="542" w:type="dxa"/>
            <w:shd w:val="clear" w:color="auto" w:fill="auto"/>
            <w:noWrap w:val="0"/>
            <w:vAlign w:val="center"/>
          </w:tcPr>
          <w:p w14:paraId="44640CE2">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 xml:space="preserve">49.8 </w:t>
            </w:r>
          </w:p>
        </w:tc>
        <w:tc>
          <w:tcPr>
            <w:tcW w:w="555" w:type="dxa"/>
            <w:shd w:val="clear" w:color="auto" w:fill="auto"/>
            <w:noWrap w:val="0"/>
            <w:vAlign w:val="center"/>
          </w:tcPr>
          <w:p w14:paraId="732F1FBB">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 xml:space="preserve">49.8 </w:t>
            </w:r>
          </w:p>
        </w:tc>
        <w:tc>
          <w:tcPr>
            <w:tcW w:w="542" w:type="dxa"/>
            <w:vMerge w:val="continue"/>
            <w:shd w:val="clear" w:color="auto" w:fill="auto"/>
            <w:noWrap w:val="0"/>
            <w:vAlign w:val="center"/>
          </w:tcPr>
          <w:p w14:paraId="4404DF1B">
            <w:pPr>
              <w:spacing w:line="280" w:lineRule="exact"/>
              <w:jc w:val="center"/>
              <w:rPr>
                <w:rFonts w:hint="default" w:ascii="Times New Roman" w:hAnsi="Times New Roman" w:eastAsia="宋体"/>
                <w:color w:val="auto"/>
                <w:szCs w:val="21"/>
                <w:highlight w:val="none"/>
                <w:lang w:val="en-US" w:eastAsia="zh-CN"/>
              </w:rPr>
            </w:pPr>
          </w:p>
        </w:tc>
        <w:tc>
          <w:tcPr>
            <w:tcW w:w="897" w:type="dxa"/>
            <w:shd w:val="clear" w:color="auto" w:fill="auto"/>
            <w:noWrap w:val="0"/>
            <w:vAlign w:val="center"/>
          </w:tcPr>
          <w:p w14:paraId="221E064B">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24.3</w:t>
            </w:r>
          </w:p>
        </w:tc>
        <w:tc>
          <w:tcPr>
            <w:tcW w:w="746" w:type="dxa"/>
            <w:shd w:val="clear" w:color="auto" w:fill="auto"/>
            <w:noWrap w:val="0"/>
            <w:vAlign w:val="center"/>
          </w:tcPr>
          <w:p w14:paraId="4393C1C7">
            <w:pPr>
              <w:spacing w:line="280" w:lineRule="exact"/>
              <w:jc w:val="center"/>
              <w:rPr>
                <w:rFonts w:hint="eastAsia" w:cs="Times New Roman"/>
                <w:color w:val="auto"/>
                <w:szCs w:val="21"/>
                <w:highlight w:val="none"/>
                <w:lang w:val="en-US" w:eastAsia="zh-CN"/>
              </w:rPr>
            </w:pPr>
            <w:r>
              <w:rPr>
                <w:rFonts w:hint="eastAsia" w:cs="Times New Roman"/>
                <w:color w:val="auto"/>
                <w:szCs w:val="21"/>
                <w:highlight w:val="none"/>
                <w:lang w:val="en-US" w:eastAsia="zh-CN"/>
              </w:rPr>
              <w:t>27.1</w:t>
            </w:r>
          </w:p>
        </w:tc>
        <w:tc>
          <w:tcPr>
            <w:tcW w:w="689" w:type="dxa"/>
            <w:shd w:val="clear" w:color="auto" w:fill="auto"/>
            <w:noWrap w:val="0"/>
            <w:vAlign w:val="center"/>
          </w:tcPr>
          <w:p w14:paraId="0FCC68CB">
            <w:pPr>
              <w:spacing w:line="280" w:lineRule="exact"/>
              <w:jc w:val="center"/>
              <w:rPr>
                <w:rFonts w:hint="eastAsia" w:cs="Times New Roman"/>
                <w:color w:val="auto"/>
                <w:szCs w:val="21"/>
                <w:highlight w:val="none"/>
                <w:lang w:val="en-US" w:eastAsia="zh-CN"/>
              </w:rPr>
            </w:pPr>
            <w:r>
              <w:rPr>
                <w:rFonts w:hint="eastAsia" w:cs="Times New Roman"/>
                <w:color w:val="auto"/>
                <w:szCs w:val="21"/>
                <w:highlight w:val="none"/>
                <w:lang w:val="en-US" w:eastAsia="zh-CN"/>
              </w:rPr>
              <w:t>25.5</w:t>
            </w:r>
          </w:p>
        </w:tc>
        <w:tc>
          <w:tcPr>
            <w:tcW w:w="838" w:type="dxa"/>
            <w:shd w:val="clear" w:color="auto" w:fill="auto"/>
            <w:noWrap w:val="0"/>
            <w:vAlign w:val="center"/>
          </w:tcPr>
          <w:p w14:paraId="3875281C">
            <w:pPr>
              <w:spacing w:line="280" w:lineRule="exact"/>
              <w:jc w:val="center"/>
              <w:rPr>
                <w:rFonts w:hint="eastAsia" w:cs="Times New Roman"/>
                <w:color w:val="auto"/>
                <w:szCs w:val="21"/>
                <w:highlight w:val="none"/>
                <w:lang w:val="en-US" w:eastAsia="zh-CN"/>
              </w:rPr>
            </w:pPr>
            <w:r>
              <w:rPr>
                <w:rFonts w:hint="eastAsia" w:cs="Times New Roman"/>
                <w:color w:val="auto"/>
                <w:szCs w:val="21"/>
                <w:highlight w:val="none"/>
                <w:lang w:val="en-US" w:eastAsia="zh-CN"/>
              </w:rPr>
              <w:t>25.5</w:t>
            </w:r>
          </w:p>
        </w:tc>
        <w:tc>
          <w:tcPr>
            <w:tcW w:w="750" w:type="dxa"/>
            <w:shd w:val="clear" w:color="auto" w:fill="auto"/>
            <w:noWrap w:val="0"/>
            <w:vAlign w:val="center"/>
          </w:tcPr>
          <w:p w14:paraId="7D737463">
            <w:pPr>
              <w:spacing w:line="280" w:lineRule="exact"/>
              <w:jc w:val="center"/>
              <w:rPr>
                <w:rFonts w:hint="eastAsia" w:cs="Times New Roman"/>
                <w:color w:val="auto"/>
                <w:szCs w:val="21"/>
                <w:highlight w:val="none"/>
                <w:lang w:val="en-US" w:eastAsia="zh-CN"/>
              </w:rPr>
            </w:pPr>
            <w:r>
              <w:rPr>
                <w:rFonts w:hint="eastAsia" w:cs="Times New Roman"/>
                <w:color w:val="auto"/>
                <w:szCs w:val="21"/>
                <w:highlight w:val="none"/>
                <w:lang w:val="en-US" w:eastAsia="zh-CN"/>
              </w:rPr>
              <w:t>25.5</w:t>
            </w:r>
          </w:p>
        </w:tc>
        <w:tc>
          <w:tcPr>
            <w:tcW w:w="1096" w:type="dxa"/>
            <w:shd w:val="clear" w:color="auto" w:fill="auto"/>
            <w:noWrap w:val="0"/>
            <w:vAlign w:val="center"/>
          </w:tcPr>
          <w:p w14:paraId="5F94DA2A">
            <w:pPr>
              <w:spacing w:line="280" w:lineRule="exact"/>
              <w:jc w:val="center"/>
              <w:rPr>
                <w:rFonts w:hint="eastAsia"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1</w:t>
            </w:r>
          </w:p>
        </w:tc>
      </w:tr>
      <w:tr w14:paraId="5ADB18B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27" w:type="dxa"/>
            <w:shd w:val="clear" w:color="auto" w:fill="auto"/>
            <w:noWrap w:val="0"/>
            <w:vAlign w:val="center"/>
          </w:tcPr>
          <w:p w14:paraId="2281DEED">
            <w:pPr>
              <w:spacing w:line="280" w:lineRule="exact"/>
              <w:jc w:val="center"/>
              <w:rPr>
                <w:rFonts w:hint="default" w:ascii="Times New Roman" w:hAnsi="Times New Roman"/>
                <w:color w:val="auto"/>
                <w:szCs w:val="21"/>
                <w:highlight w:val="none"/>
                <w:lang w:val="en-US" w:eastAsia="zh-CN"/>
              </w:rPr>
            </w:pPr>
            <w:r>
              <w:rPr>
                <w:rFonts w:hint="eastAsia"/>
                <w:color w:val="auto"/>
                <w:szCs w:val="21"/>
                <w:highlight w:val="none"/>
                <w:lang w:val="en-US" w:eastAsia="zh-CN"/>
              </w:rPr>
              <w:t>53</w:t>
            </w:r>
          </w:p>
        </w:tc>
        <w:tc>
          <w:tcPr>
            <w:tcW w:w="1428" w:type="dxa"/>
            <w:shd w:val="clear" w:color="auto" w:fill="auto"/>
            <w:noWrap w:val="0"/>
            <w:vAlign w:val="center"/>
          </w:tcPr>
          <w:p w14:paraId="4536E636">
            <w:pPr>
              <w:spacing w:line="280" w:lineRule="exact"/>
              <w:jc w:val="center"/>
              <w:rPr>
                <w:rFonts w:hint="eastAsia" w:ascii="Times New Roman" w:hAnsi="Times New Roman" w:cs="Times New Roman"/>
                <w:color w:val="auto"/>
                <w:szCs w:val="21"/>
                <w:highlight w:val="none"/>
                <w:lang w:val="en-US" w:eastAsia="zh-CN"/>
              </w:rPr>
            </w:pPr>
            <w:r>
              <w:rPr>
                <w:rFonts w:hint="eastAsia" w:ascii="Times New Roman" w:hAnsi="Times New Roman" w:cs="Times New Roman"/>
                <w:color w:val="auto"/>
                <w:szCs w:val="21"/>
                <w:highlight w:val="none"/>
                <w:lang w:val="en-US" w:eastAsia="zh-CN"/>
              </w:rPr>
              <w:t>风柜机组11#</w:t>
            </w:r>
          </w:p>
        </w:tc>
        <w:tc>
          <w:tcPr>
            <w:tcW w:w="537" w:type="dxa"/>
            <w:shd w:val="clear" w:color="auto" w:fill="auto"/>
            <w:noWrap w:val="0"/>
            <w:vAlign w:val="center"/>
          </w:tcPr>
          <w:p w14:paraId="440766DE">
            <w:pPr>
              <w:spacing w:line="280" w:lineRule="exact"/>
              <w:jc w:val="center"/>
              <w:rPr>
                <w:rFonts w:hint="eastAsia" w:ascii="Times New Roman" w:hAnsi="Times New Roman"/>
                <w:color w:val="auto"/>
                <w:szCs w:val="21"/>
                <w:highlight w:val="none"/>
                <w:lang w:val="en-US" w:eastAsia="zh-CN"/>
              </w:rPr>
            </w:pPr>
            <w:r>
              <w:rPr>
                <w:rFonts w:hint="eastAsia"/>
                <w:color w:val="auto"/>
                <w:szCs w:val="21"/>
                <w:highlight w:val="none"/>
                <w:lang w:val="en-US" w:eastAsia="zh-CN"/>
              </w:rPr>
              <w:t>75</w:t>
            </w:r>
          </w:p>
        </w:tc>
        <w:tc>
          <w:tcPr>
            <w:tcW w:w="537" w:type="dxa"/>
            <w:shd w:val="clear" w:color="auto" w:fill="auto"/>
            <w:noWrap w:val="0"/>
            <w:vAlign w:val="center"/>
          </w:tcPr>
          <w:p w14:paraId="691B40EB">
            <w:pPr>
              <w:spacing w:line="280" w:lineRule="exact"/>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63.3</w:t>
            </w:r>
          </w:p>
        </w:tc>
        <w:tc>
          <w:tcPr>
            <w:tcW w:w="537" w:type="dxa"/>
            <w:shd w:val="clear" w:color="auto" w:fill="auto"/>
            <w:noWrap w:val="0"/>
            <w:vAlign w:val="center"/>
          </w:tcPr>
          <w:p w14:paraId="7C8CD052">
            <w:pPr>
              <w:spacing w:line="280" w:lineRule="exact"/>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67.45</w:t>
            </w:r>
          </w:p>
        </w:tc>
        <w:tc>
          <w:tcPr>
            <w:tcW w:w="558" w:type="dxa"/>
            <w:shd w:val="clear" w:color="auto" w:fill="auto"/>
            <w:noWrap w:val="0"/>
            <w:vAlign w:val="center"/>
          </w:tcPr>
          <w:p w14:paraId="11BCEE7B">
            <w:pPr>
              <w:spacing w:line="280" w:lineRule="exact"/>
              <w:jc w:val="center"/>
              <w:rPr>
                <w:rFonts w:hint="eastAsia"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1.4</w:t>
            </w:r>
          </w:p>
        </w:tc>
        <w:tc>
          <w:tcPr>
            <w:tcW w:w="537" w:type="dxa"/>
            <w:shd w:val="clear" w:color="auto" w:fill="auto"/>
            <w:noWrap w:val="0"/>
            <w:vAlign w:val="center"/>
          </w:tcPr>
          <w:p w14:paraId="3C301C85">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6.8</w:t>
            </w:r>
          </w:p>
        </w:tc>
        <w:tc>
          <w:tcPr>
            <w:tcW w:w="537" w:type="dxa"/>
            <w:shd w:val="clear" w:color="auto" w:fill="auto"/>
            <w:noWrap w:val="0"/>
            <w:vAlign w:val="center"/>
          </w:tcPr>
          <w:p w14:paraId="19C45763">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43.3</w:t>
            </w:r>
          </w:p>
        </w:tc>
        <w:tc>
          <w:tcPr>
            <w:tcW w:w="542" w:type="dxa"/>
            <w:shd w:val="clear" w:color="auto" w:fill="auto"/>
            <w:noWrap w:val="0"/>
            <w:vAlign w:val="center"/>
          </w:tcPr>
          <w:p w14:paraId="43B8806E">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82.3</w:t>
            </w:r>
          </w:p>
        </w:tc>
        <w:tc>
          <w:tcPr>
            <w:tcW w:w="558" w:type="dxa"/>
            <w:shd w:val="clear" w:color="auto" w:fill="auto"/>
            <w:noWrap w:val="0"/>
            <w:vAlign w:val="center"/>
          </w:tcPr>
          <w:p w14:paraId="01357958">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32.2</w:t>
            </w:r>
          </w:p>
        </w:tc>
        <w:tc>
          <w:tcPr>
            <w:tcW w:w="542" w:type="dxa"/>
            <w:shd w:val="clear" w:color="auto" w:fill="auto"/>
            <w:noWrap w:val="0"/>
            <w:vAlign w:val="center"/>
          </w:tcPr>
          <w:p w14:paraId="6B98E8A3">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 xml:space="preserve">51.7 </w:t>
            </w:r>
          </w:p>
        </w:tc>
        <w:tc>
          <w:tcPr>
            <w:tcW w:w="542" w:type="dxa"/>
            <w:shd w:val="clear" w:color="auto" w:fill="auto"/>
            <w:noWrap w:val="0"/>
            <w:vAlign w:val="center"/>
          </w:tcPr>
          <w:p w14:paraId="781CE2F4">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 xml:space="preserve">49.8 </w:t>
            </w:r>
          </w:p>
        </w:tc>
        <w:tc>
          <w:tcPr>
            <w:tcW w:w="542" w:type="dxa"/>
            <w:shd w:val="clear" w:color="auto" w:fill="auto"/>
            <w:noWrap w:val="0"/>
            <w:vAlign w:val="center"/>
          </w:tcPr>
          <w:p w14:paraId="210217E2">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 xml:space="preserve">49.8 </w:t>
            </w:r>
          </w:p>
        </w:tc>
        <w:tc>
          <w:tcPr>
            <w:tcW w:w="555" w:type="dxa"/>
            <w:shd w:val="clear" w:color="auto" w:fill="auto"/>
            <w:noWrap w:val="0"/>
            <w:vAlign w:val="center"/>
          </w:tcPr>
          <w:p w14:paraId="4FCFAD49">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 xml:space="preserve">49.9 </w:t>
            </w:r>
          </w:p>
        </w:tc>
        <w:tc>
          <w:tcPr>
            <w:tcW w:w="542" w:type="dxa"/>
            <w:vMerge w:val="continue"/>
            <w:shd w:val="clear" w:color="auto" w:fill="auto"/>
            <w:noWrap w:val="0"/>
            <w:vAlign w:val="center"/>
          </w:tcPr>
          <w:p w14:paraId="18909874">
            <w:pPr>
              <w:spacing w:line="280" w:lineRule="exact"/>
              <w:jc w:val="center"/>
              <w:rPr>
                <w:rFonts w:hint="default" w:ascii="Times New Roman" w:hAnsi="Times New Roman" w:eastAsia="宋体"/>
                <w:color w:val="auto"/>
                <w:szCs w:val="21"/>
                <w:highlight w:val="none"/>
                <w:lang w:val="en-US" w:eastAsia="zh-CN"/>
              </w:rPr>
            </w:pPr>
          </w:p>
        </w:tc>
        <w:tc>
          <w:tcPr>
            <w:tcW w:w="897" w:type="dxa"/>
            <w:shd w:val="clear" w:color="auto" w:fill="auto"/>
            <w:noWrap w:val="0"/>
            <w:vAlign w:val="center"/>
          </w:tcPr>
          <w:p w14:paraId="11D48FEE">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24.3</w:t>
            </w:r>
          </w:p>
        </w:tc>
        <w:tc>
          <w:tcPr>
            <w:tcW w:w="746" w:type="dxa"/>
            <w:shd w:val="clear" w:color="auto" w:fill="auto"/>
            <w:noWrap w:val="0"/>
            <w:vAlign w:val="center"/>
          </w:tcPr>
          <w:p w14:paraId="5CB676B9">
            <w:pPr>
              <w:spacing w:line="280" w:lineRule="exact"/>
              <w:jc w:val="center"/>
              <w:rPr>
                <w:rFonts w:hint="eastAsia" w:cs="Times New Roman"/>
                <w:color w:val="auto"/>
                <w:szCs w:val="21"/>
                <w:highlight w:val="none"/>
                <w:lang w:val="en-US" w:eastAsia="zh-CN"/>
              </w:rPr>
            </w:pPr>
            <w:r>
              <w:rPr>
                <w:rFonts w:hint="eastAsia" w:cs="Times New Roman"/>
                <w:color w:val="auto"/>
                <w:szCs w:val="21"/>
                <w:highlight w:val="none"/>
                <w:lang w:val="en-US" w:eastAsia="zh-CN"/>
              </w:rPr>
              <w:t>27.4</w:t>
            </w:r>
          </w:p>
        </w:tc>
        <w:tc>
          <w:tcPr>
            <w:tcW w:w="689" w:type="dxa"/>
            <w:shd w:val="clear" w:color="auto" w:fill="auto"/>
            <w:noWrap w:val="0"/>
            <w:vAlign w:val="center"/>
          </w:tcPr>
          <w:p w14:paraId="17169260">
            <w:pPr>
              <w:spacing w:line="280" w:lineRule="exact"/>
              <w:jc w:val="center"/>
              <w:rPr>
                <w:rFonts w:hint="eastAsia" w:cs="Times New Roman"/>
                <w:color w:val="auto"/>
                <w:szCs w:val="21"/>
                <w:highlight w:val="none"/>
                <w:lang w:val="en-US" w:eastAsia="zh-CN"/>
              </w:rPr>
            </w:pPr>
            <w:r>
              <w:rPr>
                <w:rFonts w:hint="eastAsia" w:cs="Times New Roman"/>
                <w:color w:val="auto"/>
                <w:szCs w:val="21"/>
                <w:highlight w:val="none"/>
                <w:lang w:val="en-US" w:eastAsia="zh-CN"/>
              </w:rPr>
              <w:t>25.5</w:t>
            </w:r>
          </w:p>
        </w:tc>
        <w:tc>
          <w:tcPr>
            <w:tcW w:w="838" w:type="dxa"/>
            <w:shd w:val="clear" w:color="auto" w:fill="auto"/>
            <w:noWrap w:val="0"/>
            <w:vAlign w:val="center"/>
          </w:tcPr>
          <w:p w14:paraId="6A372342">
            <w:pPr>
              <w:spacing w:line="280" w:lineRule="exact"/>
              <w:jc w:val="center"/>
              <w:rPr>
                <w:rFonts w:hint="eastAsia" w:cs="Times New Roman"/>
                <w:color w:val="auto"/>
                <w:szCs w:val="21"/>
                <w:highlight w:val="none"/>
                <w:lang w:val="en-US" w:eastAsia="zh-CN"/>
              </w:rPr>
            </w:pPr>
            <w:r>
              <w:rPr>
                <w:rFonts w:hint="eastAsia" w:cs="Times New Roman"/>
                <w:color w:val="auto"/>
                <w:szCs w:val="21"/>
                <w:highlight w:val="none"/>
                <w:lang w:val="en-US" w:eastAsia="zh-CN"/>
              </w:rPr>
              <w:t>25.5</w:t>
            </w:r>
          </w:p>
        </w:tc>
        <w:tc>
          <w:tcPr>
            <w:tcW w:w="750" w:type="dxa"/>
            <w:shd w:val="clear" w:color="auto" w:fill="auto"/>
            <w:noWrap w:val="0"/>
            <w:vAlign w:val="center"/>
          </w:tcPr>
          <w:p w14:paraId="40F7DD4A">
            <w:pPr>
              <w:spacing w:line="280" w:lineRule="exact"/>
              <w:jc w:val="center"/>
              <w:rPr>
                <w:rFonts w:hint="eastAsia" w:cs="Times New Roman"/>
                <w:color w:val="auto"/>
                <w:szCs w:val="21"/>
                <w:highlight w:val="none"/>
                <w:lang w:val="en-US" w:eastAsia="zh-CN"/>
              </w:rPr>
            </w:pPr>
            <w:r>
              <w:rPr>
                <w:rFonts w:hint="eastAsia" w:cs="Times New Roman"/>
                <w:color w:val="auto"/>
                <w:szCs w:val="21"/>
                <w:highlight w:val="none"/>
                <w:lang w:val="en-US" w:eastAsia="zh-CN"/>
              </w:rPr>
              <w:t>25.6</w:t>
            </w:r>
          </w:p>
        </w:tc>
        <w:tc>
          <w:tcPr>
            <w:tcW w:w="1096" w:type="dxa"/>
            <w:shd w:val="clear" w:color="auto" w:fill="auto"/>
            <w:noWrap w:val="0"/>
            <w:vAlign w:val="center"/>
          </w:tcPr>
          <w:p w14:paraId="3EBDB606">
            <w:pPr>
              <w:spacing w:line="280" w:lineRule="exact"/>
              <w:jc w:val="center"/>
              <w:rPr>
                <w:rFonts w:hint="eastAsia"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1</w:t>
            </w:r>
          </w:p>
        </w:tc>
      </w:tr>
      <w:tr w14:paraId="0708187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27" w:type="dxa"/>
            <w:shd w:val="clear" w:color="auto" w:fill="auto"/>
            <w:noWrap w:val="0"/>
            <w:vAlign w:val="center"/>
          </w:tcPr>
          <w:p w14:paraId="5846A9D7">
            <w:pPr>
              <w:spacing w:line="280" w:lineRule="exact"/>
              <w:jc w:val="center"/>
              <w:rPr>
                <w:rFonts w:hint="default" w:ascii="Times New Roman" w:hAnsi="Times New Roman"/>
                <w:color w:val="auto"/>
                <w:szCs w:val="21"/>
                <w:highlight w:val="none"/>
                <w:lang w:val="en-US" w:eastAsia="zh-CN"/>
              </w:rPr>
            </w:pPr>
            <w:r>
              <w:rPr>
                <w:rFonts w:hint="eastAsia"/>
                <w:color w:val="auto"/>
                <w:szCs w:val="21"/>
                <w:highlight w:val="none"/>
                <w:lang w:val="en-US" w:eastAsia="zh-CN"/>
              </w:rPr>
              <w:t>54</w:t>
            </w:r>
          </w:p>
        </w:tc>
        <w:tc>
          <w:tcPr>
            <w:tcW w:w="1428" w:type="dxa"/>
            <w:shd w:val="clear" w:color="auto" w:fill="auto"/>
            <w:noWrap w:val="0"/>
            <w:vAlign w:val="center"/>
          </w:tcPr>
          <w:p w14:paraId="2847389E">
            <w:pPr>
              <w:spacing w:line="280" w:lineRule="exact"/>
              <w:jc w:val="center"/>
              <w:rPr>
                <w:rFonts w:hint="eastAsia" w:ascii="Times New Roman" w:hAnsi="Times New Roman" w:eastAsia="宋体" w:cs="Times New Roman"/>
                <w:b w:val="0"/>
                <w:bCs w:val="0"/>
                <w:color w:val="auto"/>
                <w:kern w:val="0"/>
                <w:sz w:val="21"/>
                <w:szCs w:val="21"/>
                <w:highlight w:val="none"/>
                <w:vertAlign w:val="baseline"/>
                <w:lang w:val="en-US" w:eastAsia="zh-CN"/>
              </w:rPr>
            </w:pPr>
            <w:r>
              <w:rPr>
                <w:rFonts w:hint="eastAsia" w:ascii="Times New Roman" w:hAnsi="Times New Roman" w:cs="Times New Roman"/>
                <w:color w:val="auto"/>
                <w:szCs w:val="21"/>
                <w:highlight w:val="none"/>
                <w:lang w:val="en-US" w:eastAsia="zh-CN"/>
              </w:rPr>
              <w:t>风柜机组12#</w:t>
            </w:r>
          </w:p>
        </w:tc>
        <w:tc>
          <w:tcPr>
            <w:tcW w:w="537" w:type="dxa"/>
            <w:shd w:val="clear" w:color="auto" w:fill="auto"/>
            <w:noWrap w:val="0"/>
            <w:vAlign w:val="center"/>
          </w:tcPr>
          <w:p w14:paraId="20382AE7">
            <w:pPr>
              <w:spacing w:line="280" w:lineRule="exact"/>
              <w:jc w:val="center"/>
              <w:rPr>
                <w:rFonts w:hint="default" w:ascii="Times New Roman" w:hAnsi="Times New Roman"/>
                <w:color w:val="auto"/>
                <w:szCs w:val="21"/>
                <w:highlight w:val="none"/>
                <w:lang w:val="en-US" w:eastAsia="zh-CN"/>
              </w:rPr>
            </w:pPr>
            <w:r>
              <w:rPr>
                <w:rFonts w:hint="eastAsia"/>
                <w:color w:val="auto"/>
                <w:szCs w:val="21"/>
                <w:highlight w:val="none"/>
                <w:lang w:val="en-US" w:eastAsia="zh-CN"/>
              </w:rPr>
              <w:t>75</w:t>
            </w:r>
          </w:p>
        </w:tc>
        <w:tc>
          <w:tcPr>
            <w:tcW w:w="537" w:type="dxa"/>
            <w:shd w:val="clear" w:color="auto" w:fill="auto"/>
            <w:noWrap w:val="0"/>
            <w:vAlign w:val="center"/>
          </w:tcPr>
          <w:p w14:paraId="3B4307D8">
            <w:pPr>
              <w:spacing w:line="280" w:lineRule="exact"/>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63.78</w:t>
            </w:r>
          </w:p>
        </w:tc>
        <w:tc>
          <w:tcPr>
            <w:tcW w:w="537" w:type="dxa"/>
            <w:shd w:val="clear" w:color="auto" w:fill="auto"/>
            <w:noWrap w:val="0"/>
            <w:vAlign w:val="center"/>
          </w:tcPr>
          <w:p w14:paraId="02F1F378">
            <w:pPr>
              <w:spacing w:line="280" w:lineRule="exact"/>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66.4</w:t>
            </w:r>
          </w:p>
        </w:tc>
        <w:tc>
          <w:tcPr>
            <w:tcW w:w="558" w:type="dxa"/>
            <w:shd w:val="clear" w:color="auto" w:fill="auto"/>
            <w:noWrap w:val="0"/>
            <w:vAlign w:val="center"/>
          </w:tcPr>
          <w:p w14:paraId="62EE4594">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1.4</w:t>
            </w:r>
          </w:p>
        </w:tc>
        <w:tc>
          <w:tcPr>
            <w:tcW w:w="537" w:type="dxa"/>
            <w:shd w:val="clear" w:color="auto" w:fill="auto"/>
            <w:noWrap w:val="0"/>
            <w:vAlign w:val="center"/>
          </w:tcPr>
          <w:p w14:paraId="7504A077">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7.9</w:t>
            </w:r>
          </w:p>
        </w:tc>
        <w:tc>
          <w:tcPr>
            <w:tcW w:w="537" w:type="dxa"/>
            <w:shd w:val="clear" w:color="auto" w:fill="auto"/>
            <w:noWrap w:val="0"/>
            <w:vAlign w:val="center"/>
          </w:tcPr>
          <w:p w14:paraId="694BDF48">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42.8</w:t>
            </w:r>
          </w:p>
        </w:tc>
        <w:tc>
          <w:tcPr>
            <w:tcW w:w="542" w:type="dxa"/>
            <w:shd w:val="clear" w:color="auto" w:fill="auto"/>
            <w:noWrap w:val="0"/>
            <w:vAlign w:val="center"/>
          </w:tcPr>
          <w:p w14:paraId="5CF9E14D">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82.6</w:t>
            </w:r>
          </w:p>
        </w:tc>
        <w:tc>
          <w:tcPr>
            <w:tcW w:w="558" w:type="dxa"/>
            <w:shd w:val="clear" w:color="auto" w:fill="auto"/>
            <w:noWrap w:val="0"/>
            <w:vAlign w:val="center"/>
          </w:tcPr>
          <w:p w14:paraId="0286E674">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54.3</w:t>
            </w:r>
          </w:p>
        </w:tc>
        <w:tc>
          <w:tcPr>
            <w:tcW w:w="542" w:type="dxa"/>
            <w:shd w:val="clear" w:color="auto" w:fill="auto"/>
            <w:noWrap w:val="0"/>
            <w:vAlign w:val="center"/>
          </w:tcPr>
          <w:p w14:paraId="7E8DEA92">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 xml:space="preserve">51.3 </w:t>
            </w:r>
          </w:p>
        </w:tc>
        <w:tc>
          <w:tcPr>
            <w:tcW w:w="542" w:type="dxa"/>
            <w:shd w:val="clear" w:color="auto" w:fill="auto"/>
            <w:noWrap w:val="0"/>
            <w:vAlign w:val="center"/>
          </w:tcPr>
          <w:p w14:paraId="4089EB83">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 xml:space="preserve">49.8 </w:t>
            </w:r>
          </w:p>
        </w:tc>
        <w:tc>
          <w:tcPr>
            <w:tcW w:w="542" w:type="dxa"/>
            <w:shd w:val="clear" w:color="auto" w:fill="auto"/>
            <w:noWrap w:val="0"/>
            <w:vAlign w:val="center"/>
          </w:tcPr>
          <w:p w14:paraId="030013CF">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 xml:space="preserve">49.8 </w:t>
            </w:r>
          </w:p>
        </w:tc>
        <w:tc>
          <w:tcPr>
            <w:tcW w:w="555" w:type="dxa"/>
            <w:shd w:val="clear" w:color="auto" w:fill="auto"/>
            <w:noWrap w:val="0"/>
            <w:vAlign w:val="center"/>
          </w:tcPr>
          <w:p w14:paraId="7FCC257D">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 xml:space="preserve">49.8 </w:t>
            </w:r>
          </w:p>
        </w:tc>
        <w:tc>
          <w:tcPr>
            <w:tcW w:w="542" w:type="dxa"/>
            <w:vMerge w:val="continue"/>
            <w:shd w:val="clear" w:color="auto" w:fill="auto"/>
            <w:noWrap w:val="0"/>
            <w:vAlign w:val="center"/>
          </w:tcPr>
          <w:p w14:paraId="27DAFEA6">
            <w:pPr>
              <w:spacing w:line="280" w:lineRule="exact"/>
              <w:jc w:val="center"/>
              <w:rPr>
                <w:rFonts w:hint="default" w:ascii="Times New Roman" w:hAnsi="Times New Roman" w:eastAsia="宋体"/>
                <w:color w:val="auto"/>
                <w:szCs w:val="21"/>
                <w:highlight w:val="none"/>
                <w:lang w:val="en-US" w:eastAsia="zh-CN"/>
              </w:rPr>
            </w:pPr>
          </w:p>
        </w:tc>
        <w:tc>
          <w:tcPr>
            <w:tcW w:w="897" w:type="dxa"/>
            <w:shd w:val="clear" w:color="auto" w:fill="auto"/>
            <w:noWrap w:val="0"/>
            <w:vAlign w:val="center"/>
          </w:tcPr>
          <w:p w14:paraId="2D2C3510">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24.3</w:t>
            </w:r>
          </w:p>
        </w:tc>
        <w:tc>
          <w:tcPr>
            <w:tcW w:w="746" w:type="dxa"/>
            <w:shd w:val="clear" w:color="auto" w:fill="auto"/>
            <w:noWrap w:val="0"/>
            <w:vAlign w:val="center"/>
          </w:tcPr>
          <w:p w14:paraId="2C3D9CEB">
            <w:pPr>
              <w:spacing w:line="280" w:lineRule="exact"/>
              <w:jc w:val="center"/>
              <w:rPr>
                <w:rFonts w:hint="eastAsia" w:cs="Times New Roman"/>
                <w:color w:val="auto"/>
                <w:szCs w:val="21"/>
                <w:highlight w:val="none"/>
                <w:lang w:val="en-US" w:eastAsia="zh-CN"/>
              </w:rPr>
            </w:pPr>
            <w:r>
              <w:rPr>
                <w:rFonts w:hint="eastAsia" w:cs="Times New Roman"/>
                <w:color w:val="auto"/>
                <w:szCs w:val="21"/>
                <w:highlight w:val="none"/>
                <w:lang w:val="en-US" w:eastAsia="zh-CN"/>
              </w:rPr>
              <w:t>27</w:t>
            </w:r>
          </w:p>
        </w:tc>
        <w:tc>
          <w:tcPr>
            <w:tcW w:w="689" w:type="dxa"/>
            <w:shd w:val="clear" w:color="auto" w:fill="auto"/>
            <w:noWrap w:val="0"/>
            <w:vAlign w:val="center"/>
          </w:tcPr>
          <w:p w14:paraId="116DB395">
            <w:pPr>
              <w:spacing w:line="280" w:lineRule="exact"/>
              <w:jc w:val="center"/>
              <w:rPr>
                <w:rFonts w:hint="eastAsia" w:cs="Times New Roman"/>
                <w:color w:val="auto"/>
                <w:szCs w:val="21"/>
                <w:highlight w:val="none"/>
                <w:lang w:val="en-US" w:eastAsia="zh-CN"/>
              </w:rPr>
            </w:pPr>
            <w:r>
              <w:rPr>
                <w:rFonts w:hint="eastAsia" w:cs="Times New Roman"/>
                <w:color w:val="auto"/>
                <w:szCs w:val="21"/>
                <w:highlight w:val="none"/>
                <w:lang w:val="en-US" w:eastAsia="zh-CN"/>
              </w:rPr>
              <w:t>25.5</w:t>
            </w:r>
          </w:p>
        </w:tc>
        <w:tc>
          <w:tcPr>
            <w:tcW w:w="838" w:type="dxa"/>
            <w:shd w:val="clear" w:color="auto" w:fill="auto"/>
            <w:noWrap w:val="0"/>
            <w:vAlign w:val="center"/>
          </w:tcPr>
          <w:p w14:paraId="226C9DB9">
            <w:pPr>
              <w:spacing w:line="280" w:lineRule="exact"/>
              <w:jc w:val="center"/>
              <w:rPr>
                <w:rFonts w:hint="eastAsia" w:cs="Times New Roman"/>
                <w:color w:val="auto"/>
                <w:szCs w:val="21"/>
                <w:highlight w:val="none"/>
                <w:lang w:val="en-US" w:eastAsia="zh-CN"/>
              </w:rPr>
            </w:pPr>
            <w:r>
              <w:rPr>
                <w:rFonts w:hint="eastAsia" w:cs="Times New Roman"/>
                <w:color w:val="auto"/>
                <w:szCs w:val="21"/>
                <w:highlight w:val="none"/>
                <w:lang w:val="en-US" w:eastAsia="zh-CN"/>
              </w:rPr>
              <w:t>25.5</w:t>
            </w:r>
          </w:p>
        </w:tc>
        <w:tc>
          <w:tcPr>
            <w:tcW w:w="750" w:type="dxa"/>
            <w:shd w:val="clear" w:color="auto" w:fill="auto"/>
            <w:noWrap w:val="0"/>
            <w:vAlign w:val="center"/>
          </w:tcPr>
          <w:p w14:paraId="7498B30E">
            <w:pPr>
              <w:spacing w:line="280" w:lineRule="exact"/>
              <w:jc w:val="center"/>
              <w:rPr>
                <w:rFonts w:hint="eastAsia" w:cs="Times New Roman"/>
                <w:color w:val="auto"/>
                <w:szCs w:val="21"/>
                <w:highlight w:val="none"/>
                <w:lang w:val="en-US" w:eastAsia="zh-CN"/>
              </w:rPr>
            </w:pPr>
            <w:r>
              <w:rPr>
                <w:rFonts w:hint="eastAsia" w:cs="Times New Roman"/>
                <w:color w:val="auto"/>
                <w:szCs w:val="21"/>
                <w:highlight w:val="none"/>
                <w:lang w:val="en-US" w:eastAsia="zh-CN"/>
              </w:rPr>
              <w:t>25.5</w:t>
            </w:r>
          </w:p>
        </w:tc>
        <w:tc>
          <w:tcPr>
            <w:tcW w:w="1096" w:type="dxa"/>
            <w:shd w:val="clear" w:color="auto" w:fill="auto"/>
            <w:noWrap w:val="0"/>
            <w:vAlign w:val="center"/>
          </w:tcPr>
          <w:p w14:paraId="09A55BB9">
            <w:pPr>
              <w:spacing w:line="280" w:lineRule="exact"/>
              <w:jc w:val="center"/>
              <w:rPr>
                <w:rFonts w:hint="eastAsia"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1</w:t>
            </w:r>
          </w:p>
        </w:tc>
      </w:tr>
      <w:tr w14:paraId="44604E7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27" w:type="dxa"/>
            <w:shd w:val="clear" w:color="auto" w:fill="auto"/>
            <w:noWrap w:val="0"/>
            <w:vAlign w:val="center"/>
          </w:tcPr>
          <w:p w14:paraId="5CFBD5EA">
            <w:pPr>
              <w:spacing w:line="280" w:lineRule="exact"/>
              <w:jc w:val="center"/>
              <w:rPr>
                <w:rFonts w:hint="default" w:ascii="Times New Roman" w:hAnsi="Times New Roman"/>
                <w:color w:val="auto"/>
                <w:szCs w:val="21"/>
                <w:highlight w:val="none"/>
                <w:lang w:val="en-US" w:eastAsia="zh-CN"/>
              </w:rPr>
            </w:pPr>
            <w:r>
              <w:rPr>
                <w:rFonts w:hint="eastAsia"/>
                <w:color w:val="auto"/>
                <w:szCs w:val="21"/>
                <w:highlight w:val="none"/>
                <w:lang w:val="en-US" w:eastAsia="zh-CN"/>
              </w:rPr>
              <w:t>55</w:t>
            </w:r>
          </w:p>
        </w:tc>
        <w:tc>
          <w:tcPr>
            <w:tcW w:w="1428" w:type="dxa"/>
            <w:shd w:val="clear" w:color="auto" w:fill="auto"/>
            <w:noWrap w:val="0"/>
            <w:vAlign w:val="center"/>
          </w:tcPr>
          <w:p w14:paraId="6B104BD7">
            <w:pPr>
              <w:spacing w:line="280" w:lineRule="exact"/>
              <w:jc w:val="center"/>
              <w:rPr>
                <w:rFonts w:hint="default" w:ascii="Times New Roman" w:hAnsi="Times New Roman" w:eastAsia="宋体" w:cs="Times New Roman"/>
                <w:b w:val="0"/>
                <w:bCs w:val="0"/>
                <w:color w:val="auto"/>
                <w:kern w:val="0"/>
                <w:sz w:val="21"/>
                <w:szCs w:val="21"/>
                <w:highlight w:val="none"/>
                <w:vertAlign w:val="baseline"/>
                <w:lang w:val="en-US" w:eastAsia="zh-CN"/>
              </w:rPr>
            </w:pPr>
            <w:r>
              <w:rPr>
                <w:rFonts w:hint="eastAsia" w:cs="Times New Roman"/>
                <w:b w:val="0"/>
                <w:bCs w:val="0"/>
                <w:color w:val="auto"/>
                <w:kern w:val="0"/>
                <w:sz w:val="21"/>
                <w:szCs w:val="21"/>
                <w:highlight w:val="none"/>
                <w:vertAlign w:val="baseline"/>
                <w:lang w:val="en-US" w:eastAsia="zh-CN"/>
              </w:rPr>
              <w:t>真空泵系统1#</w:t>
            </w:r>
          </w:p>
        </w:tc>
        <w:tc>
          <w:tcPr>
            <w:tcW w:w="537" w:type="dxa"/>
            <w:shd w:val="clear" w:color="auto" w:fill="auto"/>
            <w:noWrap w:val="0"/>
            <w:vAlign w:val="center"/>
          </w:tcPr>
          <w:p w14:paraId="64AF23C4">
            <w:pPr>
              <w:spacing w:line="280" w:lineRule="exact"/>
              <w:jc w:val="center"/>
              <w:rPr>
                <w:rFonts w:hint="eastAsia" w:ascii="Times New Roman" w:hAnsi="Times New Roman"/>
                <w:color w:val="auto"/>
                <w:szCs w:val="21"/>
                <w:highlight w:val="none"/>
                <w:lang w:val="en-US" w:eastAsia="zh-CN"/>
              </w:rPr>
            </w:pPr>
            <w:r>
              <w:rPr>
                <w:rFonts w:hint="eastAsia"/>
                <w:color w:val="auto"/>
                <w:szCs w:val="21"/>
                <w:highlight w:val="none"/>
                <w:lang w:val="en-US" w:eastAsia="zh-CN"/>
              </w:rPr>
              <w:t>80</w:t>
            </w:r>
          </w:p>
        </w:tc>
        <w:tc>
          <w:tcPr>
            <w:tcW w:w="537" w:type="dxa"/>
            <w:shd w:val="clear" w:color="auto" w:fill="auto"/>
            <w:noWrap w:val="0"/>
            <w:vAlign w:val="center"/>
          </w:tcPr>
          <w:p w14:paraId="65EBBC3E">
            <w:pPr>
              <w:spacing w:line="280" w:lineRule="exact"/>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-18.67</w:t>
            </w:r>
          </w:p>
        </w:tc>
        <w:tc>
          <w:tcPr>
            <w:tcW w:w="537" w:type="dxa"/>
            <w:shd w:val="clear" w:color="auto" w:fill="auto"/>
            <w:noWrap w:val="0"/>
            <w:vAlign w:val="center"/>
          </w:tcPr>
          <w:p w14:paraId="415CC091">
            <w:pPr>
              <w:spacing w:line="280" w:lineRule="exact"/>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171.78</w:t>
            </w:r>
          </w:p>
        </w:tc>
        <w:tc>
          <w:tcPr>
            <w:tcW w:w="558" w:type="dxa"/>
            <w:shd w:val="clear" w:color="auto" w:fill="auto"/>
            <w:noWrap w:val="0"/>
            <w:vAlign w:val="center"/>
          </w:tcPr>
          <w:p w14:paraId="50E45424">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1.3</w:t>
            </w:r>
          </w:p>
        </w:tc>
        <w:tc>
          <w:tcPr>
            <w:tcW w:w="537" w:type="dxa"/>
            <w:shd w:val="clear" w:color="auto" w:fill="auto"/>
            <w:noWrap w:val="0"/>
            <w:vAlign w:val="center"/>
          </w:tcPr>
          <w:p w14:paraId="287FE137">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51.4</w:t>
            </w:r>
          </w:p>
        </w:tc>
        <w:tc>
          <w:tcPr>
            <w:tcW w:w="537" w:type="dxa"/>
            <w:shd w:val="clear" w:color="auto" w:fill="auto"/>
            <w:noWrap w:val="0"/>
            <w:vAlign w:val="center"/>
          </w:tcPr>
          <w:p w14:paraId="278BC6DD">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175.3</w:t>
            </w:r>
          </w:p>
        </w:tc>
        <w:tc>
          <w:tcPr>
            <w:tcW w:w="542" w:type="dxa"/>
            <w:shd w:val="clear" w:color="auto" w:fill="auto"/>
            <w:noWrap w:val="0"/>
            <w:vAlign w:val="center"/>
          </w:tcPr>
          <w:p w14:paraId="138F2BB3">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92.4</w:t>
            </w:r>
          </w:p>
        </w:tc>
        <w:tc>
          <w:tcPr>
            <w:tcW w:w="558" w:type="dxa"/>
            <w:shd w:val="clear" w:color="auto" w:fill="auto"/>
            <w:noWrap w:val="0"/>
            <w:vAlign w:val="center"/>
          </w:tcPr>
          <w:p w14:paraId="178C6C91">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4.9</w:t>
            </w:r>
          </w:p>
        </w:tc>
        <w:tc>
          <w:tcPr>
            <w:tcW w:w="542" w:type="dxa"/>
            <w:shd w:val="clear" w:color="auto" w:fill="auto"/>
            <w:noWrap w:val="0"/>
            <w:vAlign w:val="center"/>
          </w:tcPr>
          <w:p w14:paraId="64BD7409">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 xml:space="preserve">54.8 </w:t>
            </w:r>
          </w:p>
        </w:tc>
        <w:tc>
          <w:tcPr>
            <w:tcW w:w="542" w:type="dxa"/>
            <w:shd w:val="clear" w:color="auto" w:fill="auto"/>
            <w:noWrap w:val="0"/>
            <w:vAlign w:val="center"/>
          </w:tcPr>
          <w:p w14:paraId="13DEEBDC">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 xml:space="preserve">54.8 </w:t>
            </w:r>
          </w:p>
        </w:tc>
        <w:tc>
          <w:tcPr>
            <w:tcW w:w="542" w:type="dxa"/>
            <w:shd w:val="clear" w:color="auto" w:fill="auto"/>
            <w:noWrap w:val="0"/>
            <w:vAlign w:val="center"/>
          </w:tcPr>
          <w:p w14:paraId="7CCC49CD">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 xml:space="preserve">54.8 </w:t>
            </w:r>
          </w:p>
        </w:tc>
        <w:tc>
          <w:tcPr>
            <w:tcW w:w="555" w:type="dxa"/>
            <w:shd w:val="clear" w:color="auto" w:fill="auto"/>
            <w:noWrap w:val="0"/>
            <w:vAlign w:val="center"/>
          </w:tcPr>
          <w:p w14:paraId="5ACEE01E">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 xml:space="preserve">58.0 </w:t>
            </w:r>
          </w:p>
        </w:tc>
        <w:tc>
          <w:tcPr>
            <w:tcW w:w="542" w:type="dxa"/>
            <w:vMerge w:val="continue"/>
            <w:shd w:val="clear" w:color="auto" w:fill="auto"/>
            <w:noWrap w:val="0"/>
            <w:vAlign w:val="center"/>
          </w:tcPr>
          <w:p w14:paraId="51739F8D">
            <w:pPr>
              <w:spacing w:line="280" w:lineRule="exact"/>
              <w:jc w:val="center"/>
              <w:rPr>
                <w:rFonts w:hint="default" w:ascii="Times New Roman" w:hAnsi="Times New Roman" w:eastAsia="宋体"/>
                <w:color w:val="auto"/>
                <w:szCs w:val="21"/>
                <w:highlight w:val="none"/>
                <w:lang w:val="en-US" w:eastAsia="zh-CN"/>
              </w:rPr>
            </w:pPr>
          </w:p>
        </w:tc>
        <w:tc>
          <w:tcPr>
            <w:tcW w:w="897" w:type="dxa"/>
            <w:shd w:val="clear" w:color="auto" w:fill="auto"/>
            <w:noWrap w:val="0"/>
            <w:vAlign w:val="center"/>
          </w:tcPr>
          <w:p w14:paraId="065F5230">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24.3</w:t>
            </w:r>
          </w:p>
        </w:tc>
        <w:tc>
          <w:tcPr>
            <w:tcW w:w="746" w:type="dxa"/>
            <w:shd w:val="clear" w:color="auto" w:fill="auto"/>
            <w:noWrap w:val="0"/>
            <w:vAlign w:val="center"/>
          </w:tcPr>
          <w:p w14:paraId="0883DE77">
            <w:pPr>
              <w:spacing w:line="280" w:lineRule="exact"/>
              <w:jc w:val="center"/>
              <w:rPr>
                <w:rFonts w:hint="eastAsia" w:cs="Times New Roman"/>
                <w:color w:val="auto"/>
                <w:szCs w:val="21"/>
                <w:highlight w:val="none"/>
                <w:lang w:val="en-US" w:eastAsia="zh-CN"/>
              </w:rPr>
            </w:pPr>
            <w:r>
              <w:rPr>
                <w:rFonts w:hint="eastAsia" w:cs="Times New Roman"/>
                <w:color w:val="auto"/>
                <w:szCs w:val="21"/>
                <w:highlight w:val="none"/>
                <w:lang w:val="en-US" w:eastAsia="zh-CN"/>
              </w:rPr>
              <w:t>30.5</w:t>
            </w:r>
          </w:p>
        </w:tc>
        <w:tc>
          <w:tcPr>
            <w:tcW w:w="689" w:type="dxa"/>
            <w:shd w:val="clear" w:color="auto" w:fill="auto"/>
            <w:noWrap w:val="0"/>
            <w:vAlign w:val="center"/>
          </w:tcPr>
          <w:p w14:paraId="39E3FCF5">
            <w:pPr>
              <w:spacing w:line="280" w:lineRule="exact"/>
              <w:jc w:val="center"/>
              <w:rPr>
                <w:rFonts w:hint="eastAsia" w:cs="Times New Roman"/>
                <w:color w:val="auto"/>
                <w:szCs w:val="21"/>
                <w:highlight w:val="none"/>
                <w:lang w:val="en-US" w:eastAsia="zh-CN"/>
              </w:rPr>
            </w:pPr>
            <w:r>
              <w:rPr>
                <w:rFonts w:hint="eastAsia" w:cs="Times New Roman"/>
                <w:color w:val="auto"/>
                <w:szCs w:val="21"/>
                <w:highlight w:val="none"/>
                <w:lang w:val="en-US" w:eastAsia="zh-CN"/>
              </w:rPr>
              <w:t>30.5</w:t>
            </w:r>
          </w:p>
        </w:tc>
        <w:tc>
          <w:tcPr>
            <w:tcW w:w="838" w:type="dxa"/>
            <w:shd w:val="clear" w:color="auto" w:fill="auto"/>
            <w:noWrap w:val="0"/>
            <w:vAlign w:val="center"/>
          </w:tcPr>
          <w:p w14:paraId="41AEFB08">
            <w:pPr>
              <w:spacing w:line="280" w:lineRule="exact"/>
              <w:jc w:val="center"/>
              <w:rPr>
                <w:rFonts w:hint="eastAsia" w:cs="Times New Roman"/>
                <w:color w:val="auto"/>
                <w:szCs w:val="21"/>
                <w:highlight w:val="none"/>
                <w:lang w:val="en-US" w:eastAsia="zh-CN"/>
              </w:rPr>
            </w:pPr>
            <w:r>
              <w:rPr>
                <w:rFonts w:hint="eastAsia" w:cs="Times New Roman"/>
                <w:color w:val="auto"/>
                <w:szCs w:val="21"/>
                <w:highlight w:val="none"/>
                <w:lang w:val="en-US" w:eastAsia="zh-CN"/>
              </w:rPr>
              <w:t>30.5</w:t>
            </w:r>
          </w:p>
        </w:tc>
        <w:tc>
          <w:tcPr>
            <w:tcW w:w="750" w:type="dxa"/>
            <w:shd w:val="clear" w:color="auto" w:fill="auto"/>
            <w:noWrap w:val="0"/>
            <w:vAlign w:val="center"/>
          </w:tcPr>
          <w:p w14:paraId="625E5F4C">
            <w:pPr>
              <w:spacing w:line="280" w:lineRule="exact"/>
              <w:jc w:val="center"/>
              <w:rPr>
                <w:rFonts w:hint="eastAsia" w:cs="Times New Roman"/>
                <w:color w:val="auto"/>
                <w:szCs w:val="21"/>
                <w:highlight w:val="none"/>
                <w:lang w:val="en-US" w:eastAsia="zh-CN"/>
              </w:rPr>
            </w:pPr>
            <w:r>
              <w:rPr>
                <w:rFonts w:hint="eastAsia" w:cs="Times New Roman"/>
                <w:color w:val="auto"/>
                <w:szCs w:val="21"/>
                <w:highlight w:val="none"/>
                <w:lang w:val="en-US" w:eastAsia="zh-CN"/>
              </w:rPr>
              <w:t>33.7</w:t>
            </w:r>
          </w:p>
        </w:tc>
        <w:tc>
          <w:tcPr>
            <w:tcW w:w="1096" w:type="dxa"/>
            <w:shd w:val="clear" w:color="auto" w:fill="auto"/>
            <w:noWrap w:val="0"/>
            <w:vAlign w:val="center"/>
          </w:tcPr>
          <w:p w14:paraId="05B71AC3">
            <w:pPr>
              <w:spacing w:line="280" w:lineRule="exact"/>
              <w:jc w:val="center"/>
              <w:rPr>
                <w:rFonts w:hint="eastAsia"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1</w:t>
            </w:r>
          </w:p>
        </w:tc>
      </w:tr>
      <w:tr w14:paraId="7F9CA24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27" w:type="dxa"/>
            <w:shd w:val="clear" w:color="auto" w:fill="auto"/>
            <w:noWrap w:val="0"/>
            <w:vAlign w:val="center"/>
          </w:tcPr>
          <w:p w14:paraId="26CB4F2F">
            <w:pPr>
              <w:spacing w:line="280" w:lineRule="exact"/>
              <w:jc w:val="center"/>
              <w:rPr>
                <w:rFonts w:hint="default" w:ascii="Times New Roman" w:hAnsi="Times New Roman"/>
                <w:color w:val="auto"/>
                <w:szCs w:val="21"/>
                <w:highlight w:val="none"/>
                <w:lang w:val="en-US" w:eastAsia="zh-CN"/>
              </w:rPr>
            </w:pPr>
            <w:r>
              <w:rPr>
                <w:rFonts w:hint="eastAsia"/>
                <w:color w:val="auto"/>
                <w:szCs w:val="21"/>
                <w:highlight w:val="none"/>
                <w:lang w:val="en-US" w:eastAsia="zh-CN"/>
              </w:rPr>
              <w:t>56</w:t>
            </w:r>
          </w:p>
        </w:tc>
        <w:tc>
          <w:tcPr>
            <w:tcW w:w="1428" w:type="dxa"/>
            <w:shd w:val="clear" w:color="auto" w:fill="auto"/>
            <w:noWrap w:val="0"/>
            <w:vAlign w:val="center"/>
          </w:tcPr>
          <w:p w14:paraId="6CA86590">
            <w:pPr>
              <w:spacing w:line="280" w:lineRule="exact"/>
              <w:jc w:val="center"/>
              <w:rPr>
                <w:rFonts w:hint="eastAsia" w:cs="Times New Roman"/>
                <w:b w:val="0"/>
                <w:bCs w:val="0"/>
                <w:color w:val="auto"/>
                <w:kern w:val="0"/>
                <w:sz w:val="21"/>
                <w:szCs w:val="21"/>
                <w:highlight w:val="none"/>
                <w:vertAlign w:val="baseline"/>
                <w:lang w:val="en-US" w:eastAsia="zh-CN"/>
              </w:rPr>
            </w:pPr>
            <w:r>
              <w:rPr>
                <w:rFonts w:hint="eastAsia" w:cs="Times New Roman"/>
                <w:b w:val="0"/>
                <w:bCs w:val="0"/>
                <w:color w:val="auto"/>
                <w:kern w:val="0"/>
                <w:sz w:val="21"/>
                <w:szCs w:val="21"/>
                <w:highlight w:val="none"/>
                <w:vertAlign w:val="baseline"/>
                <w:lang w:val="en-US" w:eastAsia="zh-CN"/>
              </w:rPr>
              <w:t>真空泵系统2#</w:t>
            </w:r>
          </w:p>
        </w:tc>
        <w:tc>
          <w:tcPr>
            <w:tcW w:w="537" w:type="dxa"/>
            <w:shd w:val="clear" w:color="auto" w:fill="auto"/>
            <w:noWrap w:val="0"/>
            <w:vAlign w:val="center"/>
          </w:tcPr>
          <w:p w14:paraId="75C770AC">
            <w:pPr>
              <w:spacing w:line="280" w:lineRule="exact"/>
              <w:jc w:val="center"/>
              <w:rPr>
                <w:rFonts w:hint="eastAsia" w:ascii="Times New Roman" w:hAnsi="Times New Roman"/>
                <w:color w:val="auto"/>
                <w:szCs w:val="21"/>
                <w:highlight w:val="none"/>
                <w:lang w:val="en-US" w:eastAsia="zh-CN"/>
              </w:rPr>
            </w:pPr>
            <w:r>
              <w:rPr>
                <w:rFonts w:hint="eastAsia"/>
                <w:color w:val="auto"/>
                <w:szCs w:val="21"/>
                <w:highlight w:val="none"/>
                <w:lang w:val="en-US" w:eastAsia="zh-CN"/>
              </w:rPr>
              <w:t>80</w:t>
            </w:r>
          </w:p>
        </w:tc>
        <w:tc>
          <w:tcPr>
            <w:tcW w:w="537" w:type="dxa"/>
            <w:shd w:val="clear" w:color="auto" w:fill="auto"/>
            <w:noWrap w:val="0"/>
            <w:vAlign w:val="center"/>
          </w:tcPr>
          <w:p w14:paraId="601D9E6A">
            <w:pPr>
              <w:spacing w:line="280" w:lineRule="exact"/>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-17.93</w:t>
            </w:r>
          </w:p>
        </w:tc>
        <w:tc>
          <w:tcPr>
            <w:tcW w:w="537" w:type="dxa"/>
            <w:shd w:val="clear" w:color="auto" w:fill="auto"/>
            <w:noWrap w:val="0"/>
            <w:vAlign w:val="center"/>
          </w:tcPr>
          <w:p w14:paraId="1DF82116">
            <w:pPr>
              <w:spacing w:line="280" w:lineRule="exact"/>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170.06</w:t>
            </w:r>
          </w:p>
        </w:tc>
        <w:tc>
          <w:tcPr>
            <w:tcW w:w="558" w:type="dxa"/>
            <w:shd w:val="clear" w:color="auto" w:fill="auto"/>
            <w:noWrap w:val="0"/>
            <w:vAlign w:val="center"/>
          </w:tcPr>
          <w:p w14:paraId="2FF0B166">
            <w:pPr>
              <w:spacing w:line="280" w:lineRule="exact"/>
              <w:jc w:val="center"/>
              <w:rPr>
                <w:rFonts w:hint="eastAsia"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1.3</w:t>
            </w:r>
          </w:p>
        </w:tc>
        <w:tc>
          <w:tcPr>
            <w:tcW w:w="537" w:type="dxa"/>
            <w:shd w:val="clear" w:color="auto" w:fill="auto"/>
            <w:noWrap w:val="0"/>
            <w:vAlign w:val="center"/>
          </w:tcPr>
          <w:p w14:paraId="77C066EA">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54.4</w:t>
            </w:r>
          </w:p>
        </w:tc>
        <w:tc>
          <w:tcPr>
            <w:tcW w:w="537" w:type="dxa"/>
            <w:shd w:val="clear" w:color="auto" w:fill="auto"/>
            <w:noWrap w:val="0"/>
            <w:vAlign w:val="center"/>
          </w:tcPr>
          <w:p w14:paraId="325DD022">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161.8</w:t>
            </w:r>
          </w:p>
        </w:tc>
        <w:tc>
          <w:tcPr>
            <w:tcW w:w="542" w:type="dxa"/>
            <w:shd w:val="clear" w:color="auto" w:fill="auto"/>
            <w:noWrap w:val="0"/>
            <w:vAlign w:val="center"/>
          </w:tcPr>
          <w:p w14:paraId="4FB8E9B5">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50.8</w:t>
            </w:r>
          </w:p>
        </w:tc>
        <w:tc>
          <w:tcPr>
            <w:tcW w:w="558" w:type="dxa"/>
            <w:shd w:val="clear" w:color="auto" w:fill="auto"/>
            <w:noWrap w:val="0"/>
            <w:vAlign w:val="center"/>
          </w:tcPr>
          <w:p w14:paraId="049C4B60">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6.3</w:t>
            </w:r>
          </w:p>
        </w:tc>
        <w:tc>
          <w:tcPr>
            <w:tcW w:w="542" w:type="dxa"/>
            <w:shd w:val="clear" w:color="auto" w:fill="auto"/>
            <w:noWrap w:val="0"/>
            <w:vAlign w:val="center"/>
          </w:tcPr>
          <w:p w14:paraId="667F0C49">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 xml:space="preserve">54.8 </w:t>
            </w:r>
          </w:p>
        </w:tc>
        <w:tc>
          <w:tcPr>
            <w:tcW w:w="542" w:type="dxa"/>
            <w:shd w:val="clear" w:color="auto" w:fill="auto"/>
            <w:noWrap w:val="0"/>
            <w:vAlign w:val="center"/>
          </w:tcPr>
          <w:p w14:paraId="62357214">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 xml:space="preserve">54.8 </w:t>
            </w:r>
          </w:p>
        </w:tc>
        <w:tc>
          <w:tcPr>
            <w:tcW w:w="542" w:type="dxa"/>
            <w:shd w:val="clear" w:color="auto" w:fill="auto"/>
            <w:noWrap w:val="0"/>
            <w:vAlign w:val="center"/>
          </w:tcPr>
          <w:p w14:paraId="74E6D26C">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 xml:space="preserve">54.8 </w:t>
            </w:r>
          </w:p>
        </w:tc>
        <w:tc>
          <w:tcPr>
            <w:tcW w:w="555" w:type="dxa"/>
            <w:shd w:val="clear" w:color="auto" w:fill="auto"/>
            <w:noWrap w:val="0"/>
            <w:vAlign w:val="center"/>
          </w:tcPr>
          <w:p w14:paraId="0E3E8FAD">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 xml:space="preserve">57.0 </w:t>
            </w:r>
          </w:p>
        </w:tc>
        <w:tc>
          <w:tcPr>
            <w:tcW w:w="542" w:type="dxa"/>
            <w:vMerge w:val="continue"/>
            <w:shd w:val="clear" w:color="auto" w:fill="auto"/>
            <w:noWrap w:val="0"/>
            <w:vAlign w:val="center"/>
          </w:tcPr>
          <w:p w14:paraId="0C906D8B">
            <w:pPr>
              <w:spacing w:line="280" w:lineRule="exact"/>
              <w:jc w:val="center"/>
              <w:rPr>
                <w:rFonts w:hint="default" w:ascii="Times New Roman" w:hAnsi="Times New Roman" w:eastAsia="宋体"/>
                <w:color w:val="auto"/>
                <w:szCs w:val="21"/>
                <w:highlight w:val="none"/>
                <w:lang w:val="en-US" w:eastAsia="zh-CN"/>
              </w:rPr>
            </w:pPr>
          </w:p>
        </w:tc>
        <w:tc>
          <w:tcPr>
            <w:tcW w:w="897" w:type="dxa"/>
            <w:shd w:val="clear" w:color="auto" w:fill="auto"/>
            <w:noWrap w:val="0"/>
            <w:vAlign w:val="center"/>
          </w:tcPr>
          <w:p w14:paraId="59E54E9D">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24.3</w:t>
            </w:r>
          </w:p>
        </w:tc>
        <w:tc>
          <w:tcPr>
            <w:tcW w:w="746" w:type="dxa"/>
            <w:shd w:val="clear" w:color="auto" w:fill="auto"/>
            <w:noWrap w:val="0"/>
            <w:vAlign w:val="center"/>
          </w:tcPr>
          <w:p w14:paraId="30F88889">
            <w:pPr>
              <w:spacing w:line="280" w:lineRule="exact"/>
              <w:jc w:val="center"/>
              <w:rPr>
                <w:rFonts w:hint="eastAsia" w:cs="Times New Roman"/>
                <w:color w:val="auto"/>
                <w:szCs w:val="21"/>
                <w:highlight w:val="none"/>
                <w:lang w:val="en-US" w:eastAsia="zh-CN"/>
              </w:rPr>
            </w:pPr>
            <w:r>
              <w:rPr>
                <w:rFonts w:hint="eastAsia" w:cs="Times New Roman"/>
                <w:color w:val="auto"/>
                <w:szCs w:val="21"/>
                <w:highlight w:val="none"/>
                <w:lang w:val="en-US" w:eastAsia="zh-CN"/>
              </w:rPr>
              <w:t>30.5</w:t>
            </w:r>
          </w:p>
        </w:tc>
        <w:tc>
          <w:tcPr>
            <w:tcW w:w="689" w:type="dxa"/>
            <w:shd w:val="clear" w:color="auto" w:fill="auto"/>
            <w:noWrap w:val="0"/>
            <w:vAlign w:val="center"/>
          </w:tcPr>
          <w:p w14:paraId="1E40878A">
            <w:pPr>
              <w:spacing w:line="280" w:lineRule="exact"/>
              <w:jc w:val="center"/>
              <w:rPr>
                <w:rFonts w:hint="eastAsia" w:cs="Times New Roman"/>
                <w:color w:val="auto"/>
                <w:szCs w:val="21"/>
                <w:highlight w:val="none"/>
                <w:lang w:val="en-US" w:eastAsia="zh-CN"/>
              </w:rPr>
            </w:pPr>
            <w:r>
              <w:rPr>
                <w:rFonts w:hint="eastAsia" w:cs="Times New Roman"/>
                <w:color w:val="auto"/>
                <w:szCs w:val="21"/>
                <w:highlight w:val="none"/>
                <w:lang w:val="en-US" w:eastAsia="zh-CN"/>
              </w:rPr>
              <w:t>30.5</w:t>
            </w:r>
          </w:p>
        </w:tc>
        <w:tc>
          <w:tcPr>
            <w:tcW w:w="838" w:type="dxa"/>
            <w:shd w:val="clear" w:color="auto" w:fill="auto"/>
            <w:noWrap w:val="0"/>
            <w:vAlign w:val="center"/>
          </w:tcPr>
          <w:p w14:paraId="2BE1AC80">
            <w:pPr>
              <w:spacing w:line="280" w:lineRule="exact"/>
              <w:jc w:val="center"/>
              <w:rPr>
                <w:rFonts w:hint="eastAsia" w:cs="Times New Roman"/>
                <w:color w:val="auto"/>
                <w:szCs w:val="21"/>
                <w:highlight w:val="none"/>
                <w:lang w:val="en-US" w:eastAsia="zh-CN"/>
              </w:rPr>
            </w:pPr>
            <w:r>
              <w:rPr>
                <w:rFonts w:hint="eastAsia" w:cs="Times New Roman"/>
                <w:color w:val="auto"/>
                <w:szCs w:val="21"/>
                <w:highlight w:val="none"/>
                <w:lang w:val="en-US" w:eastAsia="zh-CN"/>
              </w:rPr>
              <w:t>30.5</w:t>
            </w:r>
          </w:p>
        </w:tc>
        <w:tc>
          <w:tcPr>
            <w:tcW w:w="750" w:type="dxa"/>
            <w:shd w:val="clear" w:color="auto" w:fill="auto"/>
            <w:noWrap w:val="0"/>
            <w:vAlign w:val="center"/>
          </w:tcPr>
          <w:p w14:paraId="163220D6">
            <w:pPr>
              <w:spacing w:line="280" w:lineRule="exact"/>
              <w:jc w:val="center"/>
              <w:rPr>
                <w:rFonts w:hint="eastAsia" w:cs="Times New Roman"/>
                <w:color w:val="auto"/>
                <w:szCs w:val="21"/>
                <w:highlight w:val="none"/>
                <w:lang w:val="en-US" w:eastAsia="zh-CN"/>
              </w:rPr>
            </w:pPr>
            <w:r>
              <w:rPr>
                <w:rFonts w:hint="eastAsia" w:cs="Times New Roman"/>
                <w:color w:val="auto"/>
                <w:szCs w:val="21"/>
                <w:highlight w:val="none"/>
                <w:lang w:val="en-US" w:eastAsia="zh-CN"/>
              </w:rPr>
              <w:t>32.7</w:t>
            </w:r>
          </w:p>
        </w:tc>
        <w:tc>
          <w:tcPr>
            <w:tcW w:w="1096" w:type="dxa"/>
            <w:shd w:val="clear" w:color="auto" w:fill="auto"/>
            <w:noWrap w:val="0"/>
            <w:vAlign w:val="center"/>
          </w:tcPr>
          <w:p w14:paraId="5AE3E816">
            <w:pPr>
              <w:spacing w:line="280" w:lineRule="exact"/>
              <w:jc w:val="center"/>
              <w:rPr>
                <w:rFonts w:hint="eastAsia"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1</w:t>
            </w:r>
          </w:p>
        </w:tc>
      </w:tr>
      <w:tr w14:paraId="7EC3DC6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27" w:type="dxa"/>
            <w:shd w:val="clear" w:color="auto" w:fill="auto"/>
            <w:noWrap w:val="0"/>
            <w:vAlign w:val="center"/>
          </w:tcPr>
          <w:p w14:paraId="06EC89D2">
            <w:pPr>
              <w:spacing w:line="280" w:lineRule="exact"/>
              <w:jc w:val="center"/>
              <w:rPr>
                <w:rFonts w:hint="default" w:ascii="Times New Roman" w:hAnsi="Times New Roman"/>
                <w:color w:val="auto"/>
                <w:szCs w:val="21"/>
                <w:highlight w:val="none"/>
                <w:lang w:val="en-US" w:eastAsia="zh-CN"/>
              </w:rPr>
            </w:pPr>
            <w:r>
              <w:rPr>
                <w:rFonts w:hint="eastAsia"/>
                <w:color w:val="auto"/>
                <w:szCs w:val="21"/>
                <w:highlight w:val="none"/>
                <w:lang w:val="en-US" w:eastAsia="zh-CN"/>
              </w:rPr>
              <w:t>57</w:t>
            </w:r>
          </w:p>
        </w:tc>
        <w:tc>
          <w:tcPr>
            <w:tcW w:w="1428" w:type="dxa"/>
            <w:shd w:val="clear" w:color="auto" w:fill="auto"/>
            <w:noWrap w:val="0"/>
            <w:vAlign w:val="center"/>
          </w:tcPr>
          <w:p w14:paraId="6535BBCA">
            <w:pPr>
              <w:spacing w:line="280" w:lineRule="exact"/>
              <w:jc w:val="center"/>
              <w:rPr>
                <w:rFonts w:hint="eastAsia" w:cs="Times New Roman"/>
                <w:b w:val="0"/>
                <w:bCs w:val="0"/>
                <w:color w:val="auto"/>
                <w:kern w:val="0"/>
                <w:sz w:val="21"/>
                <w:szCs w:val="21"/>
                <w:highlight w:val="none"/>
                <w:vertAlign w:val="baseline"/>
                <w:lang w:val="en-US" w:eastAsia="zh-CN"/>
              </w:rPr>
            </w:pPr>
            <w:r>
              <w:rPr>
                <w:rFonts w:hint="eastAsia" w:cs="Times New Roman"/>
                <w:b w:val="0"/>
                <w:bCs w:val="0"/>
                <w:color w:val="auto"/>
                <w:kern w:val="0"/>
                <w:sz w:val="21"/>
                <w:szCs w:val="21"/>
                <w:highlight w:val="none"/>
                <w:vertAlign w:val="baseline"/>
                <w:lang w:val="en-US" w:eastAsia="zh-CN"/>
              </w:rPr>
              <w:t>真空泵系统3#</w:t>
            </w:r>
          </w:p>
        </w:tc>
        <w:tc>
          <w:tcPr>
            <w:tcW w:w="537" w:type="dxa"/>
            <w:shd w:val="clear" w:color="auto" w:fill="auto"/>
            <w:noWrap w:val="0"/>
            <w:vAlign w:val="center"/>
          </w:tcPr>
          <w:p w14:paraId="5253FA5B">
            <w:pPr>
              <w:spacing w:line="280" w:lineRule="exact"/>
              <w:jc w:val="center"/>
              <w:rPr>
                <w:rFonts w:hint="eastAsia" w:ascii="Times New Roman" w:hAnsi="Times New Roman"/>
                <w:color w:val="auto"/>
                <w:szCs w:val="21"/>
                <w:highlight w:val="none"/>
                <w:lang w:val="en-US" w:eastAsia="zh-CN"/>
              </w:rPr>
            </w:pPr>
            <w:r>
              <w:rPr>
                <w:rFonts w:hint="eastAsia"/>
                <w:color w:val="auto"/>
                <w:szCs w:val="21"/>
                <w:highlight w:val="none"/>
                <w:lang w:val="en-US" w:eastAsia="zh-CN"/>
              </w:rPr>
              <w:t>80</w:t>
            </w:r>
          </w:p>
        </w:tc>
        <w:tc>
          <w:tcPr>
            <w:tcW w:w="537" w:type="dxa"/>
            <w:shd w:val="clear" w:color="auto" w:fill="auto"/>
            <w:noWrap w:val="0"/>
            <w:vAlign w:val="center"/>
          </w:tcPr>
          <w:p w14:paraId="48E87448">
            <w:pPr>
              <w:spacing w:line="280" w:lineRule="exact"/>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-16.84</w:t>
            </w:r>
          </w:p>
        </w:tc>
        <w:tc>
          <w:tcPr>
            <w:tcW w:w="537" w:type="dxa"/>
            <w:shd w:val="clear" w:color="auto" w:fill="auto"/>
            <w:noWrap w:val="0"/>
            <w:vAlign w:val="center"/>
          </w:tcPr>
          <w:p w14:paraId="388298B8">
            <w:pPr>
              <w:spacing w:line="280" w:lineRule="exact"/>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172.33</w:t>
            </w:r>
          </w:p>
        </w:tc>
        <w:tc>
          <w:tcPr>
            <w:tcW w:w="558" w:type="dxa"/>
            <w:shd w:val="clear" w:color="auto" w:fill="auto"/>
            <w:noWrap w:val="0"/>
            <w:vAlign w:val="center"/>
          </w:tcPr>
          <w:p w14:paraId="740C6FA8">
            <w:pPr>
              <w:spacing w:line="280" w:lineRule="exact"/>
              <w:jc w:val="center"/>
              <w:rPr>
                <w:rFonts w:hint="eastAsia"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1.3</w:t>
            </w:r>
          </w:p>
        </w:tc>
        <w:tc>
          <w:tcPr>
            <w:tcW w:w="537" w:type="dxa"/>
            <w:shd w:val="clear" w:color="auto" w:fill="auto"/>
            <w:noWrap w:val="0"/>
            <w:vAlign w:val="center"/>
          </w:tcPr>
          <w:p w14:paraId="7851D6B3">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53.4</w:t>
            </w:r>
          </w:p>
        </w:tc>
        <w:tc>
          <w:tcPr>
            <w:tcW w:w="537" w:type="dxa"/>
            <w:shd w:val="clear" w:color="auto" w:fill="auto"/>
            <w:noWrap w:val="0"/>
            <w:vAlign w:val="center"/>
          </w:tcPr>
          <w:p w14:paraId="715B4272">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159.7</w:t>
            </w:r>
          </w:p>
        </w:tc>
        <w:tc>
          <w:tcPr>
            <w:tcW w:w="542" w:type="dxa"/>
            <w:shd w:val="clear" w:color="auto" w:fill="auto"/>
            <w:noWrap w:val="0"/>
            <w:vAlign w:val="center"/>
          </w:tcPr>
          <w:p w14:paraId="42763919">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53.3</w:t>
            </w:r>
          </w:p>
        </w:tc>
        <w:tc>
          <w:tcPr>
            <w:tcW w:w="558" w:type="dxa"/>
            <w:shd w:val="clear" w:color="auto" w:fill="auto"/>
            <w:noWrap w:val="0"/>
            <w:vAlign w:val="center"/>
          </w:tcPr>
          <w:p w14:paraId="0D547248">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4.6</w:t>
            </w:r>
          </w:p>
        </w:tc>
        <w:tc>
          <w:tcPr>
            <w:tcW w:w="542" w:type="dxa"/>
            <w:shd w:val="clear" w:color="auto" w:fill="auto"/>
            <w:noWrap w:val="0"/>
            <w:vAlign w:val="center"/>
          </w:tcPr>
          <w:p w14:paraId="3E9E75A9">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 xml:space="preserve">54.8 </w:t>
            </w:r>
          </w:p>
        </w:tc>
        <w:tc>
          <w:tcPr>
            <w:tcW w:w="542" w:type="dxa"/>
            <w:shd w:val="clear" w:color="auto" w:fill="auto"/>
            <w:noWrap w:val="0"/>
            <w:vAlign w:val="center"/>
          </w:tcPr>
          <w:p w14:paraId="0B6116D5">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 xml:space="preserve">54.8 </w:t>
            </w:r>
          </w:p>
        </w:tc>
        <w:tc>
          <w:tcPr>
            <w:tcW w:w="542" w:type="dxa"/>
            <w:shd w:val="clear" w:color="auto" w:fill="auto"/>
            <w:noWrap w:val="0"/>
            <w:vAlign w:val="center"/>
          </w:tcPr>
          <w:p w14:paraId="1311944B">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 xml:space="preserve">54.8 </w:t>
            </w:r>
          </w:p>
        </w:tc>
        <w:tc>
          <w:tcPr>
            <w:tcW w:w="555" w:type="dxa"/>
            <w:shd w:val="clear" w:color="auto" w:fill="auto"/>
            <w:noWrap w:val="0"/>
            <w:vAlign w:val="center"/>
          </w:tcPr>
          <w:p w14:paraId="2DC3949D">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 xml:space="preserve">58.3 </w:t>
            </w:r>
          </w:p>
        </w:tc>
        <w:tc>
          <w:tcPr>
            <w:tcW w:w="542" w:type="dxa"/>
            <w:vMerge w:val="continue"/>
            <w:shd w:val="clear" w:color="auto" w:fill="auto"/>
            <w:noWrap w:val="0"/>
            <w:vAlign w:val="center"/>
          </w:tcPr>
          <w:p w14:paraId="5CEE3093">
            <w:pPr>
              <w:spacing w:line="280" w:lineRule="exact"/>
              <w:jc w:val="center"/>
              <w:rPr>
                <w:rFonts w:hint="default" w:ascii="Times New Roman" w:hAnsi="Times New Roman" w:eastAsia="宋体"/>
                <w:color w:val="auto"/>
                <w:szCs w:val="21"/>
                <w:highlight w:val="none"/>
                <w:lang w:val="en-US" w:eastAsia="zh-CN"/>
              </w:rPr>
            </w:pPr>
          </w:p>
        </w:tc>
        <w:tc>
          <w:tcPr>
            <w:tcW w:w="897" w:type="dxa"/>
            <w:shd w:val="clear" w:color="auto" w:fill="auto"/>
            <w:noWrap w:val="0"/>
            <w:vAlign w:val="center"/>
          </w:tcPr>
          <w:p w14:paraId="1FD7AC01">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24.3</w:t>
            </w:r>
          </w:p>
        </w:tc>
        <w:tc>
          <w:tcPr>
            <w:tcW w:w="746" w:type="dxa"/>
            <w:shd w:val="clear" w:color="auto" w:fill="auto"/>
            <w:noWrap w:val="0"/>
            <w:vAlign w:val="center"/>
          </w:tcPr>
          <w:p w14:paraId="402089E7">
            <w:pPr>
              <w:spacing w:line="280" w:lineRule="exact"/>
              <w:jc w:val="center"/>
              <w:rPr>
                <w:rFonts w:hint="eastAsia" w:cs="Times New Roman"/>
                <w:color w:val="auto"/>
                <w:szCs w:val="21"/>
                <w:highlight w:val="none"/>
                <w:lang w:val="en-US" w:eastAsia="zh-CN"/>
              </w:rPr>
            </w:pPr>
            <w:r>
              <w:rPr>
                <w:rFonts w:hint="eastAsia" w:cs="Times New Roman"/>
                <w:color w:val="auto"/>
                <w:szCs w:val="21"/>
                <w:highlight w:val="none"/>
                <w:lang w:val="en-US" w:eastAsia="zh-CN"/>
              </w:rPr>
              <w:t>30.5</w:t>
            </w:r>
          </w:p>
        </w:tc>
        <w:tc>
          <w:tcPr>
            <w:tcW w:w="689" w:type="dxa"/>
            <w:shd w:val="clear" w:color="auto" w:fill="auto"/>
            <w:noWrap w:val="0"/>
            <w:vAlign w:val="center"/>
          </w:tcPr>
          <w:p w14:paraId="66EE082E">
            <w:pPr>
              <w:spacing w:line="280" w:lineRule="exact"/>
              <w:jc w:val="center"/>
              <w:rPr>
                <w:rFonts w:hint="eastAsia" w:cs="Times New Roman"/>
                <w:color w:val="auto"/>
                <w:szCs w:val="21"/>
                <w:highlight w:val="none"/>
                <w:lang w:val="en-US" w:eastAsia="zh-CN"/>
              </w:rPr>
            </w:pPr>
            <w:r>
              <w:rPr>
                <w:rFonts w:hint="eastAsia" w:cs="Times New Roman"/>
                <w:color w:val="auto"/>
                <w:szCs w:val="21"/>
                <w:highlight w:val="none"/>
                <w:lang w:val="en-US" w:eastAsia="zh-CN"/>
              </w:rPr>
              <w:t>30.5</w:t>
            </w:r>
          </w:p>
        </w:tc>
        <w:tc>
          <w:tcPr>
            <w:tcW w:w="838" w:type="dxa"/>
            <w:shd w:val="clear" w:color="auto" w:fill="auto"/>
            <w:noWrap w:val="0"/>
            <w:vAlign w:val="center"/>
          </w:tcPr>
          <w:p w14:paraId="7D6F8C36">
            <w:pPr>
              <w:spacing w:line="280" w:lineRule="exact"/>
              <w:jc w:val="center"/>
              <w:rPr>
                <w:rFonts w:hint="eastAsia" w:cs="Times New Roman"/>
                <w:color w:val="auto"/>
                <w:szCs w:val="21"/>
                <w:highlight w:val="none"/>
                <w:lang w:val="en-US" w:eastAsia="zh-CN"/>
              </w:rPr>
            </w:pPr>
            <w:r>
              <w:rPr>
                <w:rFonts w:hint="eastAsia" w:cs="Times New Roman"/>
                <w:color w:val="auto"/>
                <w:szCs w:val="21"/>
                <w:highlight w:val="none"/>
                <w:lang w:val="en-US" w:eastAsia="zh-CN"/>
              </w:rPr>
              <w:t>30.5</w:t>
            </w:r>
          </w:p>
        </w:tc>
        <w:tc>
          <w:tcPr>
            <w:tcW w:w="750" w:type="dxa"/>
            <w:shd w:val="clear" w:color="auto" w:fill="auto"/>
            <w:noWrap w:val="0"/>
            <w:vAlign w:val="center"/>
          </w:tcPr>
          <w:p w14:paraId="223B16C1">
            <w:pPr>
              <w:spacing w:line="280" w:lineRule="exact"/>
              <w:jc w:val="center"/>
              <w:rPr>
                <w:rFonts w:hint="eastAsia" w:cs="Times New Roman"/>
                <w:color w:val="auto"/>
                <w:szCs w:val="21"/>
                <w:highlight w:val="none"/>
                <w:lang w:val="en-US" w:eastAsia="zh-CN"/>
              </w:rPr>
            </w:pPr>
            <w:r>
              <w:rPr>
                <w:rFonts w:hint="eastAsia" w:cs="Times New Roman"/>
                <w:color w:val="auto"/>
                <w:szCs w:val="21"/>
                <w:highlight w:val="none"/>
                <w:lang w:val="en-US" w:eastAsia="zh-CN"/>
              </w:rPr>
              <w:t>34</w:t>
            </w:r>
          </w:p>
        </w:tc>
        <w:tc>
          <w:tcPr>
            <w:tcW w:w="1096" w:type="dxa"/>
            <w:shd w:val="clear" w:color="auto" w:fill="auto"/>
            <w:noWrap w:val="0"/>
            <w:vAlign w:val="center"/>
          </w:tcPr>
          <w:p w14:paraId="4FF920F1">
            <w:pPr>
              <w:spacing w:line="280" w:lineRule="exact"/>
              <w:jc w:val="center"/>
              <w:rPr>
                <w:rFonts w:hint="eastAsia"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1</w:t>
            </w:r>
          </w:p>
        </w:tc>
      </w:tr>
      <w:tr w14:paraId="2124045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27" w:type="dxa"/>
            <w:shd w:val="clear" w:color="auto" w:fill="auto"/>
            <w:noWrap w:val="0"/>
            <w:vAlign w:val="center"/>
          </w:tcPr>
          <w:p w14:paraId="6D5450E3">
            <w:pPr>
              <w:spacing w:line="280" w:lineRule="exact"/>
              <w:jc w:val="center"/>
              <w:rPr>
                <w:rFonts w:hint="default" w:ascii="Times New Roman" w:hAnsi="Times New Roman"/>
                <w:color w:val="auto"/>
                <w:szCs w:val="21"/>
                <w:highlight w:val="none"/>
                <w:lang w:val="en-US" w:eastAsia="zh-CN"/>
              </w:rPr>
            </w:pPr>
            <w:r>
              <w:rPr>
                <w:rFonts w:hint="eastAsia"/>
                <w:color w:val="auto"/>
                <w:szCs w:val="21"/>
                <w:highlight w:val="none"/>
                <w:lang w:val="en-US" w:eastAsia="zh-CN"/>
              </w:rPr>
              <w:t>58</w:t>
            </w:r>
          </w:p>
        </w:tc>
        <w:tc>
          <w:tcPr>
            <w:tcW w:w="1428" w:type="dxa"/>
            <w:shd w:val="clear" w:color="auto" w:fill="auto"/>
            <w:noWrap w:val="0"/>
            <w:vAlign w:val="center"/>
          </w:tcPr>
          <w:p w14:paraId="72A42D8A">
            <w:pPr>
              <w:spacing w:line="280" w:lineRule="exact"/>
              <w:jc w:val="center"/>
              <w:rPr>
                <w:rFonts w:hint="eastAsia" w:cs="Times New Roman"/>
                <w:b w:val="0"/>
                <w:bCs w:val="0"/>
                <w:color w:val="auto"/>
                <w:kern w:val="0"/>
                <w:sz w:val="21"/>
                <w:szCs w:val="21"/>
                <w:highlight w:val="none"/>
                <w:vertAlign w:val="baseline"/>
                <w:lang w:val="en-US" w:eastAsia="zh-CN"/>
              </w:rPr>
            </w:pPr>
            <w:r>
              <w:rPr>
                <w:rFonts w:hint="eastAsia" w:cs="Times New Roman"/>
                <w:b w:val="0"/>
                <w:bCs w:val="0"/>
                <w:color w:val="auto"/>
                <w:kern w:val="0"/>
                <w:sz w:val="21"/>
                <w:szCs w:val="21"/>
                <w:highlight w:val="none"/>
                <w:vertAlign w:val="baseline"/>
                <w:lang w:val="en-US" w:eastAsia="zh-CN"/>
              </w:rPr>
              <w:t>真空泵系统4#</w:t>
            </w:r>
          </w:p>
        </w:tc>
        <w:tc>
          <w:tcPr>
            <w:tcW w:w="537" w:type="dxa"/>
            <w:shd w:val="clear" w:color="auto" w:fill="auto"/>
            <w:noWrap w:val="0"/>
            <w:vAlign w:val="center"/>
          </w:tcPr>
          <w:p w14:paraId="7B201CDE">
            <w:pPr>
              <w:spacing w:line="280" w:lineRule="exact"/>
              <w:jc w:val="center"/>
              <w:rPr>
                <w:rFonts w:hint="eastAsia" w:ascii="Times New Roman" w:hAnsi="Times New Roman"/>
                <w:color w:val="auto"/>
                <w:szCs w:val="21"/>
                <w:highlight w:val="none"/>
                <w:lang w:val="en-US" w:eastAsia="zh-CN"/>
              </w:rPr>
            </w:pPr>
            <w:r>
              <w:rPr>
                <w:rFonts w:hint="eastAsia"/>
                <w:color w:val="auto"/>
                <w:szCs w:val="21"/>
                <w:highlight w:val="none"/>
                <w:lang w:val="en-US" w:eastAsia="zh-CN"/>
              </w:rPr>
              <w:t>80</w:t>
            </w:r>
          </w:p>
        </w:tc>
        <w:tc>
          <w:tcPr>
            <w:tcW w:w="537" w:type="dxa"/>
            <w:shd w:val="clear" w:color="auto" w:fill="auto"/>
            <w:noWrap w:val="0"/>
            <w:vAlign w:val="center"/>
          </w:tcPr>
          <w:p w14:paraId="27966F5B">
            <w:pPr>
              <w:spacing w:line="280" w:lineRule="exact"/>
              <w:jc w:val="center"/>
              <w:rPr>
                <w:rFonts w:hint="default" w:ascii="Times New Roman" w:hAnsi="Times New Roman" w:eastAsia="宋体" w:cs="Times New Roman"/>
                <w:color w:val="auto"/>
                <w:szCs w:val="21"/>
                <w:highlight w:val="none"/>
                <w:lang w:val="en-US" w:eastAsia="zh-CN"/>
              </w:rPr>
            </w:pPr>
            <w:r>
              <w:rPr>
                <w:rFonts w:hint="eastAsia"/>
                <w:color w:val="auto"/>
                <w:highlight w:val="none"/>
              </w:rPr>
              <w:t>-16.33</w:t>
            </w:r>
          </w:p>
        </w:tc>
        <w:tc>
          <w:tcPr>
            <w:tcW w:w="537" w:type="dxa"/>
            <w:shd w:val="clear" w:color="auto" w:fill="auto"/>
            <w:noWrap w:val="0"/>
            <w:vAlign w:val="center"/>
          </w:tcPr>
          <w:p w14:paraId="4051B2DC">
            <w:pPr>
              <w:spacing w:line="280" w:lineRule="exact"/>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170.82</w:t>
            </w:r>
          </w:p>
        </w:tc>
        <w:tc>
          <w:tcPr>
            <w:tcW w:w="558" w:type="dxa"/>
            <w:shd w:val="clear" w:color="auto" w:fill="auto"/>
            <w:noWrap w:val="0"/>
            <w:vAlign w:val="center"/>
          </w:tcPr>
          <w:p w14:paraId="4D51F2C7">
            <w:pPr>
              <w:spacing w:line="280" w:lineRule="exact"/>
              <w:jc w:val="center"/>
              <w:rPr>
                <w:rFonts w:hint="eastAsia"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1.3</w:t>
            </w:r>
          </w:p>
        </w:tc>
        <w:tc>
          <w:tcPr>
            <w:tcW w:w="537" w:type="dxa"/>
            <w:shd w:val="clear" w:color="auto" w:fill="auto"/>
            <w:noWrap w:val="0"/>
            <w:vAlign w:val="center"/>
          </w:tcPr>
          <w:p w14:paraId="01AC4C25">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52.3</w:t>
            </w:r>
          </w:p>
        </w:tc>
        <w:tc>
          <w:tcPr>
            <w:tcW w:w="537" w:type="dxa"/>
            <w:shd w:val="clear" w:color="auto" w:fill="auto"/>
            <w:noWrap w:val="0"/>
            <w:vAlign w:val="center"/>
          </w:tcPr>
          <w:p w14:paraId="45C8A027">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171.0</w:t>
            </w:r>
          </w:p>
        </w:tc>
        <w:tc>
          <w:tcPr>
            <w:tcW w:w="542" w:type="dxa"/>
            <w:shd w:val="clear" w:color="auto" w:fill="auto"/>
            <w:noWrap w:val="0"/>
            <w:vAlign w:val="center"/>
          </w:tcPr>
          <w:p w14:paraId="75AAAE84">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57.4</w:t>
            </w:r>
          </w:p>
        </w:tc>
        <w:tc>
          <w:tcPr>
            <w:tcW w:w="558" w:type="dxa"/>
            <w:shd w:val="clear" w:color="auto" w:fill="auto"/>
            <w:noWrap w:val="0"/>
            <w:vAlign w:val="center"/>
          </w:tcPr>
          <w:p w14:paraId="41245C32">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6.2</w:t>
            </w:r>
          </w:p>
        </w:tc>
        <w:tc>
          <w:tcPr>
            <w:tcW w:w="542" w:type="dxa"/>
            <w:shd w:val="clear" w:color="auto" w:fill="auto"/>
            <w:noWrap w:val="0"/>
            <w:vAlign w:val="center"/>
          </w:tcPr>
          <w:p w14:paraId="6CDFBA2E">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 xml:space="preserve">54.8 </w:t>
            </w:r>
          </w:p>
        </w:tc>
        <w:tc>
          <w:tcPr>
            <w:tcW w:w="542" w:type="dxa"/>
            <w:shd w:val="clear" w:color="auto" w:fill="auto"/>
            <w:noWrap w:val="0"/>
            <w:vAlign w:val="center"/>
          </w:tcPr>
          <w:p w14:paraId="400042FF">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 xml:space="preserve">54.8 </w:t>
            </w:r>
          </w:p>
        </w:tc>
        <w:tc>
          <w:tcPr>
            <w:tcW w:w="542" w:type="dxa"/>
            <w:shd w:val="clear" w:color="auto" w:fill="auto"/>
            <w:noWrap w:val="0"/>
            <w:vAlign w:val="center"/>
          </w:tcPr>
          <w:p w14:paraId="34415AE9">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 xml:space="preserve">54.8 </w:t>
            </w:r>
          </w:p>
        </w:tc>
        <w:tc>
          <w:tcPr>
            <w:tcW w:w="555" w:type="dxa"/>
            <w:shd w:val="clear" w:color="auto" w:fill="auto"/>
            <w:noWrap w:val="0"/>
            <w:vAlign w:val="center"/>
          </w:tcPr>
          <w:p w14:paraId="0D4431DA">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 xml:space="preserve">57.0 </w:t>
            </w:r>
          </w:p>
        </w:tc>
        <w:tc>
          <w:tcPr>
            <w:tcW w:w="542" w:type="dxa"/>
            <w:vMerge w:val="continue"/>
            <w:shd w:val="clear" w:color="auto" w:fill="auto"/>
            <w:noWrap w:val="0"/>
            <w:vAlign w:val="center"/>
          </w:tcPr>
          <w:p w14:paraId="60F41C18">
            <w:pPr>
              <w:spacing w:line="280" w:lineRule="exact"/>
              <w:jc w:val="center"/>
              <w:rPr>
                <w:rFonts w:hint="default" w:ascii="Times New Roman" w:hAnsi="Times New Roman" w:eastAsia="宋体"/>
                <w:color w:val="auto"/>
                <w:szCs w:val="21"/>
                <w:highlight w:val="none"/>
                <w:lang w:val="en-US" w:eastAsia="zh-CN"/>
              </w:rPr>
            </w:pPr>
          </w:p>
        </w:tc>
        <w:tc>
          <w:tcPr>
            <w:tcW w:w="897" w:type="dxa"/>
            <w:shd w:val="clear" w:color="auto" w:fill="auto"/>
            <w:noWrap w:val="0"/>
            <w:vAlign w:val="center"/>
          </w:tcPr>
          <w:p w14:paraId="1B762DAE">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24.3</w:t>
            </w:r>
          </w:p>
        </w:tc>
        <w:tc>
          <w:tcPr>
            <w:tcW w:w="746" w:type="dxa"/>
            <w:shd w:val="clear" w:color="auto" w:fill="auto"/>
            <w:noWrap w:val="0"/>
            <w:vAlign w:val="center"/>
          </w:tcPr>
          <w:p w14:paraId="6BB3230F">
            <w:pPr>
              <w:spacing w:line="280" w:lineRule="exact"/>
              <w:jc w:val="center"/>
              <w:rPr>
                <w:rFonts w:hint="eastAsia" w:cs="Times New Roman"/>
                <w:color w:val="auto"/>
                <w:szCs w:val="21"/>
                <w:highlight w:val="none"/>
                <w:lang w:val="en-US" w:eastAsia="zh-CN"/>
              </w:rPr>
            </w:pPr>
            <w:r>
              <w:rPr>
                <w:rFonts w:hint="eastAsia" w:cs="Times New Roman"/>
                <w:color w:val="auto"/>
                <w:szCs w:val="21"/>
                <w:highlight w:val="none"/>
                <w:lang w:val="en-US" w:eastAsia="zh-CN"/>
              </w:rPr>
              <w:t>30.5</w:t>
            </w:r>
          </w:p>
        </w:tc>
        <w:tc>
          <w:tcPr>
            <w:tcW w:w="689" w:type="dxa"/>
            <w:shd w:val="clear" w:color="auto" w:fill="auto"/>
            <w:noWrap w:val="0"/>
            <w:vAlign w:val="center"/>
          </w:tcPr>
          <w:p w14:paraId="22A8D33F">
            <w:pPr>
              <w:spacing w:line="280" w:lineRule="exact"/>
              <w:jc w:val="center"/>
              <w:rPr>
                <w:rFonts w:hint="eastAsia" w:cs="Times New Roman"/>
                <w:color w:val="auto"/>
                <w:szCs w:val="21"/>
                <w:highlight w:val="none"/>
                <w:lang w:val="en-US" w:eastAsia="zh-CN"/>
              </w:rPr>
            </w:pPr>
            <w:r>
              <w:rPr>
                <w:rFonts w:hint="eastAsia" w:cs="Times New Roman"/>
                <w:color w:val="auto"/>
                <w:szCs w:val="21"/>
                <w:highlight w:val="none"/>
                <w:lang w:val="en-US" w:eastAsia="zh-CN"/>
              </w:rPr>
              <w:t>30.5</w:t>
            </w:r>
          </w:p>
        </w:tc>
        <w:tc>
          <w:tcPr>
            <w:tcW w:w="838" w:type="dxa"/>
            <w:shd w:val="clear" w:color="auto" w:fill="auto"/>
            <w:noWrap w:val="0"/>
            <w:vAlign w:val="center"/>
          </w:tcPr>
          <w:p w14:paraId="4CD6F65E">
            <w:pPr>
              <w:spacing w:line="280" w:lineRule="exact"/>
              <w:jc w:val="center"/>
              <w:rPr>
                <w:rFonts w:hint="eastAsia" w:cs="Times New Roman"/>
                <w:color w:val="auto"/>
                <w:szCs w:val="21"/>
                <w:highlight w:val="none"/>
                <w:lang w:val="en-US" w:eastAsia="zh-CN"/>
              </w:rPr>
            </w:pPr>
            <w:r>
              <w:rPr>
                <w:rFonts w:hint="eastAsia" w:cs="Times New Roman"/>
                <w:color w:val="auto"/>
                <w:szCs w:val="21"/>
                <w:highlight w:val="none"/>
                <w:lang w:val="en-US" w:eastAsia="zh-CN"/>
              </w:rPr>
              <w:t>30.5</w:t>
            </w:r>
          </w:p>
        </w:tc>
        <w:tc>
          <w:tcPr>
            <w:tcW w:w="750" w:type="dxa"/>
            <w:shd w:val="clear" w:color="auto" w:fill="auto"/>
            <w:noWrap w:val="0"/>
            <w:vAlign w:val="center"/>
          </w:tcPr>
          <w:p w14:paraId="6DFD0A61">
            <w:pPr>
              <w:spacing w:line="280" w:lineRule="exact"/>
              <w:jc w:val="center"/>
              <w:rPr>
                <w:rFonts w:hint="eastAsia" w:cs="Times New Roman"/>
                <w:color w:val="auto"/>
                <w:szCs w:val="21"/>
                <w:highlight w:val="none"/>
                <w:lang w:val="en-US" w:eastAsia="zh-CN"/>
              </w:rPr>
            </w:pPr>
            <w:r>
              <w:rPr>
                <w:rFonts w:hint="eastAsia" w:cs="Times New Roman"/>
                <w:color w:val="auto"/>
                <w:szCs w:val="21"/>
                <w:highlight w:val="none"/>
                <w:lang w:val="en-US" w:eastAsia="zh-CN"/>
              </w:rPr>
              <w:t>32.7</w:t>
            </w:r>
          </w:p>
        </w:tc>
        <w:tc>
          <w:tcPr>
            <w:tcW w:w="1096" w:type="dxa"/>
            <w:shd w:val="clear" w:color="auto" w:fill="auto"/>
            <w:noWrap w:val="0"/>
            <w:vAlign w:val="center"/>
          </w:tcPr>
          <w:p w14:paraId="6BF7BC25">
            <w:pPr>
              <w:spacing w:line="280" w:lineRule="exact"/>
              <w:jc w:val="center"/>
              <w:rPr>
                <w:rFonts w:hint="eastAsia"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1</w:t>
            </w:r>
          </w:p>
        </w:tc>
      </w:tr>
      <w:tr w14:paraId="4168B79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27" w:type="dxa"/>
            <w:shd w:val="clear" w:color="auto" w:fill="auto"/>
            <w:noWrap w:val="0"/>
            <w:vAlign w:val="center"/>
          </w:tcPr>
          <w:p w14:paraId="3FAF63DA">
            <w:pPr>
              <w:spacing w:line="280" w:lineRule="exact"/>
              <w:jc w:val="center"/>
              <w:rPr>
                <w:rFonts w:hint="default" w:ascii="Times New Roman" w:hAnsi="Times New Roman"/>
                <w:color w:val="auto"/>
                <w:szCs w:val="21"/>
                <w:highlight w:val="none"/>
                <w:lang w:val="en-US" w:eastAsia="zh-CN"/>
              </w:rPr>
            </w:pPr>
            <w:r>
              <w:rPr>
                <w:rFonts w:hint="eastAsia"/>
                <w:color w:val="auto"/>
                <w:szCs w:val="21"/>
                <w:highlight w:val="none"/>
                <w:lang w:val="en-US" w:eastAsia="zh-CN"/>
              </w:rPr>
              <w:t>59</w:t>
            </w:r>
          </w:p>
        </w:tc>
        <w:tc>
          <w:tcPr>
            <w:tcW w:w="1428" w:type="dxa"/>
            <w:shd w:val="clear" w:color="auto" w:fill="auto"/>
            <w:noWrap w:val="0"/>
            <w:vAlign w:val="center"/>
          </w:tcPr>
          <w:p w14:paraId="5CCC96E8">
            <w:pPr>
              <w:spacing w:line="280" w:lineRule="exact"/>
              <w:jc w:val="center"/>
              <w:rPr>
                <w:rFonts w:hint="eastAsia" w:cs="Times New Roman"/>
                <w:b w:val="0"/>
                <w:bCs w:val="0"/>
                <w:color w:val="auto"/>
                <w:kern w:val="0"/>
                <w:sz w:val="21"/>
                <w:szCs w:val="21"/>
                <w:highlight w:val="none"/>
                <w:vertAlign w:val="baseline"/>
                <w:lang w:val="en-US" w:eastAsia="zh-CN"/>
              </w:rPr>
            </w:pPr>
            <w:r>
              <w:rPr>
                <w:rFonts w:hint="eastAsia" w:cs="Times New Roman"/>
                <w:b w:val="0"/>
                <w:bCs w:val="0"/>
                <w:color w:val="auto"/>
                <w:kern w:val="0"/>
                <w:sz w:val="21"/>
                <w:szCs w:val="21"/>
                <w:highlight w:val="none"/>
                <w:vertAlign w:val="baseline"/>
                <w:lang w:val="en-US" w:eastAsia="zh-CN"/>
              </w:rPr>
              <w:t>真空泵系统5#</w:t>
            </w:r>
          </w:p>
        </w:tc>
        <w:tc>
          <w:tcPr>
            <w:tcW w:w="537" w:type="dxa"/>
            <w:shd w:val="clear" w:color="auto" w:fill="auto"/>
            <w:noWrap w:val="0"/>
            <w:vAlign w:val="center"/>
          </w:tcPr>
          <w:p w14:paraId="3C7850E2">
            <w:pPr>
              <w:spacing w:line="280" w:lineRule="exact"/>
              <w:jc w:val="center"/>
              <w:rPr>
                <w:rFonts w:hint="eastAsia" w:ascii="Times New Roman" w:hAnsi="Times New Roman"/>
                <w:color w:val="auto"/>
                <w:szCs w:val="21"/>
                <w:highlight w:val="none"/>
                <w:lang w:val="en-US" w:eastAsia="zh-CN"/>
              </w:rPr>
            </w:pPr>
            <w:r>
              <w:rPr>
                <w:rFonts w:hint="eastAsia"/>
                <w:color w:val="auto"/>
                <w:szCs w:val="21"/>
                <w:highlight w:val="none"/>
                <w:lang w:val="en-US" w:eastAsia="zh-CN"/>
              </w:rPr>
              <w:t>80</w:t>
            </w:r>
          </w:p>
        </w:tc>
        <w:tc>
          <w:tcPr>
            <w:tcW w:w="537" w:type="dxa"/>
            <w:shd w:val="clear" w:color="auto" w:fill="auto"/>
            <w:noWrap w:val="0"/>
            <w:vAlign w:val="center"/>
          </w:tcPr>
          <w:p w14:paraId="4E816CF7">
            <w:pPr>
              <w:spacing w:line="280" w:lineRule="exact"/>
              <w:jc w:val="both"/>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-15.76</w:t>
            </w:r>
          </w:p>
        </w:tc>
        <w:tc>
          <w:tcPr>
            <w:tcW w:w="537" w:type="dxa"/>
            <w:shd w:val="clear" w:color="auto" w:fill="auto"/>
            <w:noWrap w:val="0"/>
            <w:vAlign w:val="center"/>
          </w:tcPr>
          <w:p w14:paraId="7D644AFF">
            <w:pPr>
              <w:spacing w:line="280" w:lineRule="exact"/>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172.62</w:t>
            </w:r>
          </w:p>
        </w:tc>
        <w:tc>
          <w:tcPr>
            <w:tcW w:w="558" w:type="dxa"/>
            <w:shd w:val="clear" w:color="auto" w:fill="auto"/>
            <w:noWrap w:val="0"/>
            <w:vAlign w:val="center"/>
          </w:tcPr>
          <w:p w14:paraId="1B4E4FC4">
            <w:pPr>
              <w:spacing w:line="280" w:lineRule="exact"/>
              <w:jc w:val="center"/>
              <w:rPr>
                <w:rFonts w:hint="eastAsia"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1.3</w:t>
            </w:r>
          </w:p>
        </w:tc>
        <w:tc>
          <w:tcPr>
            <w:tcW w:w="537" w:type="dxa"/>
            <w:shd w:val="clear" w:color="auto" w:fill="auto"/>
            <w:noWrap w:val="0"/>
            <w:vAlign w:val="center"/>
          </w:tcPr>
          <w:p w14:paraId="0308C21D">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51.2</w:t>
            </w:r>
          </w:p>
        </w:tc>
        <w:tc>
          <w:tcPr>
            <w:tcW w:w="537" w:type="dxa"/>
            <w:shd w:val="clear" w:color="auto" w:fill="auto"/>
            <w:noWrap w:val="0"/>
            <w:vAlign w:val="center"/>
          </w:tcPr>
          <w:p w14:paraId="5FE0802E">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172.2</w:t>
            </w:r>
          </w:p>
        </w:tc>
        <w:tc>
          <w:tcPr>
            <w:tcW w:w="542" w:type="dxa"/>
            <w:shd w:val="clear" w:color="auto" w:fill="auto"/>
            <w:noWrap w:val="0"/>
            <w:vAlign w:val="center"/>
          </w:tcPr>
          <w:p w14:paraId="2EB9DC71">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47.5</w:t>
            </w:r>
          </w:p>
        </w:tc>
        <w:tc>
          <w:tcPr>
            <w:tcW w:w="558" w:type="dxa"/>
            <w:shd w:val="clear" w:color="auto" w:fill="auto"/>
            <w:noWrap w:val="0"/>
            <w:vAlign w:val="center"/>
          </w:tcPr>
          <w:p w14:paraId="77EF92A8">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4.7</w:t>
            </w:r>
          </w:p>
        </w:tc>
        <w:tc>
          <w:tcPr>
            <w:tcW w:w="542" w:type="dxa"/>
            <w:shd w:val="clear" w:color="auto" w:fill="auto"/>
            <w:noWrap w:val="0"/>
            <w:vAlign w:val="center"/>
          </w:tcPr>
          <w:p w14:paraId="0232CBCC">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 xml:space="preserve">54.8 </w:t>
            </w:r>
          </w:p>
        </w:tc>
        <w:tc>
          <w:tcPr>
            <w:tcW w:w="542" w:type="dxa"/>
            <w:shd w:val="clear" w:color="auto" w:fill="auto"/>
            <w:noWrap w:val="0"/>
            <w:vAlign w:val="center"/>
          </w:tcPr>
          <w:p w14:paraId="1ADC3E0A">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 xml:space="preserve">54.8 </w:t>
            </w:r>
          </w:p>
        </w:tc>
        <w:tc>
          <w:tcPr>
            <w:tcW w:w="542" w:type="dxa"/>
            <w:shd w:val="clear" w:color="auto" w:fill="auto"/>
            <w:noWrap w:val="0"/>
            <w:vAlign w:val="center"/>
          </w:tcPr>
          <w:p w14:paraId="683E12CF">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 xml:space="preserve">54.8 </w:t>
            </w:r>
          </w:p>
        </w:tc>
        <w:tc>
          <w:tcPr>
            <w:tcW w:w="555" w:type="dxa"/>
            <w:shd w:val="clear" w:color="auto" w:fill="auto"/>
            <w:noWrap w:val="0"/>
            <w:vAlign w:val="center"/>
          </w:tcPr>
          <w:p w14:paraId="2F27F966">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 xml:space="preserve">58.2 </w:t>
            </w:r>
          </w:p>
        </w:tc>
        <w:tc>
          <w:tcPr>
            <w:tcW w:w="542" w:type="dxa"/>
            <w:vMerge w:val="continue"/>
            <w:shd w:val="clear" w:color="auto" w:fill="auto"/>
            <w:noWrap w:val="0"/>
            <w:vAlign w:val="center"/>
          </w:tcPr>
          <w:p w14:paraId="10013496">
            <w:pPr>
              <w:spacing w:line="280" w:lineRule="exact"/>
              <w:jc w:val="center"/>
              <w:rPr>
                <w:rFonts w:hint="default" w:ascii="Times New Roman" w:hAnsi="Times New Roman" w:eastAsia="宋体"/>
                <w:color w:val="auto"/>
                <w:szCs w:val="21"/>
                <w:highlight w:val="none"/>
                <w:lang w:val="en-US" w:eastAsia="zh-CN"/>
              </w:rPr>
            </w:pPr>
          </w:p>
        </w:tc>
        <w:tc>
          <w:tcPr>
            <w:tcW w:w="897" w:type="dxa"/>
            <w:shd w:val="clear" w:color="auto" w:fill="auto"/>
            <w:noWrap w:val="0"/>
            <w:vAlign w:val="center"/>
          </w:tcPr>
          <w:p w14:paraId="454CA103">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24.3</w:t>
            </w:r>
          </w:p>
        </w:tc>
        <w:tc>
          <w:tcPr>
            <w:tcW w:w="746" w:type="dxa"/>
            <w:shd w:val="clear" w:color="auto" w:fill="auto"/>
            <w:noWrap w:val="0"/>
            <w:vAlign w:val="center"/>
          </w:tcPr>
          <w:p w14:paraId="4820CA24">
            <w:pPr>
              <w:spacing w:line="280" w:lineRule="exact"/>
              <w:jc w:val="center"/>
              <w:rPr>
                <w:rFonts w:hint="eastAsia" w:cs="Times New Roman"/>
                <w:color w:val="auto"/>
                <w:szCs w:val="21"/>
                <w:highlight w:val="none"/>
                <w:lang w:val="en-US" w:eastAsia="zh-CN"/>
              </w:rPr>
            </w:pPr>
            <w:r>
              <w:rPr>
                <w:rFonts w:hint="eastAsia" w:cs="Times New Roman"/>
                <w:color w:val="auto"/>
                <w:szCs w:val="21"/>
                <w:highlight w:val="none"/>
                <w:lang w:val="en-US" w:eastAsia="zh-CN"/>
              </w:rPr>
              <w:t>30.5</w:t>
            </w:r>
          </w:p>
        </w:tc>
        <w:tc>
          <w:tcPr>
            <w:tcW w:w="689" w:type="dxa"/>
            <w:shd w:val="clear" w:color="auto" w:fill="auto"/>
            <w:noWrap w:val="0"/>
            <w:vAlign w:val="center"/>
          </w:tcPr>
          <w:p w14:paraId="2BB758FC">
            <w:pPr>
              <w:spacing w:line="280" w:lineRule="exact"/>
              <w:jc w:val="center"/>
              <w:rPr>
                <w:rFonts w:hint="eastAsia" w:cs="Times New Roman"/>
                <w:color w:val="auto"/>
                <w:szCs w:val="21"/>
                <w:highlight w:val="none"/>
                <w:lang w:val="en-US" w:eastAsia="zh-CN"/>
              </w:rPr>
            </w:pPr>
            <w:r>
              <w:rPr>
                <w:rFonts w:hint="eastAsia" w:cs="Times New Roman"/>
                <w:color w:val="auto"/>
                <w:szCs w:val="21"/>
                <w:highlight w:val="none"/>
                <w:lang w:val="en-US" w:eastAsia="zh-CN"/>
              </w:rPr>
              <w:t>30.5</w:t>
            </w:r>
          </w:p>
        </w:tc>
        <w:tc>
          <w:tcPr>
            <w:tcW w:w="838" w:type="dxa"/>
            <w:shd w:val="clear" w:color="auto" w:fill="auto"/>
            <w:noWrap w:val="0"/>
            <w:vAlign w:val="center"/>
          </w:tcPr>
          <w:p w14:paraId="0E8C8569">
            <w:pPr>
              <w:spacing w:line="280" w:lineRule="exact"/>
              <w:jc w:val="center"/>
              <w:rPr>
                <w:rFonts w:hint="eastAsia" w:cs="Times New Roman"/>
                <w:color w:val="auto"/>
                <w:szCs w:val="21"/>
                <w:highlight w:val="none"/>
                <w:lang w:val="en-US" w:eastAsia="zh-CN"/>
              </w:rPr>
            </w:pPr>
            <w:r>
              <w:rPr>
                <w:rFonts w:hint="eastAsia" w:cs="Times New Roman"/>
                <w:color w:val="auto"/>
                <w:szCs w:val="21"/>
                <w:highlight w:val="none"/>
                <w:lang w:val="en-US" w:eastAsia="zh-CN"/>
              </w:rPr>
              <w:t>30.5</w:t>
            </w:r>
          </w:p>
        </w:tc>
        <w:tc>
          <w:tcPr>
            <w:tcW w:w="750" w:type="dxa"/>
            <w:shd w:val="clear" w:color="auto" w:fill="auto"/>
            <w:noWrap w:val="0"/>
            <w:vAlign w:val="center"/>
          </w:tcPr>
          <w:p w14:paraId="70642622">
            <w:pPr>
              <w:spacing w:line="280" w:lineRule="exact"/>
              <w:jc w:val="center"/>
              <w:rPr>
                <w:rFonts w:hint="eastAsia" w:cs="Times New Roman"/>
                <w:color w:val="auto"/>
                <w:szCs w:val="21"/>
                <w:highlight w:val="none"/>
                <w:lang w:val="en-US" w:eastAsia="zh-CN"/>
              </w:rPr>
            </w:pPr>
            <w:r>
              <w:rPr>
                <w:rFonts w:hint="eastAsia" w:cs="Times New Roman"/>
                <w:color w:val="auto"/>
                <w:szCs w:val="21"/>
                <w:highlight w:val="none"/>
                <w:lang w:val="en-US" w:eastAsia="zh-CN"/>
              </w:rPr>
              <w:t>33.9</w:t>
            </w:r>
          </w:p>
        </w:tc>
        <w:tc>
          <w:tcPr>
            <w:tcW w:w="1096" w:type="dxa"/>
            <w:shd w:val="clear" w:color="auto" w:fill="auto"/>
            <w:noWrap w:val="0"/>
            <w:vAlign w:val="center"/>
          </w:tcPr>
          <w:p w14:paraId="60E3C7CB">
            <w:pPr>
              <w:spacing w:line="280" w:lineRule="exact"/>
              <w:jc w:val="center"/>
              <w:rPr>
                <w:rFonts w:hint="eastAsia"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1</w:t>
            </w:r>
          </w:p>
        </w:tc>
      </w:tr>
      <w:tr w14:paraId="6EF4AFF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27" w:type="dxa"/>
            <w:shd w:val="clear" w:color="auto" w:fill="auto"/>
            <w:noWrap w:val="0"/>
            <w:vAlign w:val="center"/>
          </w:tcPr>
          <w:p w14:paraId="1E4761E0">
            <w:pPr>
              <w:spacing w:line="280" w:lineRule="exact"/>
              <w:jc w:val="center"/>
              <w:rPr>
                <w:rFonts w:hint="default" w:ascii="Times New Roman" w:hAnsi="Times New Roman"/>
                <w:color w:val="auto"/>
                <w:szCs w:val="21"/>
                <w:highlight w:val="none"/>
                <w:lang w:val="en-US" w:eastAsia="zh-CN"/>
              </w:rPr>
            </w:pPr>
            <w:r>
              <w:rPr>
                <w:rFonts w:hint="eastAsia"/>
                <w:color w:val="auto"/>
                <w:szCs w:val="21"/>
                <w:highlight w:val="none"/>
                <w:lang w:val="en-US" w:eastAsia="zh-CN"/>
              </w:rPr>
              <w:t>60</w:t>
            </w:r>
          </w:p>
        </w:tc>
        <w:tc>
          <w:tcPr>
            <w:tcW w:w="1428" w:type="dxa"/>
            <w:shd w:val="clear" w:color="auto" w:fill="auto"/>
            <w:noWrap w:val="0"/>
            <w:vAlign w:val="center"/>
          </w:tcPr>
          <w:p w14:paraId="6048707E">
            <w:pPr>
              <w:spacing w:line="280" w:lineRule="exact"/>
              <w:jc w:val="center"/>
              <w:rPr>
                <w:rFonts w:hint="eastAsia" w:cs="Times New Roman"/>
                <w:b w:val="0"/>
                <w:bCs w:val="0"/>
                <w:color w:val="auto"/>
                <w:kern w:val="0"/>
                <w:sz w:val="21"/>
                <w:szCs w:val="21"/>
                <w:highlight w:val="none"/>
                <w:vertAlign w:val="baseline"/>
                <w:lang w:val="en-US" w:eastAsia="zh-CN"/>
              </w:rPr>
            </w:pPr>
            <w:r>
              <w:rPr>
                <w:rFonts w:hint="eastAsia" w:cs="Times New Roman"/>
                <w:b w:val="0"/>
                <w:bCs w:val="0"/>
                <w:color w:val="auto"/>
                <w:kern w:val="0"/>
                <w:sz w:val="21"/>
                <w:szCs w:val="21"/>
                <w:highlight w:val="none"/>
                <w:vertAlign w:val="baseline"/>
                <w:lang w:val="en-US" w:eastAsia="zh-CN"/>
              </w:rPr>
              <w:t>真空泵系统6#</w:t>
            </w:r>
          </w:p>
        </w:tc>
        <w:tc>
          <w:tcPr>
            <w:tcW w:w="537" w:type="dxa"/>
            <w:shd w:val="clear" w:color="auto" w:fill="auto"/>
            <w:noWrap w:val="0"/>
            <w:vAlign w:val="center"/>
          </w:tcPr>
          <w:p w14:paraId="321C8CC1">
            <w:pPr>
              <w:spacing w:line="280" w:lineRule="exact"/>
              <w:jc w:val="center"/>
              <w:rPr>
                <w:rFonts w:hint="eastAsia" w:ascii="Times New Roman" w:hAnsi="Times New Roman"/>
                <w:color w:val="auto"/>
                <w:szCs w:val="21"/>
                <w:highlight w:val="none"/>
                <w:lang w:val="en-US" w:eastAsia="zh-CN"/>
              </w:rPr>
            </w:pPr>
            <w:r>
              <w:rPr>
                <w:rFonts w:hint="eastAsia"/>
                <w:color w:val="auto"/>
                <w:szCs w:val="21"/>
                <w:highlight w:val="none"/>
                <w:lang w:val="en-US" w:eastAsia="zh-CN"/>
              </w:rPr>
              <w:t>80</w:t>
            </w:r>
          </w:p>
        </w:tc>
        <w:tc>
          <w:tcPr>
            <w:tcW w:w="537" w:type="dxa"/>
            <w:shd w:val="clear" w:color="auto" w:fill="auto"/>
            <w:noWrap w:val="0"/>
            <w:vAlign w:val="center"/>
          </w:tcPr>
          <w:p w14:paraId="7EA0D373">
            <w:pPr>
              <w:spacing w:line="280" w:lineRule="exact"/>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-15.25</w:t>
            </w:r>
          </w:p>
        </w:tc>
        <w:tc>
          <w:tcPr>
            <w:tcW w:w="537" w:type="dxa"/>
            <w:shd w:val="clear" w:color="auto" w:fill="auto"/>
            <w:noWrap w:val="0"/>
            <w:vAlign w:val="center"/>
          </w:tcPr>
          <w:p w14:paraId="2A5585FC">
            <w:pPr>
              <w:spacing w:line="280" w:lineRule="exact"/>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171.35</w:t>
            </w:r>
          </w:p>
        </w:tc>
        <w:tc>
          <w:tcPr>
            <w:tcW w:w="558" w:type="dxa"/>
            <w:shd w:val="clear" w:color="auto" w:fill="auto"/>
            <w:noWrap w:val="0"/>
            <w:vAlign w:val="center"/>
          </w:tcPr>
          <w:p w14:paraId="2F8A3AE9">
            <w:pPr>
              <w:spacing w:line="280" w:lineRule="exact"/>
              <w:jc w:val="center"/>
              <w:rPr>
                <w:rFonts w:hint="eastAsia"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1.3</w:t>
            </w:r>
          </w:p>
        </w:tc>
        <w:tc>
          <w:tcPr>
            <w:tcW w:w="537" w:type="dxa"/>
            <w:shd w:val="clear" w:color="auto" w:fill="auto"/>
            <w:noWrap w:val="0"/>
            <w:vAlign w:val="center"/>
          </w:tcPr>
          <w:p w14:paraId="13FF4D8B">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51.2</w:t>
            </w:r>
          </w:p>
        </w:tc>
        <w:tc>
          <w:tcPr>
            <w:tcW w:w="537" w:type="dxa"/>
            <w:shd w:val="clear" w:color="auto" w:fill="auto"/>
            <w:noWrap w:val="0"/>
            <w:vAlign w:val="center"/>
          </w:tcPr>
          <w:p w14:paraId="33A087F0">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172.2</w:t>
            </w:r>
          </w:p>
        </w:tc>
        <w:tc>
          <w:tcPr>
            <w:tcW w:w="542" w:type="dxa"/>
            <w:shd w:val="clear" w:color="auto" w:fill="auto"/>
            <w:noWrap w:val="0"/>
            <w:vAlign w:val="center"/>
          </w:tcPr>
          <w:p w14:paraId="4C6D5243">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57.4</w:t>
            </w:r>
          </w:p>
        </w:tc>
        <w:tc>
          <w:tcPr>
            <w:tcW w:w="558" w:type="dxa"/>
            <w:shd w:val="clear" w:color="auto" w:fill="auto"/>
            <w:noWrap w:val="0"/>
            <w:vAlign w:val="center"/>
          </w:tcPr>
          <w:p w14:paraId="41AFE868">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6.4</w:t>
            </w:r>
          </w:p>
        </w:tc>
        <w:tc>
          <w:tcPr>
            <w:tcW w:w="542" w:type="dxa"/>
            <w:shd w:val="clear" w:color="auto" w:fill="auto"/>
            <w:noWrap w:val="0"/>
            <w:vAlign w:val="center"/>
          </w:tcPr>
          <w:p w14:paraId="0E6D1BEA">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 xml:space="preserve">54.8 </w:t>
            </w:r>
          </w:p>
        </w:tc>
        <w:tc>
          <w:tcPr>
            <w:tcW w:w="542" w:type="dxa"/>
            <w:shd w:val="clear" w:color="auto" w:fill="auto"/>
            <w:noWrap w:val="0"/>
            <w:vAlign w:val="center"/>
          </w:tcPr>
          <w:p w14:paraId="25EF442D">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 xml:space="preserve">54.8 </w:t>
            </w:r>
          </w:p>
        </w:tc>
        <w:tc>
          <w:tcPr>
            <w:tcW w:w="542" w:type="dxa"/>
            <w:shd w:val="clear" w:color="auto" w:fill="auto"/>
            <w:noWrap w:val="0"/>
            <w:vAlign w:val="center"/>
          </w:tcPr>
          <w:p w14:paraId="2D5E3CFF">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 xml:space="preserve">54.8 </w:t>
            </w:r>
          </w:p>
        </w:tc>
        <w:tc>
          <w:tcPr>
            <w:tcW w:w="555" w:type="dxa"/>
            <w:shd w:val="clear" w:color="auto" w:fill="auto"/>
            <w:noWrap w:val="0"/>
            <w:vAlign w:val="center"/>
          </w:tcPr>
          <w:p w14:paraId="68AAE5A9">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 xml:space="preserve">56.9 </w:t>
            </w:r>
          </w:p>
        </w:tc>
        <w:tc>
          <w:tcPr>
            <w:tcW w:w="542" w:type="dxa"/>
            <w:vMerge w:val="continue"/>
            <w:shd w:val="clear" w:color="auto" w:fill="auto"/>
            <w:noWrap w:val="0"/>
            <w:vAlign w:val="center"/>
          </w:tcPr>
          <w:p w14:paraId="26023CAF">
            <w:pPr>
              <w:spacing w:line="280" w:lineRule="exact"/>
              <w:jc w:val="center"/>
              <w:rPr>
                <w:rFonts w:hint="default" w:ascii="Times New Roman" w:hAnsi="Times New Roman" w:eastAsia="宋体"/>
                <w:color w:val="auto"/>
                <w:szCs w:val="21"/>
                <w:highlight w:val="none"/>
                <w:lang w:val="en-US" w:eastAsia="zh-CN"/>
              </w:rPr>
            </w:pPr>
          </w:p>
        </w:tc>
        <w:tc>
          <w:tcPr>
            <w:tcW w:w="897" w:type="dxa"/>
            <w:shd w:val="clear" w:color="auto" w:fill="auto"/>
            <w:noWrap w:val="0"/>
            <w:vAlign w:val="center"/>
          </w:tcPr>
          <w:p w14:paraId="270AC3DC">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24.3</w:t>
            </w:r>
          </w:p>
        </w:tc>
        <w:tc>
          <w:tcPr>
            <w:tcW w:w="746" w:type="dxa"/>
            <w:shd w:val="clear" w:color="auto" w:fill="auto"/>
            <w:noWrap w:val="0"/>
            <w:vAlign w:val="center"/>
          </w:tcPr>
          <w:p w14:paraId="1C695EEB">
            <w:pPr>
              <w:spacing w:line="280" w:lineRule="exact"/>
              <w:jc w:val="center"/>
              <w:rPr>
                <w:rFonts w:hint="eastAsia" w:cs="Times New Roman"/>
                <w:color w:val="auto"/>
                <w:szCs w:val="21"/>
                <w:highlight w:val="none"/>
                <w:lang w:val="en-US" w:eastAsia="zh-CN"/>
              </w:rPr>
            </w:pPr>
            <w:r>
              <w:rPr>
                <w:rFonts w:hint="eastAsia" w:cs="Times New Roman"/>
                <w:color w:val="auto"/>
                <w:szCs w:val="21"/>
                <w:highlight w:val="none"/>
                <w:lang w:val="en-US" w:eastAsia="zh-CN"/>
              </w:rPr>
              <w:t>30.5</w:t>
            </w:r>
          </w:p>
        </w:tc>
        <w:tc>
          <w:tcPr>
            <w:tcW w:w="689" w:type="dxa"/>
            <w:shd w:val="clear" w:color="auto" w:fill="auto"/>
            <w:noWrap w:val="0"/>
            <w:vAlign w:val="center"/>
          </w:tcPr>
          <w:p w14:paraId="78CB1325">
            <w:pPr>
              <w:spacing w:line="280" w:lineRule="exact"/>
              <w:jc w:val="center"/>
              <w:rPr>
                <w:rFonts w:hint="eastAsia" w:cs="Times New Roman"/>
                <w:color w:val="auto"/>
                <w:szCs w:val="21"/>
                <w:highlight w:val="none"/>
                <w:lang w:val="en-US" w:eastAsia="zh-CN"/>
              </w:rPr>
            </w:pPr>
            <w:r>
              <w:rPr>
                <w:rFonts w:hint="eastAsia" w:cs="Times New Roman"/>
                <w:color w:val="auto"/>
                <w:szCs w:val="21"/>
                <w:highlight w:val="none"/>
                <w:lang w:val="en-US" w:eastAsia="zh-CN"/>
              </w:rPr>
              <w:t>30.5</w:t>
            </w:r>
          </w:p>
        </w:tc>
        <w:tc>
          <w:tcPr>
            <w:tcW w:w="838" w:type="dxa"/>
            <w:shd w:val="clear" w:color="auto" w:fill="auto"/>
            <w:noWrap w:val="0"/>
            <w:vAlign w:val="center"/>
          </w:tcPr>
          <w:p w14:paraId="3C336300">
            <w:pPr>
              <w:spacing w:line="280" w:lineRule="exact"/>
              <w:jc w:val="center"/>
              <w:rPr>
                <w:rFonts w:hint="eastAsia" w:cs="Times New Roman"/>
                <w:color w:val="auto"/>
                <w:szCs w:val="21"/>
                <w:highlight w:val="none"/>
                <w:lang w:val="en-US" w:eastAsia="zh-CN"/>
              </w:rPr>
            </w:pPr>
            <w:r>
              <w:rPr>
                <w:rFonts w:hint="eastAsia" w:cs="Times New Roman"/>
                <w:color w:val="auto"/>
                <w:szCs w:val="21"/>
                <w:highlight w:val="none"/>
                <w:lang w:val="en-US" w:eastAsia="zh-CN"/>
              </w:rPr>
              <w:t>30.5</w:t>
            </w:r>
          </w:p>
        </w:tc>
        <w:tc>
          <w:tcPr>
            <w:tcW w:w="750" w:type="dxa"/>
            <w:shd w:val="clear" w:color="auto" w:fill="auto"/>
            <w:noWrap w:val="0"/>
            <w:vAlign w:val="center"/>
          </w:tcPr>
          <w:p w14:paraId="7D8DBD27">
            <w:pPr>
              <w:spacing w:line="280" w:lineRule="exact"/>
              <w:jc w:val="center"/>
              <w:rPr>
                <w:rFonts w:hint="eastAsia" w:cs="Times New Roman"/>
                <w:color w:val="auto"/>
                <w:szCs w:val="21"/>
                <w:highlight w:val="none"/>
                <w:lang w:val="en-US" w:eastAsia="zh-CN"/>
              </w:rPr>
            </w:pPr>
            <w:r>
              <w:rPr>
                <w:rFonts w:hint="eastAsia" w:cs="Times New Roman"/>
                <w:color w:val="auto"/>
                <w:szCs w:val="21"/>
                <w:highlight w:val="none"/>
                <w:lang w:val="en-US" w:eastAsia="zh-CN"/>
              </w:rPr>
              <w:t>32.6</w:t>
            </w:r>
          </w:p>
        </w:tc>
        <w:tc>
          <w:tcPr>
            <w:tcW w:w="1096" w:type="dxa"/>
            <w:shd w:val="clear" w:color="auto" w:fill="auto"/>
            <w:noWrap w:val="0"/>
            <w:vAlign w:val="center"/>
          </w:tcPr>
          <w:p w14:paraId="5DFAF7FE">
            <w:pPr>
              <w:spacing w:line="280" w:lineRule="exact"/>
              <w:jc w:val="center"/>
              <w:rPr>
                <w:rFonts w:hint="eastAsia"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1</w:t>
            </w:r>
          </w:p>
        </w:tc>
      </w:tr>
      <w:tr w14:paraId="656187F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27" w:type="dxa"/>
            <w:shd w:val="clear" w:color="auto" w:fill="auto"/>
            <w:noWrap w:val="0"/>
            <w:vAlign w:val="center"/>
          </w:tcPr>
          <w:p w14:paraId="1C9457BF">
            <w:pPr>
              <w:spacing w:line="280" w:lineRule="exact"/>
              <w:jc w:val="center"/>
              <w:rPr>
                <w:rFonts w:hint="default" w:ascii="Times New Roman" w:hAnsi="Times New Roman"/>
                <w:color w:val="auto"/>
                <w:szCs w:val="21"/>
                <w:highlight w:val="none"/>
                <w:lang w:val="en-US" w:eastAsia="zh-CN"/>
              </w:rPr>
            </w:pPr>
            <w:r>
              <w:rPr>
                <w:rFonts w:hint="eastAsia"/>
                <w:color w:val="auto"/>
                <w:szCs w:val="21"/>
                <w:highlight w:val="none"/>
                <w:lang w:val="en-US" w:eastAsia="zh-CN"/>
              </w:rPr>
              <w:t>61</w:t>
            </w:r>
          </w:p>
        </w:tc>
        <w:tc>
          <w:tcPr>
            <w:tcW w:w="1428" w:type="dxa"/>
            <w:shd w:val="clear" w:color="auto" w:fill="auto"/>
            <w:noWrap w:val="0"/>
            <w:vAlign w:val="center"/>
          </w:tcPr>
          <w:p w14:paraId="14FE46C8">
            <w:pPr>
              <w:spacing w:line="280" w:lineRule="exact"/>
              <w:jc w:val="center"/>
              <w:rPr>
                <w:rFonts w:hint="eastAsia" w:cs="Times New Roman"/>
                <w:b w:val="0"/>
                <w:bCs w:val="0"/>
                <w:color w:val="auto"/>
                <w:kern w:val="0"/>
                <w:sz w:val="21"/>
                <w:szCs w:val="21"/>
                <w:highlight w:val="none"/>
                <w:vertAlign w:val="baseline"/>
                <w:lang w:val="en-US" w:eastAsia="zh-CN"/>
              </w:rPr>
            </w:pPr>
            <w:r>
              <w:rPr>
                <w:rFonts w:hint="eastAsia" w:cs="Times New Roman"/>
                <w:b w:val="0"/>
                <w:bCs w:val="0"/>
                <w:color w:val="auto"/>
                <w:kern w:val="0"/>
                <w:sz w:val="21"/>
                <w:szCs w:val="21"/>
                <w:highlight w:val="none"/>
                <w:vertAlign w:val="baseline"/>
                <w:lang w:val="en-US" w:eastAsia="zh-CN"/>
              </w:rPr>
              <w:t>真空泵系统7#</w:t>
            </w:r>
          </w:p>
        </w:tc>
        <w:tc>
          <w:tcPr>
            <w:tcW w:w="537" w:type="dxa"/>
            <w:shd w:val="clear" w:color="auto" w:fill="auto"/>
            <w:noWrap w:val="0"/>
            <w:vAlign w:val="center"/>
          </w:tcPr>
          <w:p w14:paraId="541F167E">
            <w:pPr>
              <w:spacing w:line="280" w:lineRule="exact"/>
              <w:jc w:val="center"/>
              <w:rPr>
                <w:rFonts w:hint="eastAsia" w:ascii="Times New Roman" w:hAnsi="Times New Roman"/>
                <w:color w:val="auto"/>
                <w:szCs w:val="21"/>
                <w:highlight w:val="none"/>
                <w:lang w:val="en-US" w:eastAsia="zh-CN"/>
              </w:rPr>
            </w:pPr>
            <w:r>
              <w:rPr>
                <w:rFonts w:hint="eastAsia"/>
                <w:color w:val="auto"/>
                <w:szCs w:val="21"/>
                <w:highlight w:val="none"/>
                <w:lang w:val="en-US" w:eastAsia="zh-CN"/>
              </w:rPr>
              <w:t>80</w:t>
            </w:r>
          </w:p>
        </w:tc>
        <w:tc>
          <w:tcPr>
            <w:tcW w:w="537" w:type="dxa"/>
            <w:shd w:val="clear" w:color="auto" w:fill="auto"/>
            <w:noWrap w:val="0"/>
            <w:vAlign w:val="center"/>
          </w:tcPr>
          <w:p w14:paraId="28B06BE9">
            <w:pPr>
              <w:spacing w:line="280" w:lineRule="exact"/>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-14.88</w:t>
            </w:r>
          </w:p>
        </w:tc>
        <w:tc>
          <w:tcPr>
            <w:tcW w:w="537" w:type="dxa"/>
            <w:shd w:val="clear" w:color="auto" w:fill="auto"/>
            <w:noWrap w:val="0"/>
            <w:vAlign w:val="center"/>
          </w:tcPr>
          <w:p w14:paraId="6DE65F00">
            <w:pPr>
              <w:spacing w:line="280" w:lineRule="exact"/>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172.9</w:t>
            </w:r>
          </w:p>
        </w:tc>
        <w:tc>
          <w:tcPr>
            <w:tcW w:w="558" w:type="dxa"/>
            <w:shd w:val="clear" w:color="auto" w:fill="auto"/>
            <w:noWrap w:val="0"/>
            <w:vAlign w:val="center"/>
          </w:tcPr>
          <w:p w14:paraId="59E0FB24">
            <w:pPr>
              <w:spacing w:line="280" w:lineRule="exact"/>
              <w:jc w:val="center"/>
              <w:rPr>
                <w:rFonts w:hint="eastAsia"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1.3</w:t>
            </w:r>
          </w:p>
        </w:tc>
        <w:tc>
          <w:tcPr>
            <w:tcW w:w="537" w:type="dxa"/>
            <w:shd w:val="clear" w:color="auto" w:fill="auto"/>
            <w:noWrap w:val="0"/>
            <w:vAlign w:val="center"/>
          </w:tcPr>
          <w:p w14:paraId="5CE3405E">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50.9</w:t>
            </w:r>
          </w:p>
        </w:tc>
        <w:tc>
          <w:tcPr>
            <w:tcW w:w="537" w:type="dxa"/>
            <w:shd w:val="clear" w:color="auto" w:fill="auto"/>
            <w:noWrap w:val="0"/>
            <w:vAlign w:val="center"/>
          </w:tcPr>
          <w:p w14:paraId="11B58AF1">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175.2</w:t>
            </w:r>
          </w:p>
        </w:tc>
        <w:tc>
          <w:tcPr>
            <w:tcW w:w="542" w:type="dxa"/>
            <w:shd w:val="clear" w:color="auto" w:fill="auto"/>
            <w:noWrap w:val="0"/>
            <w:vAlign w:val="center"/>
          </w:tcPr>
          <w:p w14:paraId="4F7A3A46">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50.3</w:t>
            </w:r>
          </w:p>
        </w:tc>
        <w:tc>
          <w:tcPr>
            <w:tcW w:w="558" w:type="dxa"/>
            <w:shd w:val="clear" w:color="auto" w:fill="auto"/>
            <w:noWrap w:val="0"/>
            <w:vAlign w:val="center"/>
          </w:tcPr>
          <w:p w14:paraId="1907DBEB">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5.1</w:t>
            </w:r>
          </w:p>
        </w:tc>
        <w:tc>
          <w:tcPr>
            <w:tcW w:w="542" w:type="dxa"/>
            <w:shd w:val="clear" w:color="auto" w:fill="auto"/>
            <w:noWrap w:val="0"/>
            <w:vAlign w:val="center"/>
          </w:tcPr>
          <w:p w14:paraId="44DF4FC6">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 xml:space="preserve">54.8 </w:t>
            </w:r>
          </w:p>
        </w:tc>
        <w:tc>
          <w:tcPr>
            <w:tcW w:w="542" w:type="dxa"/>
            <w:shd w:val="clear" w:color="auto" w:fill="auto"/>
            <w:noWrap w:val="0"/>
            <w:vAlign w:val="center"/>
          </w:tcPr>
          <w:p w14:paraId="60D0DC41">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 xml:space="preserve">54.8 </w:t>
            </w:r>
          </w:p>
        </w:tc>
        <w:tc>
          <w:tcPr>
            <w:tcW w:w="542" w:type="dxa"/>
            <w:shd w:val="clear" w:color="auto" w:fill="auto"/>
            <w:noWrap w:val="0"/>
            <w:vAlign w:val="center"/>
          </w:tcPr>
          <w:p w14:paraId="4E93EB6A">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 xml:space="preserve">54.8 </w:t>
            </w:r>
          </w:p>
        </w:tc>
        <w:tc>
          <w:tcPr>
            <w:tcW w:w="555" w:type="dxa"/>
            <w:shd w:val="clear" w:color="auto" w:fill="auto"/>
            <w:noWrap w:val="0"/>
            <w:vAlign w:val="center"/>
          </w:tcPr>
          <w:p w14:paraId="3FDE01AE">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 xml:space="preserve">57.8 </w:t>
            </w:r>
          </w:p>
        </w:tc>
        <w:tc>
          <w:tcPr>
            <w:tcW w:w="542" w:type="dxa"/>
            <w:vMerge w:val="continue"/>
            <w:shd w:val="clear" w:color="auto" w:fill="auto"/>
            <w:noWrap w:val="0"/>
            <w:vAlign w:val="center"/>
          </w:tcPr>
          <w:p w14:paraId="187C156A">
            <w:pPr>
              <w:spacing w:line="280" w:lineRule="exact"/>
              <w:jc w:val="center"/>
              <w:rPr>
                <w:rFonts w:hint="default" w:ascii="Times New Roman" w:hAnsi="Times New Roman" w:eastAsia="宋体"/>
                <w:color w:val="auto"/>
                <w:szCs w:val="21"/>
                <w:highlight w:val="none"/>
                <w:lang w:val="en-US" w:eastAsia="zh-CN"/>
              </w:rPr>
            </w:pPr>
          </w:p>
        </w:tc>
        <w:tc>
          <w:tcPr>
            <w:tcW w:w="897" w:type="dxa"/>
            <w:shd w:val="clear" w:color="auto" w:fill="auto"/>
            <w:noWrap w:val="0"/>
            <w:vAlign w:val="center"/>
          </w:tcPr>
          <w:p w14:paraId="0ACDA179">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24.3</w:t>
            </w:r>
          </w:p>
        </w:tc>
        <w:tc>
          <w:tcPr>
            <w:tcW w:w="746" w:type="dxa"/>
            <w:shd w:val="clear" w:color="auto" w:fill="auto"/>
            <w:noWrap w:val="0"/>
            <w:vAlign w:val="center"/>
          </w:tcPr>
          <w:p w14:paraId="02CE4408">
            <w:pPr>
              <w:spacing w:line="280" w:lineRule="exact"/>
              <w:jc w:val="center"/>
              <w:rPr>
                <w:rFonts w:hint="eastAsia" w:cs="Times New Roman"/>
                <w:color w:val="auto"/>
                <w:szCs w:val="21"/>
                <w:highlight w:val="none"/>
                <w:lang w:val="en-US" w:eastAsia="zh-CN"/>
              </w:rPr>
            </w:pPr>
            <w:r>
              <w:rPr>
                <w:rFonts w:hint="eastAsia" w:cs="Times New Roman"/>
                <w:color w:val="auto"/>
                <w:szCs w:val="21"/>
                <w:highlight w:val="none"/>
                <w:lang w:val="en-US" w:eastAsia="zh-CN"/>
              </w:rPr>
              <w:t>30.5</w:t>
            </w:r>
          </w:p>
        </w:tc>
        <w:tc>
          <w:tcPr>
            <w:tcW w:w="689" w:type="dxa"/>
            <w:shd w:val="clear" w:color="auto" w:fill="auto"/>
            <w:noWrap w:val="0"/>
            <w:vAlign w:val="center"/>
          </w:tcPr>
          <w:p w14:paraId="550AFF7A">
            <w:pPr>
              <w:spacing w:line="280" w:lineRule="exact"/>
              <w:jc w:val="center"/>
              <w:rPr>
                <w:rFonts w:hint="eastAsia" w:cs="Times New Roman"/>
                <w:color w:val="auto"/>
                <w:szCs w:val="21"/>
                <w:highlight w:val="none"/>
                <w:lang w:val="en-US" w:eastAsia="zh-CN"/>
              </w:rPr>
            </w:pPr>
            <w:r>
              <w:rPr>
                <w:rFonts w:hint="eastAsia" w:cs="Times New Roman"/>
                <w:color w:val="auto"/>
                <w:szCs w:val="21"/>
                <w:highlight w:val="none"/>
                <w:lang w:val="en-US" w:eastAsia="zh-CN"/>
              </w:rPr>
              <w:t>30.5</w:t>
            </w:r>
          </w:p>
        </w:tc>
        <w:tc>
          <w:tcPr>
            <w:tcW w:w="838" w:type="dxa"/>
            <w:shd w:val="clear" w:color="auto" w:fill="auto"/>
            <w:noWrap w:val="0"/>
            <w:vAlign w:val="center"/>
          </w:tcPr>
          <w:p w14:paraId="75731901">
            <w:pPr>
              <w:spacing w:line="280" w:lineRule="exact"/>
              <w:jc w:val="center"/>
              <w:rPr>
                <w:rFonts w:hint="eastAsia" w:cs="Times New Roman"/>
                <w:color w:val="auto"/>
                <w:szCs w:val="21"/>
                <w:highlight w:val="none"/>
                <w:lang w:val="en-US" w:eastAsia="zh-CN"/>
              </w:rPr>
            </w:pPr>
            <w:r>
              <w:rPr>
                <w:rFonts w:hint="eastAsia" w:cs="Times New Roman"/>
                <w:color w:val="auto"/>
                <w:szCs w:val="21"/>
                <w:highlight w:val="none"/>
                <w:lang w:val="en-US" w:eastAsia="zh-CN"/>
              </w:rPr>
              <w:t>30.5</w:t>
            </w:r>
          </w:p>
        </w:tc>
        <w:tc>
          <w:tcPr>
            <w:tcW w:w="750" w:type="dxa"/>
            <w:shd w:val="clear" w:color="auto" w:fill="auto"/>
            <w:noWrap w:val="0"/>
            <w:vAlign w:val="center"/>
          </w:tcPr>
          <w:p w14:paraId="1C1EE71A">
            <w:pPr>
              <w:spacing w:line="280" w:lineRule="exact"/>
              <w:jc w:val="center"/>
              <w:rPr>
                <w:rFonts w:hint="eastAsia" w:cs="Times New Roman"/>
                <w:color w:val="auto"/>
                <w:szCs w:val="21"/>
                <w:highlight w:val="none"/>
                <w:lang w:val="en-US" w:eastAsia="zh-CN"/>
              </w:rPr>
            </w:pPr>
            <w:r>
              <w:rPr>
                <w:rFonts w:hint="eastAsia" w:cs="Times New Roman"/>
                <w:color w:val="auto"/>
                <w:szCs w:val="21"/>
                <w:highlight w:val="none"/>
                <w:lang w:val="en-US" w:eastAsia="zh-CN"/>
              </w:rPr>
              <w:t>33.5</w:t>
            </w:r>
          </w:p>
        </w:tc>
        <w:tc>
          <w:tcPr>
            <w:tcW w:w="1096" w:type="dxa"/>
            <w:shd w:val="clear" w:color="auto" w:fill="auto"/>
            <w:noWrap w:val="0"/>
            <w:vAlign w:val="center"/>
          </w:tcPr>
          <w:p w14:paraId="7B2000F3">
            <w:pPr>
              <w:spacing w:line="280" w:lineRule="exact"/>
              <w:jc w:val="center"/>
              <w:rPr>
                <w:rFonts w:hint="eastAsia"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1</w:t>
            </w:r>
          </w:p>
        </w:tc>
      </w:tr>
      <w:tr w14:paraId="0CDE1FA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27" w:type="dxa"/>
            <w:shd w:val="clear" w:color="auto" w:fill="auto"/>
            <w:noWrap w:val="0"/>
            <w:vAlign w:val="center"/>
          </w:tcPr>
          <w:p w14:paraId="1BF69D71">
            <w:pPr>
              <w:spacing w:line="280" w:lineRule="exact"/>
              <w:jc w:val="center"/>
              <w:rPr>
                <w:rFonts w:hint="default" w:ascii="Times New Roman" w:hAnsi="Times New Roman"/>
                <w:color w:val="auto"/>
                <w:szCs w:val="21"/>
                <w:highlight w:val="none"/>
                <w:lang w:val="en-US" w:eastAsia="zh-CN"/>
              </w:rPr>
            </w:pPr>
            <w:r>
              <w:rPr>
                <w:rFonts w:hint="eastAsia"/>
                <w:color w:val="auto"/>
                <w:szCs w:val="21"/>
                <w:highlight w:val="none"/>
                <w:lang w:val="en-US" w:eastAsia="zh-CN"/>
              </w:rPr>
              <w:t>62</w:t>
            </w:r>
          </w:p>
        </w:tc>
        <w:tc>
          <w:tcPr>
            <w:tcW w:w="1428" w:type="dxa"/>
            <w:shd w:val="clear" w:color="auto" w:fill="auto"/>
            <w:noWrap w:val="0"/>
            <w:vAlign w:val="center"/>
          </w:tcPr>
          <w:p w14:paraId="5BA8B131">
            <w:pPr>
              <w:spacing w:line="280" w:lineRule="exact"/>
              <w:jc w:val="center"/>
              <w:rPr>
                <w:rFonts w:hint="eastAsia" w:cs="Times New Roman"/>
                <w:b w:val="0"/>
                <w:bCs w:val="0"/>
                <w:color w:val="auto"/>
                <w:kern w:val="0"/>
                <w:sz w:val="21"/>
                <w:szCs w:val="21"/>
                <w:highlight w:val="none"/>
                <w:vertAlign w:val="baseline"/>
                <w:lang w:val="en-US" w:eastAsia="zh-CN"/>
              </w:rPr>
            </w:pPr>
            <w:r>
              <w:rPr>
                <w:rFonts w:hint="eastAsia" w:cs="Times New Roman"/>
                <w:b w:val="0"/>
                <w:bCs w:val="0"/>
                <w:color w:val="auto"/>
                <w:kern w:val="0"/>
                <w:sz w:val="21"/>
                <w:szCs w:val="21"/>
                <w:highlight w:val="none"/>
                <w:vertAlign w:val="baseline"/>
                <w:lang w:val="en-US" w:eastAsia="zh-CN"/>
              </w:rPr>
              <w:t>真空泵系统8#</w:t>
            </w:r>
          </w:p>
        </w:tc>
        <w:tc>
          <w:tcPr>
            <w:tcW w:w="537" w:type="dxa"/>
            <w:shd w:val="clear" w:color="auto" w:fill="auto"/>
            <w:noWrap w:val="0"/>
            <w:vAlign w:val="center"/>
          </w:tcPr>
          <w:p w14:paraId="6FE6B6CD">
            <w:pPr>
              <w:spacing w:line="280" w:lineRule="exact"/>
              <w:jc w:val="center"/>
              <w:rPr>
                <w:rFonts w:hint="eastAsia" w:ascii="Times New Roman" w:hAnsi="Times New Roman"/>
                <w:color w:val="auto"/>
                <w:szCs w:val="21"/>
                <w:highlight w:val="none"/>
                <w:lang w:val="en-US" w:eastAsia="zh-CN"/>
              </w:rPr>
            </w:pPr>
            <w:r>
              <w:rPr>
                <w:rFonts w:hint="eastAsia"/>
                <w:color w:val="auto"/>
                <w:szCs w:val="21"/>
                <w:highlight w:val="none"/>
                <w:lang w:val="en-US" w:eastAsia="zh-CN"/>
              </w:rPr>
              <w:t>80</w:t>
            </w:r>
          </w:p>
        </w:tc>
        <w:tc>
          <w:tcPr>
            <w:tcW w:w="537" w:type="dxa"/>
            <w:shd w:val="clear" w:color="auto" w:fill="auto"/>
            <w:noWrap w:val="0"/>
            <w:vAlign w:val="center"/>
          </w:tcPr>
          <w:p w14:paraId="45DDC932">
            <w:pPr>
              <w:spacing w:line="280" w:lineRule="exact"/>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-14.4</w:t>
            </w:r>
          </w:p>
        </w:tc>
        <w:tc>
          <w:tcPr>
            <w:tcW w:w="537" w:type="dxa"/>
            <w:shd w:val="clear" w:color="auto" w:fill="auto"/>
            <w:noWrap w:val="0"/>
            <w:vAlign w:val="center"/>
          </w:tcPr>
          <w:p w14:paraId="074EC04C">
            <w:pPr>
              <w:spacing w:line="280" w:lineRule="exact"/>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171.61</w:t>
            </w:r>
          </w:p>
        </w:tc>
        <w:tc>
          <w:tcPr>
            <w:tcW w:w="558" w:type="dxa"/>
            <w:shd w:val="clear" w:color="auto" w:fill="auto"/>
            <w:noWrap w:val="0"/>
            <w:vAlign w:val="center"/>
          </w:tcPr>
          <w:p w14:paraId="0BD45EC9">
            <w:pPr>
              <w:spacing w:line="280" w:lineRule="exact"/>
              <w:jc w:val="center"/>
              <w:rPr>
                <w:rFonts w:hint="eastAsia"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1.3</w:t>
            </w:r>
          </w:p>
        </w:tc>
        <w:tc>
          <w:tcPr>
            <w:tcW w:w="537" w:type="dxa"/>
            <w:shd w:val="clear" w:color="auto" w:fill="auto"/>
            <w:noWrap w:val="0"/>
            <w:vAlign w:val="center"/>
          </w:tcPr>
          <w:p w14:paraId="04ADC4A0">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50.0</w:t>
            </w:r>
          </w:p>
        </w:tc>
        <w:tc>
          <w:tcPr>
            <w:tcW w:w="537" w:type="dxa"/>
            <w:shd w:val="clear" w:color="auto" w:fill="auto"/>
            <w:noWrap w:val="0"/>
            <w:vAlign w:val="center"/>
          </w:tcPr>
          <w:p w14:paraId="15F9F50E">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172.0</w:t>
            </w:r>
          </w:p>
        </w:tc>
        <w:tc>
          <w:tcPr>
            <w:tcW w:w="542" w:type="dxa"/>
            <w:shd w:val="clear" w:color="auto" w:fill="auto"/>
            <w:noWrap w:val="0"/>
            <w:vAlign w:val="center"/>
          </w:tcPr>
          <w:p w14:paraId="7D9E8F22">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62.2</w:t>
            </w:r>
          </w:p>
        </w:tc>
        <w:tc>
          <w:tcPr>
            <w:tcW w:w="558" w:type="dxa"/>
            <w:shd w:val="clear" w:color="auto" w:fill="auto"/>
            <w:noWrap w:val="0"/>
            <w:vAlign w:val="center"/>
          </w:tcPr>
          <w:p w14:paraId="480EC7AF">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6.7</w:t>
            </w:r>
          </w:p>
        </w:tc>
        <w:tc>
          <w:tcPr>
            <w:tcW w:w="542" w:type="dxa"/>
            <w:shd w:val="clear" w:color="auto" w:fill="auto"/>
            <w:noWrap w:val="0"/>
            <w:vAlign w:val="center"/>
          </w:tcPr>
          <w:p w14:paraId="49A085B9">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 xml:space="preserve">54.8 </w:t>
            </w:r>
          </w:p>
        </w:tc>
        <w:tc>
          <w:tcPr>
            <w:tcW w:w="542" w:type="dxa"/>
            <w:shd w:val="clear" w:color="auto" w:fill="auto"/>
            <w:noWrap w:val="0"/>
            <w:vAlign w:val="center"/>
          </w:tcPr>
          <w:p w14:paraId="304D9E91">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 xml:space="preserve">54.8 </w:t>
            </w:r>
          </w:p>
        </w:tc>
        <w:tc>
          <w:tcPr>
            <w:tcW w:w="542" w:type="dxa"/>
            <w:shd w:val="clear" w:color="auto" w:fill="auto"/>
            <w:noWrap w:val="0"/>
            <w:vAlign w:val="center"/>
          </w:tcPr>
          <w:p w14:paraId="482E849C">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 xml:space="preserve">54.8 </w:t>
            </w:r>
          </w:p>
        </w:tc>
        <w:tc>
          <w:tcPr>
            <w:tcW w:w="555" w:type="dxa"/>
            <w:shd w:val="clear" w:color="auto" w:fill="auto"/>
            <w:noWrap w:val="0"/>
            <w:vAlign w:val="center"/>
          </w:tcPr>
          <w:p w14:paraId="59270C57">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 xml:space="preserve">56.8 </w:t>
            </w:r>
          </w:p>
        </w:tc>
        <w:tc>
          <w:tcPr>
            <w:tcW w:w="542" w:type="dxa"/>
            <w:vMerge w:val="continue"/>
            <w:shd w:val="clear" w:color="auto" w:fill="auto"/>
            <w:noWrap w:val="0"/>
            <w:vAlign w:val="center"/>
          </w:tcPr>
          <w:p w14:paraId="400EA5D1">
            <w:pPr>
              <w:spacing w:line="280" w:lineRule="exact"/>
              <w:jc w:val="center"/>
              <w:rPr>
                <w:rFonts w:hint="default" w:ascii="Times New Roman" w:hAnsi="Times New Roman" w:eastAsia="宋体"/>
                <w:color w:val="auto"/>
                <w:szCs w:val="21"/>
                <w:highlight w:val="none"/>
                <w:lang w:val="en-US" w:eastAsia="zh-CN"/>
              </w:rPr>
            </w:pPr>
          </w:p>
        </w:tc>
        <w:tc>
          <w:tcPr>
            <w:tcW w:w="897" w:type="dxa"/>
            <w:shd w:val="clear" w:color="auto" w:fill="auto"/>
            <w:noWrap w:val="0"/>
            <w:vAlign w:val="center"/>
          </w:tcPr>
          <w:p w14:paraId="6C526A1F">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24.3</w:t>
            </w:r>
          </w:p>
        </w:tc>
        <w:tc>
          <w:tcPr>
            <w:tcW w:w="746" w:type="dxa"/>
            <w:shd w:val="clear" w:color="auto" w:fill="auto"/>
            <w:noWrap w:val="0"/>
            <w:vAlign w:val="center"/>
          </w:tcPr>
          <w:p w14:paraId="0004FC48">
            <w:pPr>
              <w:spacing w:line="280" w:lineRule="exact"/>
              <w:jc w:val="center"/>
              <w:rPr>
                <w:rFonts w:hint="eastAsia" w:cs="Times New Roman"/>
                <w:color w:val="auto"/>
                <w:szCs w:val="21"/>
                <w:highlight w:val="none"/>
                <w:lang w:val="en-US" w:eastAsia="zh-CN"/>
              </w:rPr>
            </w:pPr>
            <w:r>
              <w:rPr>
                <w:rFonts w:hint="eastAsia" w:cs="Times New Roman"/>
                <w:color w:val="auto"/>
                <w:szCs w:val="21"/>
                <w:highlight w:val="none"/>
                <w:lang w:val="en-US" w:eastAsia="zh-CN"/>
              </w:rPr>
              <w:t>30.5</w:t>
            </w:r>
          </w:p>
        </w:tc>
        <w:tc>
          <w:tcPr>
            <w:tcW w:w="689" w:type="dxa"/>
            <w:shd w:val="clear" w:color="auto" w:fill="auto"/>
            <w:noWrap w:val="0"/>
            <w:vAlign w:val="center"/>
          </w:tcPr>
          <w:p w14:paraId="7D26179D">
            <w:pPr>
              <w:spacing w:line="280" w:lineRule="exact"/>
              <w:jc w:val="center"/>
              <w:rPr>
                <w:rFonts w:hint="eastAsia" w:cs="Times New Roman"/>
                <w:color w:val="auto"/>
                <w:szCs w:val="21"/>
                <w:highlight w:val="none"/>
                <w:lang w:val="en-US" w:eastAsia="zh-CN"/>
              </w:rPr>
            </w:pPr>
            <w:r>
              <w:rPr>
                <w:rFonts w:hint="eastAsia" w:cs="Times New Roman"/>
                <w:color w:val="auto"/>
                <w:szCs w:val="21"/>
                <w:highlight w:val="none"/>
                <w:lang w:val="en-US" w:eastAsia="zh-CN"/>
              </w:rPr>
              <w:t>30.5</w:t>
            </w:r>
          </w:p>
        </w:tc>
        <w:tc>
          <w:tcPr>
            <w:tcW w:w="838" w:type="dxa"/>
            <w:shd w:val="clear" w:color="auto" w:fill="auto"/>
            <w:noWrap w:val="0"/>
            <w:vAlign w:val="center"/>
          </w:tcPr>
          <w:p w14:paraId="24575197">
            <w:pPr>
              <w:spacing w:line="280" w:lineRule="exact"/>
              <w:jc w:val="center"/>
              <w:rPr>
                <w:rFonts w:hint="eastAsia" w:cs="Times New Roman"/>
                <w:color w:val="auto"/>
                <w:szCs w:val="21"/>
                <w:highlight w:val="none"/>
                <w:lang w:val="en-US" w:eastAsia="zh-CN"/>
              </w:rPr>
            </w:pPr>
            <w:r>
              <w:rPr>
                <w:rFonts w:hint="eastAsia" w:cs="Times New Roman"/>
                <w:color w:val="auto"/>
                <w:szCs w:val="21"/>
                <w:highlight w:val="none"/>
                <w:lang w:val="en-US" w:eastAsia="zh-CN"/>
              </w:rPr>
              <w:t>30.5</w:t>
            </w:r>
          </w:p>
        </w:tc>
        <w:tc>
          <w:tcPr>
            <w:tcW w:w="750" w:type="dxa"/>
            <w:shd w:val="clear" w:color="auto" w:fill="auto"/>
            <w:noWrap w:val="0"/>
            <w:vAlign w:val="center"/>
          </w:tcPr>
          <w:p w14:paraId="2784C9AA">
            <w:pPr>
              <w:spacing w:line="280" w:lineRule="exact"/>
              <w:jc w:val="center"/>
              <w:rPr>
                <w:rFonts w:hint="eastAsia" w:cs="Times New Roman"/>
                <w:color w:val="auto"/>
                <w:szCs w:val="21"/>
                <w:highlight w:val="none"/>
                <w:lang w:val="en-US" w:eastAsia="zh-CN"/>
              </w:rPr>
            </w:pPr>
            <w:r>
              <w:rPr>
                <w:rFonts w:hint="eastAsia" w:cs="Times New Roman"/>
                <w:color w:val="auto"/>
                <w:szCs w:val="21"/>
                <w:highlight w:val="none"/>
                <w:lang w:val="en-US" w:eastAsia="zh-CN"/>
              </w:rPr>
              <w:t>32.5</w:t>
            </w:r>
          </w:p>
        </w:tc>
        <w:tc>
          <w:tcPr>
            <w:tcW w:w="1096" w:type="dxa"/>
            <w:shd w:val="clear" w:color="auto" w:fill="auto"/>
            <w:noWrap w:val="0"/>
            <w:vAlign w:val="center"/>
          </w:tcPr>
          <w:p w14:paraId="640C1CBF">
            <w:pPr>
              <w:spacing w:line="280" w:lineRule="exact"/>
              <w:jc w:val="center"/>
              <w:rPr>
                <w:rFonts w:hint="eastAsia"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1</w:t>
            </w:r>
          </w:p>
        </w:tc>
      </w:tr>
      <w:tr w14:paraId="7B3C419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27" w:type="dxa"/>
            <w:shd w:val="clear" w:color="auto" w:fill="auto"/>
            <w:noWrap w:val="0"/>
            <w:vAlign w:val="center"/>
          </w:tcPr>
          <w:p w14:paraId="2D8559A9">
            <w:pPr>
              <w:spacing w:line="280" w:lineRule="exact"/>
              <w:jc w:val="center"/>
              <w:rPr>
                <w:rFonts w:hint="default" w:ascii="Times New Roman" w:hAnsi="Times New Roman"/>
                <w:color w:val="auto"/>
                <w:szCs w:val="21"/>
                <w:highlight w:val="none"/>
                <w:lang w:val="en-US" w:eastAsia="zh-CN"/>
              </w:rPr>
            </w:pPr>
            <w:r>
              <w:rPr>
                <w:rFonts w:hint="eastAsia"/>
                <w:color w:val="auto"/>
                <w:szCs w:val="21"/>
                <w:highlight w:val="none"/>
                <w:lang w:val="en-US" w:eastAsia="zh-CN"/>
              </w:rPr>
              <w:t>63</w:t>
            </w:r>
          </w:p>
        </w:tc>
        <w:tc>
          <w:tcPr>
            <w:tcW w:w="1428" w:type="dxa"/>
            <w:shd w:val="clear" w:color="auto" w:fill="auto"/>
            <w:noWrap w:val="0"/>
            <w:vAlign w:val="center"/>
          </w:tcPr>
          <w:p w14:paraId="40553093">
            <w:pPr>
              <w:spacing w:line="280" w:lineRule="exact"/>
              <w:jc w:val="center"/>
              <w:rPr>
                <w:rFonts w:hint="eastAsia" w:cs="Times New Roman"/>
                <w:b w:val="0"/>
                <w:bCs w:val="0"/>
                <w:color w:val="auto"/>
                <w:kern w:val="0"/>
                <w:sz w:val="21"/>
                <w:szCs w:val="21"/>
                <w:highlight w:val="none"/>
                <w:vertAlign w:val="baseline"/>
                <w:lang w:val="en-US" w:eastAsia="zh-CN"/>
              </w:rPr>
            </w:pPr>
            <w:r>
              <w:rPr>
                <w:rFonts w:hint="eastAsia" w:cs="Times New Roman"/>
                <w:b w:val="0"/>
                <w:bCs w:val="0"/>
                <w:color w:val="auto"/>
                <w:kern w:val="0"/>
                <w:sz w:val="21"/>
                <w:szCs w:val="21"/>
                <w:highlight w:val="none"/>
                <w:vertAlign w:val="baseline"/>
                <w:lang w:val="en-US" w:eastAsia="zh-CN"/>
              </w:rPr>
              <w:t>真空泵系统9#</w:t>
            </w:r>
          </w:p>
        </w:tc>
        <w:tc>
          <w:tcPr>
            <w:tcW w:w="537" w:type="dxa"/>
            <w:shd w:val="clear" w:color="auto" w:fill="auto"/>
            <w:noWrap w:val="0"/>
            <w:vAlign w:val="center"/>
          </w:tcPr>
          <w:p w14:paraId="43D6594A">
            <w:pPr>
              <w:spacing w:line="280" w:lineRule="exact"/>
              <w:jc w:val="center"/>
              <w:rPr>
                <w:rFonts w:hint="eastAsia" w:ascii="Times New Roman" w:hAnsi="Times New Roman"/>
                <w:color w:val="auto"/>
                <w:szCs w:val="21"/>
                <w:highlight w:val="none"/>
                <w:lang w:val="en-US" w:eastAsia="zh-CN"/>
              </w:rPr>
            </w:pPr>
            <w:r>
              <w:rPr>
                <w:rFonts w:hint="eastAsia"/>
                <w:color w:val="auto"/>
                <w:szCs w:val="21"/>
                <w:highlight w:val="none"/>
                <w:lang w:val="en-US" w:eastAsia="zh-CN"/>
              </w:rPr>
              <w:t>80</w:t>
            </w:r>
          </w:p>
        </w:tc>
        <w:tc>
          <w:tcPr>
            <w:tcW w:w="537" w:type="dxa"/>
            <w:shd w:val="clear" w:color="auto" w:fill="auto"/>
            <w:noWrap w:val="0"/>
            <w:vAlign w:val="center"/>
          </w:tcPr>
          <w:p w14:paraId="3B979569">
            <w:pPr>
              <w:spacing w:line="280" w:lineRule="exact"/>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-14.07</w:t>
            </w:r>
          </w:p>
        </w:tc>
        <w:tc>
          <w:tcPr>
            <w:tcW w:w="537" w:type="dxa"/>
            <w:shd w:val="clear" w:color="auto" w:fill="auto"/>
            <w:noWrap w:val="0"/>
            <w:vAlign w:val="center"/>
          </w:tcPr>
          <w:p w14:paraId="154417A3">
            <w:pPr>
              <w:spacing w:line="280" w:lineRule="exact"/>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173.08</w:t>
            </w:r>
          </w:p>
        </w:tc>
        <w:tc>
          <w:tcPr>
            <w:tcW w:w="558" w:type="dxa"/>
            <w:shd w:val="clear" w:color="auto" w:fill="auto"/>
            <w:noWrap w:val="0"/>
            <w:vAlign w:val="center"/>
          </w:tcPr>
          <w:p w14:paraId="4A7ED366">
            <w:pPr>
              <w:spacing w:line="280" w:lineRule="exact"/>
              <w:jc w:val="center"/>
              <w:rPr>
                <w:rFonts w:hint="eastAsia"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1.3</w:t>
            </w:r>
          </w:p>
        </w:tc>
        <w:tc>
          <w:tcPr>
            <w:tcW w:w="537" w:type="dxa"/>
            <w:shd w:val="clear" w:color="auto" w:fill="auto"/>
            <w:noWrap w:val="0"/>
            <w:vAlign w:val="center"/>
          </w:tcPr>
          <w:p w14:paraId="7FFE76C5">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49.3</w:t>
            </w:r>
          </w:p>
        </w:tc>
        <w:tc>
          <w:tcPr>
            <w:tcW w:w="537" w:type="dxa"/>
            <w:shd w:val="clear" w:color="auto" w:fill="auto"/>
            <w:noWrap w:val="0"/>
            <w:vAlign w:val="center"/>
          </w:tcPr>
          <w:p w14:paraId="55EA8EAB">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175.3</w:t>
            </w:r>
          </w:p>
        </w:tc>
        <w:tc>
          <w:tcPr>
            <w:tcW w:w="542" w:type="dxa"/>
            <w:shd w:val="clear" w:color="auto" w:fill="auto"/>
            <w:noWrap w:val="0"/>
            <w:vAlign w:val="center"/>
          </w:tcPr>
          <w:p w14:paraId="29C35A14">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32.2</w:t>
            </w:r>
          </w:p>
        </w:tc>
        <w:tc>
          <w:tcPr>
            <w:tcW w:w="558" w:type="dxa"/>
            <w:shd w:val="clear" w:color="auto" w:fill="auto"/>
            <w:noWrap w:val="0"/>
            <w:vAlign w:val="center"/>
          </w:tcPr>
          <w:p w14:paraId="260BD1FE">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4.7</w:t>
            </w:r>
          </w:p>
        </w:tc>
        <w:tc>
          <w:tcPr>
            <w:tcW w:w="542" w:type="dxa"/>
            <w:shd w:val="clear" w:color="auto" w:fill="auto"/>
            <w:noWrap w:val="0"/>
            <w:vAlign w:val="center"/>
          </w:tcPr>
          <w:p w14:paraId="2B0D8EB9">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 xml:space="preserve">54.8 </w:t>
            </w:r>
          </w:p>
        </w:tc>
        <w:tc>
          <w:tcPr>
            <w:tcW w:w="542" w:type="dxa"/>
            <w:shd w:val="clear" w:color="auto" w:fill="auto"/>
            <w:noWrap w:val="0"/>
            <w:vAlign w:val="center"/>
          </w:tcPr>
          <w:p w14:paraId="3CCFBA6F">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 xml:space="preserve">54.8 </w:t>
            </w:r>
          </w:p>
        </w:tc>
        <w:tc>
          <w:tcPr>
            <w:tcW w:w="542" w:type="dxa"/>
            <w:shd w:val="clear" w:color="auto" w:fill="auto"/>
            <w:noWrap w:val="0"/>
            <w:vAlign w:val="center"/>
          </w:tcPr>
          <w:p w14:paraId="5446361E">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 xml:space="preserve">54.9 </w:t>
            </w:r>
          </w:p>
        </w:tc>
        <w:tc>
          <w:tcPr>
            <w:tcW w:w="555" w:type="dxa"/>
            <w:shd w:val="clear" w:color="auto" w:fill="auto"/>
            <w:noWrap w:val="0"/>
            <w:vAlign w:val="center"/>
          </w:tcPr>
          <w:p w14:paraId="4A2ED702">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 xml:space="preserve">58.2 </w:t>
            </w:r>
          </w:p>
        </w:tc>
        <w:tc>
          <w:tcPr>
            <w:tcW w:w="542" w:type="dxa"/>
            <w:vMerge w:val="continue"/>
            <w:shd w:val="clear" w:color="auto" w:fill="auto"/>
            <w:noWrap w:val="0"/>
            <w:vAlign w:val="center"/>
          </w:tcPr>
          <w:p w14:paraId="11D83AA6">
            <w:pPr>
              <w:spacing w:line="280" w:lineRule="exact"/>
              <w:jc w:val="center"/>
              <w:rPr>
                <w:rFonts w:hint="default" w:ascii="Times New Roman" w:hAnsi="Times New Roman" w:eastAsia="宋体"/>
                <w:color w:val="auto"/>
                <w:szCs w:val="21"/>
                <w:highlight w:val="none"/>
                <w:lang w:val="en-US" w:eastAsia="zh-CN"/>
              </w:rPr>
            </w:pPr>
          </w:p>
        </w:tc>
        <w:tc>
          <w:tcPr>
            <w:tcW w:w="897" w:type="dxa"/>
            <w:shd w:val="clear" w:color="auto" w:fill="auto"/>
            <w:noWrap w:val="0"/>
            <w:vAlign w:val="center"/>
          </w:tcPr>
          <w:p w14:paraId="0488F2DF">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24.3</w:t>
            </w:r>
          </w:p>
        </w:tc>
        <w:tc>
          <w:tcPr>
            <w:tcW w:w="746" w:type="dxa"/>
            <w:shd w:val="clear" w:color="auto" w:fill="auto"/>
            <w:noWrap w:val="0"/>
            <w:vAlign w:val="center"/>
          </w:tcPr>
          <w:p w14:paraId="6B8F6791">
            <w:pPr>
              <w:spacing w:line="280" w:lineRule="exact"/>
              <w:jc w:val="center"/>
              <w:rPr>
                <w:rFonts w:hint="eastAsia" w:cs="Times New Roman"/>
                <w:color w:val="auto"/>
                <w:szCs w:val="21"/>
                <w:highlight w:val="none"/>
                <w:lang w:val="en-US" w:eastAsia="zh-CN"/>
              </w:rPr>
            </w:pPr>
            <w:r>
              <w:rPr>
                <w:rFonts w:hint="eastAsia" w:cs="Times New Roman"/>
                <w:color w:val="auto"/>
                <w:szCs w:val="21"/>
                <w:highlight w:val="none"/>
                <w:lang w:val="en-US" w:eastAsia="zh-CN"/>
              </w:rPr>
              <w:t>30.5</w:t>
            </w:r>
          </w:p>
        </w:tc>
        <w:tc>
          <w:tcPr>
            <w:tcW w:w="689" w:type="dxa"/>
            <w:shd w:val="clear" w:color="auto" w:fill="auto"/>
            <w:noWrap w:val="0"/>
            <w:vAlign w:val="center"/>
          </w:tcPr>
          <w:p w14:paraId="48911157">
            <w:pPr>
              <w:spacing w:line="280" w:lineRule="exact"/>
              <w:jc w:val="center"/>
              <w:rPr>
                <w:rFonts w:hint="eastAsia" w:cs="Times New Roman"/>
                <w:color w:val="auto"/>
                <w:szCs w:val="21"/>
                <w:highlight w:val="none"/>
                <w:lang w:val="en-US" w:eastAsia="zh-CN"/>
              </w:rPr>
            </w:pPr>
            <w:r>
              <w:rPr>
                <w:rFonts w:hint="eastAsia" w:cs="Times New Roman"/>
                <w:color w:val="auto"/>
                <w:szCs w:val="21"/>
                <w:highlight w:val="none"/>
                <w:lang w:val="en-US" w:eastAsia="zh-CN"/>
              </w:rPr>
              <w:t>30.5</w:t>
            </w:r>
          </w:p>
        </w:tc>
        <w:tc>
          <w:tcPr>
            <w:tcW w:w="838" w:type="dxa"/>
            <w:shd w:val="clear" w:color="auto" w:fill="auto"/>
            <w:noWrap w:val="0"/>
            <w:vAlign w:val="center"/>
          </w:tcPr>
          <w:p w14:paraId="02A8F68A">
            <w:pPr>
              <w:spacing w:line="280" w:lineRule="exact"/>
              <w:jc w:val="center"/>
              <w:rPr>
                <w:rFonts w:hint="eastAsia" w:cs="Times New Roman"/>
                <w:color w:val="auto"/>
                <w:szCs w:val="21"/>
                <w:highlight w:val="none"/>
                <w:lang w:val="en-US" w:eastAsia="zh-CN"/>
              </w:rPr>
            </w:pPr>
            <w:r>
              <w:rPr>
                <w:rFonts w:hint="eastAsia" w:cs="Times New Roman"/>
                <w:color w:val="auto"/>
                <w:szCs w:val="21"/>
                <w:highlight w:val="none"/>
                <w:lang w:val="en-US" w:eastAsia="zh-CN"/>
              </w:rPr>
              <w:t>30.6</w:t>
            </w:r>
          </w:p>
        </w:tc>
        <w:tc>
          <w:tcPr>
            <w:tcW w:w="750" w:type="dxa"/>
            <w:shd w:val="clear" w:color="auto" w:fill="auto"/>
            <w:noWrap w:val="0"/>
            <w:vAlign w:val="center"/>
          </w:tcPr>
          <w:p w14:paraId="4FBEEAD5">
            <w:pPr>
              <w:spacing w:line="280" w:lineRule="exact"/>
              <w:jc w:val="center"/>
              <w:rPr>
                <w:rFonts w:hint="eastAsia" w:cs="Times New Roman"/>
                <w:color w:val="auto"/>
                <w:szCs w:val="21"/>
                <w:highlight w:val="none"/>
                <w:lang w:val="en-US" w:eastAsia="zh-CN"/>
              </w:rPr>
            </w:pPr>
            <w:r>
              <w:rPr>
                <w:rFonts w:hint="eastAsia" w:cs="Times New Roman"/>
                <w:color w:val="auto"/>
                <w:szCs w:val="21"/>
                <w:highlight w:val="none"/>
                <w:lang w:val="en-US" w:eastAsia="zh-CN"/>
              </w:rPr>
              <w:t>33.9</w:t>
            </w:r>
          </w:p>
        </w:tc>
        <w:tc>
          <w:tcPr>
            <w:tcW w:w="1096" w:type="dxa"/>
            <w:shd w:val="clear" w:color="auto" w:fill="auto"/>
            <w:noWrap w:val="0"/>
            <w:vAlign w:val="center"/>
          </w:tcPr>
          <w:p w14:paraId="60D8C042">
            <w:pPr>
              <w:spacing w:line="280" w:lineRule="exact"/>
              <w:jc w:val="center"/>
              <w:rPr>
                <w:rFonts w:hint="eastAsia"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1</w:t>
            </w:r>
          </w:p>
        </w:tc>
      </w:tr>
      <w:tr w14:paraId="2E569F8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27" w:type="dxa"/>
            <w:shd w:val="clear" w:color="auto" w:fill="auto"/>
            <w:noWrap w:val="0"/>
            <w:vAlign w:val="center"/>
          </w:tcPr>
          <w:p w14:paraId="5B5CD206">
            <w:pPr>
              <w:spacing w:line="280" w:lineRule="exact"/>
              <w:jc w:val="center"/>
              <w:rPr>
                <w:rFonts w:hint="default" w:ascii="Times New Roman" w:hAnsi="Times New Roman"/>
                <w:color w:val="auto"/>
                <w:szCs w:val="21"/>
                <w:highlight w:val="none"/>
                <w:lang w:val="en-US" w:eastAsia="zh-CN"/>
              </w:rPr>
            </w:pPr>
            <w:r>
              <w:rPr>
                <w:rFonts w:hint="eastAsia"/>
                <w:color w:val="auto"/>
                <w:szCs w:val="21"/>
                <w:highlight w:val="none"/>
                <w:lang w:val="en-US" w:eastAsia="zh-CN"/>
              </w:rPr>
              <w:t>64</w:t>
            </w:r>
          </w:p>
        </w:tc>
        <w:tc>
          <w:tcPr>
            <w:tcW w:w="1428" w:type="dxa"/>
            <w:shd w:val="clear" w:color="auto" w:fill="auto"/>
            <w:noWrap w:val="0"/>
            <w:vAlign w:val="center"/>
          </w:tcPr>
          <w:p w14:paraId="309D7BCA">
            <w:pPr>
              <w:spacing w:line="280" w:lineRule="exact"/>
              <w:jc w:val="center"/>
              <w:rPr>
                <w:rFonts w:hint="eastAsia" w:cs="Times New Roman"/>
                <w:b w:val="0"/>
                <w:bCs w:val="0"/>
                <w:color w:val="auto"/>
                <w:kern w:val="0"/>
                <w:sz w:val="21"/>
                <w:szCs w:val="21"/>
                <w:highlight w:val="none"/>
                <w:vertAlign w:val="baseline"/>
                <w:lang w:val="en-US" w:eastAsia="zh-CN"/>
              </w:rPr>
            </w:pPr>
            <w:r>
              <w:rPr>
                <w:rFonts w:hint="eastAsia" w:cs="Times New Roman"/>
                <w:b w:val="0"/>
                <w:bCs w:val="0"/>
                <w:color w:val="auto"/>
                <w:kern w:val="0"/>
                <w:sz w:val="21"/>
                <w:szCs w:val="21"/>
                <w:highlight w:val="none"/>
                <w:vertAlign w:val="baseline"/>
                <w:lang w:val="en-US" w:eastAsia="zh-CN"/>
              </w:rPr>
              <w:t>真空泵系统10#</w:t>
            </w:r>
          </w:p>
        </w:tc>
        <w:tc>
          <w:tcPr>
            <w:tcW w:w="537" w:type="dxa"/>
            <w:shd w:val="clear" w:color="auto" w:fill="auto"/>
            <w:noWrap w:val="0"/>
            <w:vAlign w:val="center"/>
          </w:tcPr>
          <w:p w14:paraId="1B50D161">
            <w:pPr>
              <w:spacing w:line="280" w:lineRule="exact"/>
              <w:jc w:val="center"/>
              <w:rPr>
                <w:rFonts w:hint="eastAsia" w:ascii="Times New Roman" w:hAnsi="Times New Roman"/>
                <w:color w:val="auto"/>
                <w:szCs w:val="21"/>
                <w:highlight w:val="none"/>
                <w:lang w:val="en-US" w:eastAsia="zh-CN"/>
              </w:rPr>
            </w:pPr>
            <w:r>
              <w:rPr>
                <w:rFonts w:hint="eastAsia"/>
                <w:color w:val="auto"/>
                <w:szCs w:val="21"/>
                <w:highlight w:val="none"/>
                <w:lang w:val="en-US" w:eastAsia="zh-CN"/>
              </w:rPr>
              <w:t>80</w:t>
            </w:r>
          </w:p>
        </w:tc>
        <w:tc>
          <w:tcPr>
            <w:tcW w:w="537" w:type="dxa"/>
            <w:shd w:val="clear" w:color="auto" w:fill="auto"/>
            <w:noWrap w:val="0"/>
            <w:vAlign w:val="center"/>
          </w:tcPr>
          <w:p w14:paraId="3B2EFE39">
            <w:pPr>
              <w:spacing w:line="280" w:lineRule="exact"/>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-13.55</w:t>
            </w:r>
          </w:p>
        </w:tc>
        <w:tc>
          <w:tcPr>
            <w:tcW w:w="537" w:type="dxa"/>
            <w:shd w:val="clear" w:color="auto" w:fill="auto"/>
            <w:noWrap w:val="0"/>
            <w:vAlign w:val="center"/>
          </w:tcPr>
          <w:p w14:paraId="3AB4990B">
            <w:pPr>
              <w:spacing w:line="280" w:lineRule="exact"/>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171.83</w:t>
            </w:r>
          </w:p>
        </w:tc>
        <w:tc>
          <w:tcPr>
            <w:tcW w:w="558" w:type="dxa"/>
            <w:shd w:val="clear" w:color="auto" w:fill="auto"/>
            <w:noWrap w:val="0"/>
            <w:vAlign w:val="center"/>
          </w:tcPr>
          <w:p w14:paraId="5AFA3BD2">
            <w:pPr>
              <w:spacing w:line="280" w:lineRule="exact"/>
              <w:jc w:val="center"/>
              <w:rPr>
                <w:rFonts w:hint="eastAsia"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1.3</w:t>
            </w:r>
          </w:p>
        </w:tc>
        <w:tc>
          <w:tcPr>
            <w:tcW w:w="537" w:type="dxa"/>
            <w:shd w:val="clear" w:color="auto" w:fill="auto"/>
            <w:noWrap w:val="0"/>
            <w:vAlign w:val="center"/>
          </w:tcPr>
          <w:p w14:paraId="146EA934">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50.4</w:t>
            </w:r>
          </w:p>
        </w:tc>
        <w:tc>
          <w:tcPr>
            <w:tcW w:w="537" w:type="dxa"/>
            <w:shd w:val="clear" w:color="auto" w:fill="auto"/>
            <w:noWrap w:val="0"/>
            <w:vAlign w:val="center"/>
          </w:tcPr>
          <w:p w14:paraId="0416411B">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174.8</w:t>
            </w:r>
          </w:p>
        </w:tc>
        <w:tc>
          <w:tcPr>
            <w:tcW w:w="542" w:type="dxa"/>
            <w:shd w:val="clear" w:color="auto" w:fill="auto"/>
            <w:noWrap w:val="0"/>
            <w:vAlign w:val="center"/>
          </w:tcPr>
          <w:p w14:paraId="543648EC">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43.2</w:t>
            </w:r>
          </w:p>
        </w:tc>
        <w:tc>
          <w:tcPr>
            <w:tcW w:w="558" w:type="dxa"/>
            <w:shd w:val="clear" w:color="auto" w:fill="auto"/>
            <w:noWrap w:val="0"/>
            <w:vAlign w:val="center"/>
          </w:tcPr>
          <w:p w14:paraId="049F9FC1">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9</w:t>
            </w:r>
          </w:p>
        </w:tc>
        <w:tc>
          <w:tcPr>
            <w:tcW w:w="542" w:type="dxa"/>
            <w:shd w:val="clear" w:color="auto" w:fill="auto"/>
            <w:noWrap w:val="0"/>
            <w:vAlign w:val="center"/>
          </w:tcPr>
          <w:p w14:paraId="533FE20E">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 xml:space="preserve">54.8 </w:t>
            </w:r>
          </w:p>
        </w:tc>
        <w:tc>
          <w:tcPr>
            <w:tcW w:w="542" w:type="dxa"/>
            <w:shd w:val="clear" w:color="auto" w:fill="auto"/>
            <w:noWrap w:val="0"/>
            <w:vAlign w:val="center"/>
          </w:tcPr>
          <w:p w14:paraId="45495823">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 xml:space="preserve">54.8 </w:t>
            </w:r>
          </w:p>
        </w:tc>
        <w:tc>
          <w:tcPr>
            <w:tcW w:w="542" w:type="dxa"/>
            <w:shd w:val="clear" w:color="auto" w:fill="auto"/>
            <w:noWrap w:val="0"/>
            <w:vAlign w:val="center"/>
          </w:tcPr>
          <w:p w14:paraId="66E765D5">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 xml:space="preserve">54.8 </w:t>
            </w:r>
          </w:p>
        </w:tc>
        <w:tc>
          <w:tcPr>
            <w:tcW w:w="555" w:type="dxa"/>
            <w:shd w:val="clear" w:color="auto" w:fill="auto"/>
            <w:noWrap w:val="0"/>
            <w:vAlign w:val="center"/>
          </w:tcPr>
          <w:p w14:paraId="42DCB345">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 xml:space="preserve">56.0 </w:t>
            </w:r>
          </w:p>
        </w:tc>
        <w:tc>
          <w:tcPr>
            <w:tcW w:w="542" w:type="dxa"/>
            <w:vMerge w:val="continue"/>
            <w:shd w:val="clear" w:color="auto" w:fill="auto"/>
            <w:noWrap w:val="0"/>
            <w:vAlign w:val="center"/>
          </w:tcPr>
          <w:p w14:paraId="65E3A1EE">
            <w:pPr>
              <w:spacing w:line="280" w:lineRule="exact"/>
              <w:jc w:val="center"/>
              <w:rPr>
                <w:rFonts w:hint="default" w:ascii="Times New Roman" w:hAnsi="Times New Roman" w:eastAsia="宋体"/>
                <w:color w:val="auto"/>
                <w:szCs w:val="21"/>
                <w:highlight w:val="none"/>
                <w:lang w:val="en-US" w:eastAsia="zh-CN"/>
              </w:rPr>
            </w:pPr>
          </w:p>
        </w:tc>
        <w:tc>
          <w:tcPr>
            <w:tcW w:w="897" w:type="dxa"/>
            <w:shd w:val="clear" w:color="auto" w:fill="auto"/>
            <w:noWrap w:val="0"/>
            <w:vAlign w:val="center"/>
          </w:tcPr>
          <w:p w14:paraId="7DC73762">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24.3</w:t>
            </w:r>
          </w:p>
        </w:tc>
        <w:tc>
          <w:tcPr>
            <w:tcW w:w="746" w:type="dxa"/>
            <w:shd w:val="clear" w:color="auto" w:fill="auto"/>
            <w:noWrap w:val="0"/>
            <w:vAlign w:val="center"/>
          </w:tcPr>
          <w:p w14:paraId="5E06B7CC">
            <w:pPr>
              <w:spacing w:line="280" w:lineRule="exact"/>
              <w:jc w:val="center"/>
              <w:rPr>
                <w:rFonts w:hint="eastAsia" w:cs="Times New Roman"/>
                <w:color w:val="auto"/>
                <w:szCs w:val="21"/>
                <w:highlight w:val="none"/>
                <w:lang w:val="en-US" w:eastAsia="zh-CN"/>
              </w:rPr>
            </w:pPr>
            <w:r>
              <w:rPr>
                <w:rFonts w:hint="eastAsia" w:cs="Times New Roman"/>
                <w:color w:val="auto"/>
                <w:szCs w:val="21"/>
                <w:highlight w:val="none"/>
                <w:lang w:val="en-US" w:eastAsia="zh-CN"/>
              </w:rPr>
              <w:t>30.5</w:t>
            </w:r>
          </w:p>
        </w:tc>
        <w:tc>
          <w:tcPr>
            <w:tcW w:w="689" w:type="dxa"/>
            <w:shd w:val="clear" w:color="auto" w:fill="auto"/>
            <w:noWrap w:val="0"/>
            <w:vAlign w:val="center"/>
          </w:tcPr>
          <w:p w14:paraId="137583D7">
            <w:pPr>
              <w:spacing w:line="280" w:lineRule="exact"/>
              <w:jc w:val="center"/>
              <w:rPr>
                <w:rFonts w:hint="eastAsia" w:cs="Times New Roman"/>
                <w:color w:val="auto"/>
                <w:szCs w:val="21"/>
                <w:highlight w:val="none"/>
                <w:lang w:val="en-US" w:eastAsia="zh-CN"/>
              </w:rPr>
            </w:pPr>
            <w:r>
              <w:rPr>
                <w:rFonts w:hint="eastAsia" w:cs="Times New Roman"/>
                <w:color w:val="auto"/>
                <w:szCs w:val="21"/>
                <w:highlight w:val="none"/>
                <w:lang w:val="en-US" w:eastAsia="zh-CN"/>
              </w:rPr>
              <w:t>30.5</w:t>
            </w:r>
          </w:p>
        </w:tc>
        <w:tc>
          <w:tcPr>
            <w:tcW w:w="838" w:type="dxa"/>
            <w:shd w:val="clear" w:color="auto" w:fill="auto"/>
            <w:noWrap w:val="0"/>
            <w:vAlign w:val="center"/>
          </w:tcPr>
          <w:p w14:paraId="6AC272BF">
            <w:pPr>
              <w:spacing w:line="280" w:lineRule="exact"/>
              <w:jc w:val="center"/>
              <w:rPr>
                <w:rFonts w:hint="eastAsia" w:cs="Times New Roman"/>
                <w:color w:val="auto"/>
                <w:szCs w:val="21"/>
                <w:highlight w:val="none"/>
                <w:lang w:val="en-US" w:eastAsia="zh-CN"/>
              </w:rPr>
            </w:pPr>
            <w:r>
              <w:rPr>
                <w:rFonts w:hint="eastAsia" w:cs="Times New Roman"/>
                <w:color w:val="auto"/>
                <w:szCs w:val="21"/>
                <w:highlight w:val="none"/>
                <w:lang w:val="en-US" w:eastAsia="zh-CN"/>
              </w:rPr>
              <w:t>30.5</w:t>
            </w:r>
          </w:p>
        </w:tc>
        <w:tc>
          <w:tcPr>
            <w:tcW w:w="750" w:type="dxa"/>
            <w:shd w:val="clear" w:color="auto" w:fill="auto"/>
            <w:noWrap w:val="0"/>
            <w:vAlign w:val="center"/>
          </w:tcPr>
          <w:p w14:paraId="3375BB1D">
            <w:pPr>
              <w:spacing w:line="280" w:lineRule="exact"/>
              <w:jc w:val="center"/>
              <w:rPr>
                <w:rFonts w:hint="eastAsia" w:cs="Times New Roman"/>
                <w:color w:val="auto"/>
                <w:szCs w:val="21"/>
                <w:highlight w:val="none"/>
                <w:lang w:val="en-US" w:eastAsia="zh-CN"/>
              </w:rPr>
            </w:pPr>
            <w:r>
              <w:rPr>
                <w:rFonts w:hint="eastAsia" w:cs="Times New Roman"/>
                <w:color w:val="auto"/>
                <w:szCs w:val="21"/>
                <w:highlight w:val="none"/>
                <w:lang w:val="en-US" w:eastAsia="zh-CN"/>
              </w:rPr>
              <w:t>31.7</w:t>
            </w:r>
          </w:p>
        </w:tc>
        <w:tc>
          <w:tcPr>
            <w:tcW w:w="1096" w:type="dxa"/>
            <w:shd w:val="clear" w:color="auto" w:fill="auto"/>
            <w:noWrap w:val="0"/>
            <w:vAlign w:val="center"/>
          </w:tcPr>
          <w:p w14:paraId="28217E77">
            <w:pPr>
              <w:spacing w:line="280" w:lineRule="exact"/>
              <w:jc w:val="center"/>
              <w:rPr>
                <w:rFonts w:hint="eastAsia"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1</w:t>
            </w:r>
          </w:p>
        </w:tc>
      </w:tr>
      <w:tr w14:paraId="793E85D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27" w:type="dxa"/>
            <w:shd w:val="clear" w:color="auto" w:fill="auto"/>
            <w:noWrap w:val="0"/>
            <w:vAlign w:val="center"/>
          </w:tcPr>
          <w:p w14:paraId="0F9FB4CD">
            <w:pPr>
              <w:spacing w:line="280" w:lineRule="exact"/>
              <w:jc w:val="center"/>
              <w:rPr>
                <w:rFonts w:hint="default" w:ascii="Times New Roman" w:hAnsi="Times New Roman"/>
                <w:color w:val="auto"/>
                <w:szCs w:val="21"/>
                <w:highlight w:val="none"/>
                <w:lang w:val="en-US" w:eastAsia="zh-CN"/>
              </w:rPr>
            </w:pPr>
            <w:r>
              <w:rPr>
                <w:rFonts w:hint="eastAsia"/>
                <w:color w:val="auto"/>
                <w:szCs w:val="21"/>
                <w:highlight w:val="none"/>
                <w:lang w:val="en-US" w:eastAsia="zh-CN"/>
              </w:rPr>
              <w:t>65</w:t>
            </w:r>
          </w:p>
        </w:tc>
        <w:tc>
          <w:tcPr>
            <w:tcW w:w="1428" w:type="dxa"/>
            <w:shd w:val="clear" w:color="auto" w:fill="auto"/>
            <w:noWrap w:val="0"/>
            <w:vAlign w:val="center"/>
          </w:tcPr>
          <w:p w14:paraId="360056D7">
            <w:pPr>
              <w:spacing w:line="280" w:lineRule="exact"/>
              <w:jc w:val="center"/>
              <w:rPr>
                <w:rFonts w:hint="eastAsia" w:cs="Times New Roman"/>
                <w:b w:val="0"/>
                <w:bCs w:val="0"/>
                <w:color w:val="auto"/>
                <w:kern w:val="0"/>
                <w:sz w:val="21"/>
                <w:szCs w:val="21"/>
                <w:highlight w:val="none"/>
                <w:vertAlign w:val="baseline"/>
                <w:lang w:val="en-US" w:eastAsia="zh-CN"/>
              </w:rPr>
            </w:pPr>
            <w:r>
              <w:rPr>
                <w:rFonts w:hint="eastAsia" w:cs="Times New Roman"/>
                <w:b w:val="0"/>
                <w:bCs w:val="0"/>
                <w:color w:val="auto"/>
                <w:kern w:val="0"/>
                <w:sz w:val="21"/>
                <w:szCs w:val="21"/>
                <w:highlight w:val="none"/>
                <w:vertAlign w:val="baseline"/>
                <w:lang w:val="en-US" w:eastAsia="zh-CN"/>
              </w:rPr>
              <w:t>真空泵系统11#</w:t>
            </w:r>
          </w:p>
        </w:tc>
        <w:tc>
          <w:tcPr>
            <w:tcW w:w="537" w:type="dxa"/>
            <w:shd w:val="clear" w:color="auto" w:fill="auto"/>
            <w:noWrap w:val="0"/>
            <w:vAlign w:val="center"/>
          </w:tcPr>
          <w:p w14:paraId="79A42D94">
            <w:pPr>
              <w:spacing w:line="280" w:lineRule="exact"/>
              <w:jc w:val="center"/>
              <w:rPr>
                <w:rFonts w:hint="eastAsia" w:ascii="Times New Roman" w:hAnsi="Times New Roman"/>
                <w:color w:val="auto"/>
                <w:szCs w:val="21"/>
                <w:highlight w:val="none"/>
                <w:lang w:val="en-US" w:eastAsia="zh-CN"/>
              </w:rPr>
            </w:pPr>
            <w:r>
              <w:rPr>
                <w:rFonts w:hint="eastAsia"/>
                <w:color w:val="auto"/>
                <w:szCs w:val="21"/>
                <w:highlight w:val="none"/>
                <w:lang w:val="en-US" w:eastAsia="zh-CN"/>
              </w:rPr>
              <w:t>80</w:t>
            </w:r>
          </w:p>
        </w:tc>
        <w:tc>
          <w:tcPr>
            <w:tcW w:w="537" w:type="dxa"/>
            <w:shd w:val="clear" w:color="auto" w:fill="auto"/>
            <w:noWrap w:val="0"/>
            <w:vAlign w:val="center"/>
          </w:tcPr>
          <w:p w14:paraId="1F1C4CB3">
            <w:pPr>
              <w:spacing w:line="280" w:lineRule="exact"/>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-13.33</w:t>
            </w:r>
          </w:p>
        </w:tc>
        <w:tc>
          <w:tcPr>
            <w:tcW w:w="537" w:type="dxa"/>
            <w:shd w:val="clear" w:color="auto" w:fill="auto"/>
            <w:noWrap w:val="0"/>
            <w:vAlign w:val="center"/>
          </w:tcPr>
          <w:p w14:paraId="0DA998A3">
            <w:pPr>
              <w:spacing w:line="280" w:lineRule="exact"/>
              <w:jc w:val="center"/>
              <w:rPr>
                <w:rFonts w:hint="default" w:ascii="Times New Roman" w:hAnsi="Times New Roman" w:eastAsia="宋体" w:cs="Times New Roman"/>
                <w:color w:val="auto"/>
                <w:szCs w:val="21"/>
                <w:highlight w:val="none"/>
                <w:lang w:val="en-US" w:eastAsia="zh-CN"/>
              </w:rPr>
            </w:pPr>
            <w:r>
              <w:rPr>
                <w:rFonts w:hint="eastAsia"/>
                <w:color w:val="auto"/>
                <w:highlight w:val="none"/>
              </w:rPr>
              <w:t>173.23</w:t>
            </w:r>
          </w:p>
        </w:tc>
        <w:tc>
          <w:tcPr>
            <w:tcW w:w="558" w:type="dxa"/>
            <w:shd w:val="clear" w:color="auto" w:fill="auto"/>
            <w:noWrap w:val="0"/>
            <w:vAlign w:val="center"/>
          </w:tcPr>
          <w:p w14:paraId="38AC2CB3">
            <w:pPr>
              <w:spacing w:line="280" w:lineRule="exact"/>
              <w:jc w:val="center"/>
              <w:rPr>
                <w:rFonts w:hint="eastAsia"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1.3</w:t>
            </w:r>
          </w:p>
        </w:tc>
        <w:tc>
          <w:tcPr>
            <w:tcW w:w="537" w:type="dxa"/>
            <w:shd w:val="clear" w:color="auto" w:fill="auto"/>
            <w:noWrap w:val="0"/>
            <w:vAlign w:val="center"/>
          </w:tcPr>
          <w:p w14:paraId="30D6D445">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50.1</w:t>
            </w:r>
          </w:p>
        </w:tc>
        <w:tc>
          <w:tcPr>
            <w:tcW w:w="537" w:type="dxa"/>
            <w:shd w:val="clear" w:color="auto" w:fill="auto"/>
            <w:noWrap w:val="0"/>
            <w:vAlign w:val="center"/>
          </w:tcPr>
          <w:p w14:paraId="5123C6C0">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163.1</w:t>
            </w:r>
          </w:p>
        </w:tc>
        <w:tc>
          <w:tcPr>
            <w:tcW w:w="542" w:type="dxa"/>
            <w:shd w:val="clear" w:color="auto" w:fill="auto"/>
            <w:noWrap w:val="0"/>
            <w:vAlign w:val="center"/>
          </w:tcPr>
          <w:p w14:paraId="5D2241B7">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58.9</w:t>
            </w:r>
          </w:p>
        </w:tc>
        <w:tc>
          <w:tcPr>
            <w:tcW w:w="558" w:type="dxa"/>
            <w:shd w:val="clear" w:color="auto" w:fill="auto"/>
            <w:noWrap w:val="0"/>
            <w:vAlign w:val="center"/>
          </w:tcPr>
          <w:p w14:paraId="38A0B816">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5.4</w:t>
            </w:r>
          </w:p>
        </w:tc>
        <w:tc>
          <w:tcPr>
            <w:tcW w:w="542" w:type="dxa"/>
            <w:shd w:val="clear" w:color="auto" w:fill="auto"/>
            <w:noWrap w:val="0"/>
            <w:vAlign w:val="center"/>
          </w:tcPr>
          <w:p w14:paraId="01F648ED">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 xml:space="preserve">54.8 </w:t>
            </w:r>
          </w:p>
        </w:tc>
        <w:tc>
          <w:tcPr>
            <w:tcW w:w="542" w:type="dxa"/>
            <w:shd w:val="clear" w:color="auto" w:fill="auto"/>
            <w:noWrap w:val="0"/>
            <w:vAlign w:val="center"/>
          </w:tcPr>
          <w:p w14:paraId="4C676FA0">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 xml:space="preserve">54.8 </w:t>
            </w:r>
          </w:p>
        </w:tc>
        <w:tc>
          <w:tcPr>
            <w:tcW w:w="542" w:type="dxa"/>
            <w:shd w:val="clear" w:color="auto" w:fill="auto"/>
            <w:noWrap w:val="0"/>
            <w:vAlign w:val="center"/>
          </w:tcPr>
          <w:p w14:paraId="25063BE5">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 xml:space="preserve">54.8 </w:t>
            </w:r>
          </w:p>
        </w:tc>
        <w:tc>
          <w:tcPr>
            <w:tcW w:w="555" w:type="dxa"/>
            <w:shd w:val="clear" w:color="auto" w:fill="auto"/>
            <w:noWrap w:val="0"/>
            <w:vAlign w:val="center"/>
          </w:tcPr>
          <w:p w14:paraId="6393BD4C">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 xml:space="preserve">57.6 </w:t>
            </w:r>
          </w:p>
        </w:tc>
        <w:tc>
          <w:tcPr>
            <w:tcW w:w="542" w:type="dxa"/>
            <w:vMerge w:val="continue"/>
            <w:shd w:val="clear" w:color="auto" w:fill="auto"/>
            <w:noWrap w:val="0"/>
            <w:vAlign w:val="center"/>
          </w:tcPr>
          <w:p w14:paraId="11B88BFD">
            <w:pPr>
              <w:spacing w:line="280" w:lineRule="exact"/>
              <w:jc w:val="center"/>
              <w:rPr>
                <w:rFonts w:hint="default" w:ascii="Times New Roman" w:hAnsi="Times New Roman" w:eastAsia="宋体"/>
                <w:color w:val="auto"/>
                <w:szCs w:val="21"/>
                <w:highlight w:val="none"/>
                <w:lang w:val="en-US" w:eastAsia="zh-CN"/>
              </w:rPr>
            </w:pPr>
          </w:p>
        </w:tc>
        <w:tc>
          <w:tcPr>
            <w:tcW w:w="897" w:type="dxa"/>
            <w:shd w:val="clear" w:color="auto" w:fill="auto"/>
            <w:noWrap w:val="0"/>
            <w:vAlign w:val="center"/>
          </w:tcPr>
          <w:p w14:paraId="28302F26">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24.3</w:t>
            </w:r>
          </w:p>
        </w:tc>
        <w:tc>
          <w:tcPr>
            <w:tcW w:w="746" w:type="dxa"/>
            <w:shd w:val="clear" w:color="auto" w:fill="auto"/>
            <w:noWrap w:val="0"/>
            <w:vAlign w:val="center"/>
          </w:tcPr>
          <w:p w14:paraId="03B8CCD0">
            <w:pPr>
              <w:spacing w:line="280" w:lineRule="exact"/>
              <w:jc w:val="center"/>
              <w:rPr>
                <w:rFonts w:hint="eastAsia" w:cs="Times New Roman"/>
                <w:color w:val="auto"/>
                <w:szCs w:val="21"/>
                <w:highlight w:val="none"/>
                <w:lang w:val="en-US" w:eastAsia="zh-CN"/>
              </w:rPr>
            </w:pPr>
            <w:r>
              <w:rPr>
                <w:rFonts w:hint="eastAsia" w:cs="Times New Roman"/>
                <w:color w:val="auto"/>
                <w:szCs w:val="21"/>
                <w:highlight w:val="none"/>
                <w:lang w:val="en-US" w:eastAsia="zh-CN"/>
              </w:rPr>
              <w:t>30.5</w:t>
            </w:r>
          </w:p>
        </w:tc>
        <w:tc>
          <w:tcPr>
            <w:tcW w:w="689" w:type="dxa"/>
            <w:shd w:val="clear" w:color="auto" w:fill="auto"/>
            <w:noWrap w:val="0"/>
            <w:vAlign w:val="center"/>
          </w:tcPr>
          <w:p w14:paraId="23118CF7">
            <w:pPr>
              <w:spacing w:line="280" w:lineRule="exact"/>
              <w:jc w:val="center"/>
              <w:rPr>
                <w:rFonts w:hint="eastAsia" w:cs="Times New Roman"/>
                <w:color w:val="auto"/>
                <w:szCs w:val="21"/>
                <w:highlight w:val="none"/>
                <w:lang w:val="en-US" w:eastAsia="zh-CN"/>
              </w:rPr>
            </w:pPr>
            <w:r>
              <w:rPr>
                <w:rFonts w:hint="eastAsia" w:cs="Times New Roman"/>
                <w:color w:val="auto"/>
                <w:szCs w:val="21"/>
                <w:highlight w:val="none"/>
                <w:lang w:val="en-US" w:eastAsia="zh-CN"/>
              </w:rPr>
              <w:t>30.5</w:t>
            </w:r>
          </w:p>
        </w:tc>
        <w:tc>
          <w:tcPr>
            <w:tcW w:w="838" w:type="dxa"/>
            <w:shd w:val="clear" w:color="auto" w:fill="auto"/>
            <w:noWrap w:val="0"/>
            <w:vAlign w:val="center"/>
          </w:tcPr>
          <w:p w14:paraId="21542F10">
            <w:pPr>
              <w:spacing w:line="280" w:lineRule="exact"/>
              <w:jc w:val="center"/>
              <w:rPr>
                <w:rFonts w:hint="eastAsia" w:cs="Times New Roman"/>
                <w:color w:val="auto"/>
                <w:szCs w:val="21"/>
                <w:highlight w:val="none"/>
                <w:lang w:val="en-US" w:eastAsia="zh-CN"/>
              </w:rPr>
            </w:pPr>
            <w:r>
              <w:rPr>
                <w:rFonts w:hint="eastAsia" w:cs="Times New Roman"/>
                <w:color w:val="auto"/>
                <w:szCs w:val="21"/>
                <w:highlight w:val="none"/>
                <w:lang w:val="en-US" w:eastAsia="zh-CN"/>
              </w:rPr>
              <w:t>30.5</w:t>
            </w:r>
          </w:p>
        </w:tc>
        <w:tc>
          <w:tcPr>
            <w:tcW w:w="750" w:type="dxa"/>
            <w:shd w:val="clear" w:color="auto" w:fill="auto"/>
            <w:noWrap w:val="0"/>
            <w:vAlign w:val="center"/>
          </w:tcPr>
          <w:p w14:paraId="417835DD">
            <w:pPr>
              <w:spacing w:line="280" w:lineRule="exact"/>
              <w:jc w:val="center"/>
              <w:rPr>
                <w:rFonts w:hint="eastAsia" w:cs="Times New Roman"/>
                <w:color w:val="auto"/>
                <w:szCs w:val="21"/>
                <w:highlight w:val="none"/>
                <w:lang w:val="en-US" w:eastAsia="zh-CN"/>
              </w:rPr>
            </w:pPr>
            <w:r>
              <w:rPr>
                <w:rFonts w:hint="eastAsia" w:cs="Times New Roman"/>
                <w:color w:val="auto"/>
                <w:szCs w:val="21"/>
                <w:highlight w:val="none"/>
                <w:lang w:val="en-US" w:eastAsia="zh-CN"/>
              </w:rPr>
              <w:t>33.3</w:t>
            </w:r>
          </w:p>
        </w:tc>
        <w:tc>
          <w:tcPr>
            <w:tcW w:w="1096" w:type="dxa"/>
            <w:shd w:val="clear" w:color="auto" w:fill="auto"/>
            <w:noWrap w:val="0"/>
            <w:vAlign w:val="center"/>
          </w:tcPr>
          <w:p w14:paraId="31FB87B8">
            <w:pPr>
              <w:spacing w:line="280" w:lineRule="exact"/>
              <w:jc w:val="center"/>
              <w:rPr>
                <w:rFonts w:hint="eastAsia"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1</w:t>
            </w:r>
          </w:p>
        </w:tc>
      </w:tr>
      <w:tr w14:paraId="79B957D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27" w:type="dxa"/>
            <w:shd w:val="clear" w:color="auto" w:fill="auto"/>
            <w:noWrap w:val="0"/>
            <w:vAlign w:val="center"/>
          </w:tcPr>
          <w:p w14:paraId="2BF4D94F">
            <w:pPr>
              <w:spacing w:line="280" w:lineRule="exact"/>
              <w:jc w:val="center"/>
              <w:rPr>
                <w:rFonts w:hint="default" w:ascii="Times New Roman" w:hAnsi="Times New Roman"/>
                <w:color w:val="auto"/>
                <w:szCs w:val="21"/>
                <w:highlight w:val="none"/>
                <w:lang w:val="en-US" w:eastAsia="zh-CN"/>
              </w:rPr>
            </w:pPr>
            <w:r>
              <w:rPr>
                <w:rFonts w:hint="eastAsia"/>
                <w:color w:val="auto"/>
                <w:szCs w:val="21"/>
                <w:highlight w:val="none"/>
                <w:lang w:val="en-US" w:eastAsia="zh-CN"/>
              </w:rPr>
              <w:t>66</w:t>
            </w:r>
          </w:p>
        </w:tc>
        <w:tc>
          <w:tcPr>
            <w:tcW w:w="1428" w:type="dxa"/>
            <w:shd w:val="clear" w:color="auto" w:fill="auto"/>
            <w:noWrap w:val="0"/>
            <w:vAlign w:val="center"/>
          </w:tcPr>
          <w:p w14:paraId="2FB9D68D">
            <w:pPr>
              <w:spacing w:line="280" w:lineRule="exact"/>
              <w:jc w:val="center"/>
              <w:rPr>
                <w:rFonts w:hint="eastAsia" w:cs="Times New Roman"/>
                <w:b w:val="0"/>
                <w:bCs w:val="0"/>
                <w:color w:val="auto"/>
                <w:kern w:val="0"/>
                <w:sz w:val="21"/>
                <w:szCs w:val="21"/>
                <w:highlight w:val="none"/>
                <w:vertAlign w:val="baseline"/>
                <w:lang w:val="en-US" w:eastAsia="zh-CN"/>
              </w:rPr>
            </w:pPr>
            <w:r>
              <w:rPr>
                <w:rFonts w:hint="eastAsia" w:cs="Times New Roman"/>
                <w:b w:val="0"/>
                <w:bCs w:val="0"/>
                <w:color w:val="auto"/>
                <w:kern w:val="0"/>
                <w:sz w:val="21"/>
                <w:szCs w:val="21"/>
                <w:highlight w:val="none"/>
                <w:vertAlign w:val="baseline"/>
                <w:lang w:val="en-US" w:eastAsia="zh-CN"/>
              </w:rPr>
              <w:t>真空泵系统12#</w:t>
            </w:r>
          </w:p>
        </w:tc>
        <w:tc>
          <w:tcPr>
            <w:tcW w:w="537" w:type="dxa"/>
            <w:shd w:val="clear" w:color="auto" w:fill="auto"/>
            <w:noWrap w:val="0"/>
            <w:vAlign w:val="center"/>
          </w:tcPr>
          <w:p w14:paraId="6D79E613">
            <w:pPr>
              <w:spacing w:line="280" w:lineRule="exact"/>
              <w:jc w:val="center"/>
              <w:rPr>
                <w:rFonts w:hint="default" w:ascii="Times New Roman" w:hAnsi="Times New Roman"/>
                <w:color w:val="auto"/>
                <w:szCs w:val="21"/>
                <w:highlight w:val="none"/>
                <w:lang w:val="en-US" w:eastAsia="zh-CN"/>
              </w:rPr>
            </w:pPr>
            <w:r>
              <w:rPr>
                <w:rFonts w:hint="eastAsia"/>
                <w:color w:val="auto"/>
                <w:szCs w:val="21"/>
                <w:highlight w:val="none"/>
                <w:lang w:val="en-US" w:eastAsia="zh-CN"/>
              </w:rPr>
              <w:t>80</w:t>
            </w:r>
          </w:p>
        </w:tc>
        <w:tc>
          <w:tcPr>
            <w:tcW w:w="537" w:type="dxa"/>
            <w:shd w:val="clear" w:color="auto" w:fill="auto"/>
            <w:noWrap w:val="0"/>
            <w:vAlign w:val="center"/>
          </w:tcPr>
          <w:p w14:paraId="48966651">
            <w:pPr>
              <w:spacing w:line="280" w:lineRule="exact"/>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Cs w:val="21"/>
                <w:highlight w:val="none"/>
                <w:lang w:val="en-US" w:eastAsia="zh-CN"/>
              </w:rPr>
              <w:t>-12.96</w:t>
            </w:r>
          </w:p>
        </w:tc>
        <w:tc>
          <w:tcPr>
            <w:tcW w:w="537" w:type="dxa"/>
            <w:shd w:val="clear" w:color="auto" w:fill="auto"/>
            <w:noWrap w:val="0"/>
            <w:vAlign w:val="center"/>
          </w:tcPr>
          <w:p w14:paraId="6B97B4BE">
            <w:pPr>
              <w:spacing w:line="280" w:lineRule="exact"/>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Cs w:val="21"/>
                <w:highlight w:val="none"/>
                <w:lang w:val="en-US" w:eastAsia="zh-CN"/>
              </w:rPr>
              <w:t>172.05</w:t>
            </w:r>
          </w:p>
        </w:tc>
        <w:tc>
          <w:tcPr>
            <w:tcW w:w="558" w:type="dxa"/>
            <w:shd w:val="clear" w:color="auto" w:fill="auto"/>
            <w:noWrap w:val="0"/>
            <w:vAlign w:val="center"/>
          </w:tcPr>
          <w:p w14:paraId="32248537">
            <w:pPr>
              <w:spacing w:line="280" w:lineRule="exact"/>
              <w:jc w:val="center"/>
              <w:rPr>
                <w:rFonts w:hint="eastAsia"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1.3</w:t>
            </w:r>
          </w:p>
        </w:tc>
        <w:tc>
          <w:tcPr>
            <w:tcW w:w="537" w:type="dxa"/>
            <w:shd w:val="clear" w:color="auto" w:fill="auto"/>
            <w:noWrap w:val="0"/>
            <w:vAlign w:val="center"/>
          </w:tcPr>
          <w:p w14:paraId="1FE73CDA">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49.2</w:t>
            </w:r>
          </w:p>
        </w:tc>
        <w:tc>
          <w:tcPr>
            <w:tcW w:w="537" w:type="dxa"/>
            <w:shd w:val="clear" w:color="auto" w:fill="auto"/>
            <w:noWrap w:val="0"/>
            <w:vAlign w:val="center"/>
          </w:tcPr>
          <w:p w14:paraId="0800E99F">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172.9</w:t>
            </w:r>
          </w:p>
        </w:tc>
        <w:tc>
          <w:tcPr>
            <w:tcW w:w="542" w:type="dxa"/>
            <w:shd w:val="clear" w:color="auto" w:fill="auto"/>
            <w:noWrap w:val="0"/>
            <w:vAlign w:val="center"/>
          </w:tcPr>
          <w:p w14:paraId="141B7151">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57.2</w:t>
            </w:r>
          </w:p>
        </w:tc>
        <w:tc>
          <w:tcPr>
            <w:tcW w:w="558" w:type="dxa"/>
            <w:shd w:val="clear" w:color="auto" w:fill="auto"/>
            <w:noWrap w:val="0"/>
            <w:vAlign w:val="center"/>
          </w:tcPr>
          <w:p w14:paraId="5DEB86BD">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7.3</w:t>
            </w:r>
          </w:p>
        </w:tc>
        <w:tc>
          <w:tcPr>
            <w:tcW w:w="542" w:type="dxa"/>
            <w:shd w:val="clear" w:color="auto" w:fill="auto"/>
            <w:noWrap w:val="0"/>
            <w:vAlign w:val="center"/>
          </w:tcPr>
          <w:p w14:paraId="0AAAB207">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 xml:space="preserve">54.8 </w:t>
            </w:r>
          </w:p>
        </w:tc>
        <w:tc>
          <w:tcPr>
            <w:tcW w:w="542" w:type="dxa"/>
            <w:shd w:val="clear" w:color="auto" w:fill="auto"/>
            <w:noWrap w:val="0"/>
            <w:vAlign w:val="center"/>
          </w:tcPr>
          <w:p w14:paraId="37144B64">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 xml:space="preserve">54.8 </w:t>
            </w:r>
          </w:p>
        </w:tc>
        <w:tc>
          <w:tcPr>
            <w:tcW w:w="542" w:type="dxa"/>
            <w:shd w:val="clear" w:color="auto" w:fill="auto"/>
            <w:noWrap w:val="0"/>
            <w:vAlign w:val="center"/>
          </w:tcPr>
          <w:p w14:paraId="34E84F05">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 xml:space="preserve">54.8 </w:t>
            </w:r>
          </w:p>
        </w:tc>
        <w:tc>
          <w:tcPr>
            <w:tcW w:w="555" w:type="dxa"/>
            <w:shd w:val="clear" w:color="auto" w:fill="auto"/>
            <w:noWrap w:val="0"/>
            <w:vAlign w:val="center"/>
          </w:tcPr>
          <w:p w14:paraId="69088D35">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 xml:space="preserve">56.5 </w:t>
            </w:r>
          </w:p>
        </w:tc>
        <w:tc>
          <w:tcPr>
            <w:tcW w:w="542" w:type="dxa"/>
            <w:vMerge w:val="continue"/>
            <w:shd w:val="clear" w:color="auto" w:fill="auto"/>
            <w:noWrap w:val="0"/>
            <w:vAlign w:val="center"/>
          </w:tcPr>
          <w:p w14:paraId="2194ADBC">
            <w:pPr>
              <w:spacing w:line="280" w:lineRule="exact"/>
              <w:jc w:val="center"/>
              <w:rPr>
                <w:rFonts w:hint="default" w:ascii="Times New Roman" w:hAnsi="Times New Roman" w:eastAsia="宋体"/>
                <w:color w:val="auto"/>
                <w:szCs w:val="21"/>
                <w:highlight w:val="none"/>
                <w:lang w:val="en-US" w:eastAsia="zh-CN"/>
              </w:rPr>
            </w:pPr>
          </w:p>
        </w:tc>
        <w:tc>
          <w:tcPr>
            <w:tcW w:w="897" w:type="dxa"/>
            <w:shd w:val="clear" w:color="auto" w:fill="auto"/>
            <w:noWrap w:val="0"/>
            <w:vAlign w:val="center"/>
          </w:tcPr>
          <w:p w14:paraId="3E6ED4E1">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24.3</w:t>
            </w:r>
          </w:p>
        </w:tc>
        <w:tc>
          <w:tcPr>
            <w:tcW w:w="746" w:type="dxa"/>
            <w:shd w:val="clear" w:color="auto" w:fill="auto"/>
            <w:noWrap w:val="0"/>
            <w:vAlign w:val="center"/>
          </w:tcPr>
          <w:p w14:paraId="6405B4B8">
            <w:pPr>
              <w:spacing w:line="280" w:lineRule="exact"/>
              <w:jc w:val="center"/>
              <w:rPr>
                <w:rFonts w:hint="eastAsia" w:cs="Times New Roman"/>
                <w:color w:val="auto"/>
                <w:szCs w:val="21"/>
                <w:highlight w:val="none"/>
                <w:lang w:val="en-US" w:eastAsia="zh-CN"/>
              </w:rPr>
            </w:pPr>
            <w:r>
              <w:rPr>
                <w:rFonts w:hint="eastAsia" w:cs="Times New Roman"/>
                <w:color w:val="auto"/>
                <w:szCs w:val="21"/>
                <w:highlight w:val="none"/>
                <w:lang w:val="en-US" w:eastAsia="zh-CN"/>
              </w:rPr>
              <w:t>30.5</w:t>
            </w:r>
          </w:p>
        </w:tc>
        <w:tc>
          <w:tcPr>
            <w:tcW w:w="689" w:type="dxa"/>
            <w:shd w:val="clear" w:color="auto" w:fill="auto"/>
            <w:noWrap w:val="0"/>
            <w:vAlign w:val="center"/>
          </w:tcPr>
          <w:p w14:paraId="079BEF6D">
            <w:pPr>
              <w:spacing w:line="280" w:lineRule="exact"/>
              <w:jc w:val="center"/>
              <w:rPr>
                <w:rFonts w:hint="eastAsia" w:cs="Times New Roman"/>
                <w:color w:val="auto"/>
                <w:szCs w:val="21"/>
                <w:highlight w:val="none"/>
                <w:lang w:val="en-US" w:eastAsia="zh-CN"/>
              </w:rPr>
            </w:pPr>
            <w:r>
              <w:rPr>
                <w:rFonts w:hint="eastAsia" w:cs="Times New Roman"/>
                <w:color w:val="auto"/>
                <w:szCs w:val="21"/>
                <w:highlight w:val="none"/>
                <w:lang w:val="en-US" w:eastAsia="zh-CN"/>
              </w:rPr>
              <w:t>30.5</w:t>
            </w:r>
          </w:p>
        </w:tc>
        <w:tc>
          <w:tcPr>
            <w:tcW w:w="838" w:type="dxa"/>
            <w:shd w:val="clear" w:color="auto" w:fill="auto"/>
            <w:noWrap w:val="0"/>
            <w:vAlign w:val="center"/>
          </w:tcPr>
          <w:p w14:paraId="1F29CE45">
            <w:pPr>
              <w:spacing w:line="280" w:lineRule="exact"/>
              <w:jc w:val="center"/>
              <w:rPr>
                <w:rFonts w:hint="eastAsia" w:cs="Times New Roman"/>
                <w:color w:val="auto"/>
                <w:szCs w:val="21"/>
                <w:highlight w:val="none"/>
                <w:lang w:val="en-US" w:eastAsia="zh-CN"/>
              </w:rPr>
            </w:pPr>
            <w:r>
              <w:rPr>
                <w:rFonts w:hint="eastAsia" w:cs="Times New Roman"/>
                <w:color w:val="auto"/>
                <w:szCs w:val="21"/>
                <w:highlight w:val="none"/>
                <w:lang w:val="en-US" w:eastAsia="zh-CN"/>
              </w:rPr>
              <w:t>30.5</w:t>
            </w:r>
          </w:p>
        </w:tc>
        <w:tc>
          <w:tcPr>
            <w:tcW w:w="750" w:type="dxa"/>
            <w:shd w:val="clear" w:color="auto" w:fill="auto"/>
            <w:noWrap w:val="0"/>
            <w:vAlign w:val="center"/>
          </w:tcPr>
          <w:p w14:paraId="1F113092">
            <w:pPr>
              <w:spacing w:line="280" w:lineRule="exact"/>
              <w:jc w:val="center"/>
              <w:rPr>
                <w:rFonts w:hint="eastAsia" w:cs="Times New Roman"/>
                <w:color w:val="auto"/>
                <w:szCs w:val="21"/>
                <w:highlight w:val="none"/>
                <w:lang w:val="en-US" w:eastAsia="zh-CN"/>
              </w:rPr>
            </w:pPr>
            <w:r>
              <w:rPr>
                <w:rFonts w:hint="eastAsia" w:cs="Times New Roman"/>
                <w:color w:val="auto"/>
                <w:szCs w:val="21"/>
                <w:highlight w:val="none"/>
                <w:lang w:val="en-US" w:eastAsia="zh-CN"/>
              </w:rPr>
              <w:t>32.2</w:t>
            </w:r>
          </w:p>
        </w:tc>
        <w:tc>
          <w:tcPr>
            <w:tcW w:w="1096" w:type="dxa"/>
            <w:shd w:val="clear" w:color="auto" w:fill="auto"/>
            <w:noWrap w:val="0"/>
            <w:vAlign w:val="center"/>
          </w:tcPr>
          <w:p w14:paraId="56F34085">
            <w:pPr>
              <w:spacing w:line="280" w:lineRule="exact"/>
              <w:jc w:val="center"/>
              <w:rPr>
                <w:rFonts w:hint="eastAsia"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1</w:t>
            </w:r>
          </w:p>
        </w:tc>
      </w:tr>
      <w:tr w14:paraId="055AD5D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27" w:type="dxa"/>
            <w:shd w:val="clear" w:color="auto" w:fill="auto"/>
            <w:noWrap w:val="0"/>
            <w:vAlign w:val="center"/>
          </w:tcPr>
          <w:p w14:paraId="305CE41B">
            <w:pPr>
              <w:spacing w:line="280" w:lineRule="exact"/>
              <w:jc w:val="center"/>
              <w:rPr>
                <w:rFonts w:hint="default" w:ascii="Times New Roman" w:hAnsi="Times New Roman"/>
                <w:color w:val="auto"/>
                <w:szCs w:val="21"/>
                <w:highlight w:val="none"/>
                <w:lang w:val="en-US" w:eastAsia="zh-CN"/>
              </w:rPr>
            </w:pPr>
            <w:r>
              <w:rPr>
                <w:rFonts w:hint="eastAsia"/>
                <w:color w:val="auto"/>
                <w:szCs w:val="21"/>
                <w:highlight w:val="none"/>
                <w:lang w:val="en-US" w:eastAsia="zh-CN"/>
              </w:rPr>
              <w:t>67</w:t>
            </w:r>
          </w:p>
        </w:tc>
        <w:tc>
          <w:tcPr>
            <w:tcW w:w="1428" w:type="dxa"/>
            <w:shd w:val="clear" w:color="auto" w:fill="auto"/>
            <w:noWrap w:val="0"/>
            <w:vAlign w:val="center"/>
          </w:tcPr>
          <w:p w14:paraId="78640CDC">
            <w:pPr>
              <w:spacing w:line="280" w:lineRule="exact"/>
              <w:jc w:val="center"/>
              <w:rPr>
                <w:rFonts w:hint="eastAsia" w:cs="Times New Roman"/>
                <w:b w:val="0"/>
                <w:bCs w:val="0"/>
                <w:color w:val="auto"/>
                <w:kern w:val="0"/>
                <w:sz w:val="21"/>
                <w:szCs w:val="21"/>
                <w:highlight w:val="none"/>
                <w:vertAlign w:val="baseline"/>
                <w:lang w:val="en-US" w:eastAsia="zh-CN"/>
              </w:rPr>
            </w:pPr>
            <w:r>
              <w:rPr>
                <w:rFonts w:hint="default" w:ascii="Times New Roman" w:hAnsi="Times New Roman" w:cs="Times New Roman"/>
                <w:color w:val="auto"/>
                <w:szCs w:val="21"/>
                <w:highlight w:val="none"/>
                <w:lang w:val="en-US" w:eastAsia="zh-CN"/>
              </w:rPr>
              <w:t>全自动高真空烘烤线</w:t>
            </w:r>
          </w:p>
        </w:tc>
        <w:tc>
          <w:tcPr>
            <w:tcW w:w="537" w:type="dxa"/>
            <w:shd w:val="clear" w:color="auto" w:fill="auto"/>
            <w:noWrap w:val="0"/>
            <w:vAlign w:val="center"/>
          </w:tcPr>
          <w:p w14:paraId="45D39895">
            <w:pPr>
              <w:spacing w:line="280" w:lineRule="exact"/>
              <w:jc w:val="center"/>
              <w:rPr>
                <w:rFonts w:hint="default" w:ascii="Times New Roman" w:hAnsi="Times New Roman"/>
                <w:color w:val="auto"/>
                <w:szCs w:val="21"/>
                <w:highlight w:val="none"/>
                <w:lang w:val="en-US" w:eastAsia="zh-CN"/>
              </w:rPr>
            </w:pPr>
            <w:r>
              <w:rPr>
                <w:rFonts w:hint="eastAsia"/>
                <w:color w:val="auto"/>
                <w:szCs w:val="21"/>
                <w:highlight w:val="none"/>
                <w:lang w:val="en-US" w:eastAsia="zh-CN"/>
              </w:rPr>
              <w:t>80</w:t>
            </w:r>
          </w:p>
        </w:tc>
        <w:tc>
          <w:tcPr>
            <w:tcW w:w="537" w:type="dxa"/>
            <w:shd w:val="clear" w:color="auto" w:fill="auto"/>
            <w:noWrap w:val="0"/>
            <w:vAlign w:val="center"/>
          </w:tcPr>
          <w:p w14:paraId="11EFC8C8">
            <w:pPr>
              <w:spacing w:line="280" w:lineRule="exact"/>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-3.47</w:t>
            </w:r>
          </w:p>
        </w:tc>
        <w:tc>
          <w:tcPr>
            <w:tcW w:w="537" w:type="dxa"/>
            <w:shd w:val="clear" w:color="auto" w:fill="auto"/>
            <w:noWrap w:val="0"/>
            <w:vAlign w:val="center"/>
          </w:tcPr>
          <w:p w14:paraId="3CCC7FB5">
            <w:pPr>
              <w:spacing w:line="280" w:lineRule="exact"/>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143.05</w:t>
            </w:r>
          </w:p>
        </w:tc>
        <w:tc>
          <w:tcPr>
            <w:tcW w:w="558" w:type="dxa"/>
            <w:shd w:val="clear" w:color="auto" w:fill="auto"/>
            <w:noWrap w:val="0"/>
            <w:vAlign w:val="center"/>
          </w:tcPr>
          <w:p w14:paraId="363466CD">
            <w:pPr>
              <w:spacing w:line="280" w:lineRule="exact"/>
              <w:jc w:val="center"/>
              <w:rPr>
                <w:rFonts w:hint="eastAsia"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1.2</w:t>
            </w:r>
          </w:p>
        </w:tc>
        <w:tc>
          <w:tcPr>
            <w:tcW w:w="537" w:type="dxa"/>
            <w:shd w:val="clear" w:color="auto" w:fill="auto"/>
            <w:noWrap w:val="0"/>
            <w:vAlign w:val="center"/>
          </w:tcPr>
          <w:p w14:paraId="19446BB7">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47.7</w:t>
            </w:r>
          </w:p>
        </w:tc>
        <w:tc>
          <w:tcPr>
            <w:tcW w:w="537" w:type="dxa"/>
            <w:shd w:val="clear" w:color="auto" w:fill="auto"/>
            <w:noWrap w:val="0"/>
            <w:vAlign w:val="center"/>
          </w:tcPr>
          <w:p w14:paraId="11E6253D">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140.9</w:t>
            </w:r>
          </w:p>
        </w:tc>
        <w:tc>
          <w:tcPr>
            <w:tcW w:w="542" w:type="dxa"/>
            <w:shd w:val="clear" w:color="auto" w:fill="auto"/>
            <w:noWrap w:val="0"/>
            <w:vAlign w:val="center"/>
          </w:tcPr>
          <w:p w14:paraId="3B505215">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98.4</w:t>
            </w:r>
          </w:p>
        </w:tc>
        <w:tc>
          <w:tcPr>
            <w:tcW w:w="558" w:type="dxa"/>
            <w:shd w:val="clear" w:color="auto" w:fill="auto"/>
            <w:noWrap w:val="0"/>
            <w:vAlign w:val="center"/>
          </w:tcPr>
          <w:p w14:paraId="1ACAC981">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40.1</w:t>
            </w:r>
          </w:p>
        </w:tc>
        <w:tc>
          <w:tcPr>
            <w:tcW w:w="542" w:type="dxa"/>
            <w:shd w:val="clear" w:color="auto" w:fill="auto"/>
            <w:noWrap w:val="0"/>
            <w:vAlign w:val="center"/>
          </w:tcPr>
          <w:p w14:paraId="2991E855">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 xml:space="preserve">54.8 </w:t>
            </w:r>
          </w:p>
        </w:tc>
        <w:tc>
          <w:tcPr>
            <w:tcW w:w="542" w:type="dxa"/>
            <w:shd w:val="clear" w:color="auto" w:fill="auto"/>
            <w:noWrap w:val="0"/>
            <w:vAlign w:val="center"/>
          </w:tcPr>
          <w:p w14:paraId="4648C0B5">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 xml:space="preserve">54.8 </w:t>
            </w:r>
          </w:p>
        </w:tc>
        <w:tc>
          <w:tcPr>
            <w:tcW w:w="542" w:type="dxa"/>
            <w:shd w:val="clear" w:color="auto" w:fill="auto"/>
            <w:noWrap w:val="0"/>
            <w:vAlign w:val="center"/>
          </w:tcPr>
          <w:p w14:paraId="21E01773">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 xml:space="preserve">54.8 </w:t>
            </w:r>
          </w:p>
        </w:tc>
        <w:tc>
          <w:tcPr>
            <w:tcW w:w="555" w:type="dxa"/>
            <w:shd w:val="clear" w:color="auto" w:fill="auto"/>
            <w:noWrap w:val="0"/>
            <w:vAlign w:val="center"/>
          </w:tcPr>
          <w:p w14:paraId="0208FF4B">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 xml:space="preserve">54.8 </w:t>
            </w:r>
          </w:p>
        </w:tc>
        <w:tc>
          <w:tcPr>
            <w:tcW w:w="542" w:type="dxa"/>
            <w:vMerge w:val="continue"/>
            <w:shd w:val="clear" w:color="auto" w:fill="auto"/>
            <w:noWrap w:val="0"/>
            <w:vAlign w:val="center"/>
          </w:tcPr>
          <w:p w14:paraId="0EF2520A">
            <w:pPr>
              <w:spacing w:line="280" w:lineRule="exact"/>
              <w:jc w:val="center"/>
              <w:rPr>
                <w:rFonts w:hint="default" w:ascii="Times New Roman" w:hAnsi="Times New Roman" w:eastAsia="宋体"/>
                <w:color w:val="auto"/>
                <w:szCs w:val="21"/>
                <w:highlight w:val="none"/>
                <w:lang w:val="en-US" w:eastAsia="zh-CN"/>
              </w:rPr>
            </w:pPr>
          </w:p>
        </w:tc>
        <w:tc>
          <w:tcPr>
            <w:tcW w:w="897" w:type="dxa"/>
            <w:shd w:val="clear" w:color="auto" w:fill="auto"/>
            <w:noWrap w:val="0"/>
            <w:vAlign w:val="center"/>
          </w:tcPr>
          <w:p w14:paraId="384B1824">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24.3</w:t>
            </w:r>
          </w:p>
        </w:tc>
        <w:tc>
          <w:tcPr>
            <w:tcW w:w="746" w:type="dxa"/>
            <w:shd w:val="clear" w:color="auto" w:fill="auto"/>
            <w:noWrap w:val="0"/>
            <w:vAlign w:val="center"/>
          </w:tcPr>
          <w:p w14:paraId="16BCA4A0">
            <w:pPr>
              <w:spacing w:line="280" w:lineRule="exact"/>
              <w:jc w:val="center"/>
              <w:rPr>
                <w:rFonts w:hint="eastAsia" w:cs="Times New Roman"/>
                <w:color w:val="auto"/>
                <w:szCs w:val="21"/>
                <w:highlight w:val="none"/>
                <w:lang w:val="en-US" w:eastAsia="zh-CN"/>
              </w:rPr>
            </w:pPr>
            <w:r>
              <w:rPr>
                <w:rFonts w:hint="eastAsia" w:cs="Times New Roman"/>
                <w:color w:val="auto"/>
                <w:szCs w:val="21"/>
                <w:highlight w:val="none"/>
                <w:lang w:val="en-US" w:eastAsia="zh-CN"/>
              </w:rPr>
              <w:t>30.5</w:t>
            </w:r>
          </w:p>
        </w:tc>
        <w:tc>
          <w:tcPr>
            <w:tcW w:w="689" w:type="dxa"/>
            <w:shd w:val="clear" w:color="auto" w:fill="auto"/>
            <w:noWrap w:val="0"/>
            <w:vAlign w:val="center"/>
          </w:tcPr>
          <w:p w14:paraId="0AF5C58C">
            <w:pPr>
              <w:spacing w:line="280" w:lineRule="exact"/>
              <w:jc w:val="center"/>
              <w:rPr>
                <w:rFonts w:hint="eastAsia" w:cs="Times New Roman"/>
                <w:color w:val="auto"/>
                <w:szCs w:val="21"/>
                <w:highlight w:val="none"/>
                <w:lang w:val="en-US" w:eastAsia="zh-CN"/>
              </w:rPr>
            </w:pPr>
            <w:r>
              <w:rPr>
                <w:rFonts w:hint="eastAsia" w:cs="Times New Roman"/>
                <w:color w:val="auto"/>
                <w:szCs w:val="21"/>
                <w:highlight w:val="none"/>
                <w:lang w:val="en-US" w:eastAsia="zh-CN"/>
              </w:rPr>
              <w:t>30.5</w:t>
            </w:r>
          </w:p>
        </w:tc>
        <w:tc>
          <w:tcPr>
            <w:tcW w:w="838" w:type="dxa"/>
            <w:shd w:val="clear" w:color="auto" w:fill="auto"/>
            <w:noWrap w:val="0"/>
            <w:vAlign w:val="center"/>
          </w:tcPr>
          <w:p w14:paraId="7570C80C">
            <w:pPr>
              <w:spacing w:line="280" w:lineRule="exact"/>
              <w:jc w:val="center"/>
              <w:rPr>
                <w:rFonts w:hint="eastAsia" w:cs="Times New Roman"/>
                <w:color w:val="auto"/>
                <w:szCs w:val="21"/>
                <w:highlight w:val="none"/>
                <w:lang w:val="en-US" w:eastAsia="zh-CN"/>
              </w:rPr>
            </w:pPr>
            <w:r>
              <w:rPr>
                <w:rFonts w:hint="eastAsia" w:cs="Times New Roman"/>
                <w:color w:val="auto"/>
                <w:szCs w:val="21"/>
                <w:highlight w:val="none"/>
                <w:lang w:val="en-US" w:eastAsia="zh-CN"/>
              </w:rPr>
              <w:t>30.5</w:t>
            </w:r>
          </w:p>
        </w:tc>
        <w:tc>
          <w:tcPr>
            <w:tcW w:w="750" w:type="dxa"/>
            <w:shd w:val="clear" w:color="auto" w:fill="auto"/>
            <w:noWrap w:val="0"/>
            <w:vAlign w:val="center"/>
          </w:tcPr>
          <w:p w14:paraId="5A9A8F09">
            <w:pPr>
              <w:spacing w:line="280" w:lineRule="exact"/>
              <w:jc w:val="center"/>
              <w:rPr>
                <w:rFonts w:hint="eastAsia" w:cs="Times New Roman"/>
                <w:color w:val="auto"/>
                <w:szCs w:val="21"/>
                <w:highlight w:val="none"/>
                <w:lang w:val="en-US" w:eastAsia="zh-CN"/>
              </w:rPr>
            </w:pPr>
            <w:r>
              <w:rPr>
                <w:rFonts w:hint="eastAsia" w:cs="Times New Roman"/>
                <w:color w:val="auto"/>
                <w:szCs w:val="21"/>
                <w:highlight w:val="none"/>
                <w:lang w:val="en-US" w:eastAsia="zh-CN"/>
              </w:rPr>
              <w:t>30.5</w:t>
            </w:r>
          </w:p>
        </w:tc>
        <w:tc>
          <w:tcPr>
            <w:tcW w:w="1096" w:type="dxa"/>
            <w:shd w:val="clear" w:color="auto" w:fill="auto"/>
            <w:noWrap w:val="0"/>
            <w:vAlign w:val="center"/>
          </w:tcPr>
          <w:p w14:paraId="193A7ACA">
            <w:pPr>
              <w:spacing w:line="280" w:lineRule="exact"/>
              <w:jc w:val="center"/>
              <w:rPr>
                <w:rFonts w:hint="eastAsia"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1</w:t>
            </w:r>
          </w:p>
        </w:tc>
      </w:tr>
      <w:tr w14:paraId="3BF5FF1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27" w:type="dxa"/>
            <w:shd w:val="clear" w:color="auto" w:fill="auto"/>
            <w:noWrap w:val="0"/>
            <w:vAlign w:val="center"/>
          </w:tcPr>
          <w:p w14:paraId="47944679">
            <w:pPr>
              <w:spacing w:line="280" w:lineRule="exact"/>
              <w:jc w:val="center"/>
              <w:rPr>
                <w:rFonts w:hint="default"/>
                <w:color w:val="auto"/>
                <w:szCs w:val="21"/>
                <w:highlight w:val="none"/>
                <w:lang w:val="en-US" w:eastAsia="zh-CN"/>
              </w:rPr>
            </w:pPr>
            <w:r>
              <w:rPr>
                <w:rFonts w:hint="eastAsia"/>
                <w:color w:val="auto"/>
                <w:szCs w:val="21"/>
                <w:highlight w:val="none"/>
                <w:lang w:val="en-US" w:eastAsia="zh-CN"/>
              </w:rPr>
              <w:t>68</w:t>
            </w:r>
          </w:p>
        </w:tc>
        <w:tc>
          <w:tcPr>
            <w:tcW w:w="1428" w:type="dxa"/>
            <w:shd w:val="clear" w:color="auto" w:fill="auto"/>
            <w:noWrap w:val="0"/>
            <w:vAlign w:val="center"/>
          </w:tcPr>
          <w:p w14:paraId="06505254">
            <w:pPr>
              <w:spacing w:line="280" w:lineRule="exact"/>
              <w:jc w:val="center"/>
              <w:rPr>
                <w:rFonts w:hint="default" w:ascii="Times New Roman" w:hAnsi="Times New Roman"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制氮机</w:t>
            </w:r>
            <w:r>
              <w:rPr>
                <w:rFonts w:hint="eastAsia" w:cs="Times New Roman"/>
                <w:color w:val="auto"/>
                <w:szCs w:val="21"/>
                <w:highlight w:val="none"/>
                <w:lang w:val="en-US" w:eastAsia="zh-CN"/>
              </w:rPr>
              <w:t>1#</w:t>
            </w:r>
          </w:p>
        </w:tc>
        <w:tc>
          <w:tcPr>
            <w:tcW w:w="537" w:type="dxa"/>
            <w:shd w:val="clear" w:color="auto" w:fill="auto"/>
            <w:noWrap w:val="0"/>
            <w:vAlign w:val="center"/>
          </w:tcPr>
          <w:p w14:paraId="3765E870">
            <w:pPr>
              <w:spacing w:line="280" w:lineRule="exact"/>
              <w:jc w:val="center"/>
              <w:rPr>
                <w:rFonts w:hint="default" w:ascii="Times New Roman" w:hAnsi="Times New Roman"/>
                <w:color w:val="auto"/>
                <w:szCs w:val="21"/>
                <w:highlight w:val="none"/>
                <w:lang w:val="en-US" w:eastAsia="zh-CN"/>
              </w:rPr>
            </w:pPr>
            <w:r>
              <w:rPr>
                <w:rFonts w:hint="eastAsia"/>
                <w:color w:val="auto"/>
                <w:szCs w:val="21"/>
                <w:highlight w:val="none"/>
                <w:lang w:val="en-US" w:eastAsia="zh-CN"/>
              </w:rPr>
              <w:t>95</w:t>
            </w:r>
          </w:p>
        </w:tc>
        <w:tc>
          <w:tcPr>
            <w:tcW w:w="537" w:type="dxa"/>
            <w:shd w:val="clear" w:color="auto" w:fill="auto"/>
            <w:noWrap w:val="0"/>
            <w:vAlign w:val="center"/>
          </w:tcPr>
          <w:p w14:paraId="5507426A">
            <w:pPr>
              <w:spacing w:line="280" w:lineRule="exact"/>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-78.19</w:t>
            </w:r>
          </w:p>
        </w:tc>
        <w:tc>
          <w:tcPr>
            <w:tcW w:w="537" w:type="dxa"/>
            <w:shd w:val="clear" w:color="auto" w:fill="auto"/>
            <w:noWrap w:val="0"/>
            <w:vAlign w:val="center"/>
          </w:tcPr>
          <w:p w14:paraId="326E6C9E">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147.11</w:t>
            </w:r>
          </w:p>
        </w:tc>
        <w:tc>
          <w:tcPr>
            <w:tcW w:w="558" w:type="dxa"/>
            <w:shd w:val="clear" w:color="auto" w:fill="auto"/>
            <w:noWrap w:val="0"/>
            <w:vAlign w:val="center"/>
          </w:tcPr>
          <w:p w14:paraId="6D001B9A">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1.5</w:t>
            </w:r>
          </w:p>
        </w:tc>
        <w:tc>
          <w:tcPr>
            <w:tcW w:w="537" w:type="dxa"/>
            <w:shd w:val="clear" w:color="auto" w:fill="auto"/>
            <w:noWrap w:val="0"/>
            <w:vAlign w:val="center"/>
          </w:tcPr>
          <w:p w14:paraId="1E5EF150">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119.9</w:t>
            </w:r>
          </w:p>
        </w:tc>
        <w:tc>
          <w:tcPr>
            <w:tcW w:w="537" w:type="dxa"/>
            <w:shd w:val="clear" w:color="auto" w:fill="auto"/>
            <w:noWrap w:val="0"/>
            <w:vAlign w:val="center"/>
          </w:tcPr>
          <w:p w14:paraId="3F0857F6">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66.1</w:t>
            </w:r>
          </w:p>
        </w:tc>
        <w:tc>
          <w:tcPr>
            <w:tcW w:w="542" w:type="dxa"/>
            <w:shd w:val="clear" w:color="auto" w:fill="auto"/>
            <w:noWrap w:val="0"/>
            <w:vAlign w:val="center"/>
          </w:tcPr>
          <w:p w14:paraId="4A2262A2">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33.2</w:t>
            </w:r>
          </w:p>
        </w:tc>
        <w:tc>
          <w:tcPr>
            <w:tcW w:w="558" w:type="dxa"/>
            <w:shd w:val="clear" w:color="auto" w:fill="auto"/>
            <w:noWrap w:val="0"/>
            <w:vAlign w:val="center"/>
          </w:tcPr>
          <w:p w14:paraId="3DEC3AA4">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13.4</w:t>
            </w:r>
          </w:p>
        </w:tc>
        <w:tc>
          <w:tcPr>
            <w:tcW w:w="542" w:type="dxa"/>
            <w:shd w:val="clear" w:color="auto" w:fill="auto"/>
            <w:noWrap w:val="0"/>
            <w:vAlign w:val="center"/>
          </w:tcPr>
          <w:p w14:paraId="19A31D16">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 xml:space="preserve">69.8 </w:t>
            </w:r>
          </w:p>
        </w:tc>
        <w:tc>
          <w:tcPr>
            <w:tcW w:w="542" w:type="dxa"/>
            <w:shd w:val="clear" w:color="auto" w:fill="auto"/>
            <w:noWrap w:val="0"/>
            <w:vAlign w:val="center"/>
          </w:tcPr>
          <w:p w14:paraId="5C7C3B4B">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 xml:space="preserve">69.8 </w:t>
            </w:r>
          </w:p>
        </w:tc>
        <w:tc>
          <w:tcPr>
            <w:tcW w:w="542" w:type="dxa"/>
            <w:shd w:val="clear" w:color="auto" w:fill="auto"/>
            <w:noWrap w:val="0"/>
            <w:vAlign w:val="center"/>
          </w:tcPr>
          <w:p w14:paraId="2674E8C0">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 xml:space="preserve">69.9 </w:t>
            </w:r>
          </w:p>
        </w:tc>
        <w:tc>
          <w:tcPr>
            <w:tcW w:w="555" w:type="dxa"/>
            <w:shd w:val="clear" w:color="auto" w:fill="auto"/>
            <w:noWrap w:val="0"/>
            <w:vAlign w:val="center"/>
          </w:tcPr>
          <w:p w14:paraId="0CE3E944">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 xml:space="preserve">70.4 </w:t>
            </w:r>
          </w:p>
        </w:tc>
        <w:tc>
          <w:tcPr>
            <w:tcW w:w="542" w:type="dxa"/>
            <w:vMerge w:val="continue"/>
            <w:shd w:val="clear" w:color="auto" w:fill="auto"/>
            <w:noWrap w:val="0"/>
            <w:vAlign w:val="center"/>
          </w:tcPr>
          <w:p w14:paraId="520B5CC4">
            <w:pPr>
              <w:spacing w:line="280" w:lineRule="exact"/>
              <w:jc w:val="center"/>
              <w:rPr>
                <w:rFonts w:hint="default" w:ascii="Times New Roman" w:hAnsi="Times New Roman" w:eastAsia="宋体"/>
                <w:color w:val="auto"/>
                <w:szCs w:val="21"/>
                <w:highlight w:val="none"/>
                <w:lang w:val="en-US" w:eastAsia="zh-CN"/>
              </w:rPr>
            </w:pPr>
          </w:p>
        </w:tc>
        <w:tc>
          <w:tcPr>
            <w:tcW w:w="897" w:type="dxa"/>
            <w:shd w:val="clear" w:color="auto" w:fill="auto"/>
            <w:noWrap w:val="0"/>
            <w:vAlign w:val="center"/>
          </w:tcPr>
          <w:p w14:paraId="6645B1B9">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24.3</w:t>
            </w:r>
          </w:p>
        </w:tc>
        <w:tc>
          <w:tcPr>
            <w:tcW w:w="746" w:type="dxa"/>
            <w:shd w:val="clear" w:color="auto" w:fill="auto"/>
            <w:noWrap w:val="0"/>
            <w:vAlign w:val="center"/>
          </w:tcPr>
          <w:p w14:paraId="109D8BA7">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45.5</w:t>
            </w:r>
          </w:p>
        </w:tc>
        <w:tc>
          <w:tcPr>
            <w:tcW w:w="689" w:type="dxa"/>
            <w:shd w:val="clear" w:color="auto" w:fill="auto"/>
            <w:noWrap w:val="0"/>
            <w:vAlign w:val="center"/>
          </w:tcPr>
          <w:p w14:paraId="526A4A1E">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45.5</w:t>
            </w:r>
          </w:p>
        </w:tc>
        <w:tc>
          <w:tcPr>
            <w:tcW w:w="838" w:type="dxa"/>
            <w:shd w:val="clear" w:color="auto" w:fill="auto"/>
            <w:noWrap w:val="0"/>
            <w:vAlign w:val="center"/>
          </w:tcPr>
          <w:p w14:paraId="483900BF">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45.6</w:t>
            </w:r>
          </w:p>
        </w:tc>
        <w:tc>
          <w:tcPr>
            <w:tcW w:w="750" w:type="dxa"/>
            <w:shd w:val="clear" w:color="auto" w:fill="auto"/>
            <w:noWrap w:val="0"/>
            <w:vAlign w:val="center"/>
          </w:tcPr>
          <w:p w14:paraId="1F9BA424">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46.1</w:t>
            </w:r>
          </w:p>
        </w:tc>
        <w:tc>
          <w:tcPr>
            <w:tcW w:w="1096" w:type="dxa"/>
            <w:shd w:val="clear" w:color="auto" w:fill="auto"/>
            <w:noWrap w:val="0"/>
            <w:vAlign w:val="center"/>
          </w:tcPr>
          <w:p w14:paraId="55017BBA">
            <w:pPr>
              <w:spacing w:line="280" w:lineRule="exact"/>
              <w:jc w:val="center"/>
              <w:rPr>
                <w:rFonts w:hint="default" w:cs="Times New Roman"/>
                <w:color w:val="auto"/>
                <w:szCs w:val="21"/>
                <w:highlight w:val="none"/>
                <w:lang w:val="en-US" w:eastAsia="zh-CN"/>
              </w:rPr>
            </w:pPr>
            <w:r>
              <w:rPr>
                <w:rFonts w:hint="eastAsia" w:cs="Times New Roman"/>
                <w:color w:val="auto"/>
                <w:szCs w:val="21"/>
                <w:highlight w:val="none"/>
                <w:lang w:val="en-US" w:eastAsia="zh-CN"/>
              </w:rPr>
              <w:t>1</w:t>
            </w:r>
          </w:p>
        </w:tc>
      </w:tr>
      <w:tr w14:paraId="1D4E7C4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27" w:type="dxa"/>
            <w:shd w:val="clear" w:color="auto" w:fill="auto"/>
            <w:noWrap w:val="0"/>
            <w:vAlign w:val="center"/>
          </w:tcPr>
          <w:p w14:paraId="34C512BB">
            <w:pPr>
              <w:spacing w:line="280" w:lineRule="exact"/>
              <w:jc w:val="center"/>
              <w:rPr>
                <w:rFonts w:hint="default"/>
                <w:color w:val="auto"/>
                <w:szCs w:val="21"/>
                <w:highlight w:val="none"/>
                <w:lang w:val="en-US" w:eastAsia="zh-CN"/>
              </w:rPr>
            </w:pPr>
            <w:r>
              <w:rPr>
                <w:rFonts w:hint="eastAsia"/>
                <w:color w:val="auto"/>
                <w:szCs w:val="21"/>
                <w:highlight w:val="none"/>
                <w:lang w:val="en-US" w:eastAsia="zh-CN"/>
              </w:rPr>
              <w:t>69</w:t>
            </w:r>
          </w:p>
        </w:tc>
        <w:tc>
          <w:tcPr>
            <w:tcW w:w="1428" w:type="dxa"/>
            <w:shd w:val="clear" w:color="auto" w:fill="auto"/>
            <w:noWrap w:val="0"/>
            <w:vAlign w:val="center"/>
          </w:tcPr>
          <w:p w14:paraId="642C9C1E">
            <w:pPr>
              <w:spacing w:line="280" w:lineRule="exact"/>
              <w:jc w:val="center"/>
              <w:rPr>
                <w:rFonts w:hint="default" w:ascii="Times New Roman" w:hAnsi="Times New Roman"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制氮机</w:t>
            </w:r>
            <w:r>
              <w:rPr>
                <w:rFonts w:hint="eastAsia" w:cs="Times New Roman"/>
                <w:color w:val="auto"/>
                <w:szCs w:val="21"/>
                <w:highlight w:val="none"/>
                <w:lang w:val="en-US" w:eastAsia="zh-CN"/>
              </w:rPr>
              <w:t>2#</w:t>
            </w:r>
          </w:p>
        </w:tc>
        <w:tc>
          <w:tcPr>
            <w:tcW w:w="537" w:type="dxa"/>
            <w:shd w:val="clear" w:color="auto" w:fill="auto"/>
            <w:noWrap w:val="0"/>
            <w:vAlign w:val="center"/>
          </w:tcPr>
          <w:p w14:paraId="62093685">
            <w:pPr>
              <w:spacing w:line="280" w:lineRule="exact"/>
              <w:jc w:val="center"/>
              <w:rPr>
                <w:rFonts w:hint="default"/>
                <w:color w:val="auto"/>
                <w:szCs w:val="21"/>
                <w:highlight w:val="none"/>
                <w:lang w:val="en-US" w:eastAsia="zh-CN"/>
              </w:rPr>
            </w:pPr>
            <w:r>
              <w:rPr>
                <w:rFonts w:hint="eastAsia"/>
                <w:color w:val="auto"/>
                <w:szCs w:val="21"/>
                <w:highlight w:val="none"/>
                <w:lang w:val="en-US" w:eastAsia="zh-CN"/>
              </w:rPr>
              <w:t>95</w:t>
            </w:r>
          </w:p>
        </w:tc>
        <w:tc>
          <w:tcPr>
            <w:tcW w:w="537" w:type="dxa"/>
            <w:shd w:val="clear" w:color="auto" w:fill="auto"/>
            <w:noWrap w:val="0"/>
            <w:vAlign w:val="center"/>
          </w:tcPr>
          <w:p w14:paraId="3F982EFB">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-77.34</w:t>
            </w:r>
          </w:p>
        </w:tc>
        <w:tc>
          <w:tcPr>
            <w:tcW w:w="537" w:type="dxa"/>
            <w:shd w:val="clear" w:color="auto" w:fill="auto"/>
            <w:noWrap w:val="0"/>
            <w:vAlign w:val="center"/>
          </w:tcPr>
          <w:p w14:paraId="601FA272">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147.54</w:t>
            </w:r>
          </w:p>
        </w:tc>
        <w:tc>
          <w:tcPr>
            <w:tcW w:w="558" w:type="dxa"/>
            <w:shd w:val="clear" w:color="auto" w:fill="auto"/>
            <w:noWrap w:val="0"/>
            <w:vAlign w:val="center"/>
          </w:tcPr>
          <w:p w14:paraId="3C8C67BC">
            <w:pPr>
              <w:spacing w:line="280" w:lineRule="exact"/>
              <w:jc w:val="center"/>
              <w:rPr>
                <w:rFonts w:hint="default" w:cs="Times New Roman"/>
                <w:color w:val="auto"/>
                <w:szCs w:val="21"/>
                <w:highlight w:val="none"/>
                <w:lang w:val="en-US" w:eastAsia="zh-CN"/>
              </w:rPr>
            </w:pPr>
            <w:r>
              <w:rPr>
                <w:rFonts w:hint="eastAsia" w:cs="Times New Roman"/>
                <w:color w:val="auto"/>
                <w:szCs w:val="21"/>
                <w:highlight w:val="none"/>
                <w:lang w:val="en-US" w:eastAsia="zh-CN"/>
              </w:rPr>
              <w:t>1.5</w:t>
            </w:r>
          </w:p>
        </w:tc>
        <w:tc>
          <w:tcPr>
            <w:tcW w:w="537" w:type="dxa"/>
            <w:shd w:val="clear" w:color="auto" w:fill="auto"/>
            <w:noWrap w:val="0"/>
            <w:vAlign w:val="center"/>
          </w:tcPr>
          <w:p w14:paraId="52072F66">
            <w:pPr>
              <w:spacing w:line="280" w:lineRule="exact"/>
              <w:jc w:val="center"/>
              <w:rPr>
                <w:rFonts w:hint="default" w:cs="Times New Roman"/>
                <w:color w:val="auto"/>
                <w:szCs w:val="21"/>
                <w:highlight w:val="none"/>
                <w:lang w:val="en-US" w:eastAsia="zh-CN"/>
              </w:rPr>
            </w:pPr>
            <w:r>
              <w:rPr>
                <w:rFonts w:hint="eastAsia" w:cs="Times New Roman"/>
                <w:color w:val="auto"/>
                <w:szCs w:val="21"/>
                <w:highlight w:val="none"/>
                <w:lang w:val="en-US" w:eastAsia="zh-CN"/>
              </w:rPr>
              <w:t>116.8</w:t>
            </w:r>
          </w:p>
        </w:tc>
        <w:tc>
          <w:tcPr>
            <w:tcW w:w="537" w:type="dxa"/>
            <w:shd w:val="clear" w:color="auto" w:fill="auto"/>
            <w:noWrap w:val="0"/>
            <w:vAlign w:val="center"/>
          </w:tcPr>
          <w:p w14:paraId="4A340CCD">
            <w:pPr>
              <w:spacing w:line="280" w:lineRule="exact"/>
              <w:jc w:val="center"/>
              <w:rPr>
                <w:rFonts w:hint="default" w:cs="Times New Roman"/>
                <w:color w:val="auto"/>
                <w:szCs w:val="21"/>
                <w:highlight w:val="none"/>
                <w:lang w:val="en-US" w:eastAsia="zh-CN"/>
              </w:rPr>
            </w:pPr>
            <w:r>
              <w:rPr>
                <w:rFonts w:hint="eastAsia" w:cs="Times New Roman"/>
                <w:color w:val="auto"/>
                <w:szCs w:val="21"/>
                <w:highlight w:val="none"/>
                <w:lang w:val="en-US" w:eastAsia="zh-CN"/>
              </w:rPr>
              <w:t>67.8</w:t>
            </w:r>
          </w:p>
        </w:tc>
        <w:tc>
          <w:tcPr>
            <w:tcW w:w="542" w:type="dxa"/>
            <w:shd w:val="clear" w:color="auto" w:fill="auto"/>
            <w:noWrap w:val="0"/>
            <w:vAlign w:val="center"/>
          </w:tcPr>
          <w:p w14:paraId="43A7FE41">
            <w:pPr>
              <w:spacing w:line="280" w:lineRule="exact"/>
              <w:jc w:val="center"/>
              <w:rPr>
                <w:rFonts w:hint="default" w:cs="Times New Roman"/>
                <w:color w:val="auto"/>
                <w:szCs w:val="21"/>
                <w:highlight w:val="none"/>
                <w:lang w:val="en-US" w:eastAsia="zh-CN"/>
              </w:rPr>
            </w:pPr>
            <w:r>
              <w:rPr>
                <w:rFonts w:hint="eastAsia" w:cs="Times New Roman"/>
                <w:color w:val="auto"/>
                <w:szCs w:val="21"/>
                <w:highlight w:val="none"/>
                <w:lang w:val="en-US" w:eastAsia="zh-CN"/>
              </w:rPr>
              <w:t>29.4</w:t>
            </w:r>
          </w:p>
        </w:tc>
        <w:tc>
          <w:tcPr>
            <w:tcW w:w="558" w:type="dxa"/>
            <w:shd w:val="clear" w:color="auto" w:fill="auto"/>
            <w:noWrap w:val="0"/>
            <w:vAlign w:val="center"/>
          </w:tcPr>
          <w:p w14:paraId="612EB01D">
            <w:pPr>
              <w:spacing w:line="280" w:lineRule="exact"/>
              <w:jc w:val="center"/>
              <w:rPr>
                <w:rFonts w:hint="default" w:cs="Times New Roman"/>
                <w:color w:val="auto"/>
                <w:szCs w:val="21"/>
                <w:highlight w:val="none"/>
                <w:lang w:val="en-US" w:eastAsia="zh-CN"/>
              </w:rPr>
            </w:pPr>
            <w:r>
              <w:rPr>
                <w:rFonts w:hint="eastAsia" w:cs="Times New Roman"/>
                <w:color w:val="auto"/>
                <w:szCs w:val="21"/>
                <w:highlight w:val="none"/>
                <w:lang w:val="en-US" w:eastAsia="zh-CN"/>
              </w:rPr>
              <w:t>10.3</w:t>
            </w:r>
          </w:p>
        </w:tc>
        <w:tc>
          <w:tcPr>
            <w:tcW w:w="542" w:type="dxa"/>
            <w:shd w:val="clear" w:color="auto" w:fill="auto"/>
            <w:noWrap w:val="0"/>
            <w:vAlign w:val="center"/>
          </w:tcPr>
          <w:p w14:paraId="04BB20CF">
            <w:pPr>
              <w:spacing w:line="280" w:lineRule="exact"/>
              <w:jc w:val="center"/>
              <w:rPr>
                <w:rFonts w:hint="eastAsia" w:cs="Times New Roman"/>
                <w:color w:val="auto"/>
                <w:szCs w:val="21"/>
                <w:highlight w:val="none"/>
                <w:lang w:val="en-US" w:eastAsia="zh-CN"/>
              </w:rPr>
            </w:pPr>
            <w:r>
              <w:rPr>
                <w:rFonts w:hint="eastAsia" w:cs="Times New Roman"/>
                <w:color w:val="auto"/>
                <w:szCs w:val="21"/>
                <w:highlight w:val="none"/>
                <w:lang w:val="en-US" w:eastAsia="zh-CN"/>
              </w:rPr>
              <w:t xml:space="preserve">69.8 </w:t>
            </w:r>
          </w:p>
        </w:tc>
        <w:tc>
          <w:tcPr>
            <w:tcW w:w="542" w:type="dxa"/>
            <w:shd w:val="clear" w:color="auto" w:fill="auto"/>
            <w:noWrap w:val="0"/>
            <w:vAlign w:val="center"/>
          </w:tcPr>
          <w:p w14:paraId="0EB1BC62">
            <w:pPr>
              <w:spacing w:line="280" w:lineRule="exact"/>
              <w:jc w:val="center"/>
              <w:rPr>
                <w:rFonts w:hint="eastAsia" w:cs="Times New Roman"/>
                <w:color w:val="auto"/>
                <w:szCs w:val="21"/>
                <w:highlight w:val="none"/>
                <w:lang w:val="en-US" w:eastAsia="zh-CN"/>
              </w:rPr>
            </w:pPr>
            <w:r>
              <w:rPr>
                <w:rFonts w:hint="eastAsia" w:cs="Times New Roman"/>
                <w:color w:val="auto"/>
                <w:szCs w:val="21"/>
                <w:highlight w:val="none"/>
                <w:lang w:val="en-US" w:eastAsia="zh-CN"/>
              </w:rPr>
              <w:t xml:space="preserve">69.8 </w:t>
            </w:r>
          </w:p>
        </w:tc>
        <w:tc>
          <w:tcPr>
            <w:tcW w:w="542" w:type="dxa"/>
            <w:shd w:val="clear" w:color="auto" w:fill="auto"/>
            <w:noWrap w:val="0"/>
            <w:vAlign w:val="center"/>
          </w:tcPr>
          <w:p w14:paraId="03B17B24">
            <w:pPr>
              <w:spacing w:line="280" w:lineRule="exact"/>
              <w:jc w:val="center"/>
              <w:rPr>
                <w:rFonts w:hint="eastAsia" w:cs="Times New Roman"/>
                <w:color w:val="auto"/>
                <w:szCs w:val="21"/>
                <w:highlight w:val="none"/>
                <w:lang w:val="en-US" w:eastAsia="zh-CN"/>
              </w:rPr>
            </w:pPr>
            <w:r>
              <w:rPr>
                <w:rFonts w:hint="eastAsia" w:cs="Times New Roman"/>
                <w:color w:val="auto"/>
                <w:szCs w:val="21"/>
                <w:highlight w:val="none"/>
                <w:lang w:val="en-US" w:eastAsia="zh-CN"/>
              </w:rPr>
              <w:t xml:space="preserve">69.9 </w:t>
            </w:r>
          </w:p>
        </w:tc>
        <w:tc>
          <w:tcPr>
            <w:tcW w:w="555" w:type="dxa"/>
            <w:shd w:val="clear" w:color="auto" w:fill="auto"/>
            <w:noWrap w:val="0"/>
            <w:vAlign w:val="center"/>
          </w:tcPr>
          <w:p w14:paraId="2BB479D8">
            <w:pPr>
              <w:spacing w:line="280" w:lineRule="exact"/>
              <w:jc w:val="center"/>
              <w:rPr>
                <w:rFonts w:hint="eastAsia" w:cs="Times New Roman"/>
                <w:color w:val="auto"/>
                <w:szCs w:val="21"/>
                <w:highlight w:val="none"/>
                <w:lang w:val="en-US" w:eastAsia="zh-CN"/>
              </w:rPr>
            </w:pPr>
            <w:r>
              <w:rPr>
                <w:rFonts w:hint="eastAsia" w:cs="Times New Roman"/>
                <w:color w:val="auto"/>
                <w:szCs w:val="21"/>
                <w:highlight w:val="none"/>
                <w:lang w:val="en-US" w:eastAsia="zh-CN"/>
              </w:rPr>
              <w:t xml:space="preserve">70.7 </w:t>
            </w:r>
          </w:p>
        </w:tc>
        <w:tc>
          <w:tcPr>
            <w:tcW w:w="542" w:type="dxa"/>
            <w:vMerge w:val="continue"/>
            <w:shd w:val="clear" w:color="auto" w:fill="auto"/>
            <w:noWrap w:val="0"/>
            <w:vAlign w:val="center"/>
          </w:tcPr>
          <w:p w14:paraId="51844A71">
            <w:pPr>
              <w:spacing w:line="280" w:lineRule="exact"/>
              <w:jc w:val="center"/>
              <w:rPr>
                <w:rFonts w:hint="default" w:ascii="Times New Roman" w:hAnsi="Times New Roman" w:eastAsia="宋体"/>
                <w:color w:val="auto"/>
                <w:szCs w:val="21"/>
                <w:highlight w:val="none"/>
                <w:lang w:val="en-US" w:eastAsia="zh-CN"/>
              </w:rPr>
            </w:pPr>
          </w:p>
        </w:tc>
        <w:tc>
          <w:tcPr>
            <w:tcW w:w="897" w:type="dxa"/>
            <w:shd w:val="clear" w:color="auto" w:fill="auto"/>
            <w:noWrap w:val="0"/>
            <w:vAlign w:val="center"/>
          </w:tcPr>
          <w:p w14:paraId="00A88E74">
            <w:pPr>
              <w:spacing w:line="280" w:lineRule="exact"/>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24.3</w:t>
            </w:r>
          </w:p>
        </w:tc>
        <w:tc>
          <w:tcPr>
            <w:tcW w:w="746" w:type="dxa"/>
            <w:shd w:val="clear" w:color="auto" w:fill="auto"/>
            <w:noWrap w:val="0"/>
            <w:vAlign w:val="center"/>
          </w:tcPr>
          <w:p w14:paraId="1CCB2BB6">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45.5</w:t>
            </w:r>
          </w:p>
        </w:tc>
        <w:tc>
          <w:tcPr>
            <w:tcW w:w="689" w:type="dxa"/>
            <w:shd w:val="clear" w:color="auto" w:fill="auto"/>
            <w:noWrap w:val="0"/>
            <w:vAlign w:val="center"/>
          </w:tcPr>
          <w:p w14:paraId="572FA9FD">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45.5</w:t>
            </w:r>
          </w:p>
        </w:tc>
        <w:tc>
          <w:tcPr>
            <w:tcW w:w="838" w:type="dxa"/>
            <w:shd w:val="clear" w:color="auto" w:fill="auto"/>
            <w:noWrap w:val="0"/>
            <w:vAlign w:val="center"/>
          </w:tcPr>
          <w:p w14:paraId="39689BF3">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45.6</w:t>
            </w:r>
          </w:p>
        </w:tc>
        <w:tc>
          <w:tcPr>
            <w:tcW w:w="750" w:type="dxa"/>
            <w:shd w:val="clear" w:color="auto" w:fill="auto"/>
            <w:noWrap w:val="0"/>
            <w:vAlign w:val="center"/>
          </w:tcPr>
          <w:p w14:paraId="56DB60C1">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46.4</w:t>
            </w:r>
          </w:p>
        </w:tc>
        <w:tc>
          <w:tcPr>
            <w:tcW w:w="1096" w:type="dxa"/>
            <w:shd w:val="clear" w:color="auto" w:fill="auto"/>
            <w:noWrap w:val="0"/>
            <w:vAlign w:val="center"/>
          </w:tcPr>
          <w:p w14:paraId="313C76CE">
            <w:pPr>
              <w:spacing w:line="280" w:lineRule="exact"/>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1</w:t>
            </w:r>
          </w:p>
        </w:tc>
      </w:tr>
      <w:tr w14:paraId="1BD39DE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27" w:type="dxa"/>
            <w:shd w:val="clear" w:color="auto" w:fill="auto"/>
            <w:noWrap w:val="0"/>
            <w:vAlign w:val="center"/>
          </w:tcPr>
          <w:p w14:paraId="317B94FB">
            <w:pPr>
              <w:spacing w:line="280" w:lineRule="exact"/>
              <w:jc w:val="center"/>
              <w:rPr>
                <w:rFonts w:hint="default" w:ascii="Times New Roman" w:hAnsi="Times New Roman"/>
                <w:color w:val="auto"/>
                <w:szCs w:val="21"/>
                <w:highlight w:val="none"/>
                <w:lang w:val="en-US" w:eastAsia="zh-CN"/>
              </w:rPr>
            </w:pPr>
            <w:r>
              <w:rPr>
                <w:rFonts w:hint="eastAsia"/>
                <w:color w:val="auto"/>
                <w:szCs w:val="21"/>
                <w:highlight w:val="none"/>
                <w:lang w:val="en-US" w:eastAsia="zh-CN"/>
              </w:rPr>
              <w:t>70</w:t>
            </w:r>
          </w:p>
        </w:tc>
        <w:tc>
          <w:tcPr>
            <w:tcW w:w="1428" w:type="dxa"/>
            <w:shd w:val="clear" w:color="auto" w:fill="auto"/>
            <w:noWrap w:val="0"/>
            <w:vAlign w:val="center"/>
          </w:tcPr>
          <w:p w14:paraId="76ACF8B5">
            <w:pPr>
              <w:spacing w:line="280" w:lineRule="exact"/>
              <w:jc w:val="center"/>
              <w:rPr>
                <w:rFonts w:hint="eastAsia" w:cs="Times New Roman"/>
                <w:b w:val="0"/>
                <w:bCs w:val="0"/>
                <w:color w:val="auto"/>
                <w:kern w:val="0"/>
                <w:sz w:val="21"/>
                <w:szCs w:val="21"/>
                <w:highlight w:val="none"/>
                <w:vertAlign w:val="baseline"/>
                <w:lang w:val="en-US" w:eastAsia="zh-CN"/>
              </w:rPr>
            </w:pPr>
            <w:r>
              <w:rPr>
                <w:rFonts w:hint="default" w:ascii="Times New Roman" w:hAnsi="Times New Roman" w:cs="Times New Roman"/>
                <w:color w:val="auto"/>
                <w:szCs w:val="21"/>
                <w:highlight w:val="none"/>
                <w:lang w:val="en-US" w:eastAsia="zh-CN"/>
              </w:rPr>
              <w:t>纯水系统</w:t>
            </w:r>
          </w:p>
        </w:tc>
        <w:tc>
          <w:tcPr>
            <w:tcW w:w="537" w:type="dxa"/>
            <w:shd w:val="clear" w:color="auto" w:fill="auto"/>
            <w:noWrap w:val="0"/>
            <w:vAlign w:val="center"/>
          </w:tcPr>
          <w:p w14:paraId="5E1D930D">
            <w:pPr>
              <w:spacing w:line="280" w:lineRule="exact"/>
              <w:jc w:val="center"/>
              <w:rPr>
                <w:rFonts w:hint="default" w:ascii="Times New Roman" w:hAnsi="Times New Roman"/>
                <w:color w:val="auto"/>
                <w:szCs w:val="21"/>
                <w:highlight w:val="none"/>
                <w:lang w:val="en-US" w:eastAsia="zh-CN"/>
              </w:rPr>
            </w:pPr>
            <w:r>
              <w:rPr>
                <w:rFonts w:hint="eastAsia"/>
                <w:color w:val="auto"/>
                <w:szCs w:val="21"/>
                <w:highlight w:val="none"/>
                <w:lang w:val="en-US" w:eastAsia="zh-CN"/>
              </w:rPr>
              <w:t>60</w:t>
            </w:r>
          </w:p>
        </w:tc>
        <w:tc>
          <w:tcPr>
            <w:tcW w:w="537" w:type="dxa"/>
            <w:shd w:val="clear" w:color="auto" w:fill="auto"/>
            <w:noWrap w:val="0"/>
            <w:vAlign w:val="center"/>
          </w:tcPr>
          <w:p w14:paraId="6B7CC72C">
            <w:pPr>
              <w:spacing w:line="280" w:lineRule="exact"/>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48.08</w:t>
            </w:r>
          </w:p>
        </w:tc>
        <w:tc>
          <w:tcPr>
            <w:tcW w:w="537" w:type="dxa"/>
            <w:shd w:val="clear" w:color="auto" w:fill="auto"/>
            <w:noWrap w:val="0"/>
            <w:vAlign w:val="center"/>
          </w:tcPr>
          <w:p w14:paraId="37C25F36">
            <w:pPr>
              <w:spacing w:line="280" w:lineRule="exact"/>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21.38</w:t>
            </w:r>
          </w:p>
        </w:tc>
        <w:tc>
          <w:tcPr>
            <w:tcW w:w="558" w:type="dxa"/>
            <w:shd w:val="clear" w:color="auto" w:fill="auto"/>
            <w:noWrap w:val="0"/>
            <w:vAlign w:val="center"/>
          </w:tcPr>
          <w:p w14:paraId="7F5D5F64">
            <w:pPr>
              <w:spacing w:line="280" w:lineRule="exact"/>
              <w:jc w:val="center"/>
              <w:rPr>
                <w:rFonts w:hint="eastAsia"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1.0</w:t>
            </w:r>
          </w:p>
        </w:tc>
        <w:tc>
          <w:tcPr>
            <w:tcW w:w="537" w:type="dxa"/>
            <w:shd w:val="clear" w:color="auto" w:fill="auto"/>
            <w:noWrap w:val="0"/>
            <w:vAlign w:val="center"/>
          </w:tcPr>
          <w:p w14:paraId="4A8F1AFF">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12.4</w:t>
            </w:r>
          </w:p>
        </w:tc>
        <w:tc>
          <w:tcPr>
            <w:tcW w:w="537" w:type="dxa"/>
            <w:shd w:val="clear" w:color="auto" w:fill="auto"/>
            <w:noWrap w:val="0"/>
            <w:vAlign w:val="center"/>
          </w:tcPr>
          <w:p w14:paraId="1E9951FE">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5.1</w:t>
            </w:r>
          </w:p>
        </w:tc>
        <w:tc>
          <w:tcPr>
            <w:tcW w:w="542" w:type="dxa"/>
            <w:shd w:val="clear" w:color="auto" w:fill="auto"/>
            <w:noWrap w:val="0"/>
            <w:vAlign w:val="center"/>
          </w:tcPr>
          <w:p w14:paraId="3B95B26D">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55.3</w:t>
            </w:r>
          </w:p>
        </w:tc>
        <w:tc>
          <w:tcPr>
            <w:tcW w:w="558" w:type="dxa"/>
            <w:shd w:val="clear" w:color="auto" w:fill="auto"/>
            <w:noWrap w:val="0"/>
            <w:vAlign w:val="center"/>
          </w:tcPr>
          <w:p w14:paraId="62C0F65D">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144.8</w:t>
            </w:r>
          </w:p>
        </w:tc>
        <w:tc>
          <w:tcPr>
            <w:tcW w:w="542" w:type="dxa"/>
            <w:shd w:val="clear" w:color="auto" w:fill="auto"/>
            <w:noWrap w:val="0"/>
            <w:vAlign w:val="center"/>
          </w:tcPr>
          <w:p w14:paraId="216EE723">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 xml:space="preserve">35.5 </w:t>
            </w:r>
          </w:p>
        </w:tc>
        <w:tc>
          <w:tcPr>
            <w:tcW w:w="542" w:type="dxa"/>
            <w:shd w:val="clear" w:color="auto" w:fill="auto"/>
            <w:noWrap w:val="0"/>
            <w:vAlign w:val="center"/>
          </w:tcPr>
          <w:p w14:paraId="1CFD237E">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 xml:space="preserve">57.8 </w:t>
            </w:r>
          </w:p>
        </w:tc>
        <w:tc>
          <w:tcPr>
            <w:tcW w:w="542" w:type="dxa"/>
            <w:shd w:val="clear" w:color="auto" w:fill="auto"/>
            <w:noWrap w:val="0"/>
            <w:vAlign w:val="center"/>
          </w:tcPr>
          <w:p w14:paraId="090F52EF">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 xml:space="preserve">34.8 </w:t>
            </w:r>
          </w:p>
        </w:tc>
        <w:tc>
          <w:tcPr>
            <w:tcW w:w="555" w:type="dxa"/>
            <w:shd w:val="clear" w:color="auto" w:fill="auto"/>
            <w:noWrap w:val="0"/>
            <w:vAlign w:val="center"/>
          </w:tcPr>
          <w:p w14:paraId="1C57B843">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 xml:space="preserve">34.8 </w:t>
            </w:r>
          </w:p>
        </w:tc>
        <w:tc>
          <w:tcPr>
            <w:tcW w:w="542" w:type="dxa"/>
            <w:vMerge w:val="continue"/>
            <w:shd w:val="clear" w:color="auto" w:fill="auto"/>
            <w:noWrap w:val="0"/>
            <w:vAlign w:val="center"/>
          </w:tcPr>
          <w:p w14:paraId="495FC6CF">
            <w:pPr>
              <w:spacing w:line="280" w:lineRule="exact"/>
              <w:jc w:val="center"/>
              <w:rPr>
                <w:rFonts w:hint="default" w:ascii="Times New Roman" w:hAnsi="Times New Roman" w:eastAsia="宋体"/>
                <w:color w:val="auto"/>
                <w:szCs w:val="21"/>
                <w:highlight w:val="none"/>
                <w:lang w:val="en-US" w:eastAsia="zh-CN"/>
              </w:rPr>
            </w:pPr>
          </w:p>
        </w:tc>
        <w:tc>
          <w:tcPr>
            <w:tcW w:w="897" w:type="dxa"/>
            <w:shd w:val="clear" w:color="auto" w:fill="auto"/>
            <w:noWrap w:val="0"/>
            <w:vAlign w:val="center"/>
          </w:tcPr>
          <w:p w14:paraId="2C672FB9">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24.3</w:t>
            </w:r>
          </w:p>
        </w:tc>
        <w:tc>
          <w:tcPr>
            <w:tcW w:w="746" w:type="dxa"/>
            <w:shd w:val="clear" w:color="auto" w:fill="auto"/>
            <w:noWrap w:val="0"/>
            <w:vAlign w:val="center"/>
          </w:tcPr>
          <w:p w14:paraId="5A805344">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11.2</w:t>
            </w:r>
          </w:p>
        </w:tc>
        <w:tc>
          <w:tcPr>
            <w:tcW w:w="689" w:type="dxa"/>
            <w:shd w:val="clear" w:color="auto" w:fill="auto"/>
            <w:noWrap w:val="0"/>
            <w:vAlign w:val="center"/>
          </w:tcPr>
          <w:p w14:paraId="44F33028">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33.5</w:t>
            </w:r>
          </w:p>
        </w:tc>
        <w:tc>
          <w:tcPr>
            <w:tcW w:w="838" w:type="dxa"/>
            <w:shd w:val="clear" w:color="auto" w:fill="auto"/>
            <w:noWrap w:val="0"/>
            <w:vAlign w:val="center"/>
          </w:tcPr>
          <w:p w14:paraId="084E5BB9">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10.5</w:t>
            </w:r>
          </w:p>
        </w:tc>
        <w:tc>
          <w:tcPr>
            <w:tcW w:w="750" w:type="dxa"/>
            <w:shd w:val="clear" w:color="auto" w:fill="auto"/>
            <w:noWrap w:val="0"/>
            <w:vAlign w:val="center"/>
          </w:tcPr>
          <w:p w14:paraId="7226C9A4">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10.5</w:t>
            </w:r>
          </w:p>
        </w:tc>
        <w:tc>
          <w:tcPr>
            <w:tcW w:w="1096" w:type="dxa"/>
            <w:shd w:val="clear" w:color="auto" w:fill="auto"/>
            <w:noWrap w:val="0"/>
            <w:vAlign w:val="center"/>
          </w:tcPr>
          <w:p w14:paraId="7BDFCBFB">
            <w:pPr>
              <w:spacing w:line="280" w:lineRule="exact"/>
              <w:jc w:val="center"/>
              <w:rPr>
                <w:rFonts w:hint="eastAsia"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1</w:t>
            </w:r>
          </w:p>
        </w:tc>
      </w:tr>
      <w:tr w14:paraId="1D8CC42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27" w:type="dxa"/>
            <w:shd w:val="clear" w:color="auto" w:fill="auto"/>
            <w:noWrap w:val="0"/>
            <w:vAlign w:val="center"/>
          </w:tcPr>
          <w:p w14:paraId="0693744D">
            <w:pPr>
              <w:spacing w:line="280" w:lineRule="exact"/>
              <w:jc w:val="center"/>
              <w:rPr>
                <w:rFonts w:hint="default" w:ascii="Times New Roman" w:hAnsi="Times New Roman"/>
                <w:color w:val="auto"/>
                <w:szCs w:val="21"/>
                <w:highlight w:val="none"/>
                <w:lang w:val="en-US" w:eastAsia="zh-CN"/>
              </w:rPr>
            </w:pPr>
            <w:r>
              <w:rPr>
                <w:rFonts w:hint="eastAsia"/>
                <w:color w:val="auto"/>
                <w:szCs w:val="21"/>
                <w:highlight w:val="none"/>
                <w:lang w:val="en-US" w:eastAsia="zh-CN"/>
              </w:rPr>
              <w:t>71</w:t>
            </w:r>
          </w:p>
        </w:tc>
        <w:tc>
          <w:tcPr>
            <w:tcW w:w="1428" w:type="dxa"/>
            <w:shd w:val="clear" w:color="auto" w:fill="auto"/>
            <w:noWrap w:val="0"/>
            <w:vAlign w:val="center"/>
          </w:tcPr>
          <w:p w14:paraId="527A5434">
            <w:pPr>
              <w:spacing w:line="280" w:lineRule="exact"/>
              <w:jc w:val="center"/>
              <w:rPr>
                <w:rFonts w:hint="eastAsia" w:ascii="Times New Roman" w:hAnsi="Times New Roman" w:eastAsia="宋体" w:cs="Times New Roman"/>
                <w:b w:val="0"/>
                <w:bCs w:val="0"/>
                <w:color w:val="auto"/>
                <w:kern w:val="0"/>
                <w:sz w:val="21"/>
                <w:szCs w:val="21"/>
                <w:highlight w:val="none"/>
                <w:vertAlign w:val="baseline"/>
                <w:lang w:val="en-US" w:eastAsia="zh-CN"/>
              </w:rPr>
            </w:pPr>
            <w:r>
              <w:rPr>
                <w:rFonts w:hint="default" w:ascii="Times New Roman" w:hAnsi="Times New Roman" w:cs="Times New Roman"/>
                <w:color w:val="auto"/>
                <w:szCs w:val="21"/>
                <w:highlight w:val="none"/>
                <w:lang w:val="en-US" w:eastAsia="zh-CN"/>
              </w:rPr>
              <w:t>污水处理系统</w:t>
            </w:r>
          </w:p>
        </w:tc>
        <w:tc>
          <w:tcPr>
            <w:tcW w:w="537" w:type="dxa"/>
            <w:shd w:val="clear" w:color="auto" w:fill="auto"/>
            <w:noWrap w:val="0"/>
            <w:vAlign w:val="center"/>
          </w:tcPr>
          <w:p w14:paraId="7F55EAB3">
            <w:pPr>
              <w:spacing w:line="280" w:lineRule="exact"/>
              <w:jc w:val="center"/>
              <w:rPr>
                <w:rFonts w:hint="default" w:ascii="Times New Roman" w:hAnsi="Times New Roman"/>
                <w:color w:val="auto"/>
                <w:szCs w:val="21"/>
                <w:highlight w:val="none"/>
                <w:lang w:val="en-US" w:eastAsia="zh-CN"/>
              </w:rPr>
            </w:pPr>
            <w:r>
              <w:rPr>
                <w:rFonts w:hint="eastAsia"/>
                <w:color w:val="auto"/>
                <w:szCs w:val="21"/>
                <w:highlight w:val="none"/>
                <w:lang w:val="en-US" w:eastAsia="zh-CN"/>
              </w:rPr>
              <w:t>80</w:t>
            </w:r>
          </w:p>
        </w:tc>
        <w:tc>
          <w:tcPr>
            <w:tcW w:w="537" w:type="dxa"/>
            <w:shd w:val="clear" w:color="auto" w:fill="auto"/>
            <w:noWrap w:val="0"/>
            <w:vAlign w:val="center"/>
          </w:tcPr>
          <w:p w14:paraId="27CA620D">
            <w:pPr>
              <w:spacing w:line="280" w:lineRule="exact"/>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27.53</w:t>
            </w:r>
          </w:p>
        </w:tc>
        <w:tc>
          <w:tcPr>
            <w:tcW w:w="537" w:type="dxa"/>
            <w:shd w:val="clear" w:color="auto" w:fill="auto"/>
            <w:noWrap w:val="0"/>
            <w:vAlign w:val="center"/>
          </w:tcPr>
          <w:p w14:paraId="25F2489A">
            <w:pPr>
              <w:spacing w:line="280" w:lineRule="exact"/>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13.47</w:t>
            </w:r>
          </w:p>
        </w:tc>
        <w:tc>
          <w:tcPr>
            <w:tcW w:w="558" w:type="dxa"/>
            <w:shd w:val="clear" w:color="auto" w:fill="auto"/>
            <w:noWrap w:val="0"/>
            <w:vAlign w:val="center"/>
          </w:tcPr>
          <w:p w14:paraId="63A635CF">
            <w:pPr>
              <w:spacing w:line="280" w:lineRule="exact"/>
              <w:jc w:val="center"/>
              <w:rPr>
                <w:rFonts w:hint="eastAsia"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1.0</w:t>
            </w:r>
          </w:p>
        </w:tc>
        <w:tc>
          <w:tcPr>
            <w:tcW w:w="537" w:type="dxa"/>
            <w:shd w:val="clear" w:color="auto" w:fill="auto"/>
            <w:noWrap w:val="0"/>
            <w:vAlign w:val="center"/>
          </w:tcPr>
          <w:p w14:paraId="14B77BC1">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14.8</w:t>
            </w:r>
          </w:p>
        </w:tc>
        <w:tc>
          <w:tcPr>
            <w:tcW w:w="537" w:type="dxa"/>
            <w:shd w:val="clear" w:color="auto" w:fill="auto"/>
            <w:noWrap w:val="0"/>
            <w:vAlign w:val="center"/>
          </w:tcPr>
          <w:p w14:paraId="28582385">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4.3</w:t>
            </w:r>
          </w:p>
        </w:tc>
        <w:tc>
          <w:tcPr>
            <w:tcW w:w="542" w:type="dxa"/>
            <w:shd w:val="clear" w:color="auto" w:fill="auto"/>
            <w:noWrap w:val="0"/>
            <w:vAlign w:val="center"/>
          </w:tcPr>
          <w:p w14:paraId="480D8C80">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30.6</w:t>
            </w:r>
          </w:p>
        </w:tc>
        <w:tc>
          <w:tcPr>
            <w:tcW w:w="558" w:type="dxa"/>
            <w:shd w:val="clear" w:color="auto" w:fill="auto"/>
            <w:noWrap w:val="0"/>
            <w:vAlign w:val="center"/>
          </w:tcPr>
          <w:p w14:paraId="38168379">
            <w:pPr>
              <w:spacing w:line="280" w:lineRule="exact"/>
              <w:jc w:val="center"/>
              <w:rPr>
                <w:rFonts w:hint="default" w:cs="Times New Roman"/>
                <w:color w:val="auto"/>
                <w:szCs w:val="21"/>
                <w:highlight w:val="none"/>
                <w:lang w:val="en-US" w:eastAsia="zh-CN"/>
              </w:rPr>
            </w:pPr>
            <w:r>
              <w:rPr>
                <w:rFonts w:hint="eastAsia" w:cs="Times New Roman"/>
                <w:color w:val="auto"/>
                <w:szCs w:val="21"/>
                <w:highlight w:val="none"/>
                <w:lang w:val="en-US" w:eastAsia="zh-CN"/>
              </w:rPr>
              <w:t>174.6</w:t>
            </w:r>
          </w:p>
        </w:tc>
        <w:tc>
          <w:tcPr>
            <w:tcW w:w="542" w:type="dxa"/>
            <w:shd w:val="clear" w:color="auto" w:fill="auto"/>
            <w:noWrap w:val="0"/>
            <w:vAlign w:val="center"/>
          </w:tcPr>
          <w:p w14:paraId="13996006">
            <w:pPr>
              <w:spacing w:line="280" w:lineRule="exact"/>
              <w:jc w:val="center"/>
              <w:rPr>
                <w:rFonts w:hint="eastAsia" w:cs="Times New Roman"/>
                <w:color w:val="auto"/>
                <w:szCs w:val="21"/>
                <w:highlight w:val="none"/>
                <w:lang w:val="en-US" w:eastAsia="zh-CN"/>
              </w:rPr>
            </w:pPr>
            <w:r>
              <w:rPr>
                <w:rFonts w:hint="eastAsia" w:cs="Times New Roman"/>
                <w:color w:val="auto"/>
                <w:szCs w:val="21"/>
                <w:highlight w:val="none"/>
                <w:lang w:val="en-US" w:eastAsia="zh-CN"/>
              </w:rPr>
              <w:t xml:space="preserve">55.3 </w:t>
            </w:r>
          </w:p>
        </w:tc>
        <w:tc>
          <w:tcPr>
            <w:tcW w:w="542" w:type="dxa"/>
            <w:shd w:val="clear" w:color="auto" w:fill="auto"/>
            <w:noWrap w:val="0"/>
            <w:vAlign w:val="center"/>
          </w:tcPr>
          <w:p w14:paraId="76F4D742">
            <w:pPr>
              <w:spacing w:line="280" w:lineRule="exact"/>
              <w:jc w:val="center"/>
              <w:rPr>
                <w:rFonts w:hint="eastAsia" w:cs="Times New Roman"/>
                <w:color w:val="auto"/>
                <w:szCs w:val="21"/>
                <w:highlight w:val="none"/>
                <w:lang w:val="en-US" w:eastAsia="zh-CN"/>
              </w:rPr>
            </w:pPr>
            <w:r>
              <w:rPr>
                <w:rFonts w:hint="eastAsia" w:cs="Times New Roman"/>
                <w:color w:val="auto"/>
                <w:szCs w:val="21"/>
                <w:highlight w:val="none"/>
                <w:lang w:val="en-US" w:eastAsia="zh-CN"/>
              </w:rPr>
              <w:t xml:space="preserve">58.6 </w:t>
            </w:r>
          </w:p>
        </w:tc>
        <w:tc>
          <w:tcPr>
            <w:tcW w:w="542" w:type="dxa"/>
            <w:shd w:val="clear" w:color="auto" w:fill="auto"/>
            <w:noWrap w:val="0"/>
            <w:vAlign w:val="center"/>
          </w:tcPr>
          <w:p w14:paraId="077CE71F">
            <w:pPr>
              <w:spacing w:line="280" w:lineRule="exact"/>
              <w:jc w:val="center"/>
              <w:rPr>
                <w:rFonts w:hint="eastAsia" w:cs="Times New Roman"/>
                <w:color w:val="auto"/>
                <w:szCs w:val="21"/>
                <w:highlight w:val="none"/>
                <w:lang w:val="en-US" w:eastAsia="zh-CN"/>
              </w:rPr>
            </w:pPr>
            <w:r>
              <w:rPr>
                <w:rFonts w:hint="eastAsia" w:cs="Times New Roman"/>
                <w:color w:val="auto"/>
                <w:szCs w:val="21"/>
                <w:highlight w:val="none"/>
                <w:lang w:val="en-US" w:eastAsia="zh-CN"/>
              </w:rPr>
              <w:t xml:space="preserve">54.9 </w:t>
            </w:r>
          </w:p>
        </w:tc>
        <w:tc>
          <w:tcPr>
            <w:tcW w:w="555" w:type="dxa"/>
            <w:shd w:val="clear" w:color="auto" w:fill="auto"/>
            <w:noWrap w:val="0"/>
            <w:vAlign w:val="center"/>
          </w:tcPr>
          <w:p w14:paraId="5B0ED504">
            <w:pPr>
              <w:spacing w:line="280" w:lineRule="exact"/>
              <w:jc w:val="center"/>
              <w:rPr>
                <w:rFonts w:hint="eastAsia" w:cs="Times New Roman"/>
                <w:color w:val="auto"/>
                <w:szCs w:val="21"/>
                <w:highlight w:val="none"/>
                <w:lang w:val="en-US" w:eastAsia="zh-CN"/>
              </w:rPr>
            </w:pPr>
            <w:r>
              <w:rPr>
                <w:rFonts w:hint="eastAsia" w:cs="Times New Roman"/>
                <w:color w:val="auto"/>
                <w:szCs w:val="21"/>
                <w:highlight w:val="none"/>
                <w:lang w:val="en-US" w:eastAsia="zh-CN"/>
              </w:rPr>
              <w:t xml:space="preserve">54.8 </w:t>
            </w:r>
          </w:p>
        </w:tc>
        <w:tc>
          <w:tcPr>
            <w:tcW w:w="542" w:type="dxa"/>
            <w:vMerge w:val="continue"/>
            <w:shd w:val="clear" w:color="auto" w:fill="auto"/>
            <w:noWrap w:val="0"/>
            <w:vAlign w:val="center"/>
          </w:tcPr>
          <w:p w14:paraId="65516AF1">
            <w:pPr>
              <w:spacing w:line="280" w:lineRule="exact"/>
              <w:jc w:val="center"/>
              <w:rPr>
                <w:rFonts w:hint="default" w:ascii="Times New Roman" w:hAnsi="Times New Roman" w:eastAsia="宋体"/>
                <w:color w:val="auto"/>
                <w:szCs w:val="21"/>
                <w:highlight w:val="none"/>
                <w:lang w:val="en-US" w:eastAsia="zh-CN"/>
              </w:rPr>
            </w:pPr>
          </w:p>
        </w:tc>
        <w:tc>
          <w:tcPr>
            <w:tcW w:w="897" w:type="dxa"/>
            <w:shd w:val="clear" w:color="auto" w:fill="auto"/>
            <w:noWrap w:val="0"/>
            <w:vAlign w:val="center"/>
          </w:tcPr>
          <w:p w14:paraId="1E0D74F0">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24.3</w:t>
            </w:r>
          </w:p>
        </w:tc>
        <w:tc>
          <w:tcPr>
            <w:tcW w:w="746" w:type="dxa"/>
            <w:shd w:val="clear" w:color="auto" w:fill="auto"/>
            <w:noWrap w:val="0"/>
            <w:vAlign w:val="center"/>
          </w:tcPr>
          <w:p w14:paraId="390CFD67">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31</w:t>
            </w:r>
          </w:p>
        </w:tc>
        <w:tc>
          <w:tcPr>
            <w:tcW w:w="689" w:type="dxa"/>
            <w:shd w:val="clear" w:color="auto" w:fill="auto"/>
            <w:noWrap w:val="0"/>
            <w:vAlign w:val="center"/>
          </w:tcPr>
          <w:p w14:paraId="35434B8C">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34.3</w:t>
            </w:r>
          </w:p>
        </w:tc>
        <w:tc>
          <w:tcPr>
            <w:tcW w:w="838" w:type="dxa"/>
            <w:shd w:val="clear" w:color="auto" w:fill="auto"/>
            <w:noWrap w:val="0"/>
            <w:vAlign w:val="center"/>
          </w:tcPr>
          <w:p w14:paraId="5234B6E2">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30.6</w:t>
            </w:r>
          </w:p>
        </w:tc>
        <w:tc>
          <w:tcPr>
            <w:tcW w:w="750" w:type="dxa"/>
            <w:shd w:val="clear" w:color="auto" w:fill="auto"/>
            <w:noWrap w:val="0"/>
            <w:vAlign w:val="center"/>
          </w:tcPr>
          <w:p w14:paraId="673779E7">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30.5</w:t>
            </w:r>
          </w:p>
        </w:tc>
        <w:tc>
          <w:tcPr>
            <w:tcW w:w="1096" w:type="dxa"/>
            <w:shd w:val="clear" w:color="auto" w:fill="auto"/>
            <w:noWrap w:val="0"/>
            <w:vAlign w:val="center"/>
          </w:tcPr>
          <w:p w14:paraId="15C87573">
            <w:pPr>
              <w:spacing w:line="280" w:lineRule="exact"/>
              <w:jc w:val="center"/>
              <w:rPr>
                <w:rFonts w:hint="eastAsia"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1</w:t>
            </w:r>
          </w:p>
        </w:tc>
      </w:tr>
      <w:tr w14:paraId="78E3494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27" w:type="dxa"/>
            <w:shd w:val="clear" w:color="auto" w:fill="auto"/>
            <w:noWrap w:val="0"/>
            <w:vAlign w:val="center"/>
          </w:tcPr>
          <w:p w14:paraId="20C657C7">
            <w:pPr>
              <w:spacing w:line="280" w:lineRule="exact"/>
              <w:jc w:val="center"/>
              <w:rPr>
                <w:rFonts w:hint="default"/>
                <w:color w:val="auto"/>
                <w:szCs w:val="21"/>
                <w:highlight w:val="none"/>
                <w:lang w:val="en-US" w:eastAsia="zh-CN"/>
              </w:rPr>
            </w:pPr>
            <w:r>
              <w:rPr>
                <w:rFonts w:hint="eastAsia"/>
                <w:color w:val="auto"/>
                <w:szCs w:val="21"/>
                <w:highlight w:val="none"/>
                <w:lang w:val="en-US" w:eastAsia="zh-CN"/>
              </w:rPr>
              <w:t>72</w:t>
            </w:r>
          </w:p>
        </w:tc>
        <w:tc>
          <w:tcPr>
            <w:tcW w:w="1428" w:type="dxa"/>
            <w:shd w:val="clear" w:color="auto" w:fill="auto"/>
            <w:noWrap w:val="0"/>
            <w:vAlign w:val="center"/>
          </w:tcPr>
          <w:p w14:paraId="0321A761">
            <w:pPr>
              <w:spacing w:line="280" w:lineRule="exact"/>
              <w:jc w:val="center"/>
              <w:rPr>
                <w:rFonts w:hint="default" w:ascii="Times New Roman" w:hAnsi="Times New Roman" w:cs="Times New Roman"/>
                <w:color w:val="auto"/>
                <w:szCs w:val="21"/>
                <w:highlight w:val="none"/>
                <w:lang w:val="en-US" w:eastAsia="zh-CN"/>
              </w:rPr>
            </w:pPr>
            <w:r>
              <w:rPr>
                <w:rFonts w:hint="default" w:ascii="Times New Roman" w:hAnsi="Times New Roman" w:cs="Times New Roman"/>
                <w:color w:val="auto"/>
                <w:sz w:val="21"/>
                <w:szCs w:val="21"/>
                <w:highlight w:val="none"/>
              </w:rPr>
              <w:t>正极</w:t>
            </w:r>
            <w:r>
              <w:rPr>
                <w:rFonts w:hint="default" w:ascii="Times New Roman" w:hAnsi="Times New Roman" w:cs="Times New Roman"/>
                <w:color w:val="auto"/>
                <w:sz w:val="21"/>
                <w:szCs w:val="21"/>
                <w:highlight w:val="none"/>
                <w:lang w:val="en-US" w:eastAsia="zh-CN"/>
              </w:rPr>
              <w:t>粉体上料系统</w:t>
            </w:r>
            <w:r>
              <w:rPr>
                <w:rFonts w:hint="eastAsia" w:cs="Times New Roman"/>
                <w:color w:val="auto"/>
                <w:sz w:val="21"/>
                <w:szCs w:val="21"/>
                <w:highlight w:val="none"/>
                <w:lang w:val="en-US" w:eastAsia="zh-CN"/>
              </w:rPr>
              <w:t>1#</w:t>
            </w:r>
          </w:p>
        </w:tc>
        <w:tc>
          <w:tcPr>
            <w:tcW w:w="537" w:type="dxa"/>
            <w:shd w:val="clear" w:color="auto" w:fill="auto"/>
            <w:noWrap w:val="0"/>
            <w:vAlign w:val="center"/>
          </w:tcPr>
          <w:p w14:paraId="128944C6">
            <w:pPr>
              <w:spacing w:line="280" w:lineRule="exact"/>
              <w:jc w:val="center"/>
              <w:rPr>
                <w:rFonts w:hint="default"/>
                <w:color w:val="auto"/>
                <w:szCs w:val="21"/>
                <w:highlight w:val="none"/>
                <w:lang w:val="en-US" w:eastAsia="zh-CN"/>
              </w:rPr>
            </w:pPr>
            <w:r>
              <w:rPr>
                <w:rFonts w:hint="eastAsia"/>
                <w:color w:val="auto"/>
                <w:szCs w:val="21"/>
                <w:highlight w:val="none"/>
                <w:lang w:val="en-US" w:eastAsia="zh-CN"/>
              </w:rPr>
              <w:t>75</w:t>
            </w:r>
          </w:p>
        </w:tc>
        <w:tc>
          <w:tcPr>
            <w:tcW w:w="537" w:type="dxa"/>
            <w:shd w:val="clear" w:color="auto" w:fill="auto"/>
            <w:noWrap w:val="0"/>
            <w:vAlign w:val="center"/>
          </w:tcPr>
          <w:p w14:paraId="1B9F3D42">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46.78</w:t>
            </w:r>
          </w:p>
        </w:tc>
        <w:tc>
          <w:tcPr>
            <w:tcW w:w="537" w:type="dxa"/>
            <w:shd w:val="clear" w:color="auto" w:fill="auto"/>
            <w:noWrap w:val="0"/>
            <w:vAlign w:val="center"/>
          </w:tcPr>
          <w:p w14:paraId="53C40CF1">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35.18</w:t>
            </w:r>
          </w:p>
        </w:tc>
        <w:tc>
          <w:tcPr>
            <w:tcW w:w="558" w:type="dxa"/>
            <w:shd w:val="clear" w:color="auto" w:fill="auto"/>
            <w:noWrap w:val="0"/>
            <w:vAlign w:val="center"/>
          </w:tcPr>
          <w:p w14:paraId="467F7984">
            <w:pPr>
              <w:spacing w:line="280" w:lineRule="exact"/>
              <w:jc w:val="center"/>
              <w:rPr>
                <w:rFonts w:hint="default" w:cs="Times New Roman"/>
                <w:color w:val="auto"/>
                <w:szCs w:val="21"/>
                <w:highlight w:val="none"/>
                <w:lang w:val="en-US" w:eastAsia="zh-CN"/>
              </w:rPr>
            </w:pPr>
            <w:r>
              <w:rPr>
                <w:rFonts w:hint="eastAsia" w:cs="Times New Roman"/>
                <w:color w:val="auto"/>
                <w:szCs w:val="21"/>
                <w:highlight w:val="none"/>
                <w:lang w:val="en-US" w:eastAsia="zh-CN"/>
              </w:rPr>
              <w:t>1.3</w:t>
            </w:r>
          </w:p>
        </w:tc>
        <w:tc>
          <w:tcPr>
            <w:tcW w:w="537" w:type="dxa"/>
            <w:shd w:val="clear" w:color="auto" w:fill="auto"/>
            <w:noWrap w:val="0"/>
            <w:vAlign w:val="center"/>
          </w:tcPr>
          <w:p w14:paraId="5BDE8BCF">
            <w:pPr>
              <w:spacing w:line="280" w:lineRule="exact"/>
              <w:jc w:val="center"/>
              <w:rPr>
                <w:rFonts w:hint="default" w:cs="Times New Roman"/>
                <w:color w:val="auto"/>
                <w:szCs w:val="21"/>
                <w:highlight w:val="none"/>
                <w:lang w:val="en-US" w:eastAsia="zh-CN"/>
              </w:rPr>
            </w:pPr>
            <w:r>
              <w:rPr>
                <w:rFonts w:hint="eastAsia" w:cs="Times New Roman"/>
                <w:color w:val="auto"/>
                <w:szCs w:val="21"/>
                <w:highlight w:val="none"/>
                <w:lang w:val="en-US" w:eastAsia="zh-CN"/>
              </w:rPr>
              <w:t>33.0</w:t>
            </w:r>
          </w:p>
        </w:tc>
        <w:tc>
          <w:tcPr>
            <w:tcW w:w="537" w:type="dxa"/>
            <w:shd w:val="clear" w:color="auto" w:fill="auto"/>
            <w:noWrap w:val="0"/>
            <w:vAlign w:val="center"/>
          </w:tcPr>
          <w:p w14:paraId="58634246">
            <w:pPr>
              <w:spacing w:line="280" w:lineRule="exact"/>
              <w:jc w:val="center"/>
              <w:rPr>
                <w:rFonts w:hint="default" w:cs="Times New Roman"/>
                <w:color w:val="auto"/>
                <w:szCs w:val="21"/>
                <w:highlight w:val="none"/>
                <w:lang w:val="en-US" w:eastAsia="zh-CN"/>
              </w:rPr>
            </w:pPr>
            <w:r>
              <w:rPr>
                <w:rFonts w:hint="eastAsia" w:cs="Times New Roman"/>
                <w:color w:val="auto"/>
                <w:szCs w:val="21"/>
                <w:highlight w:val="none"/>
                <w:lang w:val="en-US" w:eastAsia="zh-CN"/>
              </w:rPr>
              <w:t>18.4</w:t>
            </w:r>
          </w:p>
        </w:tc>
        <w:tc>
          <w:tcPr>
            <w:tcW w:w="542" w:type="dxa"/>
            <w:shd w:val="clear" w:color="auto" w:fill="auto"/>
            <w:noWrap w:val="0"/>
            <w:vAlign w:val="center"/>
          </w:tcPr>
          <w:p w14:paraId="6FF1E044">
            <w:pPr>
              <w:spacing w:line="280" w:lineRule="exact"/>
              <w:jc w:val="center"/>
              <w:rPr>
                <w:rFonts w:hint="default" w:cs="Times New Roman"/>
                <w:color w:val="auto"/>
                <w:szCs w:val="21"/>
                <w:highlight w:val="none"/>
                <w:lang w:val="en-US" w:eastAsia="zh-CN"/>
              </w:rPr>
            </w:pPr>
            <w:r>
              <w:rPr>
                <w:rFonts w:hint="eastAsia" w:cs="Times New Roman"/>
                <w:color w:val="auto"/>
                <w:szCs w:val="21"/>
                <w:highlight w:val="none"/>
                <w:lang w:val="en-US" w:eastAsia="zh-CN"/>
              </w:rPr>
              <w:t>57.5</w:t>
            </w:r>
          </w:p>
        </w:tc>
        <w:tc>
          <w:tcPr>
            <w:tcW w:w="558" w:type="dxa"/>
            <w:shd w:val="clear" w:color="auto" w:fill="auto"/>
            <w:noWrap w:val="0"/>
            <w:vAlign w:val="center"/>
          </w:tcPr>
          <w:p w14:paraId="484B5CB7">
            <w:pPr>
              <w:spacing w:line="280" w:lineRule="exact"/>
              <w:jc w:val="center"/>
              <w:rPr>
                <w:rFonts w:hint="default" w:cs="Times New Roman"/>
                <w:color w:val="auto"/>
                <w:szCs w:val="21"/>
                <w:highlight w:val="none"/>
                <w:lang w:val="en-US" w:eastAsia="zh-CN"/>
              </w:rPr>
            </w:pPr>
            <w:r>
              <w:rPr>
                <w:rFonts w:hint="eastAsia" w:cs="Times New Roman"/>
                <w:color w:val="auto"/>
                <w:szCs w:val="21"/>
                <w:highlight w:val="none"/>
                <w:lang w:val="en-US" w:eastAsia="zh-CN"/>
              </w:rPr>
              <w:t>144.2</w:t>
            </w:r>
          </w:p>
        </w:tc>
        <w:tc>
          <w:tcPr>
            <w:tcW w:w="542" w:type="dxa"/>
            <w:shd w:val="clear" w:color="auto" w:fill="auto"/>
            <w:noWrap w:val="0"/>
            <w:vAlign w:val="center"/>
          </w:tcPr>
          <w:p w14:paraId="357DE254">
            <w:pPr>
              <w:spacing w:line="280" w:lineRule="exact"/>
              <w:jc w:val="center"/>
              <w:rPr>
                <w:rFonts w:hint="eastAsia" w:cs="Times New Roman"/>
                <w:color w:val="auto"/>
                <w:szCs w:val="21"/>
                <w:highlight w:val="none"/>
                <w:lang w:val="en-US" w:eastAsia="zh-CN"/>
              </w:rPr>
            </w:pPr>
            <w:r>
              <w:rPr>
                <w:rFonts w:hint="eastAsia" w:cs="Times New Roman"/>
                <w:color w:val="auto"/>
                <w:szCs w:val="21"/>
                <w:highlight w:val="none"/>
                <w:lang w:val="en-US" w:eastAsia="zh-CN"/>
              </w:rPr>
              <w:t xml:space="preserve">49.9 </w:t>
            </w:r>
          </w:p>
        </w:tc>
        <w:tc>
          <w:tcPr>
            <w:tcW w:w="542" w:type="dxa"/>
            <w:shd w:val="clear" w:color="auto" w:fill="auto"/>
            <w:noWrap w:val="0"/>
            <w:vAlign w:val="center"/>
          </w:tcPr>
          <w:p w14:paraId="52B2E94F">
            <w:pPr>
              <w:spacing w:line="280" w:lineRule="exact"/>
              <w:jc w:val="center"/>
              <w:rPr>
                <w:rFonts w:hint="eastAsia" w:cs="Times New Roman"/>
                <w:color w:val="auto"/>
                <w:szCs w:val="21"/>
                <w:highlight w:val="none"/>
                <w:lang w:val="en-US" w:eastAsia="zh-CN"/>
              </w:rPr>
            </w:pPr>
            <w:r>
              <w:rPr>
                <w:rFonts w:hint="eastAsia" w:cs="Times New Roman"/>
                <w:color w:val="auto"/>
                <w:szCs w:val="21"/>
                <w:highlight w:val="none"/>
                <w:lang w:val="en-US" w:eastAsia="zh-CN"/>
              </w:rPr>
              <w:t xml:space="preserve">50.1 </w:t>
            </w:r>
          </w:p>
        </w:tc>
        <w:tc>
          <w:tcPr>
            <w:tcW w:w="542" w:type="dxa"/>
            <w:shd w:val="clear" w:color="auto" w:fill="auto"/>
            <w:noWrap w:val="0"/>
            <w:vAlign w:val="center"/>
          </w:tcPr>
          <w:p w14:paraId="2B50B712">
            <w:pPr>
              <w:spacing w:line="280" w:lineRule="exact"/>
              <w:jc w:val="center"/>
              <w:rPr>
                <w:rFonts w:hint="eastAsia" w:cs="Times New Roman"/>
                <w:color w:val="auto"/>
                <w:szCs w:val="21"/>
                <w:highlight w:val="none"/>
                <w:lang w:val="en-US" w:eastAsia="zh-CN"/>
              </w:rPr>
            </w:pPr>
            <w:r>
              <w:rPr>
                <w:rFonts w:hint="eastAsia" w:cs="Times New Roman"/>
                <w:color w:val="auto"/>
                <w:szCs w:val="21"/>
                <w:highlight w:val="none"/>
                <w:lang w:val="en-US" w:eastAsia="zh-CN"/>
              </w:rPr>
              <w:t xml:space="preserve">49.8 </w:t>
            </w:r>
          </w:p>
        </w:tc>
        <w:tc>
          <w:tcPr>
            <w:tcW w:w="555" w:type="dxa"/>
            <w:shd w:val="clear" w:color="auto" w:fill="auto"/>
            <w:noWrap w:val="0"/>
            <w:vAlign w:val="center"/>
          </w:tcPr>
          <w:p w14:paraId="60CB7738">
            <w:pPr>
              <w:spacing w:line="280" w:lineRule="exact"/>
              <w:jc w:val="center"/>
              <w:rPr>
                <w:rFonts w:hint="eastAsia" w:cs="Times New Roman"/>
                <w:color w:val="auto"/>
                <w:szCs w:val="21"/>
                <w:highlight w:val="none"/>
                <w:lang w:val="en-US" w:eastAsia="zh-CN"/>
              </w:rPr>
            </w:pPr>
            <w:r>
              <w:rPr>
                <w:rFonts w:hint="eastAsia" w:cs="Times New Roman"/>
                <w:color w:val="auto"/>
                <w:szCs w:val="21"/>
                <w:highlight w:val="none"/>
                <w:lang w:val="en-US" w:eastAsia="zh-CN"/>
              </w:rPr>
              <w:t xml:space="preserve">49.8 </w:t>
            </w:r>
          </w:p>
        </w:tc>
        <w:tc>
          <w:tcPr>
            <w:tcW w:w="542" w:type="dxa"/>
            <w:vMerge w:val="continue"/>
            <w:shd w:val="clear" w:color="auto" w:fill="auto"/>
            <w:noWrap w:val="0"/>
            <w:vAlign w:val="center"/>
          </w:tcPr>
          <w:p w14:paraId="0B5D2A84">
            <w:pPr>
              <w:spacing w:line="280" w:lineRule="exact"/>
              <w:jc w:val="center"/>
              <w:rPr>
                <w:rFonts w:hint="default" w:ascii="Times New Roman" w:hAnsi="Times New Roman" w:eastAsia="宋体"/>
                <w:color w:val="auto"/>
                <w:szCs w:val="21"/>
                <w:highlight w:val="none"/>
                <w:lang w:val="en-US" w:eastAsia="zh-CN"/>
              </w:rPr>
            </w:pPr>
          </w:p>
        </w:tc>
        <w:tc>
          <w:tcPr>
            <w:tcW w:w="897" w:type="dxa"/>
            <w:shd w:val="clear" w:color="auto" w:fill="auto"/>
            <w:noWrap w:val="0"/>
            <w:vAlign w:val="center"/>
          </w:tcPr>
          <w:p w14:paraId="37730D5B">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24.3</w:t>
            </w:r>
          </w:p>
        </w:tc>
        <w:tc>
          <w:tcPr>
            <w:tcW w:w="746" w:type="dxa"/>
            <w:shd w:val="clear" w:color="auto" w:fill="auto"/>
            <w:noWrap w:val="0"/>
            <w:vAlign w:val="center"/>
          </w:tcPr>
          <w:p w14:paraId="4046554C">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25.6</w:t>
            </w:r>
          </w:p>
        </w:tc>
        <w:tc>
          <w:tcPr>
            <w:tcW w:w="689" w:type="dxa"/>
            <w:shd w:val="clear" w:color="auto" w:fill="auto"/>
            <w:noWrap w:val="0"/>
            <w:vAlign w:val="center"/>
          </w:tcPr>
          <w:p w14:paraId="7FC58BAC">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25.8</w:t>
            </w:r>
          </w:p>
        </w:tc>
        <w:tc>
          <w:tcPr>
            <w:tcW w:w="838" w:type="dxa"/>
            <w:shd w:val="clear" w:color="auto" w:fill="auto"/>
            <w:noWrap w:val="0"/>
            <w:vAlign w:val="center"/>
          </w:tcPr>
          <w:p w14:paraId="3ADD8496">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25.5</w:t>
            </w:r>
          </w:p>
        </w:tc>
        <w:tc>
          <w:tcPr>
            <w:tcW w:w="750" w:type="dxa"/>
            <w:shd w:val="clear" w:color="auto" w:fill="auto"/>
            <w:noWrap w:val="0"/>
            <w:vAlign w:val="center"/>
          </w:tcPr>
          <w:p w14:paraId="2D0B6C50">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25.5</w:t>
            </w:r>
          </w:p>
        </w:tc>
        <w:tc>
          <w:tcPr>
            <w:tcW w:w="1096" w:type="dxa"/>
            <w:shd w:val="clear" w:color="auto" w:fill="auto"/>
            <w:noWrap w:val="0"/>
            <w:vAlign w:val="center"/>
          </w:tcPr>
          <w:p w14:paraId="07C14237">
            <w:pPr>
              <w:spacing w:line="280" w:lineRule="exact"/>
              <w:jc w:val="center"/>
              <w:rPr>
                <w:rFonts w:hint="default" w:cs="Times New Roman"/>
                <w:color w:val="auto"/>
                <w:szCs w:val="21"/>
                <w:highlight w:val="none"/>
                <w:lang w:val="en-US" w:eastAsia="zh-CN"/>
              </w:rPr>
            </w:pPr>
            <w:r>
              <w:rPr>
                <w:rFonts w:hint="eastAsia" w:cs="Times New Roman"/>
                <w:color w:val="auto"/>
                <w:szCs w:val="21"/>
                <w:highlight w:val="none"/>
                <w:lang w:val="en-US" w:eastAsia="zh-CN"/>
              </w:rPr>
              <w:t>1</w:t>
            </w:r>
          </w:p>
        </w:tc>
      </w:tr>
      <w:tr w14:paraId="06005F6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27" w:type="dxa"/>
            <w:shd w:val="clear" w:color="auto" w:fill="auto"/>
            <w:noWrap w:val="0"/>
            <w:vAlign w:val="center"/>
          </w:tcPr>
          <w:p w14:paraId="5D9B8B4C">
            <w:pPr>
              <w:spacing w:line="280" w:lineRule="exact"/>
              <w:jc w:val="center"/>
              <w:rPr>
                <w:rFonts w:hint="default"/>
                <w:color w:val="auto"/>
                <w:szCs w:val="21"/>
                <w:highlight w:val="none"/>
                <w:lang w:val="en-US" w:eastAsia="zh-CN"/>
              </w:rPr>
            </w:pPr>
            <w:r>
              <w:rPr>
                <w:rFonts w:hint="eastAsia"/>
                <w:color w:val="auto"/>
                <w:szCs w:val="21"/>
                <w:highlight w:val="none"/>
                <w:lang w:val="en-US" w:eastAsia="zh-CN"/>
              </w:rPr>
              <w:t>73</w:t>
            </w:r>
          </w:p>
        </w:tc>
        <w:tc>
          <w:tcPr>
            <w:tcW w:w="1428" w:type="dxa"/>
            <w:shd w:val="clear" w:color="auto" w:fill="auto"/>
            <w:noWrap w:val="0"/>
            <w:vAlign w:val="center"/>
          </w:tcPr>
          <w:p w14:paraId="47EC11E8">
            <w:pPr>
              <w:spacing w:line="280" w:lineRule="exact"/>
              <w:jc w:val="center"/>
              <w:rPr>
                <w:rFonts w:hint="default" w:ascii="Times New Roman" w:hAnsi="Times New Roman" w:cs="Times New Roman"/>
                <w:color w:val="auto"/>
                <w:szCs w:val="21"/>
                <w:highlight w:val="none"/>
                <w:lang w:val="en-US" w:eastAsia="zh-CN"/>
              </w:rPr>
            </w:pPr>
            <w:r>
              <w:rPr>
                <w:rFonts w:hint="default" w:ascii="Times New Roman" w:hAnsi="Times New Roman" w:cs="Times New Roman"/>
                <w:color w:val="auto"/>
                <w:sz w:val="21"/>
                <w:szCs w:val="21"/>
                <w:highlight w:val="none"/>
              </w:rPr>
              <w:t>正极</w:t>
            </w:r>
            <w:r>
              <w:rPr>
                <w:rFonts w:hint="default" w:ascii="Times New Roman" w:hAnsi="Times New Roman" w:cs="Times New Roman"/>
                <w:color w:val="auto"/>
                <w:sz w:val="21"/>
                <w:szCs w:val="21"/>
                <w:highlight w:val="none"/>
                <w:lang w:val="en-US" w:eastAsia="zh-CN"/>
              </w:rPr>
              <w:t>粉体上料系统</w:t>
            </w:r>
            <w:r>
              <w:rPr>
                <w:rFonts w:hint="eastAsia" w:cs="Times New Roman"/>
                <w:color w:val="auto"/>
                <w:sz w:val="21"/>
                <w:szCs w:val="21"/>
                <w:highlight w:val="none"/>
                <w:lang w:val="en-US" w:eastAsia="zh-CN"/>
              </w:rPr>
              <w:t>2#</w:t>
            </w:r>
          </w:p>
        </w:tc>
        <w:tc>
          <w:tcPr>
            <w:tcW w:w="537" w:type="dxa"/>
            <w:shd w:val="clear" w:color="auto" w:fill="auto"/>
            <w:noWrap w:val="0"/>
            <w:vAlign w:val="center"/>
          </w:tcPr>
          <w:p w14:paraId="5023933C">
            <w:pPr>
              <w:spacing w:line="280" w:lineRule="exact"/>
              <w:jc w:val="center"/>
              <w:rPr>
                <w:rFonts w:hint="default"/>
                <w:color w:val="auto"/>
                <w:szCs w:val="21"/>
                <w:highlight w:val="none"/>
                <w:lang w:val="en-US" w:eastAsia="zh-CN"/>
              </w:rPr>
            </w:pPr>
            <w:r>
              <w:rPr>
                <w:rFonts w:hint="eastAsia"/>
                <w:color w:val="auto"/>
                <w:szCs w:val="21"/>
                <w:highlight w:val="none"/>
                <w:lang w:val="en-US" w:eastAsia="zh-CN"/>
              </w:rPr>
              <w:t>75</w:t>
            </w:r>
          </w:p>
        </w:tc>
        <w:tc>
          <w:tcPr>
            <w:tcW w:w="537" w:type="dxa"/>
            <w:shd w:val="clear" w:color="auto" w:fill="auto"/>
            <w:noWrap w:val="0"/>
            <w:vAlign w:val="center"/>
          </w:tcPr>
          <w:p w14:paraId="6AC8B05D">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47.05</w:t>
            </w:r>
          </w:p>
        </w:tc>
        <w:tc>
          <w:tcPr>
            <w:tcW w:w="537" w:type="dxa"/>
            <w:shd w:val="clear" w:color="auto" w:fill="auto"/>
            <w:noWrap w:val="0"/>
            <w:vAlign w:val="center"/>
          </w:tcPr>
          <w:p w14:paraId="442EDFAB">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33.41</w:t>
            </w:r>
          </w:p>
        </w:tc>
        <w:tc>
          <w:tcPr>
            <w:tcW w:w="558" w:type="dxa"/>
            <w:shd w:val="clear" w:color="auto" w:fill="auto"/>
            <w:noWrap w:val="0"/>
            <w:vAlign w:val="center"/>
          </w:tcPr>
          <w:p w14:paraId="0CA2CD98">
            <w:pPr>
              <w:spacing w:line="280" w:lineRule="exact"/>
              <w:jc w:val="center"/>
              <w:rPr>
                <w:rFonts w:hint="default" w:cs="Times New Roman"/>
                <w:color w:val="auto"/>
                <w:szCs w:val="21"/>
                <w:highlight w:val="none"/>
                <w:lang w:val="en-US" w:eastAsia="zh-CN"/>
              </w:rPr>
            </w:pPr>
            <w:r>
              <w:rPr>
                <w:rFonts w:hint="eastAsia" w:cs="Times New Roman"/>
                <w:color w:val="auto"/>
                <w:szCs w:val="21"/>
                <w:highlight w:val="none"/>
                <w:lang w:val="en-US" w:eastAsia="zh-CN"/>
              </w:rPr>
              <w:t>1.3</w:t>
            </w:r>
          </w:p>
        </w:tc>
        <w:tc>
          <w:tcPr>
            <w:tcW w:w="537" w:type="dxa"/>
            <w:shd w:val="clear" w:color="auto" w:fill="auto"/>
            <w:noWrap w:val="0"/>
            <w:vAlign w:val="center"/>
          </w:tcPr>
          <w:p w14:paraId="6AAF5994">
            <w:pPr>
              <w:spacing w:line="280" w:lineRule="exact"/>
              <w:jc w:val="center"/>
              <w:rPr>
                <w:rFonts w:hint="default" w:cs="Times New Roman"/>
                <w:color w:val="auto"/>
                <w:szCs w:val="21"/>
                <w:highlight w:val="none"/>
                <w:lang w:val="en-US" w:eastAsia="zh-CN"/>
              </w:rPr>
            </w:pPr>
            <w:r>
              <w:rPr>
                <w:rFonts w:hint="eastAsia" w:cs="Times New Roman"/>
                <w:color w:val="auto"/>
                <w:szCs w:val="21"/>
                <w:highlight w:val="none"/>
                <w:lang w:val="en-US" w:eastAsia="zh-CN"/>
              </w:rPr>
              <w:t>33.6</w:t>
            </w:r>
          </w:p>
        </w:tc>
        <w:tc>
          <w:tcPr>
            <w:tcW w:w="537" w:type="dxa"/>
            <w:shd w:val="clear" w:color="auto" w:fill="auto"/>
            <w:noWrap w:val="0"/>
            <w:vAlign w:val="center"/>
          </w:tcPr>
          <w:p w14:paraId="26878E90">
            <w:pPr>
              <w:spacing w:line="280" w:lineRule="exact"/>
              <w:jc w:val="center"/>
              <w:rPr>
                <w:rFonts w:hint="default" w:cs="Times New Roman"/>
                <w:color w:val="auto"/>
                <w:szCs w:val="21"/>
                <w:highlight w:val="none"/>
                <w:lang w:val="en-US" w:eastAsia="zh-CN"/>
              </w:rPr>
            </w:pPr>
            <w:r>
              <w:rPr>
                <w:rFonts w:hint="eastAsia" w:cs="Times New Roman"/>
                <w:color w:val="auto"/>
                <w:szCs w:val="21"/>
                <w:highlight w:val="none"/>
                <w:lang w:val="en-US" w:eastAsia="zh-CN"/>
              </w:rPr>
              <w:t>16.4</w:t>
            </w:r>
          </w:p>
        </w:tc>
        <w:tc>
          <w:tcPr>
            <w:tcW w:w="542" w:type="dxa"/>
            <w:shd w:val="clear" w:color="auto" w:fill="auto"/>
            <w:noWrap w:val="0"/>
            <w:vAlign w:val="center"/>
          </w:tcPr>
          <w:p w14:paraId="5385840F">
            <w:pPr>
              <w:spacing w:line="280" w:lineRule="exact"/>
              <w:jc w:val="center"/>
              <w:rPr>
                <w:rFonts w:hint="default" w:cs="Times New Roman"/>
                <w:color w:val="auto"/>
                <w:szCs w:val="21"/>
                <w:highlight w:val="none"/>
                <w:lang w:val="en-US" w:eastAsia="zh-CN"/>
              </w:rPr>
            </w:pPr>
            <w:r>
              <w:rPr>
                <w:rFonts w:hint="eastAsia" w:cs="Times New Roman"/>
                <w:color w:val="auto"/>
                <w:szCs w:val="21"/>
                <w:highlight w:val="none"/>
                <w:lang w:val="en-US" w:eastAsia="zh-CN"/>
              </w:rPr>
              <w:t>56.5</w:t>
            </w:r>
          </w:p>
        </w:tc>
        <w:tc>
          <w:tcPr>
            <w:tcW w:w="558" w:type="dxa"/>
            <w:shd w:val="clear" w:color="auto" w:fill="auto"/>
            <w:noWrap w:val="0"/>
            <w:vAlign w:val="center"/>
          </w:tcPr>
          <w:p w14:paraId="21F039DC">
            <w:pPr>
              <w:spacing w:line="280" w:lineRule="exact"/>
              <w:jc w:val="center"/>
              <w:rPr>
                <w:rFonts w:hint="default" w:cs="Times New Roman"/>
                <w:color w:val="auto"/>
                <w:szCs w:val="21"/>
                <w:highlight w:val="none"/>
                <w:lang w:val="en-US" w:eastAsia="zh-CN"/>
              </w:rPr>
            </w:pPr>
            <w:r>
              <w:rPr>
                <w:rFonts w:hint="eastAsia" w:cs="Times New Roman"/>
                <w:color w:val="auto"/>
                <w:szCs w:val="21"/>
                <w:highlight w:val="none"/>
                <w:lang w:val="en-US" w:eastAsia="zh-CN"/>
              </w:rPr>
              <w:t>146.5</w:t>
            </w:r>
          </w:p>
        </w:tc>
        <w:tc>
          <w:tcPr>
            <w:tcW w:w="542" w:type="dxa"/>
            <w:shd w:val="clear" w:color="auto" w:fill="auto"/>
            <w:noWrap w:val="0"/>
            <w:vAlign w:val="center"/>
          </w:tcPr>
          <w:p w14:paraId="7D1D06D7">
            <w:pPr>
              <w:spacing w:line="280" w:lineRule="exact"/>
              <w:jc w:val="center"/>
              <w:rPr>
                <w:rFonts w:hint="eastAsia" w:cs="Times New Roman"/>
                <w:color w:val="auto"/>
                <w:szCs w:val="21"/>
                <w:highlight w:val="none"/>
                <w:lang w:val="en-US" w:eastAsia="zh-CN"/>
              </w:rPr>
            </w:pPr>
            <w:r>
              <w:rPr>
                <w:rFonts w:hint="eastAsia" w:cs="Times New Roman"/>
                <w:color w:val="auto"/>
                <w:szCs w:val="21"/>
                <w:highlight w:val="none"/>
                <w:lang w:val="en-US" w:eastAsia="zh-CN"/>
              </w:rPr>
              <w:t xml:space="preserve">49.9 </w:t>
            </w:r>
          </w:p>
        </w:tc>
        <w:tc>
          <w:tcPr>
            <w:tcW w:w="542" w:type="dxa"/>
            <w:shd w:val="clear" w:color="auto" w:fill="auto"/>
            <w:noWrap w:val="0"/>
            <w:vAlign w:val="center"/>
          </w:tcPr>
          <w:p w14:paraId="0FE534F8">
            <w:pPr>
              <w:spacing w:line="280" w:lineRule="exact"/>
              <w:jc w:val="center"/>
              <w:rPr>
                <w:rFonts w:hint="eastAsia" w:cs="Times New Roman"/>
                <w:color w:val="auto"/>
                <w:szCs w:val="21"/>
                <w:highlight w:val="none"/>
                <w:lang w:val="en-US" w:eastAsia="zh-CN"/>
              </w:rPr>
            </w:pPr>
            <w:r>
              <w:rPr>
                <w:rFonts w:hint="eastAsia" w:cs="Times New Roman"/>
                <w:color w:val="auto"/>
                <w:szCs w:val="21"/>
                <w:highlight w:val="none"/>
                <w:lang w:val="en-US" w:eastAsia="zh-CN"/>
              </w:rPr>
              <w:t xml:space="preserve">50.2 </w:t>
            </w:r>
          </w:p>
        </w:tc>
        <w:tc>
          <w:tcPr>
            <w:tcW w:w="542" w:type="dxa"/>
            <w:shd w:val="clear" w:color="auto" w:fill="auto"/>
            <w:noWrap w:val="0"/>
            <w:vAlign w:val="center"/>
          </w:tcPr>
          <w:p w14:paraId="1F6BF468">
            <w:pPr>
              <w:spacing w:line="280" w:lineRule="exact"/>
              <w:jc w:val="center"/>
              <w:rPr>
                <w:rFonts w:hint="eastAsia" w:cs="Times New Roman"/>
                <w:color w:val="auto"/>
                <w:szCs w:val="21"/>
                <w:highlight w:val="none"/>
                <w:lang w:val="en-US" w:eastAsia="zh-CN"/>
              </w:rPr>
            </w:pPr>
            <w:r>
              <w:rPr>
                <w:rFonts w:hint="eastAsia" w:cs="Times New Roman"/>
                <w:color w:val="auto"/>
                <w:szCs w:val="21"/>
                <w:highlight w:val="none"/>
                <w:lang w:val="en-US" w:eastAsia="zh-CN"/>
              </w:rPr>
              <w:t xml:space="preserve">49.8 </w:t>
            </w:r>
          </w:p>
        </w:tc>
        <w:tc>
          <w:tcPr>
            <w:tcW w:w="555" w:type="dxa"/>
            <w:shd w:val="clear" w:color="auto" w:fill="auto"/>
            <w:noWrap w:val="0"/>
            <w:vAlign w:val="center"/>
          </w:tcPr>
          <w:p w14:paraId="49318DF7">
            <w:pPr>
              <w:spacing w:line="280" w:lineRule="exact"/>
              <w:jc w:val="center"/>
              <w:rPr>
                <w:rFonts w:hint="eastAsia" w:cs="Times New Roman"/>
                <w:color w:val="auto"/>
                <w:szCs w:val="21"/>
                <w:highlight w:val="none"/>
                <w:lang w:val="en-US" w:eastAsia="zh-CN"/>
              </w:rPr>
            </w:pPr>
            <w:r>
              <w:rPr>
                <w:rFonts w:hint="eastAsia" w:cs="Times New Roman"/>
                <w:color w:val="auto"/>
                <w:szCs w:val="21"/>
                <w:highlight w:val="none"/>
                <w:lang w:val="en-US" w:eastAsia="zh-CN"/>
              </w:rPr>
              <w:t xml:space="preserve">49.8 </w:t>
            </w:r>
          </w:p>
        </w:tc>
        <w:tc>
          <w:tcPr>
            <w:tcW w:w="542" w:type="dxa"/>
            <w:vMerge w:val="continue"/>
            <w:shd w:val="clear" w:color="auto" w:fill="auto"/>
            <w:noWrap w:val="0"/>
            <w:vAlign w:val="center"/>
          </w:tcPr>
          <w:p w14:paraId="258AEC33">
            <w:pPr>
              <w:spacing w:line="280" w:lineRule="exact"/>
              <w:jc w:val="center"/>
              <w:rPr>
                <w:rFonts w:hint="default" w:ascii="Times New Roman" w:hAnsi="Times New Roman" w:eastAsia="宋体"/>
                <w:color w:val="auto"/>
                <w:szCs w:val="21"/>
                <w:highlight w:val="none"/>
                <w:lang w:val="en-US" w:eastAsia="zh-CN"/>
              </w:rPr>
            </w:pPr>
          </w:p>
        </w:tc>
        <w:tc>
          <w:tcPr>
            <w:tcW w:w="897" w:type="dxa"/>
            <w:shd w:val="clear" w:color="auto" w:fill="auto"/>
            <w:noWrap w:val="0"/>
            <w:vAlign w:val="center"/>
          </w:tcPr>
          <w:p w14:paraId="676AACE7">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24.3</w:t>
            </w:r>
          </w:p>
        </w:tc>
        <w:tc>
          <w:tcPr>
            <w:tcW w:w="746" w:type="dxa"/>
            <w:shd w:val="clear" w:color="auto" w:fill="auto"/>
            <w:noWrap w:val="0"/>
            <w:vAlign w:val="center"/>
          </w:tcPr>
          <w:p w14:paraId="3D852EB3">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25.6</w:t>
            </w:r>
          </w:p>
        </w:tc>
        <w:tc>
          <w:tcPr>
            <w:tcW w:w="689" w:type="dxa"/>
            <w:shd w:val="clear" w:color="auto" w:fill="auto"/>
            <w:noWrap w:val="0"/>
            <w:vAlign w:val="center"/>
          </w:tcPr>
          <w:p w14:paraId="407309CB">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25.9</w:t>
            </w:r>
          </w:p>
        </w:tc>
        <w:tc>
          <w:tcPr>
            <w:tcW w:w="838" w:type="dxa"/>
            <w:shd w:val="clear" w:color="auto" w:fill="auto"/>
            <w:noWrap w:val="0"/>
            <w:vAlign w:val="center"/>
          </w:tcPr>
          <w:p w14:paraId="51226A66">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25.5</w:t>
            </w:r>
          </w:p>
        </w:tc>
        <w:tc>
          <w:tcPr>
            <w:tcW w:w="750" w:type="dxa"/>
            <w:shd w:val="clear" w:color="auto" w:fill="auto"/>
            <w:noWrap w:val="0"/>
            <w:vAlign w:val="center"/>
          </w:tcPr>
          <w:p w14:paraId="29CF3A34">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25.5</w:t>
            </w:r>
          </w:p>
        </w:tc>
        <w:tc>
          <w:tcPr>
            <w:tcW w:w="1096" w:type="dxa"/>
            <w:shd w:val="clear" w:color="auto" w:fill="auto"/>
            <w:noWrap w:val="0"/>
            <w:vAlign w:val="center"/>
          </w:tcPr>
          <w:p w14:paraId="784CD52A">
            <w:pPr>
              <w:spacing w:line="280" w:lineRule="exact"/>
              <w:jc w:val="center"/>
              <w:rPr>
                <w:rFonts w:hint="default" w:cs="Times New Roman"/>
                <w:color w:val="auto"/>
                <w:szCs w:val="21"/>
                <w:highlight w:val="none"/>
                <w:lang w:val="en-US" w:eastAsia="zh-CN"/>
              </w:rPr>
            </w:pPr>
            <w:r>
              <w:rPr>
                <w:rFonts w:hint="eastAsia" w:cs="Times New Roman"/>
                <w:color w:val="auto"/>
                <w:szCs w:val="21"/>
                <w:highlight w:val="none"/>
                <w:lang w:val="en-US" w:eastAsia="zh-CN"/>
              </w:rPr>
              <w:t>1</w:t>
            </w:r>
          </w:p>
        </w:tc>
      </w:tr>
      <w:tr w14:paraId="01EE919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27" w:type="dxa"/>
            <w:shd w:val="clear" w:color="auto" w:fill="auto"/>
            <w:noWrap w:val="0"/>
            <w:vAlign w:val="center"/>
          </w:tcPr>
          <w:p w14:paraId="47804C66">
            <w:pPr>
              <w:spacing w:line="280" w:lineRule="exact"/>
              <w:jc w:val="center"/>
              <w:rPr>
                <w:rFonts w:hint="default"/>
                <w:color w:val="auto"/>
                <w:szCs w:val="21"/>
                <w:highlight w:val="none"/>
                <w:lang w:val="en-US" w:eastAsia="zh-CN"/>
              </w:rPr>
            </w:pPr>
            <w:r>
              <w:rPr>
                <w:rFonts w:hint="eastAsia"/>
                <w:color w:val="auto"/>
                <w:szCs w:val="21"/>
                <w:highlight w:val="none"/>
                <w:lang w:val="en-US" w:eastAsia="zh-CN"/>
              </w:rPr>
              <w:t>74</w:t>
            </w:r>
          </w:p>
        </w:tc>
        <w:tc>
          <w:tcPr>
            <w:tcW w:w="1428" w:type="dxa"/>
            <w:shd w:val="clear" w:color="auto" w:fill="auto"/>
            <w:noWrap w:val="0"/>
            <w:vAlign w:val="center"/>
          </w:tcPr>
          <w:p w14:paraId="320E04AA">
            <w:pPr>
              <w:spacing w:line="280" w:lineRule="exact"/>
              <w:jc w:val="center"/>
              <w:rPr>
                <w:rFonts w:hint="default" w:ascii="Times New Roman" w:hAnsi="Times New Roman" w:cs="Times New Roman"/>
                <w:color w:val="auto"/>
                <w:szCs w:val="21"/>
                <w:highlight w:val="none"/>
                <w:lang w:val="en-US" w:eastAsia="zh-CN"/>
              </w:rPr>
            </w:pPr>
            <w:r>
              <w:rPr>
                <w:rFonts w:hint="default" w:ascii="Times New Roman" w:hAnsi="Times New Roman" w:cs="Times New Roman"/>
                <w:color w:val="auto"/>
                <w:sz w:val="21"/>
                <w:szCs w:val="21"/>
                <w:highlight w:val="none"/>
              </w:rPr>
              <w:t>正极</w:t>
            </w:r>
            <w:r>
              <w:rPr>
                <w:rFonts w:hint="default" w:ascii="Times New Roman" w:hAnsi="Times New Roman" w:cs="Times New Roman"/>
                <w:color w:val="auto"/>
                <w:sz w:val="21"/>
                <w:szCs w:val="21"/>
                <w:highlight w:val="none"/>
                <w:lang w:val="en-US" w:eastAsia="zh-CN"/>
              </w:rPr>
              <w:t>液体上料系统</w:t>
            </w:r>
          </w:p>
        </w:tc>
        <w:tc>
          <w:tcPr>
            <w:tcW w:w="537" w:type="dxa"/>
            <w:shd w:val="clear" w:color="auto" w:fill="auto"/>
            <w:noWrap w:val="0"/>
            <w:vAlign w:val="center"/>
          </w:tcPr>
          <w:p w14:paraId="01D99AC2">
            <w:pPr>
              <w:spacing w:line="280" w:lineRule="exact"/>
              <w:jc w:val="center"/>
              <w:rPr>
                <w:rFonts w:hint="default"/>
                <w:color w:val="auto"/>
                <w:szCs w:val="21"/>
                <w:highlight w:val="none"/>
                <w:lang w:val="en-US" w:eastAsia="zh-CN"/>
              </w:rPr>
            </w:pPr>
            <w:r>
              <w:rPr>
                <w:rFonts w:hint="eastAsia"/>
                <w:color w:val="auto"/>
                <w:szCs w:val="21"/>
                <w:highlight w:val="none"/>
                <w:lang w:val="en-US" w:eastAsia="zh-CN"/>
              </w:rPr>
              <w:t>70</w:t>
            </w:r>
          </w:p>
        </w:tc>
        <w:tc>
          <w:tcPr>
            <w:tcW w:w="537" w:type="dxa"/>
            <w:shd w:val="clear" w:color="auto" w:fill="auto"/>
            <w:noWrap w:val="0"/>
            <w:vAlign w:val="center"/>
          </w:tcPr>
          <w:p w14:paraId="2E137D6C">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47.46</w:t>
            </w:r>
          </w:p>
        </w:tc>
        <w:tc>
          <w:tcPr>
            <w:tcW w:w="537" w:type="dxa"/>
            <w:shd w:val="clear" w:color="auto" w:fill="auto"/>
            <w:noWrap w:val="0"/>
            <w:vAlign w:val="center"/>
          </w:tcPr>
          <w:p w14:paraId="3735154E">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33.41</w:t>
            </w:r>
          </w:p>
        </w:tc>
        <w:tc>
          <w:tcPr>
            <w:tcW w:w="558" w:type="dxa"/>
            <w:shd w:val="clear" w:color="auto" w:fill="auto"/>
            <w:noWrap w:val="0"/>
            <w:vAlign w:val="center"/>
          </w:tcPr>
          <w:p w14:paraId="08293CBC">
            <w:pPr>
              <w:spacing w:line="280" w:lineRule="exact"/>
              <w:jc w:val="center"/>
              <w:rPr>
                <w:rFonts w:hint="default" w:cs="Times New Roman"/>
                <w:color w:val="auto"/>
                <w:szCs w:val="21"/>
                <w:highlight w:val="none"/>
                <w:lang w:val="en-US" w:eastAsia="zh-CN"/>
              </w:rPr>
            </w:pPr>
            <w:r>
              <w:rPr>
                <w:rFonts w:hint="eastAsia" w:cs="Times New Roman"/>
                <w:color w:val="auto"/>
                <w:szCs w:val="21"/>
                <w:highlight w:val="none"/>
                <w:lang w:val="en-US" w:eastAsia="zh-CN"/>
              </w:rPr>
              <w:t>1.3</w:t>
            </w:r>
          </w:p>
        </w:tc>
        <w:tc>
          <w:tcPr>
            <w:tcW w:w="537" w:type="dxa"/>
            <w:shd w:val="clear" w:color="auto" w:fill="auto"/>
            <w:noWrap w:val="0"/>
            <w:vAlign w:val="center"/>
          </w:tcPr>
          <w:p w14:paraId="55D59724">
            <w:pPr>
              <w:spacing w:line="280" w:lineRule="exact"/>
              <w:jc w:val="center"/>
              <w:rPr>
                <w:rFonts w:hint="default" w:cs="Times New Roman"/>
                <w:color w:val="auto"/>
                <w:szCs w:val="21"/>
                <w:highlight w:val="none"/>
                <w:lang w:val="en-US" w:eastAsia="zh-CN"/>
              </w:rPr>
            </w:pPr>
            <w:r>
              <w:rPr>
                <w:rFonts w:hint="eastAsia" w:cs="Times New Roman"/>
                <w:color w:val="auto"/>
                <w:szCs w:val="21"/>
                <w:highlight w:val="none"/>
                <w:lang w:val="en-US" w:eastAsia="zh-CN"/>
              </w:rPr>
              <w:t>33.8</w:t>
            </w:r>
          </w:p>
        </w:tc>
        <w:tc>
          <w:tcPr>
            <w:tcW w:w="537" w:type="dxa"/>
            <w:shd w:val="clear" w:color="auto" w:fill="auto"/>
            <w:noWrap w:val="0"/>
            <w:vAlign w:val="center"/>
          </w:tcPr>
          <w:p w14:paraId="748FF5B3">
            <w:pPr>
              <w:spacing w:line="280" w:lineRule="exact"/>
              <w:jc w:val="center"/>
              <w:rPr>
                <w:rFonts w:hint="default" w:cs="Times New Roman"/>
                <w:color w:val="auto"/>
                <w:szCs w:val="21"/>
                <w:highlight w:val="none"/>
                <w:lang w:val="en-US" w:eastAsia="zh-CN"/>
              </w:rPr>
            </w:pPr>
            <w:r>
              <w:rPr>
                <w:rFonts w:hint="eastAsia" w:cs="Times New Roman"/>
                <w:color w:val="auto"/>
                <w:szCs w:val="21"/>
                <w:highlight w:val="none"/>
                <w:lang w:val="en-US" w:eastAsia="zh-CN"/>
              </w:rPr>
              <w:t>16.6</w:t>
            </w:r>
          </w:p>
        </w:tc>
        <w:tc>
          <w:tcPr>
            <w:tcW w:w="542" w:type="dxa"/>
            <w:shd w:val="clear" w:color="auto" w:fill="auto"/>
            <w:noWrap w:val="0"/>
            <w:vAlign w:val="center"/>
          </w:tcPr>
          <w:p w14:paraId="3E14EE7D">
            <w:pPr>
              <w:spacing w:line="280" w:lineRule="exact"/>
              <w:jc w:val="center"/>
              <w:rPr>
                <w:rFonts w:hint="default" w:cs="Times New Roman"/>
                <w:color w:val="auto"/>
                <w:szCs w:val="21"/>
                <w:highlight w:val="none"/>
                <w:lang w:val="en-US" w:eastAsia="zh-CN"/>
              </w:rPr>
            </w:pPr>
            <w:r>
              <w:rPr>
                <w:rFonts w:hint="eastAsia" w:cs="Times New Roman"/>
                <w:color w:val="auto"/>
                <w:szCs w:val="21"/>
                <w:highlight w:val="none"/>
                <w:lang w:val="en-US" w:eastAsia="zh-CN"/>
              </w:rPr>
              <w:t>57.6</w:t>
            </w:r>
          </w:p>
        </w:tc>
        <w:tc>
          <w:tcPr>
            <w:tcW w:w="558" w:type="dxa"/>
            <w:shd w:val="clear" w:color="auto" w:fill="auto"/>
            <w:noWrap w:val="0"/>
            <w:vAlign w:val="center"/>
          </w:tcPr>
          <w:p w14:paraId="6E87FFB5">
            <w:pPr>
              <w:spacing w:line="280" w:lineRule="exact"/>
              <w:jc w:val="center"/>
              <w:rPr>
                <w:rFonts w:hint="default" w:cs="Times New Roman"/>
                <w:color w:val="auto"/>
                <w:szCs w:val="21"/>
                <w:highlight w:val="none"/>
                <w:lang w:val="en-US" w:eastAsia="zh-CN"/>
              </w:rPr>
            </w:pPr>
            <w:r>
              <w:rPr>
                <w:rFonts w:hint="eastAsia" w:cs="Times New Roman"/>
                <w:color w:val="auto"/>
                <w:szCs w:val="21"/>
                <w:highlight w:val="none"/>
                <w:lang w:val="en-US" w:eastAsia="zh-CN"/>
              </w:rPr>
              <w:t>157.8</w:t>
            </w:r>
          </w:p>
        </w:tc>
        <w:tc>
          <w:tcPr>
            <w:tcW w:w="542" w:type="dxa"/>
            <w:shd w:val="clear" w:color="auto" w:fill="auto"/>
            <w:noWrap w:val="0"/>
            <w:vAlign w:val="center"/>
          </w:tcPr>
          <w:p w14:paraId="484CAE41">
            <w:pPr>
              <w:spacing w:line="280" w:lineRule="exact"/>
              <w:jc w:val="center"/>
              <w:rPr>
                <w:rFonts w:hint="eastAsia" w:cs="Times New Roman"/>
                <w:color w:val="auto"/>
                <w:szCs w:val="21"/>
                <w:highlight w:val="none"/>
                <w:lang w:val="en-US" w:eastAsia="zh-CN"/>
              </w:rPr>
            </w:pPr>
            <w:r>
              <w:rPr>
                <w:rFonts w:hint="eastAsia" w:cs="Times New Roman"/>
                <w:color w:val="auto"/>
                <w:szCs w:val="21"/>
                <w:highlight w:val="none"/>
                <w:lang w:val="en-US" w:eastAsia="zh-CN"/>
              </w:rPr>
              <w:t xml:space="preserve">44.9 </w:t>
            </w:r>
          </w:p>
        </w:tc>
        <w:tc>
          <w:tcPr>
            <w:tcW w:w="542" w:type="dxa"/>
            <w:shd w:val="clear" w:color="auto" w:fill="auto"/>
            <w:noWrap w:val="0"/>
            <w:vAlign w:val="center"/>
          </w:tcPr>
          <w:p w14:paraId="0F4F1429">
            <w:pPr>
              <w:spacing w:line="280" w:lineRule="exact"/>
              <w:jc w:val="center"/>
              <w:rPr>
                <w:rFonts w:hint="eastAsia" w:cs="Times New Roman"/>
                <w:color w:val="auto"/>
                <w:szCs w:val="21"/>
                <w:highlight w:val="none"/>
                <w:lang w:val="en-US" w:eastAsia="zh-CN"/>
              </w:rPr>
            </w:pPr>
            <w:r>
              <w:rPr>
                <w:rFonts w:hint="eastAsia" w:cs="Times New Roman"/>
                <w:color w:val="auto"/>
                <w:szCs w:val="21"/>
                <w:highlight w:val="none"/>
                <w:lang w:val="en-US" w:eastAsia="zh-CN"/>
              </w:rPr>
              <w:t xml:space="preserve">45.2 </w:t>
            </w:r>
          </w:p>
        </w:tc>
        <w:tc>
          <w:tcPr>
            <w:tcW w:w="542" w:type="dxa"/>
            <w:shd w:val="clear" w:color="auto" w:fill="auto"/>
            <w:noWrap w:val="0"/>
            <w:vAlign w:val="center"/>
          </w:tcPr>
          <w:p w14:paraId="10015236">
            <w:pPr>
              <w:spacing w:line="280" w:lineRule="exact"/>
              <w:jc w:val="center"/>
              <w:rPr>
                <w:rFonts w:hint="eastAsia" w:cs="Times New Roman"/>
                <w:color w:val="auto"/>
                <w:szCs w:val="21"/>
                <w:highlight w:val="none"/>
                <w:lang w:val="en-US" w:eastAsia="zh-CN"/>
              </w:rPr>
            </w:pPr>
            <w:r>
              <w:rPr>
                <w:rFonts w:hint="eastAsia" w:cs="Times New Roman"/>
                <w:color w:val="auto"/>
                <w:szCs w:val="21"/>
                <w:highlight w:val="none"/>
                <w:lang w:val="en-US" w:eastAsia="zh-CN"/>
              </w:rPr>
              <w:t xml:space="preserve">44.8 </w:t>
            </w:r>
          </w:p>
        </w:tc>
        <w:tc>
          <w:tcPr>
            <w:tcW w:w="555" w:type="dxa"/>
            <w:shd w:val="clear" w:color="auto" w:fill="auto"/>
            <w:noWrap w:val="0"/>
            <w:vAlign w:val="center"/>
          </w:tcPr>
          <w:p w14:paraId="1CAD721C">
            <w:pPr>
              <w:spacing w:line="280" w:lineRule="exact"/>
              <w:jc w:val="center"/>
              <w:rPr>
                <w:rFonts w:hint="eastAsia" w:cs="Times New Roman"/>
                <w:color w:val="auto"/>
                <w:szCs w:val="21"/>
                <w:highlight w:val="none"/>
                <w:lang w:val="en-US" w:eastAsia="zh-CN"/>
              </w:rPr>
            </w:pPr>
            <w:r>
              <w:rPr>
                <w:rFonts w:hint="eastAsia" w:cs="Times New Roman"/>
                <w:color w:val="auto"/>
                <w:szCs w:val="21"/>
                <w:highlight w:val="none"/>
                <w:lang w:val="en-US" w:eastAsia="zh-CN"/>
              </w:rPr>
              <w:t xml:space="preserve">44.8 </w:t>
            </w:r>
          </w:p>
        </w:tc>
        <w:tc>
          <w:tcPr>
            <w:tcW w:w="542" w:type="dxa"/>
            <w:vMerge w:val="continue"/>
            <w:shd w:val="clear" w:color="auto" w:fill="auto"/>
            <w:noWrap w:val="0"/>
            <w:vAlign w:val="center"/>
          </w:tcPr>
          <w:p w14:paraId="6CBBC525">
            <w:pPr>
              <w:spacing w:line="280" w:lineRule="exact"/>
              <w:jc w:val="center"/>
              <w:rPr>
                <w:rFonts w:hint="default" w:ascii="Times New Roman" w:hAnsi="Times New Roman" w:eastAsia="宋体"/>
                <w:color w:val="auto"/>
                <w:szCs w:val="21"/>
                <w:highlight w:val="none"/>
                <w:lang w:val="en-US" w:eastAsia="zh-CN"/>
              </w:rPr>
            </w:pPr>
          </w:p>
        </w:tc>
        <w:tc>
          <w:tcPr>
            <w:tcW w:w="897" w:type="dxa"/>
            <w:shd w:val="clear" w:color="auto" w:fill="auto"/>
            <w:noWrap w:val="0"/>
            <w:vAlign w:val="center"/>
          </w:tcPr>
          <w:p w14:paraId="5207900F">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24.3</w:t>
            </w:r>
          </w:p>
        </w:tc>
        <w:tc>
          <w:tcPr>
            <w:tcW w:w="746" w:type="dxa"/>
            <w:shd w:val="clear" w:color="auto" w:fill="auto"/>
            <w:noWrap w:val="0"/>
            <w:vAlign w:val="center"/>
          </w:tcPr>
          <w:p w14:paraId="4A388777">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20.6</w:t>
            </w:r>
          </w:p>
        </w:tc>
        <w:tc>
          <w:tcPr>
            <w:tcW w:w="689" w:type="dxa"/>
            <w:shd w:val="clear" w:color="auto" w:fill="auto"/>
            <w:noWrap w:val="0"/>
            <w:vAlign w:val="center"/>
          </w:tcPr>
          <w:p w14:paraId="6784CF50">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20.9</w:t>
            </w:r>
          </w:p>
        </w:tc>
        <w:tc>
          <w:tcPr>
            <w:tcW w:w="838" w:type="dxa"/>
            <w:shd w:val="clear" w:color="auto" w:fill="auto"/>
            <w:noWrap w:val="0"/>
            <w:vAlign w:val="center"/>
          </w:tcPr>
          <w:p w14:paraId="62CD1E91">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20.5</w:t>
            </w:r>
          </w:p>
        </w:tc>
        <w:tc>
          <w:tcPr>
            <w:tcW w:w="750" w:type="dxa"/>
            <w:shd w:val="clear" w:color="auto" w:fill="auto"/>
            <w:noWrap w:val="0"/>
            <w:vAlign w:val="center"/>
          </w:tcPr>
          <w:p w14:paraId="4C8D7B93">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20.5</w:t>
            </w:r>
          </w:p>
        </w:tc>
        <w:tc>
          <w:tcPr>
            <w:tcW w:w="1096" w:type="dxa"/>
            <w:shd w:val="clear" w:color="auto" w:fill="auto"/>
            <w:noWrap w:val="0"/>
            <w:vAlign w:val="center"/>
          </w:tcPr>
          <w:p w14:paraId="5CA746B9">
            <w:pPr>
              <w:spacing w:line="280" w:lineRule="exact"/>
              <w:jc w:val="center"/>
              <w:rPr>
                <w:rFonts w:hint="default" w:cs="Times New Roman"/>
                <w:color w:val="auto"/>
                <w:szCs w:val="21"/>
                <w:highlight w:val="none"/>
                <w:lang w:val="en-US" w:eastAsia="zh-CN"/>
              </w:rPr>
            </w:pPr>
            <w:r>
              <w:rPr>
                <w:rFonts w:hint="eastAsia" w:cs="Times New Roman"/>
                <w:color w:val="auto"/>
                <w:szCs w:val="21"/>
                <w:highlight w:val="none"/>
                <w:lang w:val="en-US" w:eastAsia="zh-CN"/>
              </w:rPr>
              <w:t>1</w:t>
            </w:r>
          </w:p>
        </w:tc>
      </w:tr>
      <w:tr w14:paraId="790DB6D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27" w:type="dxa"/>
            <w:shd w:val="clear" w:color="auto" w:fill="auto"/>
            <w:noWrap w:val="0"/>
            <w:vAlign w:val="center"/>
          </w:tcPr>
          <w:p w14:paraId="7B9F31CF">
            <w:pPr>
              <w:spacing w:line="280" w:lineRule="exact"/>
              <w:jc w:val="center"/>
              <w:rPr>
                <w:rFonts w:hint="default"/>
                <w:color w:val="auto"/>
                <w:szCs w:val="21"/>
                <w:highlight w:val="none"/>
                <w:lang w:val="en-US" w:eastAsia="zh-CN"/>
              </w:rPr>
            </w:pPr>
            <w:r>
              <w:rPr>
                <w:rFonts w:hint="eastAsia"/>
                <w:color w:val="auto"/>
                <w:szCs w:val="21"/>
                <w:highlight w:val="none"/>
                <w:lang w:val="en-US" w:eastAsia="zh-CN"/>
              </w:rPr>
              <w:t>75</w:t>
            </w:r>
          </w:p>
        </w:tc>
        <w:tc>
          <w:tcPr>
            <w:tcW w:w="1428" w:type="dxa"/>
            <w:shd w:val="clear" w:color="auto" w:fill="auto"/>
            <w:noWrap w:val="0"/>
            <w:vAlign w:val="center"/>
          </w:tcPr>
          <w:p w14:paraId="6FB251C2">
            <w:pPr>
              <w:spacing w:line="280" w:lineRule="exact"/>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lang w:val="en-US" w:eastAsia="zh-CN"/>
              </w:rPr>
              <w:t>负</w:t>
            </w:r>
            <w:r>
              <w:rPr>
                <w:rFonts w:hint="default" w:ascii="Times New Roman" w:hAnsi="Times New Roman" w:cs="Times New Roman"/>
                <w:color w:val="auto"/>
                <w:sz w:val="21"/>
                <w:szCs w:val="21"/>
                <w:highlight w:val="none"/>
              </w:rPr>
              <w:t>极</w:t>
            </w:r>
            <w:r>
              <w:rPr>
                <w:rFonts w:hint="default" w:ascii="Times New Roman" w:hAnsi="Times New Roman" w:cs="Times New Roman"/>
                <w:color w:val="auto"/>
                <w:sz w:val="21"/>
                <w:szCs w:val="21"/>
                <w:highlight w:val="none"/>
                <w:lang w:val="en-US" w:eastAsia="zh-CN"/>
              </w:rPr>
              <w:t>粉体上料系统</w:t>
            </w:r>
          </w:p>
        </w:tc>
        <w:tc>
          <w:tcPr>
            <w:tcW w:w="537" w:type="dxa"/>
            <w:shd w:val="clear" w:color="auto" w:fill="auto"/>
            <w:noWrap w:val="0"/>
            <w:vAlign w:val="center"/>
          </w:tcPr>
          <w:p w14:paraId="30421BAF">
            <w:pPr>
              <w:spacing w:line="280" w:lineRule="exact"/>
              <w:jc w:val="center"/>
              <w:rPr>
                <w:rFonts w:hint="default"/>
                <w:color w:val="auto"/>
                <w:szCs w:val="21"/>
                <w:highlight w:val="none"/>
                <w:lang w:val="en-US" w:eastAsia="zh-CN"/>
              </w:rPr>
            </w:pPr>
            <w:r>
              <w:rPr>
                <w:rFonts w:hint="eastAsia"/>
                <w:color w:val="auto"/>
                <w:szCs w:val="21"/>
                <w:highlight w:val="none"/>
                <w:lang w:val="en-US" w:eastAsia="zh-CN"/>
              </w:rPr>
              <w:t>75</w:t>
            </w:r>
          </w:p>
        </w:tc>
        <w:tc>
          <w:tcPr>
            <w:tcW w:w="537" w:type="dxa"/>
            <w:shd w:val="clear" w:color="auto" w:fill="auto"/>
            <w:noWrap w:val="0"/>
            <w:vAlign w:val="center"/>
          </w:tcPr>
          <w:p w14:paraId="004ED27B">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41.22</w:t>
            </w:r>
          </w:p>
        </w:tc>
        <w:tc>
          <w:tcPr>
            <w:tcW w:w="537" w:type="dxa"/>
            <w:shd w:val="clear" w:color="auto" w:fill="auto"/>
            <w:noWrap w:val="0"/>
            <w:vAlign w:val="center"/>
          </w:tcPr>
          <w:p w14:paraId="3A9BA6ED">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33.41</w:t>
            </w:r>
          </w:p>
        </w:tc>
        <w:tc>
          <w:tcPr>
            <w:tcW w:w="558" w:type="dxa"/>
            <w:shd w:val="clear" w:color="auto" w:fill="auto"/>
            <w:noWrap w:val="0"/>
            <w:vAlign w:val="center"/>
          </w:tcPr>
          <w:p w14:paraId="4DED7C00">
            <w:pPr>
              <w:spacing w:line="280" w:lineRule="exact"/>
              <w:jc w:val="center"/>
              <w:rPr>
                <w:rFonts w:hint="default" w:cs="Times New Roman"/>
                <w:color w:val="auto"/>
                <w:szCs w:val="21"/>
                <w:highlight w:val="none"/>
                <w:lang w:val="en-US" w:eastAsia="zh-CN"/>
              </w:rPr>
            </w:pPr>
            <w:r>
              <w:rPr>
                <w:rFonts w:hint="eastAsia" w:cs="Times New Roman"/>
                <w:color w:val="auto"/>
                <w:szCs w:val="21"/>
                <w:highlight w:val="none"/>
                <w:lang w:val="en-US" w:eastAsia="zh-CN"/>
              </w:rPr>
              <w:t>1.3</w:t>
            </w:r>
          </w:p>
        </w:tc>
        <w:tc>
          <w:tcPr>
            <w:tcW w:w="537" w:type="dxa"/>
            <w:shd w:val="clear" w:color="auto" w:fill="auto"/>
            <w:noWrap w:val="0"/>
            <w:vAlign w:val="center"/>
          </w:tcPr>
          <w:p w14:paraId="7D5B33BA">
            <w:pPr>
              <w:spacing w:line="280" w:lineRule="exact"/>
              <w:jc w:val="center"/>
              <w:rPr>
                <w:rFonts w:hint="default" w:cs="Times New Roman"/>
                <w:color w:val="auto"/>
                <w:szCs w:val="21"/>
                <w:highlight w:val="none"/>
                <w:lang w:val="en-US" w:eastAsia="zh-CN"/>
              </w:rPr>
            </w:pPr>
            <w:r>
              <w:rPr>
                <w:rFonts w:hint="eastAsia" w:cs="Times New Roman"/>
                <w:color w:val="auto"/>
                <w:szCs w:val="21"/>
                <w:highlight w:val="none"/>
                <w:lang w:val="en-US" w:eastAsia="zh-CN"/>
              </w:rPr>
              <w:t>39.5</w:t>
            </w:r>
          </w:p>
        </w:tc>
        <w:tc>
          <w:tcPr>
            <w:tcW w:w="537" w:type="dxa"/>
            <w:shd w:val="clear" w:color="auto" w:fill="auto"/>
            <w:noWrap w:val="0"/>
            <w:vAlign w:val="center"/>
          </w:tcPr>
          <w:p w14:paraId="6D418FED">
            <w:pPr>
              <w:spacing w:line="280" w:lineRule="exact"/>
              <w:jc w:val="center"/>
              <w:rPr>
                <w:rFonts w:hint="default" w:cs="Times New Roman"/>
                <w:color w:val="auto"/>
                <w:szCs w:val="21"/>
                <w:highlight w:val="none"/>
                <w:lang w:val="en-US" w:eastAsia="zh-CN"/>
              </w:rPr>
            </w:pPr>
            <w:r>
              <w:rPr>
                <w:rFonts w:hint="eastAsia" w:cs="Times New Roman"/>
                <w:color w:val="auto"/>
                <w:szCs w:val="21"/>
                <w:highlight w:val="none"/>
                <w:lang w:val="en-US" w:eastAsia="zh-CN"/>
              </w:rPr>
              <w:t>18.9</w:t>
            </w:r>
          </w:p>
        </w:tc>
        <w:tc>
          <w:tcPr>
            <w:tcW w:w="542" w:type="dxa"/>
            <w:shd w:val="clear" w:color="auto" w:fill="auto"/>
            <w:noWrap w:val="0"/>
            <w:vAlign w:val="center"/>
          </w:tcPr>
          <w:p w14:paraId="1C1B9573">
            <w:pPr>
              <w:spacing w:line="280" w:lineRule="exact"/>
              <w:jc w:val="center"/>
              <w:rPr>
                <w:rFonts w:hint="default" w:cs="Times New Roman"/>
                <w:color w:val="auto"/>
                <w:szCs w:val="21"/>
                <w:highlight w:val="none"/>
                <w:lang w:val="en-US" w:eastAsia="zh-CN"/>
              </w:rPr>
            </w:pPr>
            <w:r>
              <w:rPr>
                <w:rFonts w:hint="eastAsia" w:cs="Times New Roman"/>
                <w:color w:val="auto"/>
                <w:szCs w:val="21"/>
                <w:highlight w:val="none"/>
                <w:lang w:val="en-US" w:eastAsia="zh-CN"/>
              </w:rPr>
              <w:t>51.7</w:t>
            </w:r>
          </w:p>
        </w:tc>
        <w:tc>
          <w:tcPr>
            <w:tcW w:w="558" w:type="dxa"/>
            <w:shd w:val="clear" w:color="auto" w:fill="auto"/>
            <w:noWrap w:val="0"/>
            <w:vAlign w:val="center"/>
          </w:tcPr>
          <w:p w14:paraId="2B68D204">
            <w:pPr>
              <w:spacing w:line="280" w:lineRule="exact"/>
              <w:jc w:val="center"/>
              <w:rPr>
                <w:rFonts w:hint="default" w:cs="Times New Roman"/>
                <w:color w:val="auto"/>
                <w:szCs w:val="21"/>
                <w:highlight w:val="none"/>
                <w:lang w:val="en-US" w:eastAsia="zh-CN"/>
              </w:rPr>
            </w:pPr>
            <w:r>
              <w:rPr>
                <w:rFonts w:hint="eastAsia" w:cs="Times New Roman"/>
                <w:color w:val="auto"/>
                <w:szCs w:val="21"/>
                <w:highlight w:val="none"/>
                <w:lang w:val="en-US" w:eastAsia="zh-CN"/>
              </w:rPr>
              <w:t>157.7</w:t>
            </w:r>
          </w:p>
        </w:tc>
        <w:tc>
          <w:tcPr>
            <w:tcW w:w="542" w:type="dxa"/>
            <w:shd w:val="clear" w:color="auto" w:fill="auto"/>
            <w:noWrap w:val="0"/>
            <w:vAlign w:val="center"/>
          </w:tcPr>
          <w:p w14:paraId="74D97668">
            <w:pPr>
              <w:spacing w:line="280" w:lineRule="exact"/>
              <w:jc w:val="center"/>
              <w:rPr>
                <w:rFonts w:hint="eastAsia" w:cs="Times New Roman"/>
                <w:color w:val="auto"/>
                <w:szCs w:val="21"/>
                <w:highlight w:val="none"/>
                <w:lang w:val="en-US" w:eastAsia="zh-CN"/>
              </w:rPr>
            </w:pPr>
            <w:r>
              <w:rPr>
                <w:rFonts w:hint="eastAsia" w:cs="Times New Roman"/>
                <w:color w:val="auto"/>
                <w:szCs w:val="21"/>
                <w:highlight w:val="none"/>
                <w:lang w:val="en-US" w:eastAsia="zh-CN"/>
              </w:rPr>
              <w:t xml:space="preserve">49.8 </w:t>
            </w:r>
          </w:p>
        </w:tc>
        <w:tc>
          <w:tcPr>
            <w:tcW w:w="542" w:type="dxa"/>
            <w:shd w:val="clear" w:color="auto" w:fill="auto"/>
            <w:noWrap w:val="0"/>
            <w:vAlign w:val="center"/>
          </w:tcPr>
          <w:p w14:paraId="1B8C8117">
            <w:pPr>
              <w:spacing w:line="280" w:lineRule="exact"/>
              <w:jc w:val="center"/>
              <w:rPr>
                <w:rFonts w:hint="eastAsia" w:cs="Times New Roman"/>
                <w:color w:val="auto"/>
                <w:szCs w:val="21"/>
                <w:highlight w:val="none"/>
                <w:lang w:val="en-US" w:eastAsia="zh-CN"/>
              </w:rPr>
            </w:pPr>
            <w:r>
              <w:rPr>
                <w:rFonts w:hint="eastAsia" w:cs="Times New Roman"/>
                <w:color w:val="auto"/>
                <w:szCs w:val="21"/>
                <w:highlight w:val="none"/>
                <w:lang w:val="en-US" w:eastAsia="zh-CN"/>
              </w:rPr>
              <w:t xml:space="preserve">50.1 </w:t>
            </w:r>
          </w:p>
        </w:tc>
        <w:tc>
          <w:tcPr>
            <w:tcW w:w="542" w:type="dxa"/>
            <w:shd w:val="clear" w:color="auto" w:fill="auto"/>
            <w:noWrap w:val="0"/>
            <w:vAlign w:val="center"/>
          </w:tcPr>
          <w:p w14:paraId="53DB05B8">
            <w:pPr>
              <w:spacing w:line="280" w:lineRule="exact"/>
              <w:jc w:val="center"/>
              <w:rPr>
                <w:rFonts w:hint="eastAsia" w:cs="Times New Roman"/>
                <w:color w:val="auto"/>
                <w:szCs w:val="21"/>
                <w:highlight w:val="none"/>
                <w:lang w:val="en-US" w:eastAsia="zh-CN"/>
              </w:rPr>
            </w:pPr>
            <w:r>
              <w:rPr>
                <w:rFonts w:hint="eastAsia" w:cs="Times New Roman"/>
                <w:color w:val="auto"/>
                <w:szCs w:val="21"/>
                <w:highlight w:val="none"/>
                <w:lang w:val="en-US" w:eastAsia="zh-CN"/>
              </w:rPr>
              <w:t xml:space="preserve">49.8 </w:t>
            </w:r>
          </w:p>
        </w:tc>
        <w:tc>
          <w:tcPr>
            <w:tcW w:w="555" w:type="dxa"/>
            <w:shd w:val="clear" w:color="auto" w:fill="auto"/>
            <w:noWrap w:val="0"/>
            <w:vAlign w:val="center"/>
          </w:tcPr>
          <w:p w14:paraId="18CAFF64">
            <w:pPr>
              <w:spacing w:line="280" w:lineRule="exact"/>
              <w:jc w:val="center"/>
              <w:rPr>
                <w:rFonts w:hint="eastAsia" w:cs="Times New Roman"/>
                <w:color w:val="auto"/>
                <w:szCs w:val="21"/>
                <w:highlight w:val="none"/>
                <w:lang w:val="en-US" w:eastAsia="zh-CN"/>
              </w:rPr>
            </w:pPr>
            <w:r>
              <w:rPr>
                <w:rFonts w:hint="eastAsia" w:cs="Times New Roman"/>
                <w:color w:val="auto"/>
                <w:szCs w:val="21"/>
                <w:highlight w:val="none"/>
                <w:lang w:val="en-US" w:eastAsia="zh-CN"/>
              </w:rPr>
              <w:t xml:space="preserve">49.8 </w:t>
            </w:r>
          </w:p>
        </w:tc>
        <w:tc>
          <w:tcPr>
            <w:tcW w:w="542" w:type="dxa"/>
            <w:vMerge w:val="continue"/>
            <w:shd w:val="clear" w:color="auto" w:fill="auto"/>
            <w:noWrap w:val="0"/>
            <w:vAlign w:val="center"/>
          </w:tcPr>
          <w:p w14:paraId="0F73836E">
            <w:pPr>
              <w:spacing w:line="280" w:lineRule="exact"/>
              <w:jc w:val="center"/>
              <w:rPr>
                <w:rFonts w:hint="default" w:ascii="Times New Roman" w:hAnsi="Times New Roman" w:eastAsia="宋体"/>
                <w:color w:val="auto"/>
                <w:szCs w:val="21"/>
                <w:highlight w:val="none"/>
                <w:lang w:val="en-US" w:eastAsia="zh-CN"/>
              </w:rPr>
            </w:pPr>
          </w:p>
        </w:tc>
        <w:tc>
          <w:tcPr>
            <w:tcW w:w="897" w:type="dxa"/>
            <w:shd w:val="clear" w:color="auto" w:fill="auto"/>
            <w:noWrap w:val="0"/>
            <w:vAlign w:val="center"/>
          </w:tcPr>
          <w:p w14:paraId="2B694323">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24.3</w:t>
            </w:r>
          </w:p>
        </w:tc>
        <w:tc>
          <w:tcPr>
            <w:tcW w:w="746" w:type="dxa"/>
            <w:shd w:val="clear" w:color="auto" w:fill="auto"/>
            <w:noWrap w:val="0"/>
            <w:vAlign w:val="center"/>
          </w:tcPr>
          <w:p w14:paraId="6F983F59">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25.5</w:t>
            </w:r>
          </w:p>
        </w:tc>
        <w:tc>
          <w:tcPr>
            <w:tcW w:w="689" w:type="dxa"/>
            <w:shd w:val="clear" w:color="auto" w:fill="auto"/>
            <w:noWrap w:val="0"/>
            <w:vAlign w:val="center"/>
          </w:tcPr>
          <w:p w14:paraId="4424929F">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25.8</w:t>
            </w:r>
          </w:p>
        </w:tc>
        <w:tc>
          <w:tcPr>
            <w:tcW w:w="838" w:type="dxa"/>
            <w:shd w:val="clear" w:color="auto" w:fill="auto"/>
            <w:noWrap w:val="0"/>
            <w:vAlign w:val="center"/>
          </w:tcPr>
          <w:p w14:paraId="5E2457A1">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25.5</w:t>
            </w:r>
          </w:p>
        </w:tc>
        <w:tc>
          <w:tcPr>
            <w:tcW w:w="750" w:type="dxa"/>
            <w:shd w:val="clear" w:color="auto" w:fill="auto"/>
            <w:noWrap w:val="0"/>
            <w:vAlign w:val="center"/>
          </w:tcPr>
          <w:p w14:paraId="0959923A">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25.5</w:t>
            </w:r>
          </w:p>
        </w:tc>
        <w:tc>
          <w:tcPr>
            <w:tcW w:w="1096" w:type="dxa"/>
            <w:shd w:val="clear" w:color="auto" w:fill="auto"/>
            <w:noWrap w:val="0"/>
            <w:vAlign w:val="center"/>
          </w:tcPr>
          <w:p w14:paraId="798CDF7C">
            <w:pPr>
              <w:spacing w:line="280" w:lineRule="exact"/>
              <w:jc w:val="center"/>
              <w:rPr>
                <w:rFonts w:hint="default" w:cs="Times New Roman"/>
                <w:color w:val="auto"/>
                <w:szCs w:val="21"/>
                <w:highlight w:val="none"/>
                <w:lang w:val="en-US" w:eastAsia="zh-CN"/>
              </w:rPr>
            </w:pPr>
            <w:r>
              <w:rPr>
                <w:rFonts w:hint="eastAsia" w:cs="Times New Roman"/>
                <w:color w:val="auto"/>
                <w:szCs w:val="21"/>
                <w:highlight w:val="none"/>
                <w:lang w:val="en-US" w:eastAsia="zh-CN"/>
              </w:rPr>
              <w:t>1</w:t>
            </w:r>
          </w:p>
        </w:tc>
      </w:tr>
      <w:tr w14:paraId="26C646C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27" w:type="dxa"/>
            <w:shd w:val="clear" w:color="auto" w:fill="auto"/>
            <w:noWrap w:val="0"/>
            <w:vAlign w:val="center"/>
          </w:tcPr>
          <w:p w14:paraId="42156283">
            <w:pPr>
              <w:spacing w:line="280" w:lineRule="exact"/>
              <w:jc w:val="center"/>
              <w:rPr>
                <w:rFonts w:hint="default"/>
                <w:color w:val="auto"/>
                <w:szCs w:val="21"/>
                <w:highlight w:val="none"/>
                <w:lang w:val="en-US" w:eastAsia="zh-CN"/>
              </w:rPr>
            </w:pPr>
            <w:r>
              <w:rPr>
                <w:rFonts w:hint="eastAsia"/>
                <w:color w:val="auto"/>
                <w:szCs w:val="21"/>
                <w:highlight w:val="none"/>
                <w:lang w:val="en-US" w:eastAsia="zh-CN"/>
              </w:rPr>
              <w:t>76</w:t>
            </w:r>
          </w:p>
        </w:tc>
        <w:tc>
          <w:tcPr>
            <w:tcW w:w="1428" w:type="dxa"/>
            <w:shd w:val="clear" w:color="auto" w:fill="auto"/>
            <w:noWrap w:val="0"/>
            <w:vAlign w:val="center"/>
          </w:tcPr>
          <w:p w14:paraId="2EC84685">
            <w:pPr>
              <w:spacing w:line="280" w:lineRule="exact"/>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lang w:val="en-US" w:eastAsia="zh-CN"/>
              </w:rPr>
              <w:t>负</w:t>
            </w:r>
            <w:r>
              <w:rPr>
                <w:rFonts w:hint="default" w:ascii="Times New Roman" w:hAnsi="Times New Roman" w:cs="Times New Roman"/>
                <w:color w:val="auto"/>
                <w:sz w:val="21"/>
                <w:szCs w:val="21"/>
                <w:highlight w:val="none"/>
              </w:rPr>
              <w:t>极</w:t>
            </w:r>
            <w:r>
              <w:rPr>
                <w:rFonts w:hint="default" w:ascii="Times New Roman" w:hAnsi="Times New Roman" w:cs="Times New Roman"/>
                <w:color w:val="auto"/>
                <w:sz w:val="21"/>
                <w:szCs w:val="21"/>
                <w:highlight w:val="none"/>
                <w:lang w:val="en-US" w:eastAsia="zh-CN"/>
              </w:rPr>
              <w:t>液体上料系统</w:t>
            </w:r>
          </w:p>
        </w:tc>
        <w:tc>
          <w:tcPr>
            <w:tcW w:w="537" w:type="dxa"/>
            <w:shd w:val="clear" w:color="auto" w:fill="auto"/>
            <w:noWrap w:val="0"/>
            <w:vAlign w:val="center"/>
          </w:tcPr>
          <w:p w14:paraId="2344701F">
            <w:pPr>
              <w:spacing w:line="280" w:lineRule="exact"/>
              <w:jc w:val="center"/>
              <w:rPr>
                <w:rFonts w:hint="default"/>
                <w:color w:val="auto"/>
                <w:szCs w:val="21"/>
                <w:highlight w:val="none"/>
                <w:lang w:val="en-US" w:eastAsia="zh-CN"/>
              </w:rPr>
            </w:pPr>
            <w:r>
              <w:rPr>
                <w:rFonts w:hint="eastAsia"/>
                <w:color w:val="auto"/>
                <w:szCs w:val="21"/>
                <w:highlight w:val="none"/>
                <w:lang w:val="en-US" w:eastAsia="zh-CN"/>
              </w:rPr>
              <w:t>70</w:t>
            </w:r>
          </w:p>
        </w:tc>
        <w:tc>
          <w:tcPr>
            <w:tcW w:w="537" w:type="dxa"/>
            <w:shd w:val="clear" w:color="auto" w:fill="auto"/>
            <w:noWrap w:val="0"/>
            <w:vAlign w:val="center"/>
          </w:tcPr>
          <w:p w14:paraId="370283F5">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41.63</w:t>
            </w:r>
          </w:p>
        </w:tc>
        <w:tc>
          <w:tcPr>
            <w:tcW w:w="537" w:type="dxa"/>
            <w:shd w:val="clear" w:color="auto" w:fill="auto"/>
            <w:noWrap w:val="0"/>
            <w:vAlign w:val="center"/>
          </w:tcPr>
          <w:p w14:paraId="5A6D7D2C">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32.06</w:t>
            </w:r>
          </w:p>
        </w:tc>
        <w:tc>
          <w:tcPr>
            <w:tcW w:w="558" w:type="dxa"/>
            <w:shd w:val="clear" w:color="auto" w:fill="auto"/>
            <w:noWrap w:val="0"/>
            <w:vAlign w:val="center"/>
          </w:tcPr>
          <w:p w14:paraId="6C602F0A">
            <w:pPr>
              <w:spacing w:line="280" w:lineRule="exact"/>
              <w:jc w:val="center"/>
              <w:rPr>
                <w:rFonts w:hint="default" w:cs="Times New Roman"/>
                <w:color w:val="auto"/>
                <w:szCs w:val="21"/>
                <w:highlight w:val="none"/>
                <w:lang w:val="en-US" w:eastAsia="zh-CN"/>
              </w:rPr>
            </w:pPr>
            <w:r>
              <w:rPr>
                <w:rFonts w:hint="eastAsia" w:cs="Times New Roman"/>
                <w:color w:val="auto"/>
                <w:szCs w:val="21"/>
                <w:highlight w:val="none"/>
                <w:lang w:val="en-US" w:eastAsia="zh-CN"/>
              </w:rPr>
              <w:t>1.3</w:t>
            </w:r>
          </w:p>
        </w:tc>
        <w:tc>
          <w:tcPr>
            <w:tcW w:w="537" w:type="dxa"/>
            <w:shd w:val="clear" w:color="auto" w:fill="auto"/>
            <w:noWrap w:val="0"/>
            <w:vAlign w:val="center"/>
          </w:tcPr>
          <w:p w14:paraId="58CDE180">
            <w:pPr>
              <w:spacing w:line="280" w:lineRule="exact"/>
              <w:jc w:val="center"/>
              <w:rPr>
                <w:rFonts w:hint="default" w:cs="Times New Roman"/>
                <w:color w:val="auto"/>
                <w:szCs w:val="21"/>
                <w:highlight w:val="none"/>
                <w:lang w:val="en-US" w:eastAsia="zh-CN"/>
              </w:rPr>
            </w:pPr>
            <w:r>
              <w:rPr>
                <w:rFonts w:hint="eastAsia" w:cs="Times New Roman"/>
                <w:color w:val="auto"/>
                <w:szCs w:val="21"/>
                <w:highlight w:val="none"/>
                <w:lang w:val="en-US" w:eastAsia="zh-CN"/>
              </w:rPr>
              <w:t>38.9</w:t>
            </w:r>
          </w:p>
        </w:tc>
        <w:tc>
          <w:tcPr>
            <w:tcW w:w="537" w:type="dxa"/>
            <w:shd w:val="clear" w:color="auto" w:fill="auto"/>
            <w:noWrap w:val="0"/>
            <w:vAlign w:val="center"/>
          </w:tcPr>
          <w:p w14:paraId="52141545">
            <w:pPr>
              <w:spacing w:line="280" w:lineRule="exact"/>
              <w:jc w:val="center"/>
              <w:rPr>
                <w:rFonts w:hint="default" w:cs="Times New Roman"/>
                <w:color w:val="auto"/>
                <w:szCs w:val="21"/>
                <w:highlight w:val="none"/>
                <w:lang w:val="en-US" w:eastAsia="zh-CN"/>
              </w:rPr>
            </w:pPr>
            <w:r>
              <w:rPr>
                <w:rFonts w:hint="eastAsia" w:cs="Times New Roman"/>
                <w:color w:val="auto"/>
                <w:szCs w:val="21"/>
                <w:highlight w:val="none"/>
                <w:lang w:val="en-US" w:eastAsia="zh-CN"/>
              </w:rPr>
              <w:t>17.3</w:t>
            </w:r>
          </w:p>
        </w:tc>
        <w:tc>
          <w:tcPr>
            <w:tcW w:w="542" w:type="dxa"/>
            <w:shd w:val="clear" w:color="auto" w:fill="auto"/>
            <w:noWrap w:val="0"/>
            <w:vAlign w:val="center"/>
          </w:tcPr>
          <w:p w14:paraId="6413190F">
            <w:pPr>
              <w:spacing w:line="280" w:lineRule="exact"/>
              <w:jc w:val="center"/>
              <w:rPr>
                <w:rFonts w:hint="default" w:cs="Times New Roman"/>
                <w:color w:val="auto"/>
                <w:szCs w:val="21"/>
                <w:highlight w:val="none"/>
                <w:lang w:val="en-US" w:eastAsia="zh-CN"/>
              </w:rPr>
            </w:pPr>
            <w:r>
              <w:rPr>
                <w:rFonts w:hint="eastAsia" w:cs="Times New Roman"/>
                <w:color w:val="auto"/>
                <w:szCs w:val="21"/>
                <w:highlight w:val="none"/>
                <w:lang w:val="en-US" w:eastAsia="zh-CN"/>
              </w:rPr>
              <w:t>51.9</w:t>
            </w:r>
          </w:p>
        </w:tc>
        <w:tc>
          <w:tcPr>
            <w:tcW w:w="558" w:type="dxa"/>
            <w:shd w:val="clear" w:color="auto" w:fill="auto"/>
            <w:noWrap w:val="0"/>
            <w:vAlign w:val="center"/>
          </w:tcPr>
          <w:p w14:paraId="7CB15096">
            <w:pPr>
              <w:spacing w:line="280" w:lineRule="exact"/>
              <w:jc w:val="center"/>
              <w:rPr>
                <w:rFonts w:hint="default" w:cs="Times New Roman"/>
                <w:color w:val="auto"/>
                <w:szCs w:val="21"/>
                <w:highlight w:val="none"/>
                <w:lang w:val="en-US" w:eastAsia="zh-CN"/>
              </w:rPr>
            </w:pPr>
            <w:r>
              <w:rPr>
                <w:rFonts w:hint="eastAsia" w:cs="Times New Roman"/>
                <w:color w:val="auto"/>
                <w:szCs w:val="21"/>
                <w:highlight w:val="none"/>
                <w:lang w:val="en-US" w:eastAsia="zh-CN"/>
              </w:rPr>
              <w:t>158.7</w:t>
            </w:r>
          </w:p>
        </w:tc>
        <w:tc>
          <w:tcPr>
            <w:tcW w:w="542" w:type="dxa"/>
            <w:shd w:val="clear" w:color="auto" w:fill="auto"/>
            <w:noWrap w:val="0"/>
            <w:vAlign w:val="center"/>
          </w:tcPr>
          <w:p w14:paraId="72982A55">
            <w:pPr>
              <w:spacing w:line="280" w:lineRule="exact"/>
              <w:jc w:val="center"/>
              <w:rPr>
                <w:rFonts w:hint="eastAsia" w:cs="Times New Roman"/>
                <w:color w:val="auto"/>
                <w:szCs w:val="21"/>
                <w:highlight w:val="none"/>
                <w:lang w:val="en-US" w:eastAsia="zh-CN"/>
              </w:rPr>
            </w:pPr>
            <w:r>
              <w:rPr>
                <w:rFonts w:hint="eastAsia" w:cs="Times New Roman"/>
                <w:color w:val="auto"/>
                <w:szCs w:val="21"/>
                <w:highlight w:val="none"/>
                <w:lang w:val="en-US" w:eastAsia="zh-CN"/>
              </w:rPr>
              <w:t xml:space="preserve">44.8 </w:t>
            </w:r>
          </w:p>
        </w:tc>
        <w:tc>
          <w:tcPr>
            <w:tcW w:w="542" w:type="dxa"/>
            <w:shd w:val="clear" w:color="auto" w:fill="auto"/>
            <w:noWrap w:val="0"/>
            <w:vAlign w:val="center"/>
          </w:tcPr>
          <w:p w14:paraId="0D4D5530">
            <w:pPr>
              <w:spacing w:line="280" w:lineRule="exact"/>
              <w:jc w:val="center"/>
              <w:rPr>
                <w:rFonts w:hint="eastAsia" w:cs="Times New Roman"/>
                <w:color w:val="auto"/>
                <w:szCs w:val="21"/>
                <w:highlight w:val="none"/>
                <w:lang w:val="en-US" w:eastAsia="zh-CN"/>
              </w:rPr>
            </w:pPr>
            <w:r>
              <w:rPr>
                <w:rFonts w:hint="eastAsia" w:cs="Times New Roman"/>
                <w:color w:val="auto"/>
                <w:szCs w:val="21"/>
                <w:highlight w:val="none"/>
                <w:lang w:val="en-US" w:eastAsia="zh-CN"/>
              </w:rPr>
              <w:t xml:space="preserve">45.1 </w:t>
            </w:r>
          </w:p>
        </w:tc>
        <w:tc>
          <w:tcPr>
            <w:tcW w:w="542" w:type="dxa"/>
            <w:shd w:val="clear" w:color="auto" w:fill="auto"/>
            <w:noWrap w:val="0"/>
            <w:vAlign w:val="center"/>
          </w:tcPr>
          <w:p w14:paraId="4893041D">
            <w:pPr>
              <w:spacing w:line="280" w:lineRule="exact"/>
              <w:jc w:val="center"/>
              <w:rPr>
                <w:rFonts w:hint="eastAsia" w:cs="Times New Roman"/>
                <w:color w:val="auto"/>
                <w:szCs w:val="21"/>
                <w:highlight w:val="none"/>
                <w:lang w:val="en-US" w:eastAsia="zh-CN"/>
              </w:rPr>
            </w:pPr>
            <w:r>
              <w:rPr>
                <w:rFonts w:hint="eastAsia" w:cs="Times New Roman"/>
                <w:color w:val="auto"/>
                <w:szCs w:val="21"/>
                <w:highlight w:val="none"/>
                <w:lang w:val="en-US" w:eastAsia="zh-CN"/>
              </w:rPr>
              <w:t xml:space="preserve">44.8 </w:t>
            </w:r>
          </w:p>
        </w:tc>
        <w:tc>
          <w:tcPr>
            <w:tcW w:w="555" w:type="dxa"/>
            <w:shd w:val="clear" w:color="auto" w:fill="auto"/>
            <w:noWrap w:val="0"/>
            <w:vAlign w:val="center"/>
          </w:tcPr>
          <w:p w14:paraId="4C1E96A4">
            <w:pPr>
              <w:spacing w:line="280" w:lineRule="exact"/>
              <w:jc w:val="center"/>
              <w:rPr>
                <w:rFonts w:hint="eastAsia" w:cs="Times New Roman"/>
                <w:color w:val="auto"/>
                <w:szCs w:val="21"/>
                <w:highlight w:val="none"/>
                <w:lang w:val="en-US" w:eastAsia="zh-CN"/>
              </w:rPr>
            </w:pPr>
            <w:r>
              <w:rPr>
                <w:rFonts w:hint="eastAsia" w:cs="Times New Roman"/>
                <w:color w:val="auto"/>
                <w:szCs w:val="21"/>
                <w:highlight w:val="none"/>
                <w:lang w:val="en-US" w:eastAsia="zh-CN"/>
              </w:rPr>
              <w:t xml:space="preserve">44.8 </w:t>
            </w:r>
          </w:p>
        </w:tc>
        <w:tc>
          <w:tcPr>
            <w:tcW w:w="542" w:type="dxa"/>
            <w:vMerge w:val="continue"/>
            <w:shd w:val="clear" w:color="auto" w:fill="auto"/>
            <w:noWrap w:val="0"/>
            <w:vAlign w:val="center"/>
          </w:tcPr>
          <w:p w14:paraId="1D4533E1">
            <w:pPr>
              <w:spacing w:line="280" w:lineRule="exact"/>
              <w:jc w:val="center"/>
              <w:rPr>
                <w:rFonts w:hint="default" w:ascii="Times New Roman" w:hAnsi="Times New Roman" w:eastAsia="宋体"/>
                <w:color w:val="auto"/>
                <w:szCs w:val="21"/>
                <w:highlight w:val="none"/>
                <w:lang w:val="en-US" w:eastAsia="zh-CN"/>
              </w:rPr>
            </w:pPr>
          </w:p>
        </w:tc>
        <w:tc>
          <w:tcPr>
            <w:tcW w:w="897" w:type="dxa"/>
            <w:shd w:val="clear" w:color="auto" w:fill="auto"/>
            <w:noWrap w:val="0"/>
            <w:vAlign w:val="center"/>
          </w:tcPr>
          <w:p w14:paraId="153F59E7">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24.3</w:t>
            </w:r>
          </w:p>
        </w:tc>
        <w:tc>
          <w:tcPr>
            <w:tcW w:w="746" w:type="dxa"/>
            <w:shd w:val="clear" w:color="auto" w:fill="auto"/>
            <w:noWrap w:val="0"/>
            <w:vAlign w:val="center"/>
          </w:tcPr>
          <w:p w14:paraId="5F746A7C">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20.5</w:t>
            </w:r>
          </w:p>
        </w:tc>
        <w:tc>
          <w:tcPr>
            <w:tcW w:w="689" w:type="dxa"/>
            <w:shd w:val="clear" w:color="auto" w:fill="auto"/>
            <w:noWrap w:val="0"/>
            <w:vAlign w:val="center"/>
          </w:tcPr>
          <w:p w14:paraId="7F8D80F5">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20.8</w:t>
            </w:r>
          </w:p>
        </w:tc>
        <w:tc>
          <w:tcPr>
            <w:tcW w:w="838" w:type="dxa"/>
            <w:shd w:val="clear" w:color="auto" w:fill="auto"/>
            <w:noWrap w:val="0"/>
            <w:vAlign w:val="center"/>
          </w:tcPr>
          <w:p w14:paraId="0E4ABDEC">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20.5</w:t>
            </w:r>
          </w:p>
        </w:tc>
        <w:tc>
          <w:tcPr>
            <w:tcW w:w="750" w:type="dxa"/>
            <w:shd w:val="clear" w:color="auto" w:fill="auto"/>
            <w:noWrap w:val="0"/>
            <w:vAlign w:val="center"/>
          </w:tcPr>
          <w:p w14:paraId="75D672A6">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20.5</w:t>
            </w:r>
          </w:p>
        </w:tc>
        <w:tc>
          <w:tcPr>
            <w:tcW w:w="1096" w:type="dxa"/>
            <w:shd w:val="clear" w:color="auto" w:fill="auto"/>
            <w:noWrap w:val="0"/>
            <w:vAlign w:val="center"/>
          </w:tcPr>
          <w:p w14:paraId="14BD170D">
            <w:pPr>
              <w:spacing w:line="280" w:lineRule="exact"/>
              <w:jc w:val="center"/>
              <w:rPr>
                <w:rFonts w:hint="default" w:cs="Times New Roman"/>
                <w:color w:val="auto"/>
                <w:szCs w:val="21"/>
                <w:highlight w:val="none"/>
                <w:lang w:val="en-US" w:eastAsia="zh-CN"/>
              </w:rPr>
            </w:pPr>
            <w:r>
              <w:rPr>
                <w:rFonts w:hint="eastAsia" w:cs="Times New Roman"/>
                <w:color w:val="auto"/>
                <w:szCs w:val="21"/>
                <w:highlight w:val="none"/>
                <w:lang w:val="en-US" w:eastAsia="zh-CN"/>
              </w:rPr>
              <w:t>1</w:t>
            </w:r>
          </w:p>
        </w:tc>
      </w:tr>
      <w:tr w14:paraId="447500C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27" w:type="dxa"/>
            <w:shd w:val="clear" w:color="auto" w:fill="auto"/>
            <w:noWrap w:val="0"/>
            <w:vAlign w:val="center"/>
          </w:tcPr>
          <w:p w14:paraId="1C9EF9E2">
            <w:pPr>
              <w:spacing w:line="280" w:lineRule="exact"/>
              <w:jc w:val="center"/>
              <w:rPr>
                <w:rFonts w:hint="default"/>
                <w:color w:val="auto"/>
                <w:szCs w:val="21"/>
                <w:highlight w:val="none"/>
                <w:lang w:val="en-US" w:eastAsia="zh-CN"/>
              </w:rPr>
            </w:pPr>
            <w:r>
              <w:rPr>
                <w:rFonts w:hint="eastAsia"/>
                <w:color w:val="auto"/>
                <w:szCs w:val="21"/>
                <w:highlight w:val="none"/>
                <w:lang w:val="en-US" w:eastAsia="zh-CN"/>
              </w:rPr>
              <w:t>77</w:t>
            </w:r>
          </w:p>
        </w:tc>
        <w:tc>
          <w:tcPr>
            <w:tcW w:w="1428" w:type="dxa"/>
            <w:shd w:val="clear" w:color="auto" w:fill="auto"/>
            <w:noWrap w:val="0"/>
            <w:vAlign w:val="center"/>
          </w:tcPr>
          <w:p w14:paraId="70551780">
            <w:pPr>
              <w:spacing w:line="280" w:lineRule="exact"/>
              <w:jc w:val="center"/>
              <w:rPr>
                <w:rFonts w:hint="default" w:ascii="Times New Roman" w:hAnsi="Times New Roman" w:cs="Times New Roman"/>
                <w:color w:val="auto"/>
                <w:sz w:val="21"/>
                <w:szCs w:val="21"/>
                <w:highlight w:val="none"/>
                <w:lang w:val="en-US" w:eastAsia="zh-CN"/>
              </w:rPr>
            </w:pPr>
            <w:r>
              <w:rPr>
                <w:rFonts w:hint="eastAsia" w:cs="Times New Roman"/>
                <w:color w:val="auto"/>
                <w:sz w:val="21"/>
                <w:szCs w:val="21"/>
                <w:lang w:val="en-US" w:eastAsia="zh-CN"/>
              </w:rPr>
              <w:t>焊裁一体机</w:t>
            </w:r>
          </w:p>
        </w:tc>
        <w:tc>
          <w:tcPr>
            <w:tcW w:w="537" w:type="dxa"/>
            <w:shd w:val="clear" w:color="auto" w:fill="auto"/>
            <w:noWrap w:val="0"/>
            <w:vAlign w:val="center"/>
          </w:tcPr>
          <w:p w14:paraId="6EF3A4FC">
            <w:pPr>
              <w:spacing w:line="280" w:lineRule="exact"/>
              <w:jc w:val="center"/>
              <w:rPr>
                <w:rFonts w:hint="default"/>
                <w:color w:val="auto"/>
                <w:szCs w:val="21"/>
                <w:highlight w:val="none"/>
                <w:lang w:val="en-US" w:eastAsia="zh-CN"/>
              </w:rPr>
            </w:pPr>
            <w:r>
              <w:rPr>
                <w:rFonts w:hint="eastAsia"/>
                <w:color w:val="auto"/>
                <w:szCs w:val="21"/>
                <w:highlight w:val="none"/>
                <w:lang w:val="en-US" w:eastAsia="zh-CN"/>
              </w:rPr>
              <w:t>75</w:t>
            </w:r>
          </w:p>
        </w:tc>
        <w:tc>
          <w:tcPr>
            <w:tcW w:w="537" w:type="dxa"/>
            <w:shd w:val="clear" w:color="auto" w:fill="auto"/>
            <w:noWrap w:val="0"/>
            <w:vAlign w:val="center"/>
          </w:tcPr>
          <w:p w14:paraId="37BD01E6">
            <w:pPr>
              <w:spacing w:line="280" w:lineRule="exact"/>
              <w:jc w:val="center"/>
              <w:rPr>
                <w:rFonts w:hint="default" w:cs="Times New Roman"/>
                <w:color w:val="auto"/>
                <w:szCs w:val="21"/>
                <w:highlight w:val="none"/>
                <w:lang w:val="en-US" w:eastAsia="zh-CN"/>
              </w:rPr>
            </w:pPr>
            <w:r>
              <w:rPr>
                <w:rFonts w:hint="eastAsia" w:cs="Times New Roman"/>
                <w:color w:val="auto"/>
                <w:szCs w:val="21"/>
                <w:highlight w:val="none"/>
                <w:lang w:val="en-US" w:eastAsia="zh-CN"/>
              </w:rPr>
              <w:t>30.9</w:t>
            </w:r>
          </w:p>
        </w:tc>
        <w:tc>
          <w:tcPr>
            <w:tcW w:w="537" w:type="dxa"/>
            <w:shd w:val="clear" w:color="auto" w:fill="auto"/>
            <w:noWrap w:val="0"/>
            <w:vAlign w:val="center"/>
          </w:tcPr>
          <w:p w14:paraId="562AF40B">
            <w:pPr>
              <w:spacing w:line="280" w:lineRule="exact"/>
              <w:jc w:val="center"/>
              <w:rPr>
                <w:rFonts w:hint="default" w:cs="Times New Roman"/>
                <w:color w:val="auto"/>
                <w:szCs w:val="21"/>
                <w:highlight w:val="none"/>
                <w:lang w:val="en-US" w:eastAsia="zh-CN"/>
              </w:rPr>
            </w:pPr>
            <w:r>
              <w:rPr>
                <w:rFonts w:hint="eastAsia" w:cs="Times New Roman"/>
                <w:color w:val="auto"/>
                <w:szCs w:val="21"/>
                <w:highlight w:val="none"/>
                <w:lang w:val="en-US" w:eastAsia="zh-CN"/>
              </w:rPr>
              <w:t>31.5</w:t>
            </w:r>
          </w:p>
        </w:tc>
        <w:tc>
          <w:tcPr>
            <w:tcW w:w="558" w:type="dxa"/>
            <w:shd w:val="clear" w:color="auto" w:fill="auto"/>
            <w:noWrap w:val="0"/>
            <w:vAlign w:val="center"/>
          </w:tcPr>
          <w:p w14:paraId="665A969C">
            <w:pPr>
              <w:spacing w:line="280" w:lineRule="exact"/>
              <w:jc w:val="center"/>
              <w:rPr>
                <w:rFonts w:hint="default" w:cs="Times New Roman"/>
                <w:color w:val="auto"/>
                <w:szCs w:val="21"/>
                <w:highlight w:val="none"/>
                <w:lang w:val="en-US" w:eastAsia="zh-CN"/>
              </w:rPr>
            </w:pPr>
            <w:r>
              <w:rPr>
                <w:rFonts w:hint="eastAsia" w:cs="Times New Roman"/>
                <w:color w:val="auto"/>
                <w:szCs w:val="21"/>
                <w:highlight w:val="none"/>
                <w:lang w:val="en-US" w:eastAsia="zh-CN"/>
              </w:rPr>
              <w:t>1.2</w:t>
            </w:r>
          </w:p>
        </w:tc>
        <w:tc>
          <w:tcPr>
            <w:tcW w:w="537" w:type="dxa"/>
            <w:shd w:val="clear" w:color="auto" w:fill="auto"/>
            <w:noWrap w:val="0"/>
            <w:vAlign w:val="center"/>
          </w:tcPr>
          <w:p w14:paraId="0CD56266">
            <w:pPr>
              <w:spacing w:line="280" w:lineRule="exact"/>
              <w:jc w:val="center"/>
              <w:rPr>
                <w:rFonts w:hint="default" w:cs="Times New Roman"/>
                <w:color w:val="auto"/>
                <w:szCs w:val="21"/>
                <w:highlight w:val="none"/>
                <w:lang w:val="en-US" w:eastAsia="zh-CN"/>
              </w:rPr>
            </w:pPr>
            <w:r>
              <w:rPr>
                <w:rFonts w:hint="eastAsia" w:cs="Times New Roman"/>
                <w:color w:val="auto"/>
                <w:szCs w:val="21"/>
                <w:highlight w:val="none"/>
                <w:lang w:val="en-US" w:eastAsia="zh-CN"/>
              </w:rPr>
              <w:t>42.9</w:t>
            </w:r>
          </w:p>
        </w:tc>
        <w:tc>
          <w:tcPr>
            <w:tcW w:w="537" w:type="dxa"/>
            <w:shd w:val="clear" w:color="auto" w:fill="auto"/>
            <w:noWrap w:val="0"/>
            <w:vAlign w:val="center"/>
          </w:tcPr>
          <w:p w14:paraId="0C849AF5">
            <w:pPr>
              <w:spacing w:line="280" w:lineRule="exact"/>
              <w:jc w:val="center"/>
              <w:rPr>
                <w:rFonts w:hint="default" w:cs="Times New Roman"/>
                <w:color w:val="auto"/>
                <w:szCs w:val="21"/>
                <w:highlight w:val="none"/>
                <w:lang w:val="en-US" w:eastAsia="zh-CN"/>
              </w:rPr>
            </w:pPr>
            <w:r>
              <w:rPr>
                <w:rFonts w:hint="eastAsia" w:cs="Times New Roman"/>
                <w:color w:val="auto"/>
                <w:szCs w:val="21"/>
                <w:highlight w:val="none"/>
                <w:lang w:val="en-US" w:eastAsia="zh-CN"/>
              </w:rPr>
              <w:t>38.6</w:t>
            </w:r>
          </w:p>
        </w:tc>
        <w:tc>
          <w:tcPr>
            <w:tcW w:w="542" w:type="dxa"/>
            <w:shd w:val="clear" w:color="auto" w:fill="auto"/>
            <w:noWrap w:val="0"/>
            <w:vAlign w:val="center"/>
          </w:tcPr>
          <w:p w14:paraId="5F3A2322">
            <w:pPr>
              <w:spacing w:line="280" w:lineRule="exact"/>
              <w:jc w:val="center"/>
              <w:rPr>
                <w:rFonts w:hint="default" w:cs="Times New Roman"/>
                <w:color w:val="auto"/>
                <w:szCs w:val="21"/>
                <w:highlight w:val="none"/>
                <w:lang w:val="en-US" w:eastAsia="zh-CN"/>
              </w:rPr>
            </w:pPr>
            <w:r>
              <w:rPr>
                <w:rFonts w:hint="eastAsia" w:cs="Times New Roman"/>
                <w:color w:val="auto"/>
                <w:szCs w:val="21"/>
                <w:highlight w:val="none"/>
                <w:lang w:val="en-US" w:eastAsia="zh-CN"/>
              </w:rPr>
              <w:t>61.2</w:t>
            </w:r>
          </w:p>
        </w:tc>
        <w:tc>
          <w:tcPr>
            <w:tcW w:w="558" w:type="dxa"/>
            <w:shd w:val="clear" w:color="auto" w:fill="auto"/>
            <w:noWrap w:val="0"/>
            <w:vAlign w:val="center"/>
          </w:tcPr>
          <w:p w14:paraId="6DEF54D9">
            <w:pPr>
              <w:spacing w:line="280" w:lineRule="exact"/>
              <w:jc w:val="center"/>
              <w:rPr>
                <w:rFonts w:hint="default" w:cs="Times New Roman"/>
                <w:color w:val="auto"/>
                <w:szCs w:val="21"/>
                <w:highlight w:val="none"/>
                <w:lang w:val="en-US" w:eastAsia="zh-CN"/>
              </w:rPr>
            </w:pPr>
            <w:r>
              <w:rPr>
                <w:rFonts w:hint="eastAsia" w:cs="Times New Roman"/>
                <w:color w:val="auto"/>
                <w:szCs w:val="21"/>
                <w:highlight w:val="none"/>
                <w:lang w:val="en-US" w:eastAsia="zh-CN"/>
              </w:rPr>
              <w:t>50.3</w:t>
            </w:r>
          </w:p>
        </w:tc>
        <w:tc>
          <w:tcPr>
            <w:tcW w:w="542" w:type="dxa"/>
            <w:shd w:val="clear" w:color="auto" w:fill="auto"/>
            <w:noWrap w:val="0"/>
            <w:vAlign w:val="center"/>
          </w:tcPr>
          <w:p w14:paraId="0DC9D79B">
            <w:pPr>
              <w:spacing w:line="280" w:lineRule="exact"/>
              <w:jc w:val="center"/>
              <w:rPr>
                <w:rFonts w:hint="eastAsia"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 xml:space="preserve">51.3 </w:t>
            </w:r>
          </w:p>
        </w:tc>
        <w:tc>
          <w:tcPr>
            <w:tcW w:w="542" w:type="dxa"/>
            <w:shd w:val="clear" w:color="auto" w:fill="auto"/>
            <w:noWrap w:val="0"/>
            <w:vAlign w:val="center"/>
          </w:tcPr>
          <w:p w14:paraId="6B614824">
            <w:pPr>
              <w:spacing w:line="280" w:lineRule="exact"/>
              <w:jc w:val="center"/>
              <w:rPr>
                <w:rFonts w:hint="eastAsia"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 xml:space="preserve">49.8 </w:t>
            </w:r>
          </w:p>
        </w:tc>
        <w:tc>
          <w:tcPr>
            <w:tcW w:w="542" w:type="dxa"/>
            <w:shd w:val="clear" w:color="auto" w:fill="auto"/>
            <w:noWrap w:val="0"/>
            <w:vAlign w:val="center"/>
          </w:tcPr>
          <w:p w14:paraId="7760E447">
            <w:pPr>
              <w:spacing w:line="280" w:lineRule="exact"/>
              <w:jc w:val="center"/>
              <w:rPr>
                <w:rFonts w:hint="eastAsia"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 xml:space="preserve">49.8 </w:t>
            </w:r>
          </w:p>
        </w:tc>
        <w:tc>
          <w:tcPr>
            <w:tcW w:w="555" w:type="dxa"/>
            <w:shd w:val="clear" w:color="auto" w:fill="auto"/>
            <w:noWrap w:val="0"/>
            <w:vAlign w:val="center"/>
          </w:tcPr>
          <w:p w14:paraId="579ECEBA">
            <w:pPr>
              <w:spacing w:line="280" w:lineRule="exact"/>
              <w:jc w:val="center"/>
              <w:rPr>
                <w:rFonts w:hint="eastAsia"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 xml:space="preserve">49.8 </w:t>
            </w:r>
          </w:p>
        </w:tc>
        <w:tc>
          <w:tcPr>
            <w:tcW w:w="542" w:type="dxa"/>
            <w:vMerge w:val="continue"/>
            <w:shd w:val="clear" w:color="auto" w:fill="auto"/>
            <w:noWrap w:val="0"/>
            <w:vAlign w:val="center"/>
          </w:tcPr>
          <w:p w14:paraId="0993504F">
            <w:pPr>
              <w:spacing w:line="280" w:lineRule="exact"/>
              <w:jc w:val="center"/>
              <w:rPr>
                <w:rFonts w:hint="default" w:ascii="Times New Roman" w:hAnsi="Times New Roman" w:eastAsia="宋体"/>
                <w:color w:val="auto"/>
                <w:szCs w:val="21"/>
                <w:highlight w:val="none"/>
                <w:lang w:val="en-US" w:eastAsia="zh-CN"/>
              </w:rPr>
            </w:pPr>
          </w:p>
        </w:tc>
        <w:tc>
          <w:tcPr>
            <w:tcW w:w="897" w:type="dxa"/>
            <w:shd w:val="clear" w:color="auto" w:fill="auto"/>
            <w:noWrap w:val="0"/>
            <w:vAlign w:val="center"/>
          </w:tcPr>
          <w:p w14:paraId="3EA181EB">
            <w:pPr>
              <w:spacing w:line="280" w:lineRule="exac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24.3</w:t>
            </w:r>
          </w:p>
        </w:tc>
        <w:tc>
          <w:tcPr>
            <w:tcW w:w="746" w:type="dxa"/>
            <w:shd w:val="clear" w:color="auto" w:fill="auto"/>
            <w:noWrap w:val="0"/>
            <w:vAlign w:val="center"/>
          </w:tcPr>
          <w:p w14:paraId="5284ECC7">
            <w:pPr>
              <w:spacing w:line="280" w:lineRule="exact"/>
              <w:jc w:val="center"/>
              <w:rPr>
                <w:rFonts w:hint="eastAsia"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27</w:t>
            </w:r>
          </w:p>
        </w:tc>
        <w:tc>
          <w:tcPr>
            <w:tcW w:w="689" w:type="dxa"/>
            <w:shd w:val="clear" w:color="auto" w:fill="auto"/>
            <w:noWrap w:val="0"/>
            <w:vAlign w:val="center"/>
          </w:tcPr>
          <w:p w14:paraId="6C9C3CD9">
            <w:pPr>
              <w:spacing w:line="280" w:lineRule="exact"/>
              <w:jc w:val="center"/>
              <w:rPr>
                <w:rFonts w:hint="eastAsia"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25.5</w:t>
            </w:r>
          </w:p>
        </w:tc>
        <w:tc>
          <w:tcPr>
            <w:tcW w:w="838" w:type="dxa"/>
            <w:shd w:val="clear" w:color="auto" w:fill="auto"/>
            <w:noWrap w:val="0"/>
            <w:vAlign w:val="center"/>
          </w:tcPr>
          <w:p w14:paraId="251635EE">
            <w:pPr>
              <w:spacing w:line="280" w:lineRule="exact"/>
              <w:jc w:val="center"/>
              <w:rPr>
                <w:rFonts w:hint="eastAsia"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25.5</w:t>
            </w:r>
          </w:p>
        </w:tc>
        <w:tc>
          <w:tcPr>
            <w:tcW w:w="750" w:type="dxa"/>
            <w:shd w:val="clear" w:color="auto" w:fill="auto"/>
            <w:noWrap w:val="0"/>
            <w:vAlign w:val="center"/>
          </w:tcPr>
          <w:p w14:paraId="2A50771E">
            <w:pPr>
              <w:spacing w:line="280" w:lineRule="exact"/>
              <w:jc w:val="center"/>
              <w:rPr>
                <w:rFonts w:hint="eastAsia"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25.5</w:t>
            </w:r>
          </w:p>
        </w:tc>
        <w:tc>
          <w:tcPr>
            <w:tcW w:w="1096" w:type="dxa"/>
            <w:shd w:val="clear" w:color="auto" w:fill="auto"/>
            <w:noWrap w:val="0"/>
            <w:vAlign w:val="center"/>
          </w:tcPr>
          <w:p w14:paraId="0B9976EB">
            <w:pPr>
              <w:spacing w:line="280" w:lineRule="exact"/>
              <w:jc w:val="center"/>
              <w:rPr>
                <w:rFonts w:hint="eastAsia" w:cs="Times New Roman"/>
                <w:color w:val="auto"/>
                <w:szCs w:val="21"/>
                <w:highlight w:val="none"/>
                <w:lang w:val="en-US" w:eastAsia="zh-CN"/>
              </w:rPr>
            </w:pPr>
            <w:r>
              <w:rPr>
                <w:rFonts w:hint="eastAsia" w:cs="Times New Roman"/>
                <w:color w:val="auto"/>
                <w:szCs w:val="21"/>
                <w:highlight w:val="none"/>
                <w:lang w:val="en-US" w:eastAsia="zh-CN"/>
              </w:rPr>
              <w:t>/</w:t>
            </w:r>
          </w:p>
        </w:tc>
      </w:tr>
      <w:tr w14:paraId="3939668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3937" w:type="dxa"/>
            <w:gridSpan w:val="21"/>
            <w:shd w:val="clear" w:color="auto" w:fill="auto"/>
            <w:noWrap w:val="0"/>
            <w:vAlign w:val="center"/>
          </w:tcPr>
          <w:p w14:paraId="3AE00EA8">
            <w:pPr>
              <w:spacing w:line="280" w:lineRule="exact"/>
              <w:jc w:val="both"/>
              <w:rPr>
                <w:rFonts w:hint="eastAsia" w:ascii="Times New Roman" w:hAnsi="Times New Roman" w:eastAsia="宋体" w:cs="Times New Roman"/>
                <w:color w:val="auto"/>
                <w:szCs w:val="21"/>
                <w:highlight w:val="none"/>
                <w:lang w:val="en-US" w:eastAsia="zh-CN"/>
              </w:rPr>
            </w:pPr>
            <w:r>
              <w:rPr>
                <w:rFonts w:hint="eastAsia" w:ascii="Times New Roman" w:hAnsi="Times New Roman"/>
                <w:color w:val="auto"/>
                <w:szCs w:val="21"/>
                <w:highlight w:val="none"/>
                <w:lang w:val="en-US" w:eastAsia="zh-CN"/>
              </w:rPr>
              <w:t>注：本项目以</w:t>
            </w:r>
            <w:r>
              <w:rPr>
                <w:rFonts w:hint="eastAsia"/>
                <w:color w:val="auto"/>
                <w:szCs w:val="21"/>
                <w:highlight w:val="none"/>
                <w:lang w:val="en-US" w:eastAsia="zh-CN"/>
              </w:rPr>
              <w:t>电芯车间</w:t>
            </w:r>
            <w:r>
              <w:rPr>
                <w:rFonts w:hint="eastAsia" w:ascii="Times New Roman" w:hAnsi="Times New Roman"/>
                <w:color w:val="auto"/>
                <w:szCs w:val="21"/>
                <w:highlight w:val="none"/>
                <w:lang w:val="en-US" w:eastAsia="zh-CN"/>
              </w:rPr>
              <w:t>南边角为原点</w:t>
            </w:r>
          </w:p>
        </w:tc>
      </w:tr>
    </w:tbl>
    <w:p w14:paraId="0447E648">
      <w:pPr>
        <w:pStyle w:val="208"/>
        <w:spacing w:line="276" w:lineRule="auto"/>
        <w:ind w:firstLine="0"/>
        <w:jc w:val="center"/>
        <w:rPr>
          <w:rFonts w:hint="default" w:ascii="Times New Roman" w:hAnsi="Times New Roman" w:eastAsia="宋体" w:cs="Times New Roman"/>
          <w:b/>
          <w:bCs/>
          <w:color w:val="auto"/>
          <w:kern w:val="0"/>
          <w:sz w:val="21"/>
          <w:szCs w:val="21"/>
          <w:highlight w:val="none"/>
          <w:lang w:val="en-US" w:eastAsia="zh-CN"/>
        </w:rPr>
      </w:pPr>
      <w:r>
        <w:rPr>
          <w:rFonts w:hint="default" w:ascii="Times New Roman" w:hAnsi="Times New Roman" w:eastAsia="宋体" w:cs="Times New Roman"/>
          <w:b/>
          <w:bCs/>
          <w:color w:val="auto"/>
          <w:kern w:val="0"/>
          <w:sz w:val="21"/>
          <w:szCs w:val="21"/>
          <w:highlight w:val="none"/>
          <w:lang w:val="en-US" w:eastAsia="zh-CN"/>
        </w:rPr>
        <w:t>表</w:t>
      </w:r>
      <w:r>
        <w:rPr>
          <w:rFonts w:hint="eastAsia" w:ascii="Times New Roman" w:hAnsi="Times New Roman" w:eastAsia="宋体" w:cs="Times New Roman"/>
          <w:b/>
          <w:bCs/>
          <w:color w:val="auto"/>
          <w:kern w:val="0"/>
          <w:sz w:val="21"/>
          <w:szCs w:val="21"/>
          <w:highlight w:val="none"/>
          <w:lang w:val="en-US" w:eastAsia="zh-CN"/>
        </w:rPr>
        <w:t>4-1</w:t>
      </w:r>
      <w:r>
        <w:rPr>
          <w:rFonts w:hint="eastAsia" w:ascii="Times New Roman" w:cs="Times New Roman"/>
          <w:b/>
          <w:bCs/>
          <w:color w:val="auto"/>
          <w:kern w:val="0"/>
          <w:sz w:val="21"/>
          <w:szCs w:val="21"/>
          <w:highlight w:val="none"/>
          <w:lang w:val="en-US" w:eastAsia="zh-CN"/>
        </w:rPr>
        <w:t>7</w:t>
      </w:r>
      <w:r>
        <w:rPr>
          <w:rFonts w:hint="eastAsia" w:ascii="Times New Roman" w:hAnsi="Times New Roman" w:eastAsia="宋体" w:cs="Times New Roman"/>
          <w:b/>
          <w:bCs/>
          <w:color w:val="auto"/>
          <w:kern w:val="0"/>
          <w:sz w:val="21"/>
          <w:szCs w:val="21"/>
          <w:highlight w:val="none"/>
          <w:lang w:val="en-US" w:eastAsia="zh-CN"/>
        </w:rPr>
        <w:t xml:space="preserve"> 本项目室外噪声源强调查清单表（单位：dB（A））</w:t>
      </w:r>
    </w:p>
    <w:tbl>
      <w:tblPr>
        <w:tblStyle w:val="42"/>
        <w:tblW w:w="0" w:type="auto"/>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1023"/>
        <w:gridCol w:w="2203"/>
        <w:gridCol w:w="1039"/>
        <w:gridCol w:w="1416"/>
        <w:gridCol w:w="1417"/>
        <w:gridCol w:w="1416"/>
        <w:gridCol w:w="1269"/>
        <w:gridCol w:w="2033"/>
        <w:gridCol w:w="1395"/>
      </w:tblGrid>
      <w:tr w14:paraId="570145A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41" w:hRule="atLeast"/>
          <w:jc w:val="center"/>
        </w:trPr>
        <w:tc>
          <w:tcPr>
            <w:tcW w:w="1023" w:type="dxa"/>
            <w:vMerge w:val="restart"/>
            <w:tcBorders>
              <w:tl2br w:val="nil"/>
              <w:tr2bl w:val="nil"/>
            </w:tcBorders>
            <w:shd w:val="clear" w:color="auto" w:fill="auto"/>
            <w:noWrap w:val="0"/>
            <w:vAlign w:val="center"/>
          </w:tcPr>
          <w:p w14:paraId="5594DE82">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Times New Roman" w:hAnsi="Times New Roman" w:eastAsia="宋体" w:cs="Times New Roman"/>
                <w:b/>
                <w:bCs/>
                <w:color w:val="auto"/>
                <w:sz w:val="21"/>
                <w:szCs w:val="21"/>
                <w:highlight w:val="none"/>
                <w:vertAlign w:val="baseline"/>
                <w:lang w:val="en-US" w:eastAsia="zh-CN"/>
              </w:rPr>
            </w:pPr>
            <w:r>
              <w:rPr>
                <w:rFonts w:hint="eastAsia" w:ascii="Times New Roman" w:hAnsi="Times New Roman" w:eastAsia="宋体" w:cs="Times New Roman"/>
                <w:b/>
                <w:bCs/>
                <w:color w:val="auto"/>
                <w:sz w:val="21"/>
                <w:szCs w:val="21"/>
                <w:highlight w:val="none"/>
                <w:vertAlign w:val="baseline"/>
                <w:lang w:val="en-US" w:eastAsia="zh-CN"/>
              </w:rPr>
              <w:t>序号</w:t>
            </w:r>
          </w:p>
        </w:tc>
        <w:tc>
          <w:tcPr>
            <w:tcW w:w="2203" w:type="dxa"/>
            <w:vMerge w:val="restart"/>
            <w:tcBorders>
              <w:tl2br w:val="nil"/>
              <w:tr2bl w:val="nil"/>
            </w:tcBorders>
            <w:shd w:val="clear" w:color="auto" w:fill="auto"/>
            <w:noWrap w:val="0"/>
            <w:vAlign w:val="center"/>
          </w:tcPr>
          <w:p w14:paraId="40F8AF80">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Times New Roman" w:hAnsi="Times New Roman" w:eastAsia="宋体" w:cs="Times New Roman"/>
                <w:b/>
                <w:bCs/>
                <w:color w:val="auto"/>
                <w:sz w:val="21"/>
                <w:szCs w:val="21"/>
                <w:highlight w:val="none"/>
                <w:vertAlign w:val="baseline"/>
                <w:lang w:val="en-US" w:eastAsia="zh-CN"/>
              </w:rPr>
            </w:pPr>
            <w:r>
              <w:rPr>
                <w:rFonts w:hint="eastAsia" w:ascii="Times New Roman" w:hAnsi="Times New Roman" w:eastAsia="宋体" w:cs="Times New Roman"/>
                <w:b/>
                <w:bCs/>
                <w:color w:val="auto"/>
                <w:sz w:val="21"/>
                <w:szCs w:val="21"/>
                <w:highlight w:val="none"/>
                <w:vertAlign w:val="baseline"/>
                <w:lang w:val="en-US" w:eastAsia="zh-CN"/>
              </w:rPr>
              <w:t>声源名称</w:t>
            </w:r>
          </w:p>
        </w:tc>
        <w:tc>
          <w:tcPr>
            <w:tcW w:w="1039" w:type="dxa"/>
            <w:vMerge w:val="restart"/>
            <w:tcBorders>
              <w:tl2br w:val="nil"/>
              <w:tr2bl w:val="nil"/>
            </w:tcBorders>
            <w:shd w:val="clear" w:color="auto" w:fill="auto"/>
            <w:noWrap w:val="0"/>
            <w:vAlign w:val="center"/>
          </w:tcPr>
          <w:p w14:paraId="27C7DE58">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Times New Roman" w:hAnsi="Times New Roman" w:eastAsia="宋体" w:cs="Times New Roman"/>
                <w:b/>
                <w:bCs/>
                <w:color w:val="auto"/>
                <w:sz w:val="21"/>
                <w:szCs w:val="21"/>
                <w:highlight w:val="none"/>
                <w:vertAlign w:val="baseline"/>
                <w:lang w:val="en-US" w:eastAsia="zh-CN"/>
              </w:rPr>
            </w:pPr>
            <w:r>
              <w:rPr>
                <w:rFonts w:hint="eastAsia" w:ascii="Times New Roman" w:hAnsi="Times New Roman" w:eastAsia="宋体" w:cs="Times New Roman"/>
                <w:b/>
                <w:bCs/>
                <w:color w:val="auto"/>
                <w:sz w:val="21"/>
                <w:szCs w:val="21"/>
                <w:highlight w:val="none"/>
                <w:vertAlign w:val="baseline"/>
                <w:lang w:val="en-US" w:eastAsia="zh-CN"/>
              </w:rPr>
              <w:t>数量</w:t>
            </w:r>
          </w:p>
        </w:tc>
        <w:tc>
          <w:tcPr>
            <w:tcW w:w="4249" w:type="dxa"/>
            <w:gridSpan w:val="3"/>
            <w:tcBorders>
              <w:tl2br w:val="nil"/>
              <w:tr2bl w:val="nil"/>
            </w:tcBorders>
            <w:shd w:val="clear" w:color="auto" w:fill="auto"/>
            <w:noWrap w:val="0"/>
            <w:vAlign w:val="center"/>
          </w:tcPr>
          <w:p w14:paraId="09A50C9B">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Times New Roman" w:hAnsi="Times New Roman" w:eastAsia="宋体" w:cs="Times New Roman"/>
                <w:b/>
                <w:bCs/>
                <w:color w:val="auto"/>
                <w:sz w:val="21"/>
                <w:szCs w:val="21"/>
                <w:highlight w:val="none"/>
                <w:vertAlign w:val="baseline"/>
                <w:lang w:val="en-US" w:eastAsia="zh-CN"/>
              </w:rPr>
            </w:pPr>
            <w:r>
              <w:rPr>
                <w:rFonts w:hint="eastAsia" w:ascii="Times New Roman" w:hAnsi="Times New Roman" w:eastAsia="宋体" w:cs="Times New Roman"/>
                <w:b/>
                <w:bCs/>
                <w:color w:val="auto"/>
                <w:sz w:val="21"/>
                <w:szCs w:val="21"/>
                <w:highlight w:val="none"/>
                <w:vertAlign w:val="baseline"/>
                <w:lang w:val="en-US" w:eastAsia="zh-CN"/>
              </w:rPr>
              <w:t>空间相对位置/m</w:t>
            </w:r>
          </w:p>
        </w:tc>
        <w:tc>
          <w:tcPr>
            <w:tcW w:w="1269" w:type="dxa"/>
            <w:vMerge w:val="restart"/>
            <w:tcBorders>
              <w:tl2br w:val="nil"/>
              <w:tr2bl w:val="nil"/>
            </w:tcBorders>
            <w:shd w:val="clear" w:color="auto" w:fill="auto"/>
            <w:noWrap w:val="0"/>
            <w:vAlign w:val="center"/>
          </w:tcPr>
          <w:p w14:paraId="1E6D4FD2">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Times New Roman" w:hAnsi="Times New Roman" w:eastAsia="宋体" w:cs="Times New Roman"/>
                <w:b/>
                <w:bCs/>
                <w:color w:val="auto"/>
                <w:sz w:val="21"/>
                <w:szCs w:val="21"/>
                <w:highlight w:val="none"/>
                <w:vertAlign w:val="baseline"/>
                <w:lang w:val="en-US" w:eastAsia="zh-CN"/>
              </w:rPr>
            </w:pPr>
            <w:r>
              <w:rPr>
                <w:rFonts w:hint="eastAsia" w:ascii="Times New Roman" w:hAnsi="Times New Roman" w:eastAsia="宋体" w:cs="Times New Roman"/>
                <w:b/>
                <w:bCs/>
                <w:color w:val="auto"/>
                <w:sz w:val="21"/>
                <w:szCs w:val="21"/>
                <w:highlight w:val="none"/>
                <w:vertAlign w:val="baseline"/>
                <w:lang w:val="en-US" w:eastAsia="zh-CN"/>
              </w:rPr>
              <w:t>声源强</w:t>
            </w:r>
          </w:p>
        </w:tc>
        <w:tc>
          <w:tcPr>
            <w:tcW w:w="2033" w:type="dxa"/>
            <w:vMerge w:val="restart"/>
            <w:tcBorders>
              <w:tl2br w:val="nil"/>
              <w:tr2bl w:val="nil"/>
            </w:tcBorders>
            <w:shd w:val="clear" w:color="auto" w:fill="auto"/>
            <w:noWrap w:val="0"/>
            <w:vAlign w:val="center"/>
          </w:tcPr>
          <w:p w14:paraId="59C5F8A3">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Times New Roman" w:hAnsi="Times New Roman" w:eastAsia="宋体" w:cs="Times New Roman"/>
                <w:b/>
                <w:bCs/>
                <w:color w:val="auto"/>
                <w:sz w:val="21"/>
                <w:szCs w:val="21"/>
                <w:highlight w:val="none"/>
                <w:vertAlign w:val="baseline"/>
                <w:lang w:val="en-US" w:eastAsia="zh-CN"/>
              </w:rPr>
            </w:pPr>
            <w:r>
              <w:rPr>
                <w:rFonts w:hint="eastAsia" w:ascii="Times New Roman" w:hAnsi="Times New Roman" w:eastAsia="宋体" w:cs="Times New Roman"/>
                <w:b/>
                <w:bCs/>
                <w:color w:val="auto"/>
                <w:sz w:val="21"/>
                <w:szCs w:val="21"/>
                <w:highlight w:val="none"/>
                <w:vertAlign w:val="baseline"/>
                <w:lang w:val="en-US" w:eastAsia="zh-CN"/>
              </w:rPr>
              <w:t>声源控制措施</w:t>
            </w:r>
          </w:p>
        </w:tc>
        <w:tc>
          <w:tcPr>
            <w:tcW w:w="1395" w:type="dxa"/>
            <w:vMerge w:val="restart"/>
            <w:tcBorders>
              <w:tl2br w:val="nil"/>
              <w:tr2bl w:val="nil"/>
            </w:tcBorders>
            <w:shd w:val="clear" w:color="auto" w:fill="auto"/>
            <w:noWrap w:val="0"/>
            <w:vAlign w:val="center"/>
          </w:tcPr>
          <w:p w14:paraId="768918DA">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Times New Roman" w:hAnsi="Times New Roman" w:eastAsia="宋体" w:cs="Times New Roman"/>
                <w:b/>
                <w:bCs/>
                <w:color w:val="auto"/>
                <w:sz w:val="21"/>
                <w:szCs w:val="21"/>
                <w:highlight w:val="none"/>
                <w:vertAlign w:val="baseline"/>
                <w:lang w:val="en-US" w:eastAsia="zh-CN"/>
              </w:rPr>
            </w:pPr>
            <w:r>
              <w:rPr>
                <w:rFonts w:hint="eastAsia" w:ascii="Times New Roman" w:hAnsi="Times New Roman" w:eastAsia="宋体" w:cs="Times New Roman"/>
                <w:b/>
                <w:bCs/>
                <w:color w:val="auto"/>
                <w:sz w:val="21"/>
                <w:szCs w:val="21"/>
                <w:highlight w:val="none"/>
                <w:vertAlign w:val="baseline"/>
                <w:lang w:val="en-US" w:eastAsia="zh-CN"/>
              </w:rPr>
              <w:t>运行时段</w:t>
            </w:r>
          </w:p>
        </w:tc>
      </w:tr>
      <w:tr w14:paraId="28B1C69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24" w:hRule="atLeast"/>
          <w:jc w:val="center"/>
        </w:trPr>
        <w:tc>
          <w:tcPr>
            <w:tcW w:w="1023" w:type="dxa"/>
            <w:vMerge w:val="continue"/>
            <w:tcBorders>
              <w:tl2br w:val="nil"/>
              <w:tr2bl w:val="nil"/>
            </w:tcBorders>
            <w:shd w:val="clear" w:color="auto" w:fill="auto"/>
            <w:noWrap w:val="0"/>
            <w:vAlign w:val="center"/>
          </w:tcPr>
          <w:p w14:paraId="534DA318">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Times New Roman" w:hAnsi="Times New Roman" w:eastAsia="宋体" w:cs="Times New Roman"/>
                <w:b/>
                <w:bCs/>
                <w:color w:val="auto"/>
                <w:sz w:val="21"/>
                <w:szCs w:val="21"/>
                <w:highlight w:val="none"/>
                <w:vertAlign w:val="baseline"/>
                <w:lang w:val="en-US" w:eastAsia="zh-CN"/>
              </w:rPr>
            </w:pPr>
          </w:p>
        </w:tc>
        <w:tc>
          <w:tcPr>
            <w:tcW w:w="2203" w:type="dxa"/>
            <w:vMerge w:val="continue"/>
            <w:tcBorders>
              <w:tl2br w:val="nil"/>
              <w:tr2bl w:val="nil"/>
            </w:tcBorders>
            <w:shd w:val="clear" w:color="auto" w:fill="auto"/>
            <w:noWrap w:val="0"/>
            <w:vAlign w:val="center"/>
          </w:tcPr>
          <w:p w14:paraId="4D391320">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Times New Roman" w:hAnsi="Times New Roman" w:eastAsia="宋体" w:cs="Times New Roman"/>
                <w:b/>
                <w:bCs/>
                <w:color w:val="auto"/>
                <w:sz w:val="21"/>
                <w:szCs w:val="21"/>
                <w:highlight w:val="none"/>
                <w:vertAlign w:val="baseline"/>
                <w:lang w:val="en-US" w:eastAsia="zh-CN"/>
              </w:rPr>
            </w:pPr>
          </w:p>
        </w:tc>
        <w:tc>
          <w:tcPr>
            <w:tcW w:w="1039" w:type="dxa"/>
            <w:vMerge w:val="continue"/>
            <w:tcBorders>
              <w:tl2br w:val="nil"/>
              <w:tr2bl w:val="nil"/>
            </w:tcBorders>
            <w:shd w:val="clear" w:color="auto" w:fill="auto"/>
            <w:noWrap w:val="0"/>
            <w:vAlign w:val="center"/>
          </w:tcPr>
          <w:p w14:paraId="669ADA93">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Times New Roman" w:hAnsi="Times New Roman" w:eastAsia="宋体" w:cs="Times New Roman"/>
                <w:b/>
                <w:bCs/>
                <w:color w:val="auto"/>
                <w:sz w:val="21"/>
                <w:szCs w:val="21"/>
                <w:highlight w:val="none"/>
                <w:vertAlign w:val="baseline"/>
                <w:lang w:val="en-US" w:eastAsia="zh-CN"/>
              </w:rPr>
            </w:pPr>
          </w:p>
        </w:tc>
        <w:tc>
          <w:tcPr>
            <w:tcW w:w="1416" w:type="dxa"/>
            <w:tcBorders>
              <w:tl2br w:val="nil"/>
              <w:tr2bl w:val="nil"/>
            </w:tcBorders>
            <w:shd w:val="clear" w:color="auto" w:fill="auto"/>
            <w:noWrap w:val="0"/>
            <w:vAlign w:val="center"/>
          </w:tcPr>
          <w:p w14:paraId="1CADA306">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Times New Roman" w:hAnsi="Times New Roman" w:eastAsia="宋体" w:cs="Times New Roman"/>
                <w:b/>
                <w:bCs/>
                <w:color w:val="auto"/>
                <w:sz w:val="21"/>
                <w:szCs w:val="21"/>
                <w:highlight w:val="none"/>
                <w:vertAlign w:val="baseline"/>
                <w:lang w:val="en-US" w:eastAsia="zh-CN"/>
              </w:rPr>
            </w:pPr>
            <w:r>
              <w:rPr>
                <w:rFonts w:hint="eastAsia" w:ascii="Times New Roman" w:hAnsi="Times New Roman" w:eastAsia="宋体" w:cs="Times New Roman"/>
                <w:b/>
                <w:bCs/>
                <w:color w:val="auto"/>
                <w:sz w:val="21"/>
                <w:szCs w:val="21"/>
                <w:highlight w:val="none"/>
                <w:vertAlign w:val="baseline"/>
                <w:lang w:val="en-US" w:eastAsia="zh-CN"/>
              </w:rPr>
              <w:t>X</w:t>
            </w:r>
          </w:p>
        </w:tc>
        <w:tc>
          <w:tcPr>
            <w:tcW w:w="1417" w:type="dxa"/>
            <w:tcBorders>
              <w:tl2br w:val="nil"/>
              <w:tr2bl w:val="nil"/>
            </w:tcBorders>
            <w:shd w:val="clear" w:color="auto" w:fill="auto"/>
            <w:noWrap w:val="0"/>
            <w:vAlign w:val="center"/>
          </w:tcPr>
          <w:p w14:paraId="4777B0D7">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Times New Roman" w:hAnsi="Times New Roman" w:eastAsia="宋体" w:cs="Times New Roman"/>
                <w:b/>
                <w:bCs/>
                <w:color w:val="auto"/>
                <w:sz w:val="21"/>
                <w:szCs w:val="21"/>
                <w:highlight w:val="none"/>
                <w:vertAlign w:val="baseline"/>
                <w:lang w:val="en-US" w:eastAsia="zh-CN"/>
              </w:rPr>
            </w:pPr>
            <w:r>
              <w:rPr>
                <w:rFonts w:hint="eastAsia" w:ascii="Times New Roman" w:hAnsi="Times New Roman" w:eastAsia="宋体" w:cs="Times New Roman"/>
                <w:b/>
                <w:bCs/>
                <w:color w:val="auto"/>
                <w:sz w:val="21"/>
                <w:szCs w:val="21"/>
                <w:highlight w:val="none"/>
                <w:vertAlign w:val="baseline"/>
                <w:lang w:val="en-US" w:eastAsia="zh-CN"/>
              </w:rPr>
              <w:t>Y</w:t>
            </w:r>
          </w:p>
        </w:tc>
        <w:tc>
          <w:tcPr>
            <w:tcW w:w="1416" w:type="dxa"/>
            <w:tcBorders>
              <w:tl2br w:val="nil"/>
              <w:tr2bl w:val="nil"/>
            </w:tcBorders>
            <w:shd w:val="clear" w:color="auto" w:fill="auto"/>
            <w:noWrap w:val="0"/>
            <w:vAlign w:val="center"/>
          </w:tcPr>
          <w:p w14:paraId="43A5380D">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Times New Roman" w:hAnsi="Times New Roman" w:eastAsia="宋体" w:cs="Times New Roman"/>
                <w:b/>
                <w:bCs/>
                <w:color w:val="auto"/>
                <w:sz w:val="21"/>
                <w:szCs w:val="21"/>
                <w:highlight w:val="none"/>
                <w:vertAlign w:val="baseline"/>
                <w:lang w:val="en-US" w:eastAsia="zh-CN"/>
              </w:rPr>
            </w:pPr>
            <w:r>
              <w:rPr>
                <w:rFonts w:hint="eastAsia" w:ascii="Times New Roman" w:hAnsi="Times New Roman" w:eastAsia="宋体" w:cs="Times New Roman"/>
                <w:b/>
                <w:bCs/>
                <w:color w:val="auto"/>
                <w:sz w:val="21"/>
                <w:szCs w:val="21"/>
                <w:highlight w:val="none"/>
                <w:vertAlign w:val="baseline"/>
                <w:lang w:val="en-US" w:eastAsia="zh-CN"/>
              </w:rPr>
              <w:t>Z</w:t>
            </w:r>
          </w:p>
        </w:tc>
        <w:tc>
          <w:tcPr>
            <w:tcW w:w="1269" w:type="dxa"/>
            <w:vMerge w:val="continue"/>
            <w:tcBorders>
              <w:tl2br w:val="nil"/>
              <w:tr2bl w:val="nil"/>
            </w:tcBorders>
            <w:shd w:val="clear" w:color="auto" w:fill="auto"/>
            <w:noWrap w:val="0"/>
            <w:vAlign w:val="center"/>
          </w:tcPr>
          <w:p w14:paraId="4B4DD6F7">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Times New Roman" w:hAnsi="Times New Roman" w:eastAsia="宋体" w:cs="Times New Roman"/>
                <w:b/>
                <w:bCs/>
                <w:color w:val="auto"/>
                <w:sz w:val="21"/>
                <w:szCs w:val="21"/>
                <w:highlight w:val="none"/>
                <w:vertAlign w:val="baseline"/>
                <w:lang w:val="en-US" w:eastAsia="zh-CN"/>
              </w:rPr>
            </w:pPr>
          </w:p>
        </w:tc>
        <w:tc>
          <w:tcPr>
            <w:tcW w:w="2033" w:type="dxa"/>
            <w:vMerge w:val="continue"/>
            <w:tcBorders>
              <w:tl2br w:val="nil"/>
              <w:tr2bl w:val="nil"/>
            </w:tcBorders>
            <w:shd w:val="clear" w:color="auto" w:fill="auto"/>
            <w:noWrap w:val="0"/>
            <w:vAlign w:val="center"/>
          </w:tcPr>
          <w:p w14:paraId="089E11A1">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Times New Roman" w:hAnsi="Times New Roman" w:eastAsia="宋体" w:cs="Times New Roman"/>
                <w:b/>
                <w:bCs/>
                <w:color w:val="auto"/>
                <w:sz w:val="21"/>
                <w:szCs w:val="21"/>
                <w:highlight w:val="none"/>
                <w:vertAlign w:val="baseline"/>
                <w:lang w:val="en-US" w:eastAsia="zh-CN"/>
              </w:rPr>
            </w:pPr>
          </w:p>
        </w:tc>
        <w:tc>
          <w:tcPr>
            <w:tcW w:w="1395" w:type="dxa"/>
            <w:vMerge w:val="continue"/>
            <w:tcBorders>
              <w:tl2br w:val="nil"/>
              <w:tr2bl w:val="nil"/>
            </w:tcBorders>
            <w:shd w:val="clear" w:color="auto" w:fill="auto"/>
            <w:noWrap w:val="0"/>
            <w:vAlign w:val="center"/>
          </w:tcPr>
          <w:p w14:paraId="3DE880DD">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Times New Roman" w:hAnsi="Times New Roman" w:eastAsia="宋体" w:cs="Times New Roman"/>
                <w:b/>
                <w:bCs/>
                <w:color w:val="auto"/>
                <w:sz w:val="21"/>
                <w:szCs w:val="21"/>
                <w:highlight w:val="none"/>
                <w:vertAlign w:val="baseline"/>
                <w:lang w:val="en-US" w:eastAsia="zh-CN"/>
              </w:rPr>
            </w:pPr>
          </w:p>
        </w:tc>
      </w:tr>
      <w:tr w14:paraId="37B63D5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23" w:type="dxa"/>
            <w:tcBorders>
              <w:tl2br w:val="nil"/>
              <w:tr2bl w:val="nil"/>
            </w:tcBorders>
            <w:shd w:val="clear" w:color="auto" w:fill="auto"/>
            <w:noWrap w:val="0"/>
            <w:vAlign w:val="center"/>
          </w:tcPr>
          <w:p w14:paraId="3BEC8EA2">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r>
              <w:rPr>
                <w:rFonts w:hint="eastAsia" w:cs="Times New Roman"/>
                <w:b w:val="0"/>
                <w:bCs w:val="0"/>
                <w:color w:val="auto"/>
                <w:sz w:val="21"/>
                <w:szCs w:val="21"/>
                <w:highlight w:val="none"/>
                <w:vertAlign w:val="baseline"/>
                <w:lang w:val="en-US" w:eastAsia="zh-CN"/>
              </w:rPr>
              <w:t>1</w:t>
            </w:r>
          </w:p>
        </w:tc>
        <w:tc>
          <w:tcPr>
            <w:tcW w:w="2203" w:type="dxa"/>
            <w:tcBorders>
              <w:tl2br w:val="nil"/>
              <w:tr2bl w:val="nil"/>
            </w:tcBorders>
            <w:shd w:val="clear" w:color="auto" w:fill="auto"/>
            <w:noWrap w:val="0"/>
            <w:vAlign w:val="center"/>
          </w:tcPr>
          <w:p w14:paraId="3EE43863">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r>
              <w:rPr>
                <w:rFonts w:hint="eastAsia" w:cs="Times New Roman"/>
                <w:b w:val="0"/>
                <w:bCs w:val="0"/>
                <w:color w:val="auto"/>
                <w:sz w:val="21"/>
                <w:szCs w:val="21"/>
                <w:highlight w:val="none"/>
                <w:vertAlign w:val="baseline"/>
                <w:lang w:val="en-US" w:eastAsia="zh-CN"/>
              </w:rPr>
              <w:t>除湿机系统1#</w:t>
            </w:r>
          </w:p>
        </w:tc>
        <w:tc>
          <w:tcPr>
            <w:tcW w:w="1039" w:type="dxa"/>
            <w:tcBorders>
              <w:tl2br w:val="nil"/>
              <w:tr2bl w:val="nil"/>
            </w:tcBorders>
            <w:shd w:val="clear" w:color="auto" w:fill="auto"/>
            <w:noWrap w:val="0"/>
            <w:vAlign w:val="center"/>
          </w:tcPr>
          <w:p w14:paraId="46D1A375">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r>
              <w:rPr>
                <w:rFonts w:hint="eastAsia" w:cs="Times New Roman"/>
                <w:b w:val="0"/>
                <w:bCs w:val="0"/>
                <w:color w:val="auto"/>
                <w:sz w:val="21"/>
                <w:szCs w:val="21"/>
                <w:highlight w:val="none"/>
                <w:vertAlign w:val="baseline"/>
                <w:lang w:val="en-US" w:eastAsia="zh-CN"/>
              </w:rPr>
              <w:t>1</w:t>
            </w:r>
          </w:p>
        </w:tc>
        <w:tc>
          <w:tcPr>
            <w:tcW w:w="1416" w:type="dxa"/>
            <w:tcBorders>
              <w:tl2br w:val="nil"/>
              <w:tr2bl w:val="nil"/>
            </w:tcBorders>
            <w:shd w:val="clear" w:color="auto" w:fill="auto"/>
            <w:noWrap w:val="0"/>
            <w:vAlign w:val="center"/>
          </w:tcPr>
          <w:p w14:paraId="65FB4B0A">
            <w:pPr>
              <w:widowControl/>
              <w:jc w:val="center"/>
              <w:rPr>
                <w:rFonts w:hint="default" w:ascii="Times New Roman" w:hAnsi="Times New Roman" w:eastAsia="宋体" w:cs="Times New Roman"/>
                <w:b w:val="0"/>
                <w:bCs w:val="0"/>
                <w:color w:val="auto"/>
                <w:sz w:val="21"/>
                <w:szCs w:val="21"/>
                <w:highlight w:val="none"/>
                <w:vertAlign w:val="baseline"/>
                <w:lang w:val="en-US" w:eastAsia="zh-CN"/>
              </w:rPr>
            </w:pPr>
            <w:r>
              <w:rPr>
                <w:rFonts w:hint="default" w:ascii="Times New Roman" w:hAnsi="Times New Roman" w:eastAsia="宋体" w:cs="Times New Roman"/>
                <w:b w:val="0"/>
                <w:bCs w:val="0"/>
                <w:color w:val="auto"/>
                <w:sz w:val="21"/>
                <w:szCs w:val="21"/>
                <w:highlight w:val="none"/>
                <w:vertAlign w:val="baseline"/>
                <w:lang w:val="en-US" w:eastAsia="zh-CN"/>
              </w:rPr>
              <w:t>27.03</w:t>
            </w:r>
          </w:p>
        </w:tc>
        <w:tc>
          <w:tcPr>
            <w:tcW w:w="1417" w:type="dxa"/>
            <w:tcBorders>
              <w:tl2br w:val="nil"/>
              <w:tr2bl w:val="nil"/>
            </w:tcBorders>
            <w:shd w:val="clear" w:color="auto" w:fill="auto"/>
            <w:noWrap w:val="0"/>
            <w:vAlign w:val="center"/>
          </w:tcPr>
          <w:p w14:paraId="097F0366">
            <w:pPr>
              <w:widowControl/>
              <w:jc w:val="center"/>
              <w:rPr>
                <w:rFonts w:hint="default" w:ascii="Times New Roman" w:hAnsi="Times New Roman" w:eastAsia="宋体" w:cs="Times New Roman"/>
                <w:b w:val="0"/>
                <w:bCs w:val="0"/>
                <w:color w:val="auto"/>
                <w:sz w:val="21"/>
                <w:szCs w:val="21"/>
                <w:highlight w:val="none"/>
                <w:vertAlign w:val="baseline"/>
                <w:lang w:val="en-US" w:eastAsia="zh-CN"/>
              </w:rPr>
            </w:pPr>
            <w:r>
              <w:rPr>
                <w:rFonts w:hint="default" w:ascii="Times New Roman" w:hAnsi="Times New Roman" w:eastAsia="宋体" w:cs="Times New Roman"/>
                <w:b w:val="0"/>
                <w:bCs w:val="0"/>
                <w:color w:val="auto"/>
                <w:sz w:val="21"/>
                <w:szCs w:val="21"/>
                <w:highlight w:val="none"/>
                <w:vertAlign w:val="baseline"/>
                <w:lang w:val="en-US" w:eastAsia="zh-CN"/>
              </w:rPr>
              <w:t>7.98</w:t>
            </w:r>
          </w:p>
        </w:tc>
        <w:tc>
          <w:tcPr>
            <w:tcW w:w="1416" w:type="dxa"/>
            <w:tcBorders>
              <w:tl2br w:val="nil"/>
              <w:tr2bl w:val="nil"/>
            </w:tcBorders>
            <w:shd w:val="clear" w:color="auto" w:fill="auto"/>
            <w:noWrap w:val="0"/>
            <w:vAlign w:val="center"/>
          </w:tcPr>
          <w:p w14:paraId="344F73A2">
            <w:pPr>
              <w:spacing w:line="280" w:lineRule="exact"/>
              <w:jc w:val="center"/>
              <w:rPr>
                <w:rFonts w:hint="default" w:ascii="Times New Roman" w:hAnsi="Times New Roman" w:eastAsia="宋体" w:cs="Times New Roman"/>
                <w:b w:val="0"/>
                <w:bCs w:val="0"/>
                <w:color w:val="auto"/>
                <w:sz w:val="21"/>
                <w:szCs w:val="21"/>
                <w:highlight w:val="none"/>
                <w:vertAlign w:val="baseline"/>
                <w:lang w:val="en-US" w:eastAsia="zh-CN"/>
              </w:rPr>
            </w:pPr>
            <w:r>
              <w:rPr>
                <w:rFonts w:hint="eastAsia" w:cs="Times New Roman"/>
                <w:b w:val="0"/>
                <w:bCs w:val="0"/>
                <w:color w:val="auto"/>
                <w:sz w:val="21"/>
                <w:szCs w:val="21"/>
                <w:highlight w:val="none"/>
                <w:vertAlign w:val="baseline"/>
                <w:lang w:val="en-US" w:eastAsia="zh-CN"/>
              </w:rPr>
              <w:t>1.3</w:t>
            </w:r>
          </w:p>
        </w:tc>
        <w:tc>
          <w:tcPr>
            <w:tcW w:w="1269" w:type="dxa"/>
            <w:tcBorders>
              <w:tl2br w:val="nil"/>
              <w:tr2bl w:val="nil"/>
            </w:tcBorders>
            <w:shd w:val="clear" w:color="auto" w:fill="auto"/>
            <w:noWrap w:val="0"/>
            <w:vAlign w:val="center"/>
          </w:tcPr>
          <w:p w14:paraId="33772790">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r>
              <w:rPr>
                <w:rFonts w:hint="eastAsia" w:ascii="Times New Roman" w:hAnsi="Times New Roman" w:eastAsia="宋体" w:cs="Times New Roman"/>
                <w:b w:val="0"/>
                <w:bCs w:val="0"/>
                <w:color w:val="auto"/>
                <w:sz w:val="21"/>
                <w:szCs w:val="21"/>
                <w:highlight w:val="none"/>
                <w:vertAlign w:val="baseline"/>
                <w:lang w:val="en-US" w:eastAsia="zh-CN"/>
              </w:rPr>
              <w:t>60</w:t>
            </w:r>
          </w:p>
        </w:tc>
        <w:tc>
          <w:tcPr>
            <w:tcW w:w="2033" w:type="dxa"/>
            <w:vMerge w:val="restart"/>
            <w:tcBorders>
              <w:tl2br w:val="nil"/>
              <w:tr2bl w:val="nil"/>
            </w:tcBorders>
            <w:shd w:val="clear" w:color="auto" w:fill="auto"/>
            <w:noWrap w:val="0"/>
            <w:vAlign w:val="center"/>
          </w:tcPr>
          <w:p w14:paraId="3AC6BA27">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r>
              <w:rPr>
                <w:rFonts w:hint="eastAsia" w:ascii="Times New Roman" w:hAnsi="Times New Roman" w:eastAsia="宋体" w:cs="Times New Roman"/>
                <w:b w:val="0"/>
                <w:bCs w:val="0"/>
                <w:color w:val="auto"/>
                <w:sz w:val="21"/>
                <w:szCs w:val="21"/>
                <w:highlight w:val="none"/>
                <w:vertAlign w:val="baseline"/>
                <w:lang w:val="en-US" w:eastAsia="zh-CN"/>
              </w:rPr>
              <w:t>基础减振、设置隔声棉等</w:t>
            </w:r>
          </w:p>
        </w:tc>
        <w:tc>
          <w:tcPr>
            <w:tcW w:w="1395" w:type="dxa"/>
            <w:vMerge w:val="restart"/>
            <w:tcBorders>
              <w:tl2br w:val="nil"/>
              <w:tr2bl w:val="nil"/>
            </w:tcBorders>
            <w:shd w:val="clear" w:color="auto" w:fill="auto"/>
            <w:noWrap w:val="0"/>
            <w:vAlign w:val="center"/>
          </w:tcPr>
          <w:p w14:paraId="2DEDFE21">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r>
              <w:rPr>
                <w:rFonts w:hint="eastAsia" w:ascii="Times New Roman" w:hAnsi="Times New Roman" w:cs="Times New Roman"/>
                <w:b w:val="0"/>
                <w:bCs w:val="0"/>
                <w:color w:val="auto"/>
                <w:sz w:val="21"/>
                <w:szCs w:val="21"/>
                <w:highlight w:val="none"/>
                <w:vertAlign w:val="baseline"/>
                <w:lang w:val="en-US" w:eastAsia="zh-CN"/>
              </w:rPr>
              <w:t>昼、夜间</w:t>
            </w:r>
          </w:p>
        </w:tc>
      </w:tr>
      <w:tr w14:paraId="7D7CC7A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28" w:hRule="atLeast"/>
          <w:jc w:val="center"/>
        </w:trPr>
        <w:tc>
          <w:tcPr>
            <w:tcW w:w="1023" w:type="dxa"/>
            <w:tcBorders>
              <w:tl2br w:val="nil"/>
              <w:tr2bl w:val="nil"/>
            </w:tcBorders>
            <w:shd w:val="clear" w:color="auto" w:fill="auto"/>
            <w:noWrap w:val="0"/>
            <w:vAlign w:val="center"/>
          </w:tcPr>
          <w:p w14:paraId="0768041E">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r>
              <w:rPr>
                <w:rFonts w:hint="eastAsia" w:cs="Times New Roman"/>
                <w:b w:val="0"/>
                <w:bCs w:val="0"/>
                <w:color w:val="auto"/>
                <w:sz w:val="21"/>
                <w:szCs w:val="21"/>
                <w:highlight w:val="none"/>
                <w:vertAlign w:val="baseline"/>
                <w:lang w:val="en-US" w:eastAsia="zh-CN"/>
              </w:rPr>
              <w:t>2</w:t>
            </w:r>
          </w:p>
        </w:tc>
        <w:tc>
          <w:tcPr>
            <w:tcW w:w="2203" w:type="dxa"/>
            <w:tcBorders>
              <w:tl2br w:val="nil"/>
              <w:tr2bl w:val="nil"/>
            </w:tcBorders>
            <w:shd w:val="clear" w:color="auto" w:fill="auto"/>
            <w:noWrap w:val="0"/>
            <w:vAlign w:val="center"/>
          </w:tcPr>
          <w:p w14:paraId="4E38C633">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cs="Times New Roman"/>
                <w:b w:val="0"/>
                <w:bCs w:val="0"/>
                <w:color w:val="auto"/>
                <w:sz w:val="21"/>
                <w:szCs w:val="21"/>
                <w:highlight w:val="none"/>
                <w:vertAlign w:val="baseline"/>
                <w:lang w:val="en-US" w:eastAsia="zh-CN"/>
              </w:rPr>
            </w:pPr>
            <w:r>
              <w:rPr>
                <w:rFonts w:hint="eastAsia" w:cs="Times New Roman"/>
                <w:b w:val="0"/>
                <w:bCs w:val="0"/>
                <w:color w:val="auto"/>
                <w:sz w:val="21"/>
                <w:szCs w:val="21"/>
                <w:highlight w:val="none"/>
                <w:vertAlign w:val="baseline"/>
                <w:lang w:val="en-US" w:eastAsia="zh-CN"/>
              </w:rPr>
              <w:t>除湿机系统2#</w:t>
            </w:r>
          </w:p>
        </w:tc>
        <w:tc>
          <w:tcPr>
            <w:tcW w:w="1039" w:type="dxa"/>
            <w:tcBorders>
              <w:tl2br w:val="nil"/>
              <w:tr2bl w:val="nil"/>
            </w:tcBorders>
            <w:shd w:val="clear" w:color="auto" w:fill="auto"/>
            <w:noWrap w:val="0"/>
            <w:vAlign w:val="center"/>
          </w:tcPr>
          <w:p w14:paraId="02072A17">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cs="Times New Roman"/>
                <w:b w:val="0"/>
                <w:bCs w:val="0"/>
                <w:color w:val="auto"/>
                <w:sz w:val="21"/>
                <w:szCs w:val="21"/>
                <w:highlight w:val="none"/>
                <w:vertAlign w:val="baseline"/>
                <w:lang w:val="en-US" w:eastAsia="zh-CN"/>
              </w:rPr>
            </w:pPr>
            <w:r>
              <w:rPr>
                <w:rFonts w:hint="eastAsia" w:cs="Times New Roman"/>
                <w:b w:val="0"/>
                <w:bCs w:val="0"/>
                <w:color w:val="auto"/>
                <w:sz w:val="21"/>
                <w:szCs w:val="21"/>
                <w:highlight w:val="none"/>
                <w:vertAlign w:val="baseline"/>
                <w:lang w:val="en-US" w:eastAsia="zh-CN"/>
              </w:rPr>
              <w:t>1</w:t>
            </w:r>
          </w:p>
        </w:tc>
        <w:tc>
          <w:tcPr>
            <w:tcW w:w="1416" w:type="dxa"/>
            <w:tcBorders>
              <w:tl2br w:val="nil"/>
              <w:tr2bl w:val="nil"/>
            </w:tcBorders>
            <w:shd w:val="clear" w:color="auto" w:fill="auto"/>
            <w:noWrap w:val="0"/>
            <w:vAlign w:val="center"/>
          </w:tcPr>
          <w:p w14:paraId="762EFE3E">
            <w:pPr>
              <w:widowControl/>
              <w:jc w:val="center"/>
              <w:rPr>
                <w:rFonts w:hint="eastAsia" w:ascii="Times New Roman" w:hAnsi="Times New Roman" w:eastAsia="宋体" w:cs="Times New Roman"/>
                <w:b w:val="0"/>
                <w:bCs w:val="0"/>
                <w:color w:val="auto"/>
                <w:sz w:val="21"/>
                <w:szCs w:val="21"/>
                <w:highlight w:val="none"/>
                <w:vertAlign w:val="baseline"/>
                <w:lang w:val="en-US" w:eastAsia="zh-CN"/>
              </w:rPr>
            </w:pPr>
            <w:r>
              <w:rPr>
                <w:rFonts w:hint="eastAsia" w:ascii="Times New Roman" w:hAnsi="Times New Roman" w:eastAsia="宋体" w:cs="Times New Roman"/>
                <w:b w:val="0"/>
                <w:bCs w:val="0"/>
                <w:color w:val="auto"/>
                <w:sz w:val="21"/>
                <w:szCs w:val="21"/>
                <w:highlight w:val="none"/>
                <w:vertAlign w:val="baseline"/>
                <w:lang w:val="en-US" w:eastAsia="zh-CN"/>
              </w:rPr>
              <w:t>28.11</w:t>
            </w:r>
          </w:p>
        </w:tc>
        <w:tc>
          <w:tcPr>
            <w:tcW w:w="1417" w:type="dxa"/>
            <w:tcBorders>
              <w:tl2br w:val="nil"/>
              <w:tr2bl w:val="nil"/>
            </w:tcBorders>
            <w:shd w:val="clear" w:color="auto" w:fill="auto"/>
            <w:noWrap w:val="0"/>
            <w:vAlign w:val="center"/>
          </w:tcPr>
          <w:p w14:paraId="35490E52">
            <w:pPr>
              <w:widowControl/>
              <w:jc w:val="center"/>
              <w:rPr>
                <w:rFonts w:hint="eastAsia" w:ascii="Times New Roman" w:hAnsi="Times New Roman" w:eastAsia="宋体" w:cs="Times New Roman"/>
                <w:b w:val="0"/>
                <w:bCs w:val="0"/>
                <w:color w:val="auto"/>
                <w:sz w:val="21"/>
                <w:szCs w:val="21"/>
                <w:highlight w:val="none"/>
                <w:vertAlign w:val="baseline"/>
                <w:lang w:val="en-US" w:eastAsia="zh-CN"/>
              </w:rPr>
            </w:pPr>
            <w:r>
              <w:rPr>
                <w:rFonts w:hint="eastAsia" w:ascii="Times New Roman" w:hAnsi="Times New Roman" w:eastAsia="宋体" w:cs="Times New Roman"/>
                <w:b w:val="0"/>
                <w:bCs w:val="0"/>
                <w:color w:val="auto"/>
                <w:sz w:val="21"/>
                <w:szCs w:val="21"/>
                <w:highlight w:val="none"/>
                <w:vertAlign w:val="baseline"/>
                <w:lang w:val="en-US" w:eastAsia="zh-CN"/>
              </w:rPr>
              <w:t>8.37</w:t>
            </w:r>
          </w:p>
        </w:tc>
        <w:tc>
          <w:tcPr>
            <w:tcW w:w="1416" w:type="dxa"/>
            <w:tcBorders>
              <w:tl2br w:val="nil"/>
              <w:tr2bl w:val="nil"/>
            </w:tcBorders>
            <w:shd w:val="clear" w:color="auto" w:fill="auto"/>
            <w:noWrap w:val="0"/>
            <w:vAlign w:val="center"/>
          </w:tcPr>
          <w:p w14:paraId="583A1BB5">
            <w:pPr>
              <w:spacing w:line="280" w:lineRule="exact"/>
              <w:jc w:val="center"/>
              <w:rPr>
                <w:rFonts w:hint="eastAsia" w:ascii="Times New Roman" w:hAnsi="Times New Roman" w:eastAsia="宋体" w:cs="Times New Roman"/>
                <w:color w:val="auto"/>
                <w:szCs w:val="21"/>
                <w:highlight w:val="none"/>
                <w:lang w:val="en-US" w:eastAsia="zh-CN"/>
              </w:rPr>
            </w:pPr>
            <w:r>
              <w:rPr>
                <w:rFonts w:hint="eastAsia" w:cs="Times New Roman"/>
                <w:b w:val="0"/>
                <w:bCs w:val="0"/>
                <w:color w:val="auto"/>
                <w:sz w:val="21"/>
                <w:szCs w:val="21"/>
                <w:highlight w:val="none"/>
                <w:vertAlign w:val="baseline"/>
                <w:lang w:val="en-US" w:eastAsia="zh-CN"/>
              </w:rPr>
              <w:t>1.3</w:t>
            </w:r>
          </w:p>
        </w:tc>
        <w:tc>
          <w:tcPr>
            <w:tcW w:w="1269" w:type="dxa"/>
            <w:tcBorders>
              <w:tl2br w:val="nil"/>
              <w:tr2bl w:val="nil"/>
            </w:tcBorders>
            <w:shd w:val="clear" w:color="auto" w:fill="auto"/>
            <w:noWrap w:val="0"/>
            <w:vAlign w:val="center"/>
          </w:tcPr>
          <w:p w14:paraId="18FB73D2">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Times New Roman" w:hAnsi="Times New Roman" w:eastAsia="宋体" w:cs="Times New Roman"/>
                <w:b w:val="0"/>
                <w:bCs w:val="0"/>
                <w:color w:val="auto"/>
                <w:sz w:val="21"/>
                <w:szCs w:val="21"/>
                <w:highlight w:val="none"/>
                <w:vertAlign w:val="baseline"/>
                <w:lang w:val="en-US" w:eastAsia="zh-CN"/>
              </w:rPr>
            </w:pPr>
            <w:r>
              <w:rPr>
                <w:rFonts w:hint="eastAsia" w:ascii="Times New Roman" w:hAnsi="Times New Roman" w:eastAsia="宋体" w:cs="Times New Roman"/>
                <w:b w:val="0"/>
                <w:bCs w:val="0"/>
                <w:color w:val="auto"/>
                <w:sz w:val="21"/>
                <w:szCs w:val="21"/>
                <w:highlight w:val="none"/>
                <w:vertAlign w:val="baseline"/>
                <w:lang w:val="en-US" w:eastAsia="zh-CN"/>
              </w:rPr>
              <w:t>60</w:t>
            </w:r>
          </w:p>
        </w:tc>
        <w:tc>
          <w:tcPr>
            <w:tcW w:w="2033" w:type="dxa"/>
            <w:vMerge w:val="continue"/>
            <w:tcBorders>
              <w:tl2br w:val="nil"/>
              <w:tr2bl w:val="nil"/>
            </w:tcBorders>
            <w:shd w:val="clear" w:color="auto" w:fill="auto"/>
            <w:noWrap w:val="0"/>
            <w:vAlign w:val="center"/>
          </w:tcPr>
          <w:p w14:paraId="1B3CF05A">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Times New Roman" w:hAnsi="Times New Roman" w:eastAsia="宋体" w:cs="Times New Roman"/>
                <w:b w:val="0"/>
                <w:bCs w:val="0"/>
                <w:color w:val="auto"/>
                <w:sz w:val="21"/>
                <w:szCs w:val="21"/>
                <w:highlight w:val="none"/>
                <w:vertAlign w:val="baseline"/>
                <w:lang w:val="en-US" w:eastAsia="zh-CN"/>
              </w:rPr>
            </w:pPr>
          </w:p>
        </w:tc>
        <w:tc>
          <w:tcPr>
            <w:tcW w:w="1395" w:type="dxa"/>
            <w:vMerge w:val="continue"/>
            <w:tcBorders>
              <w:tl2br w:val="nil"/>
              <w:tr2bl w:val="nil"/>
            </w:tcBorders>
            <w:shd w:val="clear" w:color="auto" w:fill="auto"/>
            <w:noWrap w:val="0"/>
            <w:vAlign w:val="center"/>
          </w:tcPr>
          <w:p w14:paraId="17B0C597">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Times New Roman" w:hAnsi="Times New Roman" w:cs="Times New Roman"/>
                <w:b w:val="0"/>
                <w:bCs w:val="0"/>
                <w:color w:val="auto"/>
                <w:sz w:val="21"/>
                <w:szCs w:val="21"/>
                <w:highlight w:val="none"/>
                <w:vertAlign w:val="baseline"/>
                <w:lang w:val="en-US" w:eastAsia="zh-CN"/>
              </w:rPr>
            </w:pPr>
          </w:p>
        </w:tc>
      </w:tr>
      <w:tr w14:paraId="73E104F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24" w:hRule="atLeast"/>
          <w:jc w:val="center"/>
        </w:trPr>
        <w:tc>
          <w:tcPr>
            <w:tcW w:w="1023" w:type="dxa"/>
            <w:tcBorders>
              <w:tl2br w:val="nil"/>
              <w:tr2bl w:val="nil"/>
            </w:tcBorders>
            <w:shd w:val="clear" w:color="auto" w:fill="auto"/>
            <w:noWrap w:val="0"/>
            <w:vAlign w:val="center"/>
          </w:tcPr>
          <w:p w14:paraId="063DEF72">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r>
              <w:rPr>
                <w:rFonts w:hint="eastAsia" w:cs="Times New Roman"/>
                <w:b w:val="0"/>
                <w:bCs w:val="0"/>
                <w:color w:val="auto"/>
                <w:sz w:val="21"/>
                <w:szCs w:val="21"/>
                <w:highlight w:val="none"/>
                <w:vertAlign w:val="baseline"/>
                <w:lang w:val="en-US" w:eastAsia="zh-CN"/>
              </w:rPr>
              <w:t>3</w:t>
            </w:r>
          </w:p>
        </w:tc>
        <w:tc>
          <w:tcPr>
            <w:tcW w:w="2203" w:type="dxa"/>
            <w:tcBorders>
              <w:tl2br w:val="nil"/>
              <w:tr2bl w:val="nil"/>
            </w:tcBorders>
            <w:shd w:val="clear" w:color="auto" w:fill="auto"/>
            <w:noWrap w:val="0"/>
            <w:vAlign w:val="center"/>
          </w:tcPr>
          <w:p w14:paraId="79DF2C27">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cs="Times New Roman"/>
                <w:b w:val="0"/>
                <w:bCs w:val="0"/>
                <w:color w:val="auto"/>
                <w:sz w:val="21"/>
                <w:szCs w:val="21"/>
                <w:highlight w:val="none"/>
                <w:vertAlign w:val="baseline"/>
                <w:lang w:val="en-US" w:eastAsia="zh-CN"/>
              </w:rPr>
            </w:pPr>
            <w:r>
              <w:rPr>
                <w:rFonts w:hint="eastAsia" w:cs="Times New Roman"/>
                <w:b w:val="0"/>
                <w:bCs w:val="0"/>
                <w:color w:val="auto"/>
                <w:sz w:val="21"/>
                <w:szCs w:val="21"/>
                <w:highlight w:val="none"/>
                <w:vertAlign w:val="baseline"/>
                <w:lang w:val="en-US" w:eastAsia="zh-CN"/>
              </w:rPr>
              <w:t>除湿机系统3#</w:t>
            </w:r>
          </w:p>
        </w:tc>
        <w:tc>
          <w:tcPr>
            <w:tcW w:w="1039" w:type="dxa"/>
            <w:tcBorders>
              <w:tl2br w:val="nil"/>
              <w:tr2bl w:val="nil"/>
            </w:tcBorders>
            <w:shd w:val="clear" w:color="auto" w:fill="auto"/>
            <w:noWrap w:val="0"/>
            <w:vAlign w:val="center"/>
          </w:tcPr>
          <w:p w14:paraId="25DFCE06">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cs="Times New Roman"/>
                <w:b w:val="0"/>
                <w:bCs w:val="0"/>
                <w:color w:val="auto"/>
                <w:sz w:val="21"/>
                <w:szCs w:val="21"/>
                <w:highlight w:val="none"/>
                <w:vertAlign w:val="baseline"/>
                <w:lang w:val="en-US" w:eastAsia="zh-CN"/>
              </w:rPr>
            </w:pPr>
            <w:r>
              <w:rPr>
                <w:rFonts w:hint="eastAsia" w:cs="Times New Roman"/>
                <w:b w:val="0"/>
                <w:bCs w:val="0"/>
                <w:color w:val="auto"/>
                <w:sz w:val="21"/>
                <w:szCs w:val="21"/>
                <w:highlight w:val="none"/>
                <w:vertAlign w:val="baseline"/>
                <w:lang w:val="en-US" w:eastAsia="zh-CN"/>
              </w:rPr>
              <w:t>1</w:t>
            </w:r>
          </w:p>
        </w:tc>
        <w:tc>
          <w:tcPr>
            <w:tcW w:w="1416" w:type="dxa"/>
            <w:tcBorders>
              <w:tl2br w:val="nil"/>
              <w:tr2bl w:val="nil"/>
            </w:tcBorders>
            <w:shd w:val="clear" w:color="auto" w:fill="auto"/>
            <w:noWrap w:val="0"/>
            <w:vAlign w:val="center"/>
          </w:tcPr>
          <w:p w14:paraId="47553A15">
            <w:pPr>
              <w:widowControl/>
              <w:jc w:val="center"/>
              <w:rPr>
                <w:rFonts w:hint="eastAsia" w:ascii="Times New Roman" w:hAnsi="Times New Roman" w:eastAsia="宋体" w:cs="Times New Roman"/>
                <w:b w:val="0"/>
                <w:bCs w:val="0"/>
                <w:color w:val="auto"/>
                <w:sz w:val="21"/>
                <w:szCs w:val="21"/>
                <w:highlight w:val="none"/>
                <w:vertAlign w:val="baseline"/>
                <w:lang w:val="en-US" w:eastAsia="zh-CN"/>
              </w:rPr>
            </w:pPr>
            <w:r>
              <w:rPr>
                <w:rFonts w:hint="eastAsia" w:ascii="Times New Roman" w:hAnsi="Times New Roman" w:eastAsia="宋体" w:cs="Times New Roman"/>
                <w:b w:val="0"/>
                <w:bCs w:val="0"/>
                <w:color w:val="auto"/>
                <w:sz w:val="21"/>
                <w:szCs w:val="21"/>
                <w:highlight w:val="none"/>
                <w:vertAlign w:val="baseline"/>
                <w:lang w:val="en-US" w:eastAsia="zh-CN"/>
              </w:rPr>
              <w:t>29.07</w:t>
            </w:r>
          </w:p>
        </w:tc>
        <w:tc>
          <w:tcPr>
            <w:tcW w:w="1417" w:type="dxa"/>
            <w:tcBorders>
              <w:tl2br w:val="nil"/>
              <w:tr2bl w:val="nil"/>
            </w:tcBorders>
            <w:shd w:val="clear" w:color="auto" w:fill="auto"/>
            <w:noWrap w:val="0"/>
            <w:vAlign w:val="center"/>
          </w:tcPr>
          <w:p w14:paraId="6F27C2F6">
            <w:pPr>
              <w:widowControl/>
              <w:jc w:val="center"/>
              <w:rPr>
                <w:rFonts w:hint="eastAsia" w:ascii="Times New Roman" w:hAnsi="Times New Roman" w:eastAsia="宋体" w:cs="Times New Roman"/>
                <w:b w:val="0"/>
                <w:bCs w:val="0"/>
                <w:color w:val="auto"/>
                <w:sz w:val="21"/>
                <w:szCs w:val="21"/>
                <w:highlight w:val="none"/>
                <w:vertAlign w:val="baseline"/>
                <w:lang w:val="en-US" w:eastAsia="zh-CN"/>
              </w:rPr>
            </w:pPr>
            <w:r>
              <w:rPr>
                <w:rFonts w:hint="eastAsia" w:ascii="Times New Roman" w:hAnsi="Times New Roman" w:eastAsia="宋体" w:cs="Times New Roman"/>
                <w:b w:val="0"/>
                <w:bCs w:val="0"/>
                <w:color w:val="auto"/>
                <w:sz w:val="21"/>
                <w:szCs w:val="21"/>
                <w:highlight w:val="none"/>
                <w:vertAlign w:val="baseline"/>
                <w:lang w:val="en-US" w:eastAsia="zh-CN"/>
              </w:rPr>
              <w:t>8.56</w:t>
            </w:r>
          </w:p>
        </w:tc>
        <w:tc>
          <w:tcPr>
            <w:tcW w:w="1416" w:type="dxa"/>
            <w:tcBorders>
              <w:tl2br w:val="nil"/>
              <w:tr2bl w:val="nil"/>
            </w:tcBorders>
            <w:shd w:val="clear" w:color="auto" w:fill="auto"/>
            <w:noWrap w:val="0"/>
            <w:vAlign w:val="center"/>
          </w:tcPr>
          <w:p w14:paraId="3319CED5">
            <w:pPr>
              <w:spacing w:line="280" w:lineRule="exact"/>
              <w:jc w:val="center"/>
              <w:rPr>
                <w:rFonts w:hint="eastAsia" w:ascii="Times New Roman" w:hAnsi="Times New Roman" w:eastAsia="宋体" w:cs="Times New Roman"/>
                <w:color w:val="auto"/>
                <w:szCs w:val="21"/>
                <w:highlight w:val="none"/>
                <w:lang w:val="en-US" w:eastAsia="zh-CN"/>
              </w:rPr>
            </w:pPr>
            <w:r>
              <w:rPr>
                <w:rFonts w:hint="eastAsia" w:cs="Times New Roman"/>
                <w:b w:val="0"/>
                <w:bCs w:val="0"/>
                <w:color w:val="auto"/>
                <w:sz w:val="21"/>
                <w:szCs w:val="21"/>
                <w:highlight w:val="none"/>
                <w:vertAlign w:val="baseline"/>
                <w:lang w:val="en-US" w:eastAsia="zh-CN"/>
              </w:rPr>
              <w:t>1.3</w:t>
            </w:r>
          </w:p>
        </w:tc>
        <w:tc>
          <w:tcPr>
            <w:tcW w:w="1269" w:type="dxa"/>
            <w:tcBorders>
              <w:tl2br w:val="nil"/>
              <w:tr2bl w:val="nil"/>
            </w:tcBorders>
            <w:shd w:val="clear" w:color="auto" w:fill="auto"/>
            <w:noWrap w:val="0"/>
            <w:vAlign w:val="center"/>
          </w:tcPr>
          <w:p w14:paraId="697403FE">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Times New Roman" w:hAnsi="Times New Roman" w:eastAsia="宋体" w:cs="Times New Roman"/>
                <w:b w:val="0"/>
                <w:bCs w:val="0"/>
                <w:color w:val="auto"/>
                <w:sz w:val="21"/>
                <w:szCs w:val="21"/>
                <w:highlight w:val="none"/>
                <w:vertAlign w:val="baseline"/>
                <w:lang w:val="en-US" w:eastAsia="zh-CN"/>
              </w:rPr>
            </w:pPr>
            <w:r>
              <w:rPr>
                <w:rFonts w:hint="eastAsia" w:ascii="Times New Roman" w:hAnsi="Times New Roman" w:eastAsia="宋体" w:cs="Times New Roman"/>
                <w:b w:val="0"/>
                <w:bCs w:val="0"/>
                <w:color w:val="auto"/>
                <w:sz w:val="21"/>
                <w:szCs w:val="21"/>
                <w:highlight w:val="none"/>
                <w:vertAlign w:val="baseline"/>
                <w:lang w:val="en-US" w:eastAsia="zh-CN"/>
              </w:rPr>
              <w:t>60</w:t>
            </w:r>
          </w:p>
        </w:tc>
        <w:tc>
          <w:tcPr>
            <w:tcW w:w="2033" w:type="dxa"/>
            <w:vMerge w:val="continue"/>
            <w:tcBorders>
              <w:tl2br w:val="nil"/>
              <w:tr2bl w:val="nil"/>
            </w:tcBorders>
            <w:shd w:val="clear" w:color="auto" w:fill="auto"/>
            <w:noWrap w:val="0"/>
            <w:vAlign w:val="center"/>
          </w:tcPr>
          <w:p w14:paraId="7C42F52B">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Times New Roman" w:hAnsi="Times New Roman" w:eastAsia="宋体" w:cs="Times New Roman"/>
                <w:b w:val="0"/>
                <w:bCs w:val="0"/>
                <w:color w:val="auto"/>
                <w:sz w:val="21"/>
                <w:szCs w:val="21"/>
                <w:highlight w:val="none"/>
                <w:vertAlign w:val="baseline"/>
                <w:lang w:val="en-US" w:eastAsia="zh-CN"/>
              </w:rPr>
            </w:pPr>
          </w:p>
        </w:tc>
        <w:tc>
          <w:tcPr>
            <w:tcW w:w="1395" w:type="dxa"/>
            <w:vMerge w:val="continue"/>
            <w:tcBorders>
              <w:tl2br w:val="nil"/>
              <w:tr2bl w:val="nil"/>
            </w:tcBorders>
            <w:shd w:val="clear" w:color="auto" w:fill="auto"/>
            <w:noWrap w:val="0"/>
            <w:vAlign w:val="center"/>
          </w:tcPr>
          <w:p w14:paraId="29E98F61">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Times New Roman" w:hAnsi="Times New Roman" w:cs="Times New Roman"/>
                <w:b w:val="0"/>
                <w:bCs w:val="0"/>
                <w:color w:val="auto"/>
                <w:sz w:val="21"/>
                <w:szCs w:val="21"/>
                <w:highlight w:val="none"/>
                <w:vertAlign w:val="baseline"/>
                <w:lang w:val="en-US" w:eastAsia="zh-CN"/>
              </w:rPr>
            </w:pPr>
          </w:p>
        </w:tc>
      </w:tr>
      <w:tr w14:paraId="779F47C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24" w:hRule="atLeast"/>
          <w:jc w:val="center"/>
        </w:trPr>
        <w:tc>
          <w:tcPr>
            <w:tcW w:w="1023" w:type="dxa"/>
            <w:tcBorders>
              <w:tl2br w:val="nil"/>
              <w:tr2bl w:val="nil"/>
            </w:tcBorders>
            <w:shd w:val="clear" w:color="auto" w:fill="auto"/>
            <w:noWrap w:val="0"/>
            <w:vAlign w:val="center"/>
          </w:tcPr>
          <w:p w14:paraId="33B0DADF">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r>
              <w:rPr>
                <w:rFonts w:hint="eastAsia" w:cs="Times New Roman"/>
                <w:b w:val="0"/>
                <w:bCs w:val="0"/>
                <w:color w:val="auto"/>
                <w:sz w:val="21"/>
                <w:szCs w:val="21"/>
                <w:highlight w:val="none"/>
                <w:vertAlign w:val="baseline"/>
                <w:lang w:val="en-US" w:eastAsia="zh-CN"/>
              </w:rPr>
              <w:t>4</w:t>
            </w:r>
          </w:p>
        </w:tc>
        <w:tc>
          <w:tcPr>
            <w:tcW w:w="2203" w:type="dxa"/>
            <w:tcBorders>
              <w:tl2br w:val="nil"/>
              <w:tr2bl w:val="nil"/>
            </w:tcBorders>
            <w:shd w:val="clear" w:color="auto" w:fill="auto"/>
            <w:noWrap w:val="0"/>
            <w:vAlign w:val="center"/>
          </w:tcPr>
          <w:p w14:paraId="3D9AE6E3">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cs="Times New Roman"/>
                <w:b w:val="0"/>
                <w:bCs w:val="0"/>
                <w:color w:val="auto"/>
                <w:sz w:val="21"/>
                <w:szCs w:val="21"/>
                <w:highlight w:val="none"/>
                <w:vertAlign w:val="baseline"/>
                <w:lang w:val="en-US" w:eastAsia="zh-CN"/>
              </w:rPr>
            </w:pPr>
            <w:r>
              <w:rPr>
                <w:rFonts w:hint="eastAsia" w:cs="Times New Roman"/>
                <w:b w:val="0"/>
                <w:bCs w:val="0"/>
                <w:color w:val="auto"/>
                <w:sz w:val="21"/>
                <w:szCs w:val="21"/>
                <w:highlight w:val="none"/>
                <w:vertAlign w:val="baseline"/>
                <w:lang w:val="en-US" w:eastAsia="zh-CN"/>
              </w:rPr>
              <w:t>除湿机系统4#</w:t>
            </w:r>
          </w:p>
        </w:tc>
        <w:tc>
          <w:tcPr>
            <w:tcW w:w="1039" w:type="dxa"/>
            <w:tcBorders>
              <w:tl2br w:val="nil"/>
              <w:tr2bl w:val="nil"/>
            </w:tcBorders>
            <w:shd w:val="clear" w:color="auto" w:fill="auto"/>
            <w:noWrap w:val="0"/>
            <w:vAlign w:val="center"/>
          </w:tcPr>
          <w:p w14:paraId="3A951817">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cs="Times New Roman"/>
                <w:b w:val="0"/>
                <w:bCs w:val="0"/>
                <w:color w:val="auto"/>
                <w:sz w:val="21"/>
                <w:szCs w:val="21"/>
                <w:highlight w:val="none"/>
                <w:vertAlign w:val="baseline"/>
                <w:lang w:val="en-US" w:eastAsia="zh-CN"/>
              </w:rPr>
            </w:pPr>
            <w:r>
              <w:rPr>
                <w:rFonts w:hint="eastAsia" w:cs="Times New Roman"/>
                <w:b w:val="0"/>
                <w:bCs w:val="0"/>
                <w:color w:val="auto"/>
                <w:sz w:val="21"/>
                <w:szCs w:val="21"/>
                <w:highlight w:val="none"/>
                <w:vertAlign w:val="baseline"/>
                <w:lang w:val="en-US" w:eastAsia="zh-CN"/>
              </w:rPr>
              <w:t>1</w:t>
            </w:r>
          </w:p>
        </w:tc>
        <w:tc>
          <w:tcPr>
            <w:tcW w:w="1416" w:type="dxa"/>
            <w:tcBorders>
              <w:tl2br w:val="nil"/>
              <w:tr2bl w:val="nil"/>
            </w:tcBorders>
            <w:shd w:val="clear" w:color="auto" w:fill="auto"/>
            <w:noWrap w:val="0"/>
            <w:vAlign w:val="center"/>
          </w:tcPr>
          <w:p w14:paraId="72C1AC9E">
            <w:pPr>
              <w:widowControl/>
              <w:jc w:val="center"/>
              <w:rPr>
                <w:rFonts w:hint="eastAsia" w:ascii="Times New Roman" w:hAnsi="Times New Roman" w:eastAsia="宋体" w:cs="Times New Roman"/>
                <w:b w:val="0"/>
                <w:bCs w:val="0"/>
                <w:color w:val="auto"/>
                <w:sz w:val="21"/>
                <w:szCs w:val="21"/>
                <w:highlight w:val="none"/>
                <w:vertAlign w:val="baseline"/>
                <w:lang w:val="en-US" w:eastAsia="zh-CN"/>
              </w:rPr>
            </w:pPr>
            <w:r>
              <w:rPr>
                <w:rFonts w:hint="eastAsia" w:ascii="Times New Roman" w:hAnsi="Times New Roman" w:eastAsia="宋体" w:cs="Times New Roman"/>
                <w:b w:val="0"/>
                <w:bCs w:val="0"/>
                <w:color w:val="auto"/>
                <w:sz w:val="21"/>
                <w:szCs w:val="21"/>
                <w:highlight w:val="none"/>
                <w:vertAlign w:val="baseline"/>
                <w:lang w:val="en-US" w:eastAsia="zh-CN"/>
              </w:rPr>
              <w:t>29.74</w:t>
            </w:r>
          </w:p>
        </w:tc>
        <w:tc>
          <w:tcPr>
            <w:tcW w:w="1417" w:type="dxa"/>
            <w:tcBorders>
              <w:tl2br w:val="nil"/>
              <w:tr2bl w:val="nil"/>
            </w:tcBorders>
            <w:shd w:val="clear" w:color="auto" w:fill="auto"/>
            <w:noWrap w:val="0"/>
            <w:vAlign w:val="center"/>
          </w:tcPr>
          <w:p w14:paraId="6D107BFB">
            <w:pPr>
              <w:widowControl/>
              <w:jc w:val="center"/>
              <w:rPr>
                <w:rFonts w:hint="eastAsia" w:ascii="Times New Roman" w:hAnsi="Times New Roman" w:eastAsia="宋体" w:cs="Times New Roman"/>
                <w:b w:val="0"/>
                <w:bCs w:val="0"/>
                <w:color w:val="auto"/>
                <w:sz w:val="21"/>
                <w:szCs w:val="21"/>
                <w:highlight w:val="none"/>
                <w:vertAlign w:val="baseline"/>
                <w:lang w:val="en-US" w:eastAsia="zh-CN"/>
              </w:rPr>
            </w:pPr>
            <w:r>
              <w:rPr>
                <w:rFonts w:hint="eastAsia" w:ascii="Times New Roman" w:hAnsi="Times New Roman" w:eastAsia="宋体" w:cs="Times New Roman"/>
                <w:b w:val="0"/>
                <w:bCs w:val="0"/>
                <w:color w:val="auto"/>
                <w:sz w:val="21"/>
                <w:szCs w:val="21"/>
                <w:highlight w:val="none"/>
                <w:vertAlign w:val="baseline"/>
                <w:lang w:val="en-US" w:eastAsia="zh-CN"/>
              </w:rPr>
              <w:t>8.75</w:t>
            </w:r>
          </w:p>
        </w:tc>
        <w:tc>
          <w:tcPr>
            <w:tcW w:w="1416" w:type="dxa"/>
            <w:tcBorders>
              <w:tl2br w:val="nil"/>
              <w:tr2bl w:val="nil"/>
            </w:tcBorders>
            <w:shd w:val="clear" w:color="auto" w:fill="auto"/>
            <w:noWrap w:val="0"/>
            <w:vAlign w:val="center"/>
          </w:tcPr>
          <w:p w14:paraId="50C5AD91">
            <w:pPr>
              <w:spacing w:line="280" w:lineRule="exact"/>
              <w:jc w:val="center"/>
              <w:rPr>
                <w:rFonts w:hint="eastAsia" w:ascii="Times New Roman" w:hAnsi="Times New Roman" w:eastAsia="宋体" w:cs="Times New Roman"/>
                <w:color w:val="auto"/>
                <w:szCs w:val="21"/>
                <w:highlight w:val="none"/>
                <w:lang w:val="en-US" w:eastAsia="zh-CN"/>
              </w:rPr>
            </w:pPr>
            <w:r>
              <w:rPr>
                <w:rFonts w:hint="eastAsia" w:cs="Times New Roman"/>
                <w:b w:val="0"/>
                <w:bCs w:val="0"/>
                <w:color w:val="auto"/>
                <w:sz w:val="21"/>
                <w:szCs w:val="21"/>
                <w:highlight w:val="none"/>
                <w:vertAlign w:val="baseline"/>
                <w:lang w:val="en-US" w:eastAsia="zh-CN"/>
              </w:rPr>
              <w:t>1.3</w:t>
            </w:r>
          </w:p>
        </w:tc>
        <w:tc>
          <w:tcPr>
            <w:tcW w:w="1269" w:type="dxa"/>
            <w:tcBorders>
              <w:tl2br w:val="nil"/>
              <w:tr2bl w:val="nil"/>
            </w:tcBorders>
            <w:shd w:val="clear" w:color="auto" w:fill="auto"/>
            <w:noWrap w:val="0"/>
            <w:vAlign w:val="center"/>
          </w:tcPr>
          <w:p w14:paraId="2D4D7310">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Times New Roman" w:hAnsi="Times New Roman" w:eastAsia="宋体" w:cs="Times New Roman"/>
                <w:b w:val="0"/>
                <w:bCs w:val="0"/>
                <w:color w:val="auto"/>
                <w:sz w:val="21"/>
                <w:szCs w:val="21"/>
                <w:highlight w:val="none"/>
                <w:vertAlign w:val="baseline"/>
                <w:lang w:val="en-US" w:eastAsia="zh-CN"/>
              </w:rPr>
            </w:pPr>
            <w:r>
              <w:rPr>
                <w:rFonts w:hint="eastAsia" w:ascii="Times New Roman" w:hAnsi="Times New Roman" w:eastAsia="宋体" w:cs="Times New Roman"/>
                <w:b w:val="0"/>
                <w:bCs w:val="0"/>
                <w:color w:val="auto"/>
                <w:sz w:val="21"/>
                <w:szCs w:val="21"/>
                <w:highlight w:val="none"/>
                <w:vertAlign w:val="baseline"/>
                <w:lang w:val="en-US" w:eastAsia="zh-CN"/>
              </w:rPr>
              <w:t>60</w:t>
            </w:r>
          </w:p>
        </w:tc>
        <w:tc>
          <w:tcPr>
            <w:tcW w:w="2033" w:type="dxa"/>
            <w:vMerge w:val="continue"/>
            <w:tcBorders>
              <w:tl2br w:val="nil"/>
              <w:tr2bl w:val="nil"/>
            </w:tcBorders>
            <w:shd w:val="clear" w:color="auto" w:fill="auto"/>
            <w:noWrap w:val="0"/>
            <w:vAlign w:val="center"/>
          </w:tcPr>
          <w:p w14:paraId="6CF1F20D">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Times New Roman" w:hAnsi="Times New Roman" w:eastAsia="宋体" w:cs="Times New Roman"/>
                <w:b w:val="0"/>
                <w:bCs w:val="0"/>
                <w:color w:val="auto"/>
                <w:sz w:val="21"/>
                <w:szCs w:val="21"/>
                <w:highlight w:val="none"/>
                <w:vertAlign w:val="baseline"/>
                <w:lang w:val="en-US" w:eastAsia="zh-CN"/>
              </w:rPr>
            </w:pPr>
          </w:p>
        </w:tc>
        <w:tc>
          <w:tcPr>
            <w:tcW w:w="1395" w:type="dxa"/>
            <w:vMerge w:val="continue"/>
            <w:tcBorders>
              <w:tl2br w:val="nil"/>
              <w:tr2bl w:val="nil"/>
            </w:tcBorders>
            <w:shd w:val="clear" w:color="auto" w:fill="auto"/>
            <w:noWrap w:val="0"/>
            <w:vAlign w:val="center"/>
          </w:tcPr>
          <w:p w14:paraId="7A37DCA8">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Times New Roman" w:hAnsi="Times New Roman" w:cs="Times New Roman"/>
                <w:b w:val="0"/>
                <w:bCs w:val="0"/>
                <w:color w:val="auto"/>
                <w:sz w:val="21"/>
                <w:szCs w:val="21"/>
                <w:highlight w:val="none"/>
                <w:vertAlign w:val="baseline"/>
                <w:lang w:val="en-US" w:eastAsia="zh-CN"/>
              </w:rPr>
            </w:pPr>
          </w:p>
        </w:tc>
      </w:tr>
      <w:tr w14:paraId="57DFA8E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24" w:hRule="atLeast"/>
          <w:jc w:val="center"/>
        </w:trPr>
        <w:tc>
          <w:tcPr>
            <w:tcW w:w="1023" w:type="dxa"/>
            <w:tcBorders>
              <w:tl2br w:val="nil"/>
              <w:tr2bl w:val="nil"/>
            </w:tcBorders>
            <w:shd w:val="clear" w:color="auto" w:fill="auto"/>
            <w:noWrap w:val="0"/>
            <w:vAlign w:val="center"/>
          </w:tcPr>
          <w:p w14:paraId="2A320160">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r>
              <w:rPr>
                <w:rFonts w:hint="eastAsia" w:cs="Times New Roman"/>
                <w:b w:val="0"/>
                <w:bCs w:val="0"/>
                <w:color w:val="auto"/>
                <w:sz w:val="21"/>
                <w:szCs w:val="21"/>
                <w:highlight w:val="none"/>
                <w:vertAlign w:val="baseline"/>
                <w:lang w:val="en-US" w:eastAsia="zh-CN"/>
              </w:rPr>
              <w:t>5</w:t>
            </w:r>
          </w:p>
        </w:tc>
        <w:tc>
          <w:tcPr>
            <w:tcW w:w="2203" w:type="dxa"/>
            <w:tcBorders>
              <w:tl2br w:val="nil"/>
              <w:tr2bl w:val="nil"/>
            </w:tcBorders>
            <w:shd w:val="clear" w:color="auto" w:fill="auto"/>
            <w:noWrap w:val="0"/>
            <w:vAlign w:val="center"/>
          </w:tcPr>
          <w:p w14:paraId="28D7C44B">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cs="Times New Roman"/>
                <w:b w:val="0"/>
                <w:bCs w:val="0"/>
                <w:color w:val="auto"/>
                <w:sz w:val="21"/>
                <w:szCs w:val="21"/>
                <w:highlight w:val="none"/>
                <w:vertAlign w:val="baseline"/>
                <w:lang w:val="en-US" w:eastAsia="zh-CN"/>
              </w:rPr>
            </w:pPr>
            <w:r>
              <w:rPr>
                <w:rFonts w:hint="eastAsia" w:cs="Times New Roman"/>
                <w:b w:val="0"/>
                <w:bCs w:val="0"/>
                <w:color w:val="auto"/>
                <w:sz w:val="21"/>
                <w:szCs w:val="21"/>
                <w:highlight w:val="none"/>
                <w:vertAlign w:val="baseline"/>
                <w:lang w:val="en-US" w:eastAsia="zh-CN"/>
              </w:rPr>
              <w:t>除湿机系统5#</w:t>
            </w:r>
          </w:p>
        </w:tc>
        <w:tc>
          <w:tcPr>
            <w:tcW w:w="1039" w:type="dxa"/>
            <w:tcBorders>
              <w:tl2br w:val="nil"/>
              <w:tr2bl w:val="nil"/>
            </w:tcBorders>
            <w:shd w:val="clear" w:color="auto" w:fill="auto"/>
            <w:noWrap w:val="0"/>
            <w:vAlign w:val="center"/>
          </w:tcPr>
          <w:p w14:paraId="249D5FD5">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cs="Times New Roman"/>
                <w:b w:val="0"/>
                <w:bCs w:val="0"/>
                <w:color w:val="auto"/>
                <w:sz w:val="21"/>
                <w:szCs w:val="21"/>
                <w:highlight w:val="none"/>
                <w:vertAlign w:val="baseline"/>
                <w:lang w:val="en-US" w:eastAsia="zh-CN"/>
              </w:rPr>
            </w:pPr>
            <w:r>
              <w:rPr>
                <w:rFonts w:hint="eastAsia" w:cs="Times New Roman"/>
                <w:b w:val="0"/>
                <w:bCs w:val="0"/>
                <w:color w:val="auto"/>
                <w:sz w:val="21"/>
                <w:szCs w:val="21"/>
                <w:highlight w:val="none"/>
                <w:vertAlign w:val="baseline"/>
                <w:lang w:val="en-US" w:eastAsia="zh-CN"/>
              </w:rPr>
              <w:t>1</w:t>
            </w:r>
          </w:p>
        </w:tc>
        <w:tc>
          <w:tcPr>
            <w:tcW w:w="1416" w:type="dxa"/>
            <w:tcBorders>
              <w:tl2br w:val="nil"/>
              <w:tr2bl w:val="nil"/>
            </w:tcBorders>
            <w:shd w:val="clear" w:color="auto" w:fill="auto"/>
            <w:noWrap w:val="0"/>
            <w:vAlign w:val="center"/>
          </w:tcPr>
          <w:p w14:paraId="6511996E">
            <w:pPr>
              <w:widowControl/>
              <w:jc w:val="center"/>
              <w:rPr>
                <w:rFonts w:hint="eastAsia" w:ascii="Times New Roman" w:hAnsi="Times New Roman" w:eastAsia="宋体" w:cs="Times New Roman"/>
                <w:b w:val="0"/>
                <w:bCs w:val="0"/>
                <w:color w:val="auto"/>
                <w:sz w:val="21"/>
                <w:szCs w:val="21"/>
                <w:highlight w:val="none"/>
                <w:vertAlign w:val="baseline"/>
                <w:lang w:val="en-US" w:eastAsia="zh-CN"/>
              </w:rPr>
            </w:pPr>
            <w:r>
              <w:rPr>
                <w:rFonts w:hint="eastAsia" w:ascii="Times New Roman" w:hAnsi="Times New Roman" w:eastAsia="宋体" w:cs="Times New Roman"/>
                <w:b w:val="0"/>
                <w:bCs w:val="0"/>
                <w:color w:val="auto"/>
                <w:sz w:val="21"/>
                <w:szCs w:val="21"/>
                <w:highlight w:val="none"/>
                <w:vertAlign w:val="baseline"/>
                <w:lang w:val="en-US" w:eastAsia="zh-CN"/>
              </w:rPr>
              <w:t>30.71</w:t>
            </w:r>
          </w:p>
        </w:tc>
        <w:tc>
          <w:tcPr>
            <w:tcW w:w="1417" w:type="dxa"/>
            <w:tcBorders>
              <w:tl2br w:val="nil"/>
              <w:tr2bl w:val="nil"/>
            </w:tcBorders>
            <w:shd w:val="clear" w:color="auto" w:fill="auto"/>
            <w:noWrap w:val="0"/>
            <w:vAlign w:val="center"/>
          </w:tcPr>
          <w:p w14:paraId="62563B5E">
            <w:pPr>
              <w:widowControl/>
              <w:jc w:val="center"/>
              <w:rPr>
                <w:rFonts w:hint="eastAsia" w:ascii="Times New Roman" w:hAnsi="Times New Roman" w:eastAsia="宋体" w:cs="Times New Roman"/>
                <w:b w:val="0"/>
                <w:bCs w:val="0"/>
                <w:color w:val="auto"/>
                <w:sz w:val="21"/>
                <w:szCs w:val="21"/>
                <w:highlight w:val="none"/>
                <w:vertAlign w:val="baseline"/>
                <w:lang w:val="en-US" w:eastAsia="zh-CN"/>
              </w:rPr>
            </w:pPr>
            <w:r>
              <w:rPr>
                <w:rFonts w:hint="eastAsia" w:ascii="Times New Roman" w:hAnsi="Times New Roman" w:eastAsia="宋体" w:cs="Times New Roman"/>
                <w:b w:val="0"/>
                <w:bCs w:val="0"/>
                <w:color w:val="auto"/>
                <w:sz w:val="21"/>
                <w:szCs w:val="21"/>
                <w:highlight w:val="none"/>
                <w:vertAlign w:val="baseline"/>
                <w:lang w:val="en-US" w:eastAsia="zh-CN"/>
              </w:rPr>
              <w:t>8.94</w:t>
            </w:r>
          </w:p>
        </w:tc>
        <w:tc>
          <w:tcPr>
            <w:tcW w:w="1416" w:type="dxa"/>
            <w:tcBorders>
              <w:tl2br w:val="nil"/>
              <w:tr2bl w:val="nil"/>
            </w:tcBorders>
            <w:shd w:val="clear" w:color="auto" w:fill="auto"/>
            <w:noWrap w:val="0"/>
            <w:vAlign w:val="center"/>
          </w:tcPr>
          <w:p w14:paraId="00963C02">
            <w:pPr>
              <w:spacing w:line="280" w:lineRule="exact"/>
              <w:jc w:val="center"/>
              <w:rPr>
                <w:rFonts w:hint="eastAsia" w:ascii="Times New Roman" w:hAnsi="Times New Roman" w:eastAsia="宋体" w:cs="Times New Roman"/>
                <w:color w:val="auto"/>
                <w:szCs w:val="21"/>
                <w:highlight w:val="none"/>
                <w:lang w:val="en-US" w:eastAsia="zh-CN"/>
              </w:rPr>
            </w:pPr>
            <w:r>
              <w:rPr>
                <w:rFonts w:hint="eastAsia" w:cs="Times New Roman"/>
                <w:b w:val="0"/>
                <w:bCs w:val="0"/>
                <w:color w:val="auto"/>
                <w:sz w:val="21"/>
                <w:szCs w:val="21"/>
                <w:highlight w:val="none"/>
                <w:vertAlign w:val="baseline"/>
                <w:lang w:val="en-US" w:eastAsia="zh-CN"/>
              </w:rPr>
              <w:t>1.3</w:t>
            </w:r>
          </w:p>
        </w:tc>
        <w:tc>
          <w:tcPr>
            <w:tcW w:w="1269" w:type="dxa"/>
            <w:tcBorders>
              <w:tl2br w:val="nil"/>
              <w:tr2bl w:val="nil"/>
            </w:tcBorders>
            <w:shd w:val="clear" w:color="auto" w:fill="auto"/>
            <w:noWrap w:val="0"/>
            <w:vAlign w:val="center"/>
          </w:tcPr>
          <w:p w14:paraId="542A749C">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Times New Roman" w:hAnsi="Times New Roman" w:eastAsia="宋体" w:cs="Times New Roman"/>
                <w:b w:val="0"/>
                <w:bCs w:val="0"/>
                <w:color w:val="auto"/>
                <w:sz w:val="21"/>
                <w:szCs w:val="21"/>
                <w:highlight w:val="none"/>
                <w:vertAlign w:val="baseline"/>
                <w:lang w:val="en-US" w:eastAsia="zh-CN"/>
              </w:rPr>
            </w:pPr>
            <w:r>
              <w:rPr>
                <w:rFonts w:hint="eastAsia" w:ascii="Times New Roman" w:hAnsi="Times New Roman" w:eastAsia="宋体" w:cs="Times New Roman"/>
                <w:b w:val="0"/>
                <w:bCs w:val="0"/>
                <w:color w:val="auto"/>
                <w:sz w:val="21"/>
                <w:szCs w:val="21"/>
                <w:highlight w:val="none"/>
                <w:vertAlign w:val="baseline"/>
                <w:lang w:val="en-US" w:eastAsia="zh-CN"/>
              </w:rPr>
              <w:t>60</w:t>
            </w:r>
          </w:p>
        </w:tc>
        <w:tc>
          <w:tcPr>
            <w:tcW w:w="2033" w:type="dxa"/>
            <w:vMerge w:val="continue"/>
            <w:tcBorders>
              <w:tl2br w:val="nil"/>
              <w:tr2bl w:val="nil"/>
            </w:tcBorders>
            <w:shd w:val="clear" w:color="auto" w:fill="auto"/>
            <w:noWrap w:val="0"/>
            <w:vAlign w:val="center"/>
          </w:tcPr>
          <w:p w14:paraId="75380D3A">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Times New Roman" w:hAnsi="Times New Roman" w:eastAsia="宋体" w:cs="Times New Roman"/>
                <w:b w:val="0"/>
                <w:bCs w:val="0"/>
                <w:color w:val="auto"/>
                <w:sz w:val="21"/>
                <w:szCs w:val="21"/>
                <w:highlight w:val="none"/>
                <w:vertAlign w:val="baseline"/>
                <w:lang w:val="en-US" w:eastAsia="zh-CN"/>
              </w:rPr>
            </w:pPr>
          </w:p>
        </w:tc>
        <w:tc>
          <w:tcPr>
            <w:tcW w:w="1395" w:type="dxa"/>
            <w:vMerge w:val="continue"/>
            <w:tcBorders>
              <w:tl2br w:val="nil"/>
              <w:tr2bl w:val="nil"/>
            </w:tcBorders>
            <w:shd w:val="clear" w:color="auto" w:fill="auto"/>
            <w:noWrap w:val="0"/>
            <w:vAlign w:val="center"/>
          </w:tcPr>
          <w:p w14:paraId="36B98573">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Times New Roman" w:hAnsi="Times New Roman" w:cs="Times New Roman"/>
                <w:b w:val="0"/>
                <w:bCs w:val="0"/>
                <w:color w:val="auto"/>
                <w:sz w:val="21"/>
                <w:szCs w:val="21"/>
                <w:highlight w:val="none"/>
                <w:vertAlign w:val="baseline"/>
                <w:lang w:val="en-US" w:eastAsia="zh-CN"/>
              </w:rPr>
            </w:pPr>
          </w:p>
        </w:tc>
      </w:tr>
      <w:tr w14:paraId="6771E4F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24" w:hRule="atLeast"/>
          <w:jc w:val="center"/>
        </w:trPr>
        <w:tc>
          <w:tcPr>
            <w:tcW w:w="1023" w:type="dxa"/>
            <w:tcBorders>
              <w:tl2br w:val="nil"/>
              <w:tr2bl w:val="nil"/>
            </w:tcBorders>
            <w:shd w:val="clear" w:color="auto" w:fill="auto"/>
            <w:noWrap w:val="0"/>
            <w:vAlign w:val="center"/>
          </w:tcPr>
          <w:p w14:paraId="75F30E0F">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r>
              <w:rPr>
                <w:rFonts w:hint="eastAsia" w:cs="Times New Roman"/>
                <w:b w:val="0"/>
                <w:bCs w:val="0"/>
                <w:color w:val="auto"/>
                <w:sz w:val="21"/>
                <w:szCs w:val="21"/>
                <w:highlight w:val="none"/>
                <w:vertAlign w:val="baseline"/>
                <w:lang w:val="en-US" w:eastAsia="zh-CN"/>
              </w:rPr>
              <w:t>6</w:t>
            </w:r>
          </w:p>
        </w:tc>
        <w:tc>
          <w:tcPr>
            <w:tcW w:w="2203" w:type="dxa"/>
            <w:tcBorders>
              <w:tl2br w:val="nil"/>
              <w:tr2bl w:val="nil"/>
            </w:tcBorders>
            <w:shd w:val="clear" w:color="auto" w:fill="auto"/>
            <w:noWrap w:val="0"/>
            <w:vAlign w:val="center"/>
          </w:tcPr>
          <w:p w14:paraId="20342ED6">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cs="Times New Roman"/>
                <w:b w:val="0"/>
                <w:bCs w:val="0"/>
                <w:color w:val="auto"/>
                <w:sz w:val="21"/>
                <w:szCs w:val="21"/>
                <w:highlight w:val="none"/>
                <w:vertAlign w:val="baseline"/>
                <w:lang w:val="en-US" w:eastAsia="zh-CN"/>
              </w:rPr>
            </w:pPr>
            <w:r>
              <w:rPr>
                <w:rFonts w:hint="eastAsia" w:cs="Times New Roman"/>
                <w:b w:val="0"/>
                <w:bCs w:val="0"/>
                <w:color w:val="auto"/>
                <w:sz w:val="21"/>
                <w:szCs w:val="21"/>
                <w:highlight w:val="none"/>
                <w:vertAlign w:val="baseline"/>
                <w:lang w:val="en-US" w:eastAsia="zh-CN"/>
              </w:rPr>
              <w:t>除湿机系统6#</w:t>
            </w:r>
          </w:p>
        </w:tc>
        <w:tc>
          <w:tcPr>
            <w:tcW w:w="1039" w:type="dxa"/>
            <w:tcBorders>
              <w:tl2br w:val="nil"/>
              <w:tr2bl w:val="nil"/>
            </w:tcBorders>
            <w:shd w:val="clear" w:color="auto" w:fill="auto"/>
            <w:noWrap w:val="0"/>
            <w:vAlign w:val="center"/>
          </w:tcPr>
          <w:p w14:paraId="4D0A4B06">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cs="Times New Roman"/>
                <w:b w:val="0"/>
                <w:bCs w:val="0"/>
                <w:color w:val="auto"/>
                <w:sz w:val="21"/>
                <w:szCs w:val="21"/>
                <w:highlight w:val="none"/>
                <w:vertAlign w:val="baseline"/>
                <w:lang w:val="en-US" w:eastAsia="zh-CN"/>
              </w:rPr>
            </w:pPr>
            <w:r>
              <w:rPr>
                <w:rFonts w:hint="eastAsia" w:cs="Times New Roman"/>
                <w:b w:val="0"/>
                <w:bCs w:val="0"/>
                <w:color w:val="auto"/>
                <w:sz w:val="21"/>
                <w:szCs w:val="21"/>
                <w:highlight w:val="none"/>
                <w:vertAlign w:val="baseline"/>
                <w:lang w:val="en-US" w:eastAsia="zh-CN"/>
              </w:rPr>
              <w:t>1</w:t>
            </w:r>
          </w:p>
        </w:tc>
        <w:tc>
          <w:tcPr>
            <w:tcW w:w="1416" w:type="dxa"/>
            <w:tcBorders>
              <w:tl2br w:val="nil"/>
              <w:tr2bl w:val="nil"/>
            </w:tcBorders>
            <w:shd w:val="clear" w:color="auto" w:fill="auto"/>
            <w:noWrap w:val="0"/>
            <w:vAlign w:val="center"/>
          </w:tcPr>
          <w:p w14:paraId="00C06043">
            <w:pPr>
              <w:widowControl/>
              <w:jc w:val="center"/>
              <w:rPr>
                <w:rFonts w:hint="eastAsia" w:ascii="Times New Roman" w:hAnsi="Times New Roman" w:eastAsia="宋体" w:cs="Times New Roman"/>
                <w:b w:val="0"/>
                <w:bCs w:val="0"/>
                <w:color w:val="auto"/>
                <w:sz w:val="21"/>
                <w:szCs w:val="21"/>
                <w:highlight w:val="none"/>
                <w:vertAlign w:val="baseline"/>
                <w:lang w:val="en-US" w:eastAsia="zh-CN"/>
              </w:rPr>
            </w:pPr>
            <w:r>
              <w:rPr>
                <w:rFonts w:hint="eastAsia" w:ascii="Times New Roman" w:hAnsi="Times New Roman" w:eastAsia="宋体" w:cs="Times New Roman"/>
                <w:b w:val="0"/>
                <w:bCs w:val="0"/>
                <w:color w:val="auto"/>
                <w:sz w:val="21"/>
                <w:szCs w:val="21"/>
                <w:highlight w:val="none"/>
                <w:vertAlign w:val="baseline"/>
                <w:lang w:val="en-US" w:eastAsia="zh-CN"/>
              </w:rPr>
              <w:t>31.76</w:t>
            </w:r>
          </w:p>
        </w:tc>
        <w:tc>
          <w:tcPr>
            <w:tcW w:w="1417" w:type="dxa"/>
            <w:tcBorders>
              <w:tl2br w:val="nil"/>
              <w:tr2bl w:val="nil"/>
            </w:tcBorders>
            <w:shd w:val="clear" w:color="auto" w:fill="auto"/>
            <w:noWrap w:val="0"/>
            <w:vAlign w:val="center"/>
          </w:tcPr>
          <w:p w14:paraId="294F6887">
            <w:pPr>
              <w:widowControl/>
              <w:jc w:val="center"/>
              <w:rPr>
                <w:rFonts w:hint="eastAsia" w:ascii="Times New Roman" w:hAnsi="Times New Roman" w:eastAsia="宋体" w:cs="Times New Roman"/>
                <w:b w:val="0"/>
                <w:bCs w:val="0"/>
                <w:color w:val="auto"/>
                <w:sz w:val="21"/>
                <w:szCs w:val="21"/>
                <w:highlight w:val="none"/>
                <w:vertAlign w:val="baseline"/>
                <w:lang w:val="en-US" w:eastAsia="zh-CN"/>
              </w:rPr>
            </w:pPr>
            <w:r>
              <w:rPr>
                <w:rFonts w:hint="eastAsia" w:ascii="Times New Roman" w:hAnsi="Times New Roman" w:eastAsia="宋体" w:cs="Times New Roman"/>
                <w:b w:val="0"/>
                <w:bCs w:val="0"/>
                <w:color w:val="auto"/>
                <w:sz w:val="21"/>
                <w:szCs w:val="21"/>
                <w:highlight w:val="none"/>
                <w:vertAlign w:val="baseline"/>
                <w:lang w:val="en-US" w:eastAsia="zh-CN"/>
              </w:rPr>
              <w:t>9.13</w:t>
            </w:r>
          </w:p>
        </w:tc>
        <w:tc>
          <w:tcPr>
            <w:tcW w:w="1416" w:type="dxa"/>
            <w:tcBorders>
              <w:tl2br w:val="nil"/>
              <w:tr2bl w:val="nil"/>
            </w:tcBorders>
            <w:shd w:val="clear" w:color="auto" w:fill="auto"/>
            <w:noWrap w:val="0"/>
            <w:vAlign w:val="center"/>
          </w:tcPr>
          <w:p w14:paraId="2BBE3D19">
            <w:pPr>
              <w:spacing w:line="280" w:lineRule="exact"/>
              <w:jc w:val="center"/>
              <w:rPr>
                <w:rFonts w:hint="eastAsia" w:ascii="Times New Roman" w:hAnsi="Times New Roman" w:eastAsia="宋体" w:cs="Times New Roman"/>
                <w:color w:val="auto"/>
                <w:szCs w:val="21"/>
                <w:highlight w:val="none"/>
                <w:lang w:val="en-US" w:eastAsia="zh-CN"/>
              </w:rPr>
            </w:pPr>
            <w:r>
              <w:rPr>
                <w:rFonts w:hint="eastAsia" w:cs="Times New Roman"/>
                <w:b w:val="0"/>
                <w:bCs w:val="0"/>
                <w:color w:val="auto"/>
                <w:sz w:val="21"/>
                <w:szCs w:val="21"/>
                <w:highlight w:val="none"/>
                <w:vertAlign w:val="baseline"/>
                <w:lang w:val="en-US" w:eastAsia="zh-CN"/>
              </w:rPr>
              <w:t>1.3</w:t>
            </w:r>
          </w:p>
        </w:tc>
        <w:tc>
          <w:tcPr>
            <w:tcW w:w="1269" w:type="dxa"/>
            <w:tcBorders>
              <w:tl2br w:val="nil"/>
              <w:tr2bl w:val="nil"/>
            </w:tcBorders>
            <w:shd w:val="clear" w:color="auto" w:fill="auto"/>
            <w:noWrap w:val="0"/>
            <w:vAlign w:val="center"/>
          </w:tcPr>
          <w:p w14:paraId="0738E68A">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Times New Roman" w:hAnsi="Times New Roman" w:eastAsia="宋体" w:cs="Times New Roman"/>
                <w:b w:val="0"/>
                <w:bCs w:val="0"/>
                <w:color w:val="auto"/>
                <w:sz w:val="21"/>
                <w:szCs w:val="21"/>
                <w:highlight w:val="none"/>
                <w:vertAlign w:val="baseline"/>
                <w:lang w:val="en-US" w:eastAsia="zh-CN"/>
              </w:rPr>
            </w:pPr>
            <w:r>
              <w:rPr>
                <w:rFonts w:hint="eastAsia" w:ascii="Times New Roman" w:hAnsi="Times New Roman" w:eastAsia="宋体" w:cs="Times New Roman"/>
                <w:b w:val="0"/>
                <w:bCs w:val="0"/>
                <w:color w:val="auto"/>
                <w:sz w:val="21"/>
                <w:szCs w:val="21"/>
                <w:highlight w:val="none"/>
                <w:vertAlign w:val="baseline"/>
                <w:lang w:val="en-US" w:eastAsia="zh-CN"/>
              </w:rPr>
              <w:t>60</w:t>
            </w:r>
          </w:p>
        </w:tc>
        <w:tc>
          <w:tcPr>
            <w:tcW w:w="2033" w:type="dxa"/>
            <w:vMerge w:val="continue"/>
            <w:tcBorders>
              <w:tl2br w:val="nil"/>
              <w:tr2bl w:val="nil"/>
            </w:tcBorders>
            <w:shd w:val="clear" w:color="auto" w:fill="auto"/>
            <w:noWrap w:val="0"/>
            <w:vAlign w:val="center"/>
          </w:tcPr>
          <w:p w14:paraId="59341EC8">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Times New Roman" w:hAnsi="Times New Roman" w:eastAsia="宋体" w:cs="Times New Roman"/>
                <w:b w:val="0"/>
                <w:bCs w:val="0"/>
                <w:color w:val="auto"/>
                <w:sz w:val="21"/>
                <w:szCs w:val="21"/>
                <w:highlight w:val="none"/>
                <w:vertAlign w:val="baseline"/>
                <w:lang w:val="en-US" w:eastAsia="zh-CN"/>
              </w:rPr>
            </w:pPr>
          </w:p>
        </w:tc>
        <w:tc>
          <w:tcPr>
            <w:tcW w:w="1395" w:type="dxa"/>
            <w:vMerge w:val="continue"/>
            <w:tcBorders>
              <w:tl2br w:val="nil"/>
              <w:tr2bl w:val="nil"/>
            </w:tcBorders>
            <w:shd w:val="clear" w:color="auto" w:fill="auto"/>
            <w:noWrap w:val="0"/>
            <w:vAlign w:val="center"/>
          </w:tcPr>
          <w:p w14:paraId="2CC3E60B">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Times New Roman" w:hAnsi="Times New Roman" w:cs="Times New Roman"/>
                <w:b w:val="0"/>
                <w:bCs w:val="0"/>
                <w:color w:val="auto"/>
                <w:sz w:val="21"/>
                <w:szCs w:val="21"/>
                <w:highlight w:val="none"/>
                <w:vertAlign w:val="baseline"/>
                <w:lang w:val="en-US" w:eastAsia="zh-CN"/>
              </w:rPr>
            </w:pPr>
          </w:p>
        </w:tc>
      </w:tr>
      <w:tr w14:paraId="259E176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24" w:hRule="atLeast"/>
          <w:jc w:val="center"/>
        </w:trPr>
        <w:tc>
          <w:tcPr>
            <w:tcW w:w="1023" w:type="dxa"/>
            <w:tcBorders>
              <w:tl2br w:val="nil"/>
              <w:tr2bl w:val="nil"/>
            </w:tcBorders>
            <w:shd w:val="clear" w:color="auto" w:fill="auto"/>
            <w:noWrap w:val="0"/>
            <w:vAlign w:val="center"/>
          </w:tcPr>
          <w:p w14:paraId="110DF7D9">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r>
              <w:rPr>
                <w:rFonts w:hint="eastAsia" w:cs="Times New Roman"/>
                <w:b w:val="0"/>
                <w:bCs w:val="0"/>
                <w:color w:val="auto"/>
                <w:sz w:val="21"/>
                <w:szCs w:val="21"/>
                <w:highlight w:val="none"/>
                <w:vertAlign w:val="baseline"/>
                <w:lang w:val="en-US" w:eastAsia="zh-CN"/>
              </w:rPr>
              <w:t>7</w:t>
            </w:r>
          </w:p>
        </w:tc>
        <w:tc>
          <w:tcPr>
            <w:tcW w:w="2203" w:type="dxa"/>
            <w:tcBorders>
              <w:tl2br w:val="nil"/>
              <w:tr2bl w:val="nil"/>
            </w:tcBorders>
            <w:shd w:val="clear" w:color="auto" w:fill="auto"/>
            <w:noWrap w:val="0"/>
            <w:vAlign w:val="center"/>
          </w:tcPr>
          <w:p w14:paraId="4F575B3B">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cs="Times New Roman"/>
                <w:b w:val="0"/>
                <w:bCs w:val="0"/>
                <w:color w:val="auto"/>
                <w:sz w:val="21"/>
                <w:szCs w:val="21"/>
                <w:highlight w:val="none"/>
                <w:vertAlign w:val="baseline"/>
                <w:lang w:val="en-US" w:eastAsia="zh-CN"/>
              </w:rPr>
            </w:pPr>
            <w:r>
              <w:rPr>
                <w:rFonts w:hint="eastAsia" w:cs="Times New Roman"/>
                <w:b w:val="0"/>
                <w:bCs w:val="0"/>
                <w:color w:val="auto"/>
                <w:sz w:val="21"/>
                <w:szCs w:val="21"/>
                <w:highlight w:val="none"/>
                <w:vertAlign w:val="baseline"/>
                <w:lang w:val="en-US" w:eastAsia="zh-CN"/>
              </w:rPr>
              <w:t>除湿机系统7#</w:t>
            </w:r>
          </w:p>
        </w:tc>
        <w:tc>
          <w:tcPr>
            <w:tcW w:w="1039" w:type="dxa"/>
            <w:tcBorders>
              <w:tl2br w:val="nil"/>
              <w:tr2bl w:val="nil"/>
            </w:tcBorders>
            <w:shd w:val="clear" w:color="auto" w:fill="auto"/>
            <w:noWrap w:val="0"/>
            <w:vAlign w:val="center"/>
          </w:tcPr>
          <w:p w14:paraId="553E8C56">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cs="Times New Roman"/>
                <w:b w:val="0"/>
                <w:bCs w:val="0"/>
                <w:color w:val="auto"/>
                <w:sz w:val="21"/>
                <w:szCs w:val="21"/>
                <w:highlight w:val="none"/>
                <w:vertAlign w:val="baseline"/>
                <w:lang w:val="en-US" w:eastAsia="zh-CN"/>
              </w:rPr>
            </w:pPr>
            <w:r>
              <w:rPr>
                <w:rFonts w:hint="eastAsia" w:cs="Times New Roman"/>
                <w:b w:val="0"/>
                <w:bCs w:val="0"/>
                <w:color w:val="auto"/>
                <w:sz w:val="21"/>
                <w:szCs w:val="21"/>
                <w:highlight w:val="none"/>
                <w:vertAlign w:val="baseline"/>
                <w:lang w:val="en-US" w:eastAsia="zh-CN"/>
              </w:rPr>
              <w:t>1</w:t>
            </w:r>
          </w:p>
        </w:tc>
        <w:tc>
          <w:tcPr>
            <w:tcW w:w="1416" w:type="dxa"/>
            <w:tcBorders>
              <w:tl2br w:val="nil"/>
              <w:tr2bl w:val="nil"/>
            </w:tcBorders>
            <w:shd w:val="clear" w:color="auto" w:fill="auto"/>
            <w:noWrap w:val="0"/>
            <w:vAlign w:val="center"/>
          </w:tcPr>
          <w:p w14:paraId="4B6DBA17">
            <w:pPr>
              <w:widowControl/>
              <w:jc w:val="center"/>
              <w:rPr>
                <w:rFonts w:hint="eastAsia" w:ascii="Times New Roman" w:hAnsi="Times New Roman" w:eastAsia="宋体" w:cs="Times New Roman"/>
                <w:b w:val="0"/>
                <w:bCs w:val="0"/>
                <w:color w:val="auto"/>
                <w:sz w:val="21"/>
                <w:szCs w:val="21"/>
                <w:highlight w:val="none"/>
                <w:vertAlign w:val="baseline"/>
                <w:lang w:val="en-US" w:eastAsia="zh-CN"/>
              </w:rPr>
            </w:pPr>
            <w:r>
              <w:rPr>
                <w:rFonts w:hint="eastAsia" w:ascii="Times New Roman" w:hAnsi="Times New Roman" w:eastAsia="宋体" w:cs="Times New Roman"/>
                <w:b w:val="0"/>
                <w:bCs w:val="0"/>
                <w:color w:val="auto"/>
                <w:sz w:val="21"/>
                <w:szCs w:val="21"/>
                <w:highlight w:val="none"/>
                <w:vertAlign w:val="baseline"/>
                <w:lang w:val="en-US" w:eastAsia="zh-CN"/>
              </w:rPr>
              <w:t>32.63</w:t>
            </w:r>
          </w:p>
        </w:tc>
        <w:tc>
          <w:tcPr>
            <w:tcW w:w="1417" w:type="dxa"/>
            <w:tcBorders>
              <w:tl2br w:val="nil"/>
              <w:tr2bl w:val="nil"/>
            </w:tcBorders>
            <w:shd w:val="clear" w:color="auto" w:fill="auto"/>
            <w:noWrap w:val="0"/>
            <w:vAlign w:val="center"/>
          </w:tcPr>
          <w:p w14:paraId="09CEB8BE">
            <w:pPr>
              <w:widowControl/>
              <w:jc w:val="center"/>
              <w:rPr>
                <w:rFonts w:hint="eastAsia" w:ascii="Times New Roman" w:hAnsi="Times New Roman" w:eastAsia="宋体" w:cs="Times New Roman"/>
                <w:b w:val="0"/>
                <w:bCs w:val="0"/>
                <w:color w:val="auto"/>
                <w:sz w:val="21"/>
                <w:szCs w:val="21"/>
                <w:highlight w:val="none"/>
                <w:vertAlign w:val="baseline"/>
                <w:lang w:val="en-US" w:eastAsia="zh-CN"/>
              </w:rPr>
            </w:pPr>
            <w:r>
              <w:rPr>
                <w:rFonts w:hint="eastAsia" w:ascii="Times New Roman" w:hAnsi="Times New Roman" w:eastAsia="宋体" w:cs="Times New Roman"/>
                <w:b w:val="0"/>
                <w:bCs w:val="0"/>
                <w:color w:val="auto"/>
                <w:sz w:val="21"/>
                <w:szCs w:val="21"/>
                <w:highlight w:val="none"/>
                <w:vertAlign w:val="baseline"/>
                <w:lang w:val="en-US" w:eastAsia="zh-CN"/>
              </w:rPr>
              <w:t>9.42</w:t>
            </w:r>
          </w:p>
        </w:tc>
        <w:tc>
          <w:tcPr>
            <w:tcW w:w="1416" w:type="dxa"/>
            <w:tcBorders>
              <w:tl2br w:val="nil"/>
              <w:tr2bl w:val="nil"/>
            </w:tcBorders>
            <w:shd w:val="clear" w:color="auto" w:fill="auto"/>
            <w:noWrap w:val="0"/>
            <w:vAlign w:val="center"/>
          </w:tcPr>
          <w:p w14:paraId="474112FB">
            <w:pPr>
              <w:spacing w:line="280" w:lineRule="exact"/>
              <w:jc w:val="center"/>
              <w:rPr>
                <w:rFonts w:hint="eastAsia" w:ascii="Times New Roman" w:hAnsi="Times New Roman" w:eastAsia="宋体" w:cs="Times New Roman"/>
                <w:color w:val="auto"/>
                <w:szCs w:val="21"/>
                <w:highlight w:val="none"/>
                <w:lang w:val="en-US" w:eastAsia="zh-CN"/>
              </w:rPr>
            </w:pPr>
            <w:r>
              <w:rPr>
                <w:rFonts w:hint="eastAsia" w:cs="Times New Roman"/>
                <w:b w:val="0"/>
                <w:bCs w:val="0"/>
                <w:color w:val="auto"/>
                <w:sz w:val="21"/>
                <w:szCs w:val="21"/>
                <w:highlight w:val="none"/>
                <w:vertAlign w:val="baseline"/>
                <w:lang w:val="en-US" w:eastAsia="zh-CN"/>
              </w:rPr>
              <w:t>1.3</w:t>
            </w:r>
          </w:p>
        </w:tc>
        <w:tc>
          <w:tcPr>
            <w:tcW w:w="1269" w:type="dxa"/>
            <w:tcBorders>
              <w:tl2br w:val="nil"/>
              <w:tr2bl w:val="nil"/>
            </w:tcBorders>
            <w:shd w:val="clear" w:color="auto" w:fill="auto"/>
            <w:noWrap w:val="0"/>
            <w:vAlign w:val="center"/>
          </w:tcPr>
          <w:p w14:paraId="49C840E9">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Times New Roman" w:hAnsi="Times New Roman" w:eastAsia="宋体" w:cs="Times New Roman"/>
                <w:b w:val="0"/>
                <w:bCs w:val="0"/>
                <w:color w:val="auto"/>
                <w:sz w:val="21"/>
                <w:szCs w:val="21"/>
                <w:highlight w:val="none"/>
                <w:vertAlign w:val="baseline"/>
                <w:lang w:val="en-US" w:eastAsia="zh-CN"/>
              </w:rPr>
            </w:pPr>
            <w:r>
              <w:rPr>
                <w:rFonts w:hint="eastAsia" w:ascii="Times New Roman" w:hAnsi="Times New Roman" w:eastAsia="宋体" w:cs="Times New Roman"/>
                <w:b w:val="0"/>
                <w:bCs w:val="0"/>
                <w:color w:val="auto"/>
                <w:sz w:val="21"/>
                <w:szCs w:val="21"/>
                <w:highlight w:val="none"/>
                <w:vertAlign w:val="baseline"/>
                <w:lang w:val="en-US" w:eastAsia="zh-CN"/>
              </w:rPr>
              <w:t>60</w:t>
            </w:r>
          </w:p>
        </w:tc>
        <w:tc>
          <w:tcPr>
            <w:tcW w:w="2033" w:type="dxa"/>
            <w:vMerge w:val="continue"/>
            <w:tcBorders>
              <w:tl2br w:val="nil"/>
              <w:tr2bl w:val="nil"/>
            </w:tcBorders>
            <w:shd w:val="clear" w:color="auto" w:fill="auto"/>
            <w:noWrap w:val="0"/>
            <w:vAlign w:val="center"/>
          </w:tcPr>
          <w:p w14:paraId="1182CFBA">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Times New Roman" w:hAnsi="Times New Roman" w:eastAsia="宋体" w:cs="Times New Roman"/>
                <w:b w:val="0"/>
                <w:bCs w:val="0"/>
                <w:color w:val="auto"/>
                <w:sz w:val="21"/>
                <w:szCs w:val="21"/>
                <w:highlight w:val="none"/>
                <w:vertAlign w:val="baseline"/>
                <w:lang w:val="en-US" w:eastAsia="zh-CN"/>
              </w:rPr>
            </w:pPr>
          </w:p>
        </w:tc>
        <w:tc>
          <w:tcPr>
            <w:tcW w:w="1395" w:type="dxa"/>
            <w:vMerge w:val="continue"/>
            <w:tcBorders>
              <w:tl2br w:val="nil"/>
              <w:tr2bl w:val="nil"/>
            </w:tcBorders>
            <w:shd w:val="clear" w:color="auto" w:fill="auto"/>
            <w:noWrap w:val="0"/>
            <w:vAlign w:val="center"/>
          </w:tcPr>
          <w:p w14:paraId="224AC9FC">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Times New Roman" w:hAnsi="Times New Roman" w:cs="Times New Roman"/>
                <w:b w:val="0"/>
                <w:bCs w:val="0"/>
                <w:color w:val="auto"/>
                <w:sz w:val="21"/>
                <w:szCs w:val="21"/>
                <w:highlight w:val="none"/>
                <w:vertAlign w:val="baseline"/>
                <w:lang w:val="en-US" w:eastAsia="zh-CN"/>
              </w:rPr>
            </w:pPr>
          </w:p>
        </w:tc>
      </w:tr>
      <w:tr w14:paraId="5534D2E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24" w:hRule="atLeast"/>
          <w:jc w:val="center"/>
        </w:trPr>
        <w:tc>
          <w:tcPr>
            <w:tcW w:w="1023" w:type="dxa"/>
            <w:tcBorders>
              <w:tl2br w:val="nil"/>
              <w:tr2bl w:val="nil"/>
            </w:tcBorders>
            <w:shd w:val="clear" w:color="auto" w:fill="auto"/>
            <w:noWrap w:val="0"/>
            <w:vAlign w:val="center"/>
          </w:tcPr>
          <w:p w14:paraId="284BB032">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r>
              <w:rPr>
                <w:rFonts w:hint="eastAsia" w:cs="Times New Roman"/>
                <w:b w:val="0"/>
                <w:bCs w:val="0"/>
                <w:color w:val="auto"/>
                <w:sz w:val="21"/>
                <w:szCs w:val="21"/>
                <w:highlight w:val="none"/>
                <w:vertAlign w:val="baseline"/>
                <w:lang w:val="en-US" w:eastAsia="zh-CN"/>
              </w:rPr>
              <w:t>8</w:t>
            </w:r>
          </w:p>
        </w:tc>
        <w:tc>
          <w:tcPr>
            <w:tcW w:w="2203" w:type="dxa"/>
            <w:tcBorders>
              <w:tl2br w:val="nil"/>
              <w:tr2bl w:val="nil"/>
            </w:tcBorders>
            <w:shd w:val="clear" w:color="auto" w:fill="auto"/>
            <w:noWrap w:val="0"/>
            <w:vAlign w:val="center"/>
          </w:tcPr>
          <w:p w14:paraId="67B190A8">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cs="Times New Roman"/>
                <w:b w:val="0"/>
                <w:bCs w:val="0"/>
                <w:color w:val="auto"/>
                <w:sz w:val="21"/>
                <w:szCs w:val="21"/>
                <w:highlight w:val="none"/>
                <w:vertAlign w:val="baseline"/>
                <w:lang w:val="en-US" w:eastAsia="zh-CN"/>
              </w:rPr>
            </w:pPr>
            <w:r>
              <w:rPr>
                <w:rFonts w:hint="eastAsia" w:cs="Times New Roman"/>
                <w:b w:val="0"/>
                <w:bCs w:val="0"/>
                <w:color w:val="auto"/>
                <w:sz w:val="21"/>
                <w:szCs w:val="21"/>
                <w:highlight w:val="none"/>
                <w:vertAlign w:val="baseline"/>
                <w:lang w:val="en-US" w:eastAsia="zh-CN"/>
              </w:rPr>
              <w:t>除湿机系统8#</w:t>
            </w:r>
          </w:p>
        </w:tc>
        <w:tc>
          <w:tcPr>
            <w:tcW w:w="1039" w:type="dxa"/>
            <w:tcBorders>
              <w:tl2br w:val="nil"/>
              <w:tr2bl w:val="nil"/>
            </w:tcBorders>
            <w:shd w:val="clear" w:color="auto" w:fill="auto"/>
            <w:noWrap w:val="0"/>
            <w:vAlign w:val="center"/>
          </w:tcPr>
          <w:p w14:paraId="58DCF487">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cs="Times New Roman"/>
                <w:b w:val="0"/>
                <w:bCs w:val="0"/>
                <w:color w:val="auto"/>
                <w:sz w:val="21"/>
                <w:szCs w:val="21"/>
                <w:highlight w:val="none"/>
                <w:vertAlign w:val="baseline"/>
                <w:lang w:val="en-US" w:eastAsia="zh-CN"/>
              </w:rPr>
            </w:pPr>
            <w:r>
              <w:rPr>
                <w:rFonts w:hint="eastAsia" w:cs="Times New Roman"/>
                <w:b w:val="0"/>
                <w:bCs w:val="0"/>
                <w:color w:val="auto"/>
                <w:sz w:val="21"/>
                <w:szCs w:val="21"/>
                <w:highlight w:val="none"/>
                <w:vertAlign w:val="baseline"/>
                <w:lang w:val="en-US" w:eastAsia="zh-CN"/>
              </w:rPr>
              <w:t>1</w:t>
            </w:r>
          </w:p>
        </w:tc>
        <w:tc>
          <w:tcPr>
            <w:tcW w:w="1416" w:type="dxa"/>
            <w:tcBorders>
              <w:tl2br w:val="nil"/>
              <w:tr2bl w:val="nil"/>
            </w:tcBorders>
            <w:shd w:val="clear" w:color="auto" w:fill="auto"/>
            <w:noWrap w:val="0"/>
            <w:vAlign w:val="center"/>
          </w:tcPr>
          <w:p w14:paraId="26B8F9B9">
            <w:pPr>
              <w:widowControl/>
              <w:jc w:val="center"/>
              <w:rPr>
                <w:rFonts w:hint="eastAsia" w:ascii="Times New Roman" w:hAnsi="Times New Roman" w:eastAsia="宋体" w:cs="Times New Roman"/>
                <w:b w:val="0"/>
                <w:bCs w:val="0"/>
                <w:color w:val="auto"/>
                <w:sz w:val="21"/>
                <w:szCs w:val="21"/>
                <w:highlight w:val="none"/>
                <w:vertAlign w:val="baseline"/>
                <w:lang w:val="en-US" w:eastAsia="zh-CN"/>
              </w:rPr>
            </w:pPr>
            <w:r>
              <w:rPr>
                <w:rFonts w:hint="eastAsia" w:ascii="Times New Roman" w:hAnsi="Times New Roman" w:eastAsia="宋体" w:cs="Times New Roman"/>
                <w:b w:val="0"/>
                <w:bCs w:val="0"/>
                <w:color w:val="auto"/>
                <w:sz w:val="21"/>
                <w:szCs w:val="21"/>
                <w:highlight w:val="none"/>
                <w:vertAlign w:val="baseline"/>
                <w:lang w:val="en-US" w:eastAsia="zh-CN"/>
              </w:rPr>
              <w:t>33.49</w:t>
            </w:r>
          </w:p>
        </w:tc>
        <w:tc>
          <w:tcPr>
            <w:tcW w:w="1417" w:type="dxa"/>
            <w:tcBorders>
              <w:tl2br w:val="nil"/>
              <w:tr2bl w:val="nil"/>
            </w:tcBorders>
            <w:shd w:val="clear" w:color="auto" w:fill="auto"/>
            <w:noWrap w:val="0"/>
            <w:vAlign w:val="center"/>
          </w:tcPr>
          <w:p w14:paraId="28FEB3DA">
            <w:pPr>
              <w:widowControl/>
              <w:jc w:val="center"/>
              <w:rPr>
                <w:rFonts w:hint="eastAsia" w:ascii="Times New Roman" w:hAnsi="Times New Roman" w:eastAsia="宋体" w:cs="Times New Roman"/>
                <w:b w:val="0"/>
                <w:bCs w:val="0"/>
                <w:color w:val="auto"/>
                <w:sz w:val="21"/>
                <w:szCs w:val="21"/>
                <w:highlight w:val="none"/>
                <w:vertAlign w:val="baseline"/>
                <w:lang w:val="en-US" w:eastAsia="zh-CN"/>
              </w:rPr>
            </w:pPr>
            <w:r>
              <w:rPr>
                <w:rFonts w:hint="eastAsia" w:ascii="Times New Roman" w:hAnsi="Times New Roman" w:eastAsia="宋体" w:cs="Times New Roman"/>
                <w:b w:val="0"/>
                <w:bCs w:val="0"/>
                <w:color w:val="auto"/>
                <w:sz w:val="21"/>
                <w:szCs w:val="21"/>
                <w:highlight w:val="none"/>
                <w:vertAlign w:val="baseline"/>
                <w:lang w:val="en-US" w:eastAsia="zh-CN"/>
              </w:rPr>
              <w:t>9.71</w:t>
            </w:r>
          </w:p>
        </w:tc>
        <w:tc>
          <w:tcPr>
            <w:tcW w:w="1416" w:type="dxa"/>
            <w:tcBorders>
              <w:tl2br w:val="nil"/>
              <w:tr2bl w:val="nil"/>
            </w:tcBorders>
            <w:shd w:val="clear" w:color="auto" w:fill="auto"/>
            <w:noWrap w:val="0"/>
            <w:vAlign w:val="center"/>
          </w:tcPr>
          <w:p w14:paraId="59B9164B">
            <w:pPr>
              <w:spacing w:line="280" w:lineRule="exact"/>
              <w:jc w:val="center"/>
              <w:rPr>
                <w:rFonts w:hint="eastAsia" w:ascii="Times New Roman" w:hAnsi="Times New Roman" w:eastAsia="宋体" w:cs="Times New Roman"/>
                <w:color w:val="auto"/>
                <w:szCs w:val="21"/>
                <w:highlight w:val="none"/>
                <w:lang w:val="en-US" w:eastAsia="zh-CN"/>
              </w:rPr>
            </w:pPr>
            <w:r>
              <w:rPr>
                <w:rFonts w:hint="eastAsia" w:cs="Times New Roman"/>
                <w:b w:val="0"/>
                <w:bCs w:val="0"/>
                <w:color w:val="auto"/>
                <w:sz w:val="21"/>
                <w:szCs w:val="21"/>
                <w:highlight w:val="none"/>
                <w:vertAlign w:val="baseline"/>
                <w:lang w:val="en-US" w:eastAsia="zh-CN"/>
              </w:rPr>
              <w:t>1.3</w:t>
            </w:r>
          </w:p>
        </w:tc>
        <w:tc>
          <w:tcPr>
            <w:tcW w:w="1269" w:type="dxa"/>
            <w:tcBorders>
              <w:tl2br w:val="nil"/>
              <w:tr2bl w:val="nil"/>
            </w:tcBorders>
            <w:shd w:val="clear" w:color="auto" w:fill="auto"/>
            <w:noWrap w:val="0"/>
            <w:vAlign w:val="center"/>
          </w:tcPr>
          <w:p w14:paraId="7182F5C6">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Times New Roman" w:hAnsi="Times New Roman" w:eastAsia="宋体" w:cs="Times New Roman"/>
                <w:b w:val="0"/>
                <w:bCs w:val="0"/>
                <w:color w:val="auto"/>
                <w:sz w:val="21"/>
                <w:szCs w:val="21"/>
                <w:highlight w:val="none"/>
                <w:vertAlign w:val="baseline"/>
                <w:lang w:val="en-US" w:eastAsia="zh-CN"/>
              </w:rPr>
            </w:pPr>
            <w:r>
              <w:rPr>
                <w:rFonts w:hint="eastAsia" w:ascii="Times New Roman" w:hAnsi="Times New Roman" w:eastAsia="宋体" w:cs="Times New Roman"/>
                <w:b w:val="0"/>
                <w:bCs w:val="0"/>
                <w:color w:val="auto"/>
                <w:sz w:val="21"/>
                <w:szCs w:val="21"/>
                <w:highlight w:val="none"/>
                <w:vertAlign w:val="baseline"/>
                <w:lang w:val="en-US" w:eastAsia="zh-CN"/>
              </w:rPr>
              <w:t>60</w:t>
            </w:r>
          </w:p>
        </w:tc>
        <w:tc>
          <w:tcPr>
            <w:tcW w:w="2033" w:type="dxa"/>
            <w:vMerge w:val="continue"/>
            <w:tcBorders>
              <w:tl2br w:val="nil"/>
              <w:tr2bl w:val="nil"/>
            </w:tcBorders>
            <w:shd w:val="clear" w:color="auto" w:fill="auto"/>
            <w:noWrap w:val="0"/>
            <w:vAlign w:val="center"/>
          </w:tcPr>
          <w:p w14:paraId="70CDE6D3">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Times New Roman" w:hAnsi="Times New Roman" w:eastAsia="宋体" w:cs="Times New Roman"/>
                <w:b w:val="0"/>
                <w:bCs w:val="0"/>
                <w:color w:val="auto"/>
                <w:sz w:val="21"/>
                <w:szCs w:val="21"/>
                <w:highlight w:val="none"/>
                <w:vertAlign w:val="baseline"/>
                <w:lang w:val="en-US" w:eastAsia="zh-CN"/>
              </w:rPr>
            </w:pPr>
          </w:p>
        </w:tc>
        <w:tc>
          <w:tcPr>
            <w:tcW w:w="1395" w:type="dxa"/>
            <w:vMerge w:val="continue"/>
            <w:tcBorders>
              <w:tl2br w:val="nil"/>
              <w:tr2bl w:val="nil"/>
            </w:tcBorders>
            <w:shd w:val="clear" w:color="auto" w:fill="auto"/>
            <w:noWrap w:val="0"/>
            <w:vAlign w:val="center"/>
          </w:tcPr>
          <w:p w14:paraId="73DB656E">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Times New Roman" w:hAnsi="Times New Roman" w:cs="Times New Roman"/>
                <w:b w:val="0"/>
                <w:bCs w:val="0"/>
                <w:color w:val="auto"/>
                <w:sz w:val="21"/>
                <w:szCs w:val="21"/>
                <w:highlight w:val="none"/>
                <w:vertAlign w:val="baseline"/>
                <w:lang w:val="en-US" w:eastAsia="zh-CN"/>
              </w:rPr>
            </w:pPr>
          </w:p>
        </w:tc>
      </w:tr>
      <w:tr w14:paraId="08E1B68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24" w:hRule="atLeast"/>
          <w:jc w:val="center"/>
        </w:trPr>
        <w:tc>
          <w:tcPr>
            <w:tcW w:w="1023" w:type="dxa"/>
            <w:tcBorders>
              <w:tl2br w:val="nil"/>
              <w:tr2bl w:val="nil"/>
            </w:tcBorders>
            <w:shd w:val="clear" w:color="auto" w:fill="auto"/>
            <w:noWrap w:val="0"/>
            <w:vAlign w:val="center"/>
          </w:tcPr>
          <w:p w14:paraId="13D9BC44">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r>
              <w:rPr>
                <w:rFonts w:hint="eastAsia" w:cs="Times New Roman"/>
                <w:b w:val="0"/>
                <w:bCs w:val="0"/>
                <w:color w:val="auto"/>
                <w:sz w:val="21"/>
                <w:szCs w:val="21"/>
                <w:highlight w:val="none"/>
                <w:vertAlign w:val="baseline"/>
                <w:lang w:val="en-US" w:eastAsia="zh-CN"/>
              </w:rPr>
              <w:t>9</w:t>
            </w:r>
          </w:p>
        </w:tc>
        <w:tc>
          <w:tcPr>
            <w:tcW w:w="2203" w:type="dxa"/>
            <w:tcBorders>
              <w:tl2br w:val="nil"/>
              <w:tr2bl w:val="nil"/>
            </w:tcBorders>
            <w:shd w:val="clear" w:color="auto" w:fill="auto"/>
            <w:noWrap w:val="0"/>
            <w:vAlign w:val="center"/>
          </w:tcPr>
          <w:p w14:paraId="0BFB78A1">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cs="Times New Roman"/>
                <w:b w:val="0"/>
                <w:bCs w:val="0"/>
                <w:color w:val="auto"/>
                <w:sz w:val="21"/>
                <w:szCs w:val="21"/>
                <w:highlight w:val="none"/>
                <w:vertAlign w:val="baseline"/>
                <w:lang w:val="en-US" w:eastAsia="zh-CN"/>
              </w:rPr>
            </w:pPr>
            <w:r>
              <w:rPr>
                <w:rFonts w:hint="eastAsia" w:cs="Times New Roman"/>
                <w:b w:val="0"/>
                <w:bCs w:val="0"/>
                <w:color w:val="auto"/>
                <w:sz w:val="21"/>
                <w:szCs w:val="21"/>
                <w:highlight w:val="none"/>
                <w:vertAlign w:val="baseline"/>
                <w:lang w:val="en-US" w:eastAsia="zh-CN"/>
              </w:rPr>
              <w:t>除湿机系统9#</w:t>
            </w:r>
          </w:p>
        </w:tc>
        <w:tc>
          <w:tcPr>
            <w:tcW w:w="1039" w:type="dxa"/>
            <w:tcBorders>
              <w:tl2br w:val="nil"/>
              <w:tr2bl w:val="nil"/>
            </w:tcBorders>
            <w:shd w:val="clear" w:color="auto" w:fill="auto"/>
            <w:noWrap w:val="0"/>
            <w:vAlign w:val="center"/>
          </w:tcPr>
          <w:p w14:paraId="3EE7D0B8">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cs="Times New Roman"/>
                <w:b w:val="0"/>
                <w:bCs w:val="0"/>
                <w:color w:val="auto"/>
                <w:sz w:val="21"/>
                <w:szCs w:val="21"/>
                <w:highlight w:val="none"/>
                <w:vertAlign w:val="baseline"/>
                <w:lang w:val="en-US" w:eastAsia="zh-CN"/>
              </w:rPr>
            </w:pPr>
            <w:r>
              <w:rPr>
                <w:rFonts w:hint="eastAsia" w:cs="Times New Roman"/>
                <w:b w:val="0"/>
                <w:bCs w:val="0"/>
                <w:color w:val="auto"/>
                <w:sz w:val="21"/>
                <w:szCs w:val="21"/>
                <w:highlight w:val="none"/>
                <w:vertAlign w:val="baseline"/>
                <w:lang w:val="en-US" w:eastAsia="zh-CN"/>
              </w:rPr>
              <w:t>1</w:t>
            </w:r>
          </w:p>
        </w:tc>
        <w:tc>
          <w:tcPr>
            <w:tcW w:w="1416" w:type="dxa"/>
            <w:tcBorders>
              <w:tl2br w:val="nil"/>
              <w:tr2bl w:val="nil"/>
            </w:tcBorders>
            <w:shd w:val="clear" w:color="auto" w:fill="auto"/>
            <w:noWrap w:val="0"/>
            <w:vAlign w:val="center"/>
          </w:tcPr>
          <w:p w14:paraId="459393BC">
            <w:pPr>
              <w:widowControl/>
              <w:jc w:val="center"/>
              <w:rPr>
                <w:rFonts w:hint="eastAsia" w:ascii="Times New Roman" w:hAnsi="Times New Roman" w:eastAsia="宋体" w:cs="Times New Roman"/>
                <w:b w:val="0"/>
                <w:bCs w:val="0"/>
                <w:color w:val="auto"/>
                <w:sz w:val="21"/>
                <w:szCs w:val="21"/>
                <w:highlight w:val="none"/>
                <w:vertAlign w:val="baseline"/>
                <w:lang w:val="en-US" w:eastAsia="zh-CN"/>
              </w:rPr>
            </w:pPr>
            <w:r>
              <w:rPr>
                <w:rFonts w:hint="eastAsia" w:ascii="Times New Roman" w:hAnsi="Times New Roman" w:eastAsia="宋体" w:cs="Times New Roman"/>
                <w:b w:val="0"/>
                <w:bCs w:val="0"/>
                <w:color w:val="auto"/>
                <w:sz w:val="21"/>
                <w:szCs w:val="21"/>
                <w:highlight w:val="none"/>
                <w:vertAlign w:val="baseline"/>
                <w:lang w:val="en-US" w:eastAsia="zh-CN"/>
              </w:rPr>
              <w:t>34.55</w:t>
            </w:r>
          </w:p>
        </w:tc>
        <w:tc>
          <w:tcPr>
            <w:tcW w:w="1417" w:type="dxa"/>
            <w:tcBorders>
              <w:tl2br w:val="nil"/>
              <w:tr2bl w:val="nil"/>
            </w:tcBorders>
            <w:shd w:val="clear" w:color="auto" w:fill="auto"/>
            <w:noWrap w:val="0"/>
            <w:vAlign w:val="center"/>
          </w:tcPr>
          <w:p w14:paraId="1902CC66">
            <w:pPr>
              <w:widowControl/>
              <w:jc w:val="center"/>
              <w:rPr>
                <w:rFonts w:hint="eastAsia" w:ascii="Times New Roman" w:hAnsi="Times New Roman" w:eastAsia="宋体" w:cs="Times New Roman"/>
                <w:b w:val="0"/>
                <w:bCs w:val="0"/>
                <w:color w:val="auto"/>
                <w:sz w:val="21"/>
                <w:szCs w:val="21"/>
                <w:highlight w:val="none"/>
                <w:vertAlign w:val="baseline"/>
                <w:lang w:val="en-US" w:eastAsia="zh-CN"/>
              </w:rPr>
            </w:pPr>
            <w:r>
              <w:rPr>
                <w:rFonts w:hint="eastAsia" w:ascii="Times New Roman" w:hAnsi="Times New Roman" w:eastAsia="宋体" w:cs="Times New Roman"/>
                <w:b w:val="0"/>
                <w:bCs w:val="0"/>
                <w:color w:val="auto"/>
                <w:sz w:val="21"/>
                <w:szCs w:val="21"/>
                <w:highlight w:val="none"/>
                <w:vertAlign w:val="baseline"/>
                <w:lang w:val="en-US" w:eastAsia="zh-CN"/>
              </w:rPr>
              <w:t>9.9</w:t>
            </w:r>
          </w:p>
        </w:tc>
        <w:tc>
          <w:tcPr>
            <w:tcW w:w="1416" w:type="dxa"/>
            <w:tcBorders>
              <w:tl2br w:val="nil"/>
              <w:tr2bl w:val="nil"/>
            </w:tcBorders>
            <w:shd w:val="clear" w:color="auto" w:fill="auto"/>
            <w:noWrap w:val="0"/>
            <w:vAlign w:val="center"/>
          </w:tcPr>
          <w:p w14:paraId="7A821197">
            <w:pPr>
              <w:spacing w:line="280" w:lineRule="exact"/>
              <w:jc w:val="center"/>
              <w:rPr>
                <w:rFonts w:hint="eastAsia" w:ascii="Times New Roman" w:hAnsi="Times New Roman" w:eastAsia="宋体" w:cs="Times New Roman"/>
                <w:color w:val="auto"/>
                <w:szCs w:val="21"/>
                <w:highlight w:val="none"/>
                <w:lang w:val="en-US" w:eastAsia="zh-CN"/>
              </w:rPr>
            </w:pPr>
            <w:r>
              <w:rPr>
                <w:rFonts w:hint="eastAsia" w:cs="Times New Roman"/>
                <w:b w:val="0"/>
                <w:bCs w:val="0"/>
                <w:color w:val="auto"/>
                <w:sz w:val="21"/>
                <w:szCs w:val="21"/>
                <w:highlight w:val="none"/>
                <w:vertAlign w:val="baseline"/>
                <w:lang w:val="en-US" w:eastAsia="zh-CN"/>
              </w:rPr>
              <w:t>1.3</w:t>
            </w:r>
          </w:p>
        </w:tc>
        <w:tc>
          <w:tcPr>
            <w:tcW w:w="1269" w:type="dxa"/>
            <w:tcBorders>
              <w:tl2br w:val="nil"/>
              <w:tr2bl w:val="nil"/>
            </w:tcBorders>
            <w:shd w:val="clear" w:color="auto" w:fill="auto"/>
            <w:noWrap w:val="0"/>
            <w:vAlign w:val="center"/>
          </w:tcPr>
          <w:p w14:paraId="0D169EA9">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Times New Roman" w:hAnsi="Times New Roman" w:eastAsia="宋体" w:cs="Times New Roman"/>
                <w:b w:val="0"/>
                <w:bCs w:val="0"/>
                <w:color w:val="auto"/>
                <w:sz w:val="21"/>
                <w:szCs w:val="21"/>
                <w:highlight w:val="none"/>
                <w:vertAlign w:val="baseline"/>
                <w:lang w:val="en-US" w:eastAsia="zh-CN"/>
              </w:rPr>
            </w:pPr>
            <w:r>
              <w:rPr>
                <w:rFonts w:hint="eastAsia" w:ascii="Times New Roman" w:hAnsi="Times New Roman" w:eastAsia="宋体" w:cs="Times New Roman"/>
                <w:b w:val="0"/>
                <w:bCs w:val="0"/>
                <w:color w:val="auto"/>
                <w:sz w:val="21"/>
                <w:szCs w:val="21"/>
                <w:highlight w:val="none"/>
                <w:vertAlign w:val="baseline"/>
                <w:lang w:val="en-US" w:eastAsia="zh-CN"/>
              </w:rPr>
              <w:t>60</w:t>
            </w:r>
          </w:p>
        </w:tc>
        <w:tc>
          <w:tcPr>
            <w:tcW w:w="2033" w:type="dxa"/>
            <w:vMerge w:val="continue"/>
            <w:tcBorders>
              <w:tl2br w:val="nil"/>
              <w:tr2bl w:val="nil"/>
            </w:tcBorders>
            <w:shd w:val="clear" w:color="auto" w:fill="auto"/>
            <w:noWrap w:val="0"/>
            <w:vAlign w:val="center"/>
          </w:tcPr>
          <w:p w14:paraId="04640003">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Times New Roman" w:hAnsi="Times New Roman" w:eastAsia="宋体" w:cs="Times New Roman"/>
                <w:b w:val="0"/>
                <w:bCs w:val="0"/>
                <w:color w:val="auto"/>
                <w:sz w:val="21"/>
                <w:szCs w:val="21"/>
                <w:highlight w:val="none"/>
                <w:vertAlign w:val="baseline"/>
                <w:lang w:val="en-US" w:eastAsia="zh-CN"/>
              </w:rPr>
            </w:pPr>
          </w:p>
        </w:tc>
        <w:tc>
          <w:tcPr>
            <w:tcW w:w="1395" w:type="dxa"/>
            <w:vMerge w:val="continue"/>
            <w:tcBorders>
              <w:tl2br w:val="nil"/>
              <w:tr2bl w:val="nil"/>
            </w:tcBorders>
            <w:shd w:val="clear" w:color="auto" w:fill="auto"/>
            <w:noWrap w:val="0"/>
            <w:vAlign w:val="center"/>
          </w:tcPr>
          <w:p w14:paraId="2E673D3A">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Times New Roman" w:hAnsi="Times New Roman" w:cs="Times New Roman"/>
                <w:b w:val="0"/>
                <w:bCs w:val="0"/>
                <w:color w:val="auto"/>
                <w:sz w:val="21"/>
                <w:szCs w:val="21"/>
                <w:highlight w:val="none"/>
                <w:vertAlign w:val="baseline"/>
                <w:lang w:val="en-US" w:eastAsia="zh-CN"/>
              </w:rPr>
            </w:pPr>
          </w:p>
        </w:tc>
      </w:tr>
      <w:tr w14:paraId="053FA80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24" w:hRule="atLeast"/>
          <w:jc w:val="center"/>
        </w:trPr>
        <w:tc>
          <w:tcPr>
            <w:tcW w:w="1023" w:type="dxa"/>
            <w:tcBorders>
              <w:tl2br w:val="nil"/>
              <w:tr2bl w:val="nil"/>
            </w:tcBorders>
            <w:shd w:val="clear" w:color="auto" w:fill="auto"/>
            <w:noWrap w:val="0"/>
            <w:vAlign w:val="center"/>
          </w:tcPr>
          <w:p w14:paraId="3E6CD731">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r>
              <w:rPr>
                <w:rFonts w:hint="eastAsia" w:cs="Times New Roman"/>
                <w:b w:val="0"/>
                <w:bCs w:val="0"/>
                <w:color w:val="auto"/>
                <w:sz w:val="21"/>
                <w:szCs w:val="21"/>
                <w:highlight w:val="none"/>
                <w:vertAlign w:val="baseline"/>
                <w:lang w:val="en-US" w:eastAsia="zh-CN"/>
              </w:rPr>
              <w:t>10</w:t>
            </w:r>
          </w:p>
        </w:tc>
        <w:tc>
          <w:tcPr>
            <w:tcW w:w="2203" w:type="dxa"/>
            <w:tcBorders>
              <w:tl2br w:val="nil"/>
              <w:tr2bl w:val="nil"/>
            </w:tcBorders>
            <w:shd w:val="clear" w:color="auto" w:fill="auto"/>
            <w:noWrap w:val="0"/>
            <w:vAlign w:val="center"/>
          </w:tcPr>
          <w:p w14:paraId="0BBDFF86">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cs="Times New Roman"/>
                <w:b w:val="0"/>
                <w:bCs w:val="0"/>
                <w:color w:val="auto"/>
                <w:sz w:val="21"/>
                <w:szCs w:val="21"/>
                <w:highlight w:val="none"/>
                <w:vertAlign w:val="baseline"/>
                <w:lang w:val="en-US" w:eastAsia="zh-CN"/>
              </w:rPr>
            </w:pPr>
            <w:r>
              <w:rPr>
                <w:rFonts w:hint="eastAsia" w:cs="Times New Roman"/>
                <w:b w:val="0"/>
                <w:bCs w:val="0"/>
                <w:color w:val="auto"/>
                <w:sz w:val="21"/>
                <w:szCs w:val="21"/>
                <w:highlight w:val="none"/>
                <w:vertAlign w:val="baseline"/>
                <w:lang w:val="en-US" w:eastAsia="zh-CN"/>
              </w:rPr>
              <w:t>除湿机系统10#</w:t>
            </w:r>
          </w:p>
        </w:tc>
        <w:tc>
          <w:tcPr>
            <w:tcW w:w="1039" w:type="dxa"/>
            <w:tcBorders>
              <w:tl2br w:val="nil"/>
              <w:tr2bl w:val="nil"/>
            </w:tcBorders>
            <w:shd w:val="clear" w:color="auto" w:fill="auto"/>
            <w:noWrap w:val="0"/>
            <w:vAlign w:val="center"/>
          </w:tcPr>
          <w:p w14:paraId="1DA30973">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cs="Times New Roman"/>
                <w:b w:val="0"/>
                <w:bCs w:val="0"/>
                <w:color w:val="auto"/>
                <w:sz w:val="21"/>
                <w:szCs w:val="21"/>
                <w:highlight w:val="none"/>
                <w:vertAlign w:val="baseline"/>
                <w:lang w:val="en-US" w:eastAsia="zh-CN"/>
              </w:rPr>
            </w:pPr>
            <w:r>
              <w:rPr>
                <w:rFonts w:hint="eastAsia" w:cs="Times New Roman"/>
                <w:b w:val="0"/>
                <w:bCs w:val="0"/>
                <w:color w:val="auto"/>
                <w:sz w:val="21"/>
                <w:szCs w:val="21"/>
                <w:highlight w:val="none"/>
                <w:vertAlign w:val="baseline"/>
                <w:lang w:val="en-US" w:eastAsia="zh-CN"/>
              </w:rPr>
              <w:t>1</w:t>
            </w:r>
          </w:p>
        </w:tc>
        <w:tc>
          <w:tcPr>
            <w:tcW w:w="1416" w:type="dxa"/>
            <w:tcBorders>
              <w:tl2br w:val="nil"/>
              <w:tr2bl w:val="nil"/>
            </w:tcBorders>
            <w:shd w:val="clear" w:color="auto" w:fill="auto"/>
            <w:noWrap w:val="0"/>
            <w:vAlign w:val="center"/>
          </w:tcPr>
          <w:p w14:paraId="6FF9F1FE">
            <w:pPr>
              <w:widowControl/>
              <w:jc w:val="center"/>
              <w:rPr>
                <w:rFonts w:hint="eastAsia" w:ascii="Times New Roman" w:hAnsi="Times New Roman" w:eastAsia="宋体" w:cs="Times New Roman"/>
                <w:b w:val="0"/>
                <w:bCs w:val="0"/>
                <w:color w:val="auto"/>
                <w:sz w:val="21"/>
                <w:szCs w:val="21"/>
                <w:highlight w:val="none"/>
                <w:vertAlign w:val="baseline"/>
                <w:lang w:val="en-US" w:eastAsia="zh-CN"/>
              </w:rPr>
            </w:pPr>
            <w:r>
              <w:rPr>
                <w:rFonts w:hint="eastAsia" w:ascii="Times New Roman" w:hAnsi="Times New Roman" w:eastAsia="宋体" w:cs="Times New Roman"/>
                <w:b w:val="0"/>
                <w:bCs w:val="0"/>
                <w:color w:val="auto"/>
                <w:sz w:val="21"/>
                <w:szCs w:val="21"/>
                <w:highlight w:val="none"/>
                <w:vertAlign w:val="baseline"/>
                <w:lang w:val="en-US" w:eastAsia="zh-CN"/>
              </w:rPr>
              <w:t>35.89</w:t>
            </w:r>
          </w:p>
        </w:tc>
        <w:tc>
          <w:tcPr>
            <w:tcW w:w="1417" w:type="dxa"/>
            <w:tcBorders>
              <w:tl2br w:val="nil"/>
              <w:tr2bl w:val="nil"/>
            </w:tcBorders>
            <w:shd w:val="clear" w:color="auto" w:fill="auto"/>
            <w:noWrap w:val="0"/>
            <w:vAlign w:val="center"/>
          </w:tcPr>
          <w:p w14:paraId="77D68E74">
            <w:pPr>
              <w:widowControl/>
              <w:jc w:val="center"/>
              <w:rPr>
                <w:rFonts w:hint="eastAsia" w:ascii="Times New Roman" w:hAnsi="Times New Roman" w:eastAsia="宋体" w:cs="Times New Roman"/>
                <w:b w:val="0"/>
                <w:bCs w:val="0"/>
                <w:color w:val="auto"/>
                <w:sz w:val="21"/>
                <w:szCs w:val="21"/>
                <w:highlight w:val="none"/>
                <w:vertAlign w:val="baseline"/>
                <w:lang w:val="en-US" w:eastAsia="zh-CN"/>
              </w:rPr>
            </w:pPr>
            <w:r>
              <w:rPr>
                <w:rFonts w:hint="eastAsia" w:ascii="Times New Roman" w:hAnsi="Times New Roman" w:eastAsia="宋体" w:cs="Times New Roman"/>
                <w:b w:val="0"/>
                <w:bCs w:val="0"/>
                <w:color w:val="auto"/>
                <w:sz w:val="21"/>
                <w:szCs w:val="21"/>
                <w:highlight w:val="none"/>
                <w:vertAlign w:val="baseline"/>
                <w:lang w:val="en-US" w:eastAsia="zh-CN"/>
              </w:rPr>
              <w:t>10.29</w:t>
            </w:r>
          </w:p>
        </w:tc>
        <w:tc>
          <w:tcPr>
            <w:tcW w:w="1416" w:type="dxa"/>
            <w:tcBorders>
              <w:tl2br w:val="nil"/>
              <w:tr2bl w:val="nil"/>
            </w:tcBorders>
            <w:shd w:val="clear" w:color="auto" w:fill="auto"/>
            <w:noWrap w:val="0"/>
            <w:vAlign w:val="center"/>
          </w:tcPr>
          <w:p w14:paraId="31FD3253">
            <w:pPr>
              <w:spacing w:line="280" w:lineRule="exact"/>
              <w:jc w:val="center"/>
              <w:rPr>
                <w:rFonts w:hint="eastAsia" w:ascii="Times New Roman" w:hAnsi="Times New Roman" w:eastAsia="宋体" w:cs="Times New Roman"/>
                <w:color w:val="auto"/>
                <w:szCs w:val="21"/>
                <w:highlight w:val="none"/>
                <w:lang w:val="en-US" w:eastAsia="zh-CN"/>
              </w:rPr>
            </w:pPr>
            <w:r>
              <w:rPr>
                <w:rFonts w:hint="eastAsia" w:cs="Times New Roman"/>
                <w:b w:val="0"/>
                <w:bCs w:val="0"/>
                <w:color w:val="auto"/>
                <w:sz w:val="21"/>
                <w:szCs w:val="21"/>
                <w:highlight w:val="none"/>
                <w:vertAlign w:val="baseline"/>
                <w:lang w:val="en-US" w:eastAsia="zh-CN"/>
              </w:rPr>
              <w:t>1.3</w:t>
            </w:r>
          </w:p>
        </w:tc>
        <w:tc>
          <w:tcPr>
            <w:tcW w:w="1269" w:type="dxa"/>
            <w:tcBorders>
              <w:tl2br w:val="nil"/>
              <w:tr2bl w:val="nil"/>
            </w:tcBorders>
            <w:shd w:val="clear" w:color="auto" w:fill="auto"/>
            <w:noWrap w:val="0"/>
            <w:vAlign w:val="center"/>
          </w:tcPr>
          <w:p w14:paraId="4708DB95">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Times New Roman" w:hAnsi="Times New Roman" w:eastAsia="宋体" w:cs="Times New Roman"/>
                <w:b w:val="0"/>
                <w:bCs w:val="0"/>
                <w:color w:val="auto"/>
                <w:sz w:val="21"/>
                <w:szCs w:val="21"/>
                <w:highlight w:val="none"/>
                <w:vertAlign w:val="baseline"/>
                <w:lang w:val="en-US" w:eastAsia="zh-CN"/>
              </w:rPr>
            </w:pPr>
            <w:r>
              <w:rPr>
                <w:rFonts w:hint="eastAsia" w:ascii="Times New Roman" w:hAnsi="Times New Roman" w:eastAsia="宋体" w:cs="Times New Roman"/>
                <w:b w:val="0"/>
                <w:bCs w:val="0"/>
                <w:color w:val="auto"/>
                <w:sz w:val="21"/>
                <w:szCs w:val="21"/>
                <w:highlight w:val="none"/>
                <w:vertAlign w:val="baseline"/>
                <w:lang w:val="en-US" w:eastAsia="zh-CN"/>
              </w:rPr>
              <w:t>60</w:t>
            </w:r>
          </w:p>
        </w:tc>
        <w:tc>
          <w:tcPr>
            <w:tcW w:w="2033" w:type="dxa"/>
            <w:vMerge w:val="continue"/>
            <w:tcBorders>
              <w:tl2br w:val="nil"/>
              <w:tr2bl w:val="nil"/>
            </w:tcBorders>
            <w:shd w:val="clear" w:color="auto" w:fill="auto"/>
            <w:noWrap w:val="0"/>
            <w:vAlign w:val="center"/>
          </w:tcPr>
          <w:p w14:paraId="7A27FFE6">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Times New Roman" w:hAnsi="Times New Roman" w:eastAsia="宋体" w:cs="Times New Roman"/>
                <w:b w:val="0"/>
                <w:bCs w:val="0"/>
                <w:color w:val="auto"/>
                <w:sz w:val="21"/>
                <w:szCs w:val="21"/>
                <w:highlight w:val="none"/>
                <w:vertAlign w:val="baseline"/>
                <w:lang w:val="en-US" w:eastAsia="zh-CN"/>
              </w:rPr>
            </w:pPr>
          </w:p>
        </w:tc>
        <w:tc>
          <w:tcPr>
            <w:tcW w:w="1395" w:type="dxa"/>
            <w:vMerge w:val="continue"/>
            <w:tcBorders>
              <w:tl2br w:val="nil"/>
              <w:tr2bl w:val="nil"/>
            </w:tcBorders>
            <w:shd w:val="clear" w:color="auto" w:fill="auto"/>
            <w:noWrap w:val="0"/>
            <w:vAlign w:val="center"/>
          </w:tcPr>
          <w:p w14:paraId="6F367C5E">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Times New Roman" w:hAnsi="Times New Roman" w:cs="Times New Roman"/>
                <w:b w:val="0"/>
                <w:bCs w:val="0"/>
                <w:color w:val="auto"/>
                <w:sz w:val="21"/>
                <w:szCs w:val="21"/>
                <w:highlight w:val="none"/>
                <w:vertAlign w:val="baseline"/>
                <w:lang w:val="en-US" w:eastAsia="zh-CN"/>
              </w:rPr>
            </w:pPr>
          </w:p>
        </w:tc>
      </w:tr>
      <w:tr w14:paraId="494CEE2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24" w:hRule="atLeast"/>
          <w:jc w:val="center"/>
        </w:trPr>
        <w:tc>
          <w:tcPr>
            <w:tcW w:w="1023" w:type="dxa"/>
            <w:tcBorders>
              <w:tl2br w:val="nil"/>
              <w:tr2bl w:val="nil"/>
            </w:tcBorders>
            <w:shd w:val="clear" w:color="auto" w:fill="auto"/>
            <w:noWrap w:val="0"/>
            <w:vAlign w:val="center"/>
          </w:tcPr>
          <w:p w14:paraId="07BA8D11">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r>
              <w:rPr>
                <w:rFonts w:hint="eastAsia" w:cs="Times New Roman"/>
                <w:b w:val="0"/>
                <w:bCs w:val="0"/>
                <w:color w:val="auto"/>
                <w:sz w:val="21"/>
                <w:szCs w:val="21"/>
                <w:highlight w:val="none"/>
                <w:vertAlign w:val="baseline"/>
                <w:lang w:val="en-US" w:eastAsia="zh-CN"/>
              </w:rPr>
              <w:t>11</w:t>
            </w:r>
          </w:p>
        </w:tc>
        <w:tc>
          <w:tcPr>
            <w:tcW w:w="2203" w:type="dxa"/>
            <w:tcBorders>
              <w:tl2br w:val="nil"/>
              <w:tr2bl w:val="nil"/>
            </w:tcBorders>
            <w:shd w:val="clear" w:color="auto" w:fill="auto"/>
            <w:noWrap w:val="0"/>
            <w:vAlign w:val="center"/>
          </w:tcPr>
          <w:p w14:paraId="433D856C">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cs="Times New Roman"/>
                <w:b w:val="0"/>
                <w:bCs w:val="0"/>
                <w:color w:val="auto"/>
                <w:sz w:val="21"/>
                <w:szCs w:val="21"/>
                <w:highlight w:val="none"/>
                <w:vertAlign w:val="baseline"/>
                <w:lang w:val="en-US" w:eastAsia="zh-CN"/>
              </w:rPr>
            </w:pPr>
            <w:r>
              <w:rPr>
                <w:rFonts w:hint="eastAsia" w:cs="Times New Roman"/>
                <w:b w:val="0"/>
                <w:bCs w:val="0"/>
                <w:color w:val="auto"/>
                <w:sz w:val="21"/>
                <w:szCs w:val="21"/>
                <w:highlight w:val="none"/>
                <w:vertAlign w:val="baseline"/>
                <w:lang w:val="en-US" w:eastAsia="zh-CN"/>
              </w:rPr>
              <w:t>除湿机系统11#</w:t>
            </w:r>
          </w:p>
        </w:tc>
        <w:tc>
          <w:tcPr>
            <w:tcW w:w="1039" w:type="dxa"/>
            <w:tcBorders>
              <w:tl2br w:val="nil"/>
              <w:tr2bl w:val="nil"/>
            </w:tcBorders>
            <w:shd w:val="clear" w:color="auto" w:fill="auto"/>
            <w:noWrap w:val="0"/>
            <w:vAlign w:val="center"/>
          </w:tcPr>
          <w:p w14:paraId="0B26B4C4">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cs="Times New Roman"/>
                <w:b w:val="0"/>
                <w:bCs w:val="0"/>
                <w:color w:val="auto"/>
                <w:sz w:val="21"/>
                <w:szCs w:val="21"/>
                <w:highlight w:val="none"/>
                <w:vertAlign w:val="baseline"/>
                <w:lang w:val="en-US" w:eastAsia="zh-CN"/>
              </w:rPr>
            </w:pPr>
            <w:r>
              <w:rPr>
                <w:rFonts w:hint="eastAsia" w:cs="Times New Roman"/>
                <w:b w:val="0"/>
                <w:bCs w:val="0"/>
                <w:color w:val="auto"/>
                <w:sz w:val="21"/>
                <w:szCs w:val="21"/>
                <w:highlight w:val="none"/>
                <w:vertAlign w:val="baseline"/>
                <w:lang w:val="en-US" w:eastAsia="zh-CN"/>
              </w:rPr>
              <w:t>1</w:t>
            </w:r>
          </w:p>
        </w:tc>
        <w:tc>
          <w:tcPr>
            <w:tcW w:w="1416" w:type="dxa"/>
            <w:tcBorders>
              <w:tl2br w:val="nil"/>
              <w:tr2bl w:val="nil"/>
            </w:tcBorders>
            <w:shd w:val="clear" w:color="auto" w:fill="auto"/>
            <w:noWrap w:val="0"/>
            <w:vAlign w:val="center"/>
          </w:tcPr>
          <w:p w14:paraId="20C43BDA">
            <w:pPr>
              <w:widowControl/>
              <w:jc w:val="center"/>
              <w:rPr>
                <w:rFonts w:hint="eastAsia" w:ascii="Times New Roman" w:hAnsi="Times New Roman" w:eastAsia="宋体" w:cs="Times New Roman"/>
                <w:b w:val="0"/>
                <w:bCs w:val="0"/>
                <w:color w:val="auto"/>
                <w:sz w:val="21"/>
                <w:szCs w:val="21"/>
                <w:highlight w:val="none"/>
                <w:vertAlign w:val="baseline"/>
                <w:lang w:val="en-US" w:eastAsia="zh-CN"/>
              </w:rPr>
            </w:pPr>
            <w:r>
              <w:rPr>
                <w:rFonts w:hint="eastAsia" w:ascii="Times New Roman" w:hAnsi="Times New Roman" w:eastAsia="宋体" w:cs="Times New Roman"/>
                <w:b w:val="0"/>
                <w:bCs w:val="0"/>
                <w:color w:val="auto"/>
                <w:sz w:val="21"/>
                <w:szCs w:val="21"/>
                <w:highlight w:val="none"/>
                <w:vertAlign w:val="baseline"/>
                <w:lang w:val="en-US" w:eastAsia="zh-CN"/>
              </w:rPr>
              <w:t>36.85</w:t>
            </w:r>
          </w:p>
        </w:tc>
        <w:tc>
          <w:tcPr>
            <w:tcW w:w="1417" w:type="dxa"/>
            <w:tcBorders>
              <w:tl2br w:val="nil"/>
              <w:tr2bl w:val="nil"/>
            </w:tcBorders>
            <w:shd w:val="clear" w:color="auto" w:fill="auto"/>
            <w:noWrap w:val="0"/>
            <w:vAlign w:val="center"/>
          </w:tcPr>
          <w:p w14:paraId="21AA5AEB">
            <w:pPr>
              <w:widowControl/>
              <w:jc w:val="center"/>
              <w:rPr>
                <w:rFonts w:hint="eastAsia" w:ascii="Times New Roman" w:hAnsi="Times New Roman" w:eastAsia="宋体" w:cs="Times New Roman"/>
                <w:b w:val="0"/>
                <w:bCs w:val="0"/>
                <w:color w:val="auto"/>
                <w:sz w:val="21"/>
                <w:szCs w:val="21"/>
                <w:highlight w:val="none"/>
                <w:vertAlign w:val="baseline"/>
                <w:lang w:val="en-US" w:eastAsia="zh-CN"/>
              </w:rPr>
            </w:pPr>
            <w:r>
              <w:rPr>
                <w:rFonts w:hint="eastAsia" w:ascii="Times New Roman" w:hAnsi="Times New Roman" w:eastAsia="宋体" w:cs="Times New Roman"/>
                <w:b w:val="0"/>
                <w:bCs w:val="0"/>
                <w:color w:val="auto"/>
                <w:sz w:val="21"/>
                <w:szCs w:val="21"/>
                <w:highlight w:val="none"/>
                <w:vertAlign w:val="baseline"/>
                <w:lang w:val="en-US" w:eastAsia="zh-CN"/>
              </w:rPr>
              <w:t>10.77</w:t>
            </w:r>
          </w:p>
        </w:tc>
        <w:tc>
          <w:tcPr>
            <w:tcW w:w="1416" w:type="dxa"/>
            <w:tcBorders>
              <w:tl2br w:val="nil"/>
              <w:tr2bl w:val="nil"/>
            </w:tcBorders>
            <w:shd w:val="clear" w:color="auto" w:fill="auto"/>
            <w:noWrap w:val="0"/>
            <w:vAlign w:val="center"/>
          </w:tcPr>
          <w:p w14:paraId="23401896">
            <w:pPr>
              <w:spacing w:line="280" w:lineRule="exact"/>
              <w:jc w:val="center"/>
              <w:rPr>
                <w:rFonts w:hint="eastAsia" w:ascii="Times New Roman" w:hAnsi="Times New Roman" w:eastAsia="宋体" w:cs="Times New Roman"/>
                <w:color w:val="auto"/>
                <w:szCs w:val="21"/>
                <w:highlight w:val="none"/>
                <w:lang w:val="en-US" w:eastAsia="zh-CN"/>
              </w:rPr>
            </w:pPr>
            <w:r>
              <w:rPr>
                <w:rFonts w:hint="eastAsia" w:cs="Times New Roman"/>
                <w:b w:val="0"/>
                <w:bCs w:val="0"/>
                <w:color w:val="auto"/>
                <w:sz w:val="21"/>
                <w:szCs w:val="21"/>
                <w:highlight w:val="none"/>
                <w:vertAlign w:val="baseline"/>
                <w:lang w:val="en-US" w:eastAsia="zh-CN"/>
              </w:rPr>
              <w:t>1.3</w:t>
            </w:r>
          </w:p>
        </w:tc>
        <w:tc>
          <w:tcPr>
            <w:tcW w:w="1269" w:type="dxa"/>
            <w:tcBorders>
              <w:tl2br w:val="nil"/>
              <w:tr2bl w:val="nil"/>
            </w:tcBorders>
            <w:shd w:val="clear" w:color="auto" w:fill="auto"/>
            <w:noWrap w:val="0"/>
            <w:vAlign w:val="center"/>
          </w:tcPr>
          <w:p w14:paraId="1ED49735">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Times New Roman" w:hAnsi="Times New Roman" w:eastAsia="宋体" w:cs="Times New Roman"/>
                <w:b w:val="0"/>
                <w:bCs w:val="0"/>
                <w:color w:val="auto"/>
                <w:sz w:val="21"/>
                <w:szCs w:val="21"/>
                <w:highlight w:val="none"/>
                <w:vertAlign w:val="baseline"/>
                <w:lang w:val="en-US" w:eastAsia="zh-CN"/>
              </w:rPr>
            </w:pPr>
            <w:r>
              <w:rPr>
                <w:rFonts w:hint="eastAsia" w:ascii="Times New Roman" w:hAnsi="Times New Roman" w:eastAsia="宋体" w:cs="Times New Roman"/>
                <w:b w:val="0"/>
                <w:bCs w:val="0"/>
                <w:color w:val="auto"/>
                <w:sz w:val="21"/>
                <w:szCs w:val="21"/>
                <w:highlight w:val="none"/>
                <w:vertAlign w:val="baseline"/>
                <w:lang w:val="en-US" w:eastAsia="zh-CN"/>
              </w:rPr>
              <w:t>60</w:t>
            </w:r>
          </w:p>
        </w:tc>
        <w:tc>
          <w:tcPr>
            <w:tcW w:w="2033" w:type="dxa"/>
            <w:vMerge w:val="continue"/>
            <w:tcBorders>
              <w:tl2br w:val="nil"/>
              <w:tr2bl w:val="nil"/>
            </w:tcBorders>
            <w:shd w:val="clear" w:color="auto" w:fill="auto"/>
            <w:noWrap w:val="0"/>
            <w:vAlign w:val="center"/>
          </w:tcPr>
          <w:p w14:paraId="24BC60CE">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Times New Roman" w:hAnsi="Times New Roman" w:eastAsia="宋体" w:cs="Times New Roman"/>
                <w:b w:val="0"/>
                <w:bCs w:val="0"/>
                <w:color w:val="auto"/>
                <w:sz w:val="21"/>
                <w:szCs w:val="21"/>
                <w:highlight w:val="none"/>
                <w:vertAlign w:val="baseline"/>
                <w:lang w:val="en-US" w:eastAsia="zh-CN"/>
              </w:rPr>
            </w:pPr>
          </w:p>
        </w:tc>
        <w:tc>
          <w:tcPr>
            <w:tcW w:w="1395" w:type="dxa"/>
            <w:vMerge w:val="continue"/>
            <w:tcBorders>
              <w:tl2br w:val="nil"/>
              <w:tr2bl w:val="nil"/>
            </w:tcBorders>
            <w:shd w:val="clear" w:color="auto" w:fill="auto"/>
            <w:noWrap w:val="0"/>
            <w:vAlign w:val="center"/>
          </w:tcPr>
          <w:p w14:paraId="19D9DCBF">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Times New Roman" w:hAnsi="Times New Roman" w:cs="Times New Roman"/>
                <w:b w:val="0"/>
                <w:bCs w:val="0"/>
                <w:color w:val="auto"/>
                <w:sz w:val="21"/>
                <w:szCs w:val="21"/>
                <w:highlight w:val="none"/>
                <w:vertAlign w:val="baseline"/>
                <w:lang w:val="en-US" w:eastAsia="zh-CN"/>
              </w:rPr>
            </w:pPr>
          </w:p>
        </w:tc>
      </w:tr>
      <w:tr w14:paraId="296D299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47" w:hRule="atLeast"/>
          <w:jc w:val="center"/>
        </w:trPr>
        <w:tc>
          <w:tcPr>
            <w:tcW w:w="1023" w:type="dxa"/>
            <w:tcBorders>
              <w:tl2br w:val="nil"/>
              <w:tr2bl w:val="nil"/>
            </w:tcBorders>
            <w:shd w:val="clear" w:color="auto" w:fill="auto"/>
            <w:noWrap w:val="0"/>
            <w:vAlign w:val="center"/>
          </w:tcPr>
          <w:p w14:paraId="39669097">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r>
              <w:rPr>
                <w:rFonts w:hint="eastAsia" w:cs="Times New Roman"/>
                <w:b w:val="0"/>
                <w:bCs w:val="0"/>
                <w:color w:val="auto"/>
                <w:sz w:val="21"/>
                <w:szCs w:val="21"/>
                <w:highlight w:val="none"/>
                <w:vertAlign w:val="baseline"/>
                <w:lang w:val="en-US" w:eastAsia="zh-CN"/>
              </w:rPr>
              <w:t>12</w:t>
            </w:r>
          </w:p>
        </w:tc>
        <w:tc>
          <w:tcPr>
            <w:tcW w:w="2203" w:type="dxa"/>
            <w:tcBorders>
              <w:tl2br w:val="nil"/>
              <w:tr2bl w:val="nil"/>
            </w:tcBorders>
            <w:shd w:val="clear" w:color="auto" w:fill="auto"/>
            <w:noWrap w:val="0"/>
            <w:vAlign w:val="center"/>
          </w:tcPr>
          <w:p w14:paraId="700A8E1E">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cs="Times New Roman"/>
                <w:b w:val="0"/>
                <w:bCs w:val="0"/>
                <w:color w:val="auto"/>
                <w:sz w:val="21"/>
                <w:szCs w:val="21"/>
                <w:highlight w:val="none"/>
                <w:vertAlign w:val="baseline"/>
                <w:lang w:val="en-US" w:eastAsia="zh-CN"/>
              </w:rPr>
            </w:pPr>
            <w:r>
              <w:rPr>
                <w:rFonts w:hint="eastAsia" w:cs="Times New Roman"/>
                <w:b w:val="0"/>
                <w:bCs w:val="0"/>
                <w:color w:val="auto"/>
                <w:sz w:val="21"/>
                <w:szCs w:val="21"/>
                <w:highlight w:val="none"/>
                <w:vertAlign w:val="baseline"/>
                <w:lang w:val="en-US" w:eastAsia="zh-CN"/>
              </w:rPr>
              <w:t>除湿机系统12#</w:t>
            </w:r>
          </w:p>
        </w:tc>
        <w:tc>
          <w:tcPr>
            <w:tcW w:w="1039" w:type="dxa"/>
            <w:tcBorders>
              <w:tl2br w:val="nil"/>
              <w:tr2bl w:val="nil"/>
            </w:tcBorders>
            <w:shd w:val="clear" w:color="auto" w:fill="auto"/>
            <w:noWrap w:val="0"/>
            <w:vAlign w:val="center"/>
          </w:tcPr>
          <w:p w14:paraId="16B46A73">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cs="Times New Roman"/>
                <w:b w:val="0"/>
                <w:bCs w:val="0"/>
                <w:color w:val="auto"/>
                <w:sz w:val="21"/>
                <w:szCs w:val="21"/>
                <w:highlight w:val="none"/>
                <w:vertAlign w:val="baseline"/>
                <w:lang w:val="en-US" w:eastAsia="zh-CN"/>
              </w:rPr>
            </w:pPr>
            <w:r>
              <w:rPr>
                <w:rFonts w:hint="eastAsia" w:cs="Times New Roman"/>
                <w:b w:val="0"/>
                <w:bCs w:val="0"/>
                <w:color w:val="auto"/>
                <w:sz w:val="21"/>
                <w:szCs w:val="21"/>
                <w:highlight w:val="none"/>
                <w:vertAlign w:val="baseline"/>
                <w:lang w:val="en-US" w:eastAsia="zh-CN"/>
              </w:rPr>
              <w:t>1</w:t>
            </w:r>
          </w:p>
        </w:tc>
        <w:tc>
          <w:tcPr>
            <w:tcW w:w="1416" w:type="dxa"/>
            <w:tcBorders>
              <w:tl2br w:val="nil"/>
              <w:tr2bl w:val="nil"/>
            </w:tcBorders>
            <w:shd w:val="clear" w:color="auto" w:fill="auto"/>
            <w:noWrap w:val="0"/>
            <w:vAlign w:val="center"/>
          </w:tcPr>
          <w:p w14:paraId="0ADF458A">
            <w:pPr>
              <w:widowControl/>
              <w:jc w:val="center"/>
              <w:rPr>
                <w:rFonts w:hint="eastAsia" w:ascii="Times New Roman" w:hAnsi="Times New Roman" w:eastAsia="宋体" w:cs="Times New Roman"/>
                <w:b w:val="0"/>
                <w:bCs w:val="0"/>
                <w:color w:val="auto"/>
                <w:sz w:val="21"/>
                <w:szCs w:val="21"/>
                <w:highlight w:val="none"/>
                <w:vertAlign w:val="baseline"/>
                <w:lang w:val="en-US" w:eastAsia="zh-CN"/>
              </w:rPr>
            </w:pPr>
            <w:r>
              <w:rPr>
                <w:rFonts w:hint="eastAsia" w:ascii="Times New Roman" w:hAnsi="Times New Roman" w:eastAsia="宋体" w:cs="Times New Roman"/>
                <w:b w:val="0"/>
                <w:bCs w:val="0"/>
                <w:color w:val="auto"/>
                <w:sz w:val="21"/>
                <w:szCs w:val="21"/>
                <w:highlight w:val="none"/>
                <w:vertAlign w:val="baseline"/>
                <w:lang w:val="en-US" w:eastAsia="zh-CN"/>
              </w:rPr>
              <w:t>37.72</w:t>
            </w:r>
          </w:p>
        </w:tc>
        <w:tc>
          <w:tcPr>
            <w:tcW w:w="1417" w:type="dxa"/>
            <w:tcBorders>
              <w:tl2br w:val="nil"/>
              <w:tr2bl w:val="nil"/>
            </w:tcBorders>
            <w:shd w:val="clear" w:color="auto" w:fill="auto"/>
            <w:noWrap w:val="0"/>
            <w:vAlign w:val="center"/>
          </w:tcPr>
          <w:p w14:paraId="58A04363">
            <w:pPr>
              <w:widowControl/>
              <w:jc w:val="center"/>
              <w:rPr>
                <w:rFonts w:hint="eastAsia" w:ascii="Times New Roman" w:hAnsi="Times New Roman" w:eastAsia="宋体" w:cs="Times New Roman"/>
                <w:b w:val="0"/>
                <w:bCs w:val="0"/>
                <w:color w:val="auto"/>
                <w:sz w:val="21"/>
                <w:szCs w:val="21"/>
                <w:highlight w:val="none"/>
                <w:vertAlign w:val="baseline"/>
                <w:lang w:val="en-US" w:eastAsia="zh-CN"/>
              </w:rPr>
            </w:pPr>
            <w:r>
              <w:rPr>
                <w:rFonts w:hint="eastAsia" w:ascii="Times New Roman" w:hAnsi="Times New Roman" w:eastAsia="宋体" w:cs="Times New Roman"/>
                <w:b w:val="0"/>
                <w:bCs w:val="0"/>
                <w:color w:val="auto"/>
                <w:sz w:val="21"/>
                <w:szCs w:val="21"/>
                <w:highlight w:val="none"/>
                <w:vertAlign w:val="baseline"/>
                <w:lang w:val="en-US" w:eastAsia="zh-CN"/>
              </w:rPr>
              <w:t>10.96</w:t>
            </w:r>
          </w:p>
        </w:tc>
        <w:tc>
          <w:tcPr>
            <w:tcW w:w="1416" w:type="dxa"/>
            <w:tcBorders>
              <w:tl2br w:val="nil"/>
              <w:tr2bl w:val="nil"/>
            </w:tcBorders>
            <w:shd w:val="clear" w:color="auto" w:fill="auto"/>
            <w:noWrap w:val="0"/>
            <w:vAlign w:val="center"/>
          </w:tcPr>
          <w:p w14:paraId="5F3B1F1F">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b w:val="0"/>
                <w:bCs w:val="0"/>
                <w:color w:val="auto"/>
                <w:sz w:val="21"/>
                <w:szCs w:val="21"/>
                <w:highlight w:val="none"/>
                <w:vertAlign w:val="baseline"/>
                <w:lang w:val="en-US" w:eastAsia="zh-CN"/>
              </w:rPr>
              <w:t>1.3</w:t>
            </w:r>
          </w:p>
        </w:tc>
        <w:tc>
          <w:tcPr>
            <w:tcW w:w="1269" w:type="dxa"/>
            <w:tcBorders>
              <w:tl2br w:val="nil"/>
              <w:tr2bl w:val="nil"/>
            </w:tcBorders>
            <w:shd w:val="clear" w:color="auto" w:fill="auto"/>
            <w:noWrap w:val="0"/>
            <w:vAlign w:val="center"/>
          </w:tcPr>
          <w:p w14:paraId="2F5801E5">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Times New Roman" w:hAnsi="Times New Roman" w:eastAsia="宋体" w:cs="Times New Roman"/>
                <w:b w:val="0"/>
                <w:bCs w:val="0"/>
                <w:color w:val="auto"/>
                <w:sz w:val="21"/>
                <w:szCs w:val="21"/>
                <w:highlight w:val="none"/>
                <w:vertAlign w:val="baseline"/>
                <w:lang w:val="en-US" w:eastAsia="zh-CN"/>
              </w:rPr>
            </w:pPr>
            <w:r>
              <w:rPr>
                <w:rFonts w:hint="eastAsia" w:ascii="Times New Roman" w:hAnsi="Times New Roman" w:eastAsia="宋体" w:cs="Times New Roman"/>
                <w:b w:val="0"/>
                <w:bCs w:val="0"/>
                <w:color w:val="auto"/>
                <w:sz w:val="21"/>
                <w:szCs w:val="21"/>
                <w:highlight w:val="none"/>
                <w:vertAlign w:val="baseline"/>
                <w:lang w:val="en-US" w:eastAsia="zh-CN"/>
              </w:rPr>
              <w:t>60</w:t>
            </w:r>
          </w:p>
        </w:tc>
        <w:tc>
          <w:tcPr>
            <w:tcW w:w="2033" w:type="dxa"/>
            <w:vMerge w:val="continue"/>
            <w:tcBorders>
              <w:tl2br w:val="nil"/>
              <w:tr2bl w:val="nil"/>
            </w:tcBorders>
            <w:shd w:val="clear" w:color="auto" w:fill="auto"/>
            <w:noWrap w:val="0"/>
            <w:vAlign w:val="center"/>
          </w:tcPr>
          <w:p w14:paraId="6301C3E8">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Times New Roman" w:hAnsi="Times New Roman" w:eastAsia="宋体" w:cs="Times New Roman"/>
                <w:b w:val="0"/>
                <w:bCs w:val="0"/>
                <w:color w:val="auto"/>
                <w:sz w:val="21"/>
                <w:szCs w:val="21"/>
                <w:highlight w:val="none"/>
                <w:vertAlign w:val="baseline"/>
                <w:lang w:val="en-US" w:eastAsia="zh-CN"/>
              </w:rPr>
            </w:pPr>
          </w:p>
        </w:tc>
        <w:tc>
          <w:tcPr>
            <w:tcW w:w="1395" w:type="dxa"/>
            <w:vMerge w:val="continue"/>
            <w:tcBorders>
              <w:tl2br w:val="nil"/>
              <w:tr2bl w:val="nil"/>
            </w:tcBorders>
            <w:shd w:val="clear" w:color="auto" w:fill="auto"/>
            <w:noWrap w:val="0"/>
            <w:vAlign w:val="center"/>
          </w:tcPr>
          <w:p w14:paraId="2611E9C1">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Times New Roman" w:hAnsi="Times New Roman" w:cs="Times New Roman"/>
                <w:b w:val="0"/>
                <w:bCs w:val="0"/>
                <w:color w:val="auto"/>
                <w:sz w:val="21"/>
                <w:szCs w:val="21"/>
                <w:highlight w:val="none"/>
                <w:vertAlign w:val="baseline"/>
                <w:lang w:val="en-US" w:eastAsia="zh-CN"/>
              </w:rPr>
            </w:pPr>
          </w:p>
        </w:tc>
      </w:tr>
      <w:tr w14:paraId="07D1D43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24" w:hRule="atLeast"/>
          <w:jc w:val="center"/>
        </w:trPr>
        <w:tc>
          <w:tcPr>
            <w:tcW w:w="1023" w:type="dxa"/>
            <w:tcBorders>
              <w:tl2br w:val="nil"/>
              <w:tr2bl w:val="nil"/>
            </w:tcBorders>
            <w:shd w:val="clear" w:color="auto" w:fill="auto"/>
            <w:noWrap w:val="0"/>
            <w:vAlign w:val="center"/>
          </w:tcPr>
          <w:p w14:paraId="6686E76A">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r>
              <w:rPr>
                <w:rFonts w:hint="eastAsia" w:cs="Times New Roman"/>
                <w:b w:val="0"/>
                <w:bCs w:val="0"/>
                <w:color w:val="auto"/>
                <w:sz w:val="21"/>
                <w:szCs w:val="21"/>
                <w:highlight w:val="none"/>
                <w:vertAlign w:val="baseline"/>
                <w:lang w:val="en-US" w:eastAsia="zh-CN"/>
              </w:rPr>
              <w:t>13</w:t>
            </w:r>
          </w:p>
        </w:tc>
        <w:tc>
          <w:tcPr>
            <w:tcW w:w="2203" w:type="dxa"/>
            <w:tcBorders>
              <w:tl2br w:val="nil"/>
              <w:tr2bl w:val="nil"/>
            </w:tcBorders>
            <w:shd w:val="clear" w:color="auto" w:fill="auto"/>
            <w:noWrap w:val="0"/>
            <w:vAlign w:val="center"/>
          </w:tcPr>
          <w:p w14:paraId="4655B0B6">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cs="Times New Roman"/>
                <w:b w:val="0"/>
                <w:bCs w:val="0"/>
                <w:color w:val="auto"/>
                <w:sz w:val="21"/>
                <w:szCs w:val="21"/>
                <w:highlight w:val="none"/>
                <w:vertAlign w:val="baseline"/>
                <w:lang w:val="en-US" w:eastAsia="zh-CN"/>
              </w:rPr>
            </w:pPr>
            <w:r>
              <w:rPr>
                <w:rFonts w:hint="eastAsia" w:cs="Times New Roman"/>
                <w:b w:val="0"/>
                <w:bCs w:val="0"/>
                <w:color w:val="auto"/>
                <w:sz w:val="21"/>
                <w:szCs w:val="21"/>
                <w:highlight w:val="none"/>
                <w:vertAlign w:val="baseline"/>
                <w:lang w:val="en-US" w:eastAsia="zh-CN"/>
              </w:rPr>
              <w:t>废气处理系统风机1#</w:t>
            </w:r>
          </w:p>
        </w:tc>
        <w:tc>
          <w:tcPr>
            <w:tcW w:w="1039" w:type="dxa"/>
            <w:tcBorders>
              <w:tl2br w:val="nil"/>
              <w:tr2bl w:val="nil"/>
            </w:tcBorders>
            <w:shd w:val="clear" w:color="auto" w:fill="auto"/>
            <w:noWrap w:val="0"/>
            <w:vAlign w:val="center"/>
          </w:tcPr>
          <w:p w14:paraId="40017FEE">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cs="Times New Roman"/>
                <w:b w:val="0"/>
                <w:bCs w:val="0"/>
                <w:color w:val="auto"/>
                <w:sz w:val="21"/>
                <w:szCs w:val="21"/>
                <w:highlight w:val="none"/>
                <w:vertAlign w:val="baseline"/>
                <w:lang w:val="en-US" w:eastAsia="zh-CN"/>
              </w:rPr>
            </w:pPr>
            <w:r>
              <w:rPr>
                <w:rFonts w:hint="eastAsia" w:cs="Times New Roman"/>
                <w:b w:val="0"/>
                <w:bCs w:val="0"/>
                <w:color w:val="auto"/>
                <w:sz w:val="21"/>
                <w:szCs w:val="21"/>
                <w:highlight w:val="none"/>
                <w:vertAlign w:val="baseline"/>
                <w:lang w:val="en-US" w:eastAsia="zh-CN"/>
              </w:rPr>
              <w:t>1</w:t>
            </w:r>
          </w:p>
        </w:tc>
        <w:tc>
          <w:tcPr>
            <w:tcW w:w="1416" w:type="dxa"/>
            <w:tcBorders>
              <w:tl2br w:val="nil"/>
              <w:tr2bl w:val="nil"/>
            </w:tcBorders>
            <w:shd w:val="clear" w:color="auto" w:fill="auto"/>
            <w:noWrap w:val="0"/>
            <w:vAlign w:val="center"/>
          </w:tcPr>
          <w:p w14:paraId="330E71B3">
            <w:pPr>
              <w:widowControl/>
              <w:jc w:val="center"/>
              <w:rPr>
                <w:rFonts w:hint="eastAsia" w:ascii="Times New Roman" w:hAnsi="Times New Roman" w:eastAsia="宋体" w:cs="Times New Roman"/>
                <w:b w:val="0"/>
                <w:bCs w:val="0"/>
                <w:color w:val="auto"/>
                <w:sz w:val="21"/>
                <w:szCs w:val="21"/>
                <w:highlight w:val="none"/>
                <w:vertAlign w:val="baseline"/>
                <w:lang w:val="en-US" w:eastAsia="zh-CN"/>
              </w:rPr>
            </w:pPr>
            <w:r>
              <w:rPr>
                <w:rFonts w:hint="eastAsia" w:ascii="Times New Roman" w:hAnsi="Times New Roman" w:eastAsia="宋体" w:cs="Times New Roman"/>
                <w:b w:val="0"/>
                <w:bCs w:val="0"/>
                <w:color w:val="auto"/>
                <w:sz w:val="21"/>
                <w:szCs w:val="21"/>
                <w:highlight w:val="none"/>
                <w:vertAlign w:val="baseline"/>
                <w:lang w:val="en-US" w:eastAsia="zh-CN"/>
              </w:rPr>
              <w:t>-41.36</w:t>
            </w:r>
          </w:p>
        </w:tc>
        <w:tc>
          <w:tcPr>
            <w:tcW w:w="1417" w:type="dxa"/>
            <w:tcBorders>
              <w:tl2br w:val="nil"/>
              <w:tr2bl w:val="nil"/>
            </w:tcBorders>
            <w:shd w:val="clear" w:color="auto" w:fill="auto"/>
            <w:noWrap w:val="0"/>
            <w:vAlign w:val="center"/>
          </w:tcPr>
          <w:p w14:paraId="7905D2D8">
            <w:pPr>
              <w:widowControl/>
              <w:jc w:val="center"/>
              <w:rPr>
                <w:rFonts w:hint="eastAsia" w:ascii="Times New Roman" w:hAnsi="Times New Roman" w:eastAsia="宋体" w:cs="Times New Roman"/>
                <w:b w:val="0"/>
                <w:bCs w:val="0"/>
                <w:color w:val="auto"/>
                <w:sz w:val="21"/>
                <w:szCs w:val="21"/>
                <w:highlight w:val="none"/>
                <w:vertAlign w:val="baseline"/>
                <w:lang w:val="en-US" w:eastAsia="zh-CN"/>
              </w:rPr>
            </w:pPr>
            <w:r>
              <w:rPr>
                <w:rFonts w:hint="eastAsia" w:ascii="Times New Roman" w:hAnsi="Times New Roman" w:eastAsia="宋体" w:cs="Times New Roman"/>
                <w:b w:val="0"/>
                <w:bCs w:val="0"/>
                <w:color w:val="auto"/>
                <w:sz w:val="21"/>
                <w:szCs w:val="21"/>
                <w:highlight w:val="none"/>
                <w:vertAlign w:val="baseline"/>
                <w:lang w:val="en-US" w:eastAsia="zh-CN"/>
              </w:rPr>
              <w:t>87.62</w:t>
            </w:r>
          </w:p>
        </w:tc>
        <w:tc>
          <w:tcPr>
            <w:tcW w:w="1416" w:type="dxa"/>
            <w:tcBorders>
              <w:tl2br w:val="nil"/>
              <w:tr2bl w:val="nil"/>
            </w:tcBorders>
            <w:shd w:val="clear" w:color="auto" w:fill="auto"/>
            <w:noWrap w:val="0"/>
            <w:vAlign w:val="center"/>
          </w:tcPr>
          <w:p w14:paraId="10B3488C">
            <w:pPr>
              <w:spacing w:line="280" w:lineRule="exact"/>
              <w:jc w:val="center"/>
              <w:rPr>
                <w:rFonts w:hint="eastAsia" w:ascii="Times New Roman" w:hAnsi="Times New Roman" w:eastAsia="宋体" w:cs="Times New Roman"/>
                <w:color w:val="auto"/>
                <w:szCs w:val="21"/>
                <w:highlight w:val="none"/>
                <w:lang w:val="en-US" w:eastAsia="zh-CN"/>
              </w:rPr>
            </w:pPr>
            <w:r>
              <w:rPr>
                <w:rFonts w:hint="eastAsia" w:cs="Times New Roman"/>
                <w:b w:val="0"/>
                <w:bCs w:val="0"/>
                <w:color w:val="auto"/>
                <w:sz w:val="21"/>
                <w:szCs w:val="21"/>
                <w:highlight w:val="none"/>
                <w:vertAlign w:val="baseline"/>
                <w:lang w:val="en-US" w:eastAsia="zh-CN"/>
              </w:rPr>
              <w:t>1.5</w:t>
            </w:r>
          </w:p>
        </w:tc>
        <w:tc>
          <w:tcPr>
            <w:tcW w:w="1269" w:type="dxa"/>
            <w:tcBorders>
              <w:tl2br w:val="nil"/>
              <w:tr2bl w:val="nil"/>
            </w:tcBorders>
            <w:shd w:val="clear" w:color="auto" w:fill="auto"/>
            <w:noWrap w:val="0"/>
            <w:vAlign w:val="center"/>
          </w:tcPr>
          <w:p w14:paraId="1BEBB041">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Times New Roman" w:hAnsi="Times New Roman" w:eastAsia="宋体" w:cs="Times New Roman"/>
                <w:b w:val="0"/>
                <w:bCs w:val="0"/>
                <w:color w:val="auto"/>
                <w:sz w:val="21"/>
                <w:szCs w:val="21"/>
                <w:highlight w:val="none"/>
                <w:vertAlign w:val="baseline"/>
                <w:lang w:val="en-US" w:eastAsia="zh-CN"/>
              </w:rPr>
            </w:pPr>
            <w:r>
              <w:rPr>
                <w:rFonts w:hint="eastAsia"/>
                <w:color w:val="auto"/>
                <w:szCs w:val="21"/>
                <w:highlight w:val="none"/>
                <w:lang w:val="en-US" w:eastAsia="zh-CN"/>
              </w:rPr>
              <w:t>90</w:t>
            </w:r>
          </w:p>
        </w:tc>
        <w:tc>
          <w:tcPr>
            <w:tcW w:w="2033" w:type="dxa"/>
            <w:vMerge w:val="continue"/>
            <w:tcBorders>
              <w:tl2br w:val="nil"/>
              <w:tr2bl w:val="nil"/>
            </w:tcBorders>
            <w:shd w:val="clear" w:color="auto" w:fill="auto"/>
            <w:noWrap w:val="0"/>
            <w:vAlign w:val="center"/>
          </w:tcPr>
          <w:p w14:paraId="61891D49">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Times New Roman" w:hAnsi="Times New Roman" w:eastAsia="宋体" w:cs="Times New Roman"/>
                <w:b w:val="0"/>
                <w:bCs w:val="0"/>
                <w:color w:val="auto"/>
                <w:sz w:val="21"/>
                <w:szCs w:val="21"/>
                <w:highlight w:val="none"/>
                <w:vertAlign w:val="baseline"/>
                <w:lang w:val="en-US" w:eastAsia="zh-CN"/>
              </w:rPr>
            </w:pPr>
          </w:p>
        </w:tc>
        <w:tc>
          <w:tcPr>
            <w:tcW w:w="1395" w:type="dxa"/>
            <w:vMerge w:val="continue"/>
            <w:tcBorders>
              <w:tl2br w:val="nil"/>
              <w:tr2bl w:val="nil"/>
            </w:tcBorders>
            <w:shd w:val="clear" w:color="auto" w:fill="auto"/>
            <w:noWrap w:val="0"/>
            <w:vAlign w:val="center"/>
          </w:tcPr>
          <w:p w14:paraId="652C7A6A">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Times New Roman" w:hAnsi="Times New Roman" w:cs="Times New Roman"/>
                <w:b w:val="0"/>
                <w:bCs w:val="0"/>
                <w:color w:val="auto"/>
                <w:sz w:val="21"/>
                <w:szCs w:val="21"/>
                <w:highlight w:val="none"/>
                <w:vertAlign w:val="baseline"/>
                <w:lang w:val="en-US" w:eastAsia="zh-CN"/>
              </w:rPr>
            </w:pPr>
          </w:p>
        </w:tc>
      </w:tr>
      <w:tr w14:paraId="51DD727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24" w:hRule="atLeast"/>
          <w:jc w:val="center"/>
        </w:trPr>
        <w:tc>
          <w:tcPr>
            <w:tcW w:w="1023" w:type="dxa"/>
            <w:tcBorders>
              <w:tl2br w:val="nil"/>
              <w:tr2bl w:val="nil"/>
            </w:tcBorders>
            <w:shd w:val="clear" w:color="auto" w:fill="auto"/>
            <w:noWrap w:val="0"/>
            <w:vAlign w:val="center"/>
          </w:tcPr>
          <w:p w14:paraId="6C711146">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r>
              <w:rPr>
                <w:rFonts w:hint="eastAsia" w:cs="Times New Roman"/>
                <w:b w:val="0"/>
                <w:bCs w:val="0"/>
                <w:color w:val="auto"/>
                <w:sz w:val="21"/>
                <w:szCs w:val="21"/>
                <w:highlight w:val="none"/>
                <w:vertAlign w:val="baseline"/>
                <w:lang w:val="en-US" w:eastAsia="zh-CN"/>
              </w:rPr>
              <w:t>14</w:t>
            </w:r>
          </w:p>
        </w:tc>
        <w:tc>
          <w:tcPr>
            <w:tcW w:w="2203" w:type="dxa"/>
            <w:tcBorders>
              <w:tl2br w:val="nil"/>
              <w:tr2bl w:val="nil"/>
            </w:tcBorders>
            <w:shd w:val="clear" w:color="auto" w:fill="auto"/>
            <w:noWrap w:val="0"/>
            <w:vAlign w:val="center"/>
          </w:tcPr>
          <w:p w14:paraId="0283A609">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cs="Times New Roman"/>
                <w:b w:val="0"/>
                <w:bCs w:val="0"/>
                <w:color w:val="auto"/>
                <w:sz w:val="21"/>
                <w:szCs w:val="21"/>
                <w:highlight w:val="none"/>
                <w:vertAlign w:val="baseline"/>
                <w:lang w:val="en-US" w:eastAsia="zh-CN"/>
              </w:rPr>
            </w:pPr>
            <w:r>
              <w:rPr>
                <w:rFonts w:hint="eastAsia" w:cs="Times New Roman"/>
                <w:b w:val="0"/>
                <w:bCs w:val="0"/>
                <w:color w:val="auto"/>
                <w:sz w:val="21"/>
                <w:szCs w:val="21"/>
                <w:highlight w:val="none"/>
                <w:vertAlign w:val="baseline"/>
                <w:lang w:val="en-US" w:eastAsia="zh-CN"/>
              </w:rPr>
              <w:t>废气处理系统风机2#</w:t>
            </w:r>
          </w:p>
        </w:tc>
        <w:tc>
          <w:tcPr>
            <w:tcW w:w="1039" w:type="dxa"/>
            <w:tcBorders>
              <w:tl2br w:val="nil"/>
              <w:tr2bl w:val="nil"/>
            </w:tcBorders>
            <w:shd w:val="clear" w:color="auto" w:fill="auto"/>
            <w:noWrap w:val="0"/>
            <w:vAlign w:val="center"/>
          </w:tcPr>
          <w:p w14:paraId="272ECDC9">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cs="Times New Roman"/>
                <w:b w:val="0"/>
                <w:bCs w:val="0"/>
                <w:color w:val="auto"/>
                <w:sz w:val="21"/>
                <w:szCs w:val="21"/>
                <w:highlight w:val="none"/>
                <w:vertAlign w:val="baseline"/>
                <w:lang w:val="en-US" w:eastAsia="zh-CN"/>
              </w:rPr>
            </w:pPr>
            <w:r>
              <w:rPr>
                <w:rFonts w:hint="eastAsia" w:cs="Times New Roman"/>
                <w:b w:val="0"/>
                <w:bCs w:val="0"/>
                <w:color w:val="auto"/>
                <w:sz w:val="21"/>
                <w:szCs w:val="21"/>
                <w:highlight w:val="none"/>
                <w:vertAlign w:val="baseline"/>
                <w:lang w:val="en-US" w:eastAsia="zh-CN"/>
              </w:rPr>
              <w:t>1</w:t>
            </w:r>
          </w:p>
        </w:tc>
        <w:tc>
          <w:tcPr>
            <w:tcW w:w="1416" w:type="dxa"/>
            <w:tcBorders>
              <w:tl2br w:val="nil"/>
              <w:tr2bl w:val="nil"/>
            </w:tcBorders>
            <w:shd w:val="clear" w:color="auto" w:fill="auto"/>
            <w:noWrap w:val="0"/>
            <w:vAlign w:val="center"/>
          </w:tcPr>
          <w:p w14:paraId="4C3ED8F7">
            <w:pPr>
              <w:widowControl/>
              <w:jc w:val="center"/>
              <w:rPr>
                <w:rFonts w:hint="eastAsia" w:ascii="Times New Roman" w:hAnsi="Times New Roman" w:eastAsia="宋体" w:cs="Times New Roman"/>
                <w:b w:val="0"/>
                <w:bCs w:val="0"/>
                <w:color w:val="auto"/>
                <w:sz w:val="21"/>
                <w:szCs w:val="21"/>
                <w:highlight w:val="none"/>
                <w:vertAlign w:val="baseline"/>
                <w:lang w:val="en-US" w:eastAsia="zh-CN"/>
              </w:rPr>
            </w:pPr>
            <w:r>
              <w:rPr>
                <w:rFonts w:hint="eastAsia" w:ascii="Times New Roman" w:hAnsi="Times New Roman" w:eastAsia="宋体" w:cs="Times New Roman"/>
                <w:b w:val="0"/>
                <w:bCs w:val="0"/>
                <w:color w:val="auto"/>
                <w:sz w:val="21"/>
                <w:szCs w:val="21"/>
                <w:highlight w:val="none"/>
                <w:vertAlign w:val="baseline"/>
                <w:lang w:val="en-US" w:eastAsia="zh-CN"/>
              </w:rPr>
              <w:t>61.21</w:t>
            </w:r>
          </w:p>
        </w:tc>
        <w:tc>
          <w:tcPr>
            <w:tcW w:w="1417" w:type="dxa"/>
            <w:tcBorders>
              <w:tl2br w:val="nil"/>
              <w:tr2bl w:val="nil"/>
            </w:tcBorders>
            <w:shd w:val="clear" w:color="auto" w:fill="auto"/>
            <w:noWrap w:val="0"/>
            <w:vAlign w:val="center"/>
          </w:tcPr>
          <w:p w14:paraId="3726ED45">
            <w:pPr>
              <w:widowControl/>
              <w:jc w:val="center"/>
              <w:rPr>
                <w:rFonts w:hint="eastAsia" w:ascii="Times New Roman" w:hAnsi="Times New Roman" w:eastAsia="宋体" w:cs="Times New Roman"/>
                <w:b w:val="0"/>
                <w:bCs w:val="0"/>
                <w:color w:val="auto"/>
                <w:sz w:val="21"/>
                <w:szCs w:val="21"/>
                <w:highlight w:val="none"/>
                <w:vertAlign w:val="baseline"/>
                <w:lang w:val="en-US" w:eastAsia="zh-CN"/>
              </w:rPr>
            </w:pPr>
            <w:r>
              <w:rPr>
                <w:rFonts w:hint="eastAsia" w:ascii="Times New Roman" w:hAnsi="Times New Roman" w:eastAsia="宋体" w:cs="Times New Roman"/>
                <w:b w:val="0"/>
                <w:bCs w:val="0"/>
                <w:color w:val="auto"/>
                <w:sz w:val="21"/>
                <w:szCs w:val="21"/>
                <w:highlight w:val="none"/>
                <w:vertAlign w:val="baseline"/>
                <w:lang w:val="en-US" w:eastAsia="zh-CN"/>
              </w:rPr>
              <w:t>103.11</w:t>
            </w:r>
          </w:p>
        </w:tc>
        <w:tc>
          <w:tcPr>
            <w:tcW w:w="1416" w:type="dxa"/>
            <w:tcBorders>
              <w:tl2br w:val="nil"/>
              <w:tr2bl w:val="nil"/>
            </w:tcBorders>
            <w:shd w:val="clear" w:color="auto" w:fill="auto"/>
            <w:noWrap w:val="0"/>
            <w:vAlign w:val="center"/>
          </w:tcPr>
          <w:p w14:paraId="70A7AFF3">
            <w:pPr>
              <w:spacing w:line="280" w:lineRule="exact"/>
              <w:jc w:val="center"/>
              <w:rPr>
                <w:rFonts w:hint="eastAsia" w:ascii="Times New Roman" w:hAnsi="Times New Roman" w:eastAsia="宋体" w:cs="Times New Roman"/>
                <w:color w:val="auto"/>
                <w:szCs w:val="21"/>
                <w:highlight w:val="none"/>
                <w:lang w:val="en-US" w:eastAsia="zh-CN"/>
              </w:rPr>
            </w:pPr>
            <w:r>
              <w:rPr>
                <w:rFonts w:hint="eastAsia" w:cs="Times New Roman"/>
                <w:b w:val="0"/>
                <w:bCs w:val="0"/>
                <w:color w:val="auto"/>
                <w:sz w:val="21"/>
                <w:szCs w:val="21"/>
                <w:highlight w:val="none"/>
                <w:vertAlign w:val="baseline"/>
                <w:lang w:val="en-US" w:eastAsia="zh-CN"/>
              </w:rPr>
              <w:t>1.5</w:t>
            </w:r>
          </w:p>
        </w:tc>
        <w:tc>
          <w:tcPr>
            <w:tcW w:w="1269" w:type="dxa"/>
            <w:tcBorders>
              <w:tl2br w:val="nil"/>
              <w:tr2bl w:val="nil"/>
            </w:tcBorders>
            <w:shd w:val="clear" w:color="auto" w:fill="auto"/>
            <w:noWrap w:val="0"/>
            <w:vAlign w:val="center"/>
          </w:tcPr>
          <w:p w14:paraId="33CCACBB">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Times New Roman" w:hAnsi="Times New Roman" w:eastAsia="宋体" w:cs="Times New Roman"/>
                <w:b w:val="0"/>
                <w:bCs w:val="0"/>
                <w:color w:val="auto"/>
                <w:sz w:val="21"/>
                <w:szCs w:val="21"/>
                <w:highlight w:val="none"/>
                <w:vertAlign w:val="baseline"/>
                <w:lang w:val="en-US" w:eastAsia="zh-CN"/>
              </w:rPr>
            </w:pPr>
            <w:r>
              <w:rPr>
                <w:rFonts w:hint="eastAsia"/>
                <w:color w:val="auto"/>
                <w:szCs w:val="21"/>
                <w:highlight w:val="none"/>
                <w:lang w:val="en-US" w:eastAsia="zh-CN"/>
              </w:rPr>
              <w:t>90</w:t>
            </w:r>
          </w:p>
        </w:tc>
        <w:tc>
          <w:tcPr>
            <w:tcW w:w="2033" w:type="dxa"/>
            <w:vMerge w:val="continue"/>
            <w:tcBorders>
              <w:tl2br w:val="nil"/>
              <w:tr2bl w:val="nil"/>
            </w:tcBorders>
            <w:shd w:val="clear" w:color="auto" w:fill="auto"/>
            <w:noWrap w:val="0"/>
            <w:vAlign w:val="center"/>
          </w:tcPr>
          <w:p w14:paraId="18E1A087">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Times New Roman" w:hAnsi="Times New Roman" w:eastAsia="宋体" w:cs="Times New Roman"/>
                <w:b w:val="0"/>
                <w:bCs w:val="0"/>
                <w:color w:val="auto"/>
                <w:sz w:val="21"/>
                <w:szCs w:val="21"/>
                <w:highlight w:val="none"/>
                <w:vertAlign w:val="baseline"/>
                <w:lang w:val="en-US" w:eastAsia="zh-CN"/>
              </w:rPr>
            </w:pPr>
          </w:p>
        </w:tc>
        <w:tc>
          <w:tcPr>
            <w:tcW w:w="1395" w:type="dxa"/>
            <w:vMerge w:val="continue"/>
            <w:tcBorders>
              <w:tl2br w:val="nil"/>
              <w:tr2bl w:val="nil"/>
            </w:tcBorders>
            <w:shd w:val="clear" w:color="auto" w:fill="auto"/>
            <w:noWrap w:val="0"/>
            <w:vAlign w:val="center"/>
          </w:tcPr>
          <w:p w14:paraId="1926E04B">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Times New Roman" w:hAnsi="Times New Roman" w:cs="Times New Roman"/>
                <w:b w:val="0"/>
                <w:bCs w:val="0"/>
                <w:color w:val="auto"/>
                <w:sz w:val="21"/>
                <w:szCs w:val="21"/>
                <w:highlight w:val="none"/>
                <w:vertAlign w:val="baseline"/>
                <w:lang w:val="en-US" w:eastAsia="zh-CN"/>
              </w:rPr>
            </w:pPr>
          </w:p>
        </w:tc>
      </w:tr>
      <w:tr w14:paraId="1976B8C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6" w:hRule="atLeast"/>
          <w:jc w:val="center"/>
        </w:trPr>
        <w:tc>
          <w:tcPr>
            <w:tcW w:w="1023" w:type="dxa"/>
            <w:tcBorders>
              <w:tl2br w:val="nil"/>
              <w:tr2bl w:val="nil"/>
            </w:tcBorders>
            <w:shd w:val="clear" w:color="auto" w:fill="auto"/>
            <w:noWrap w:val="0"/>
            <w:vAlign w:val="center"/>
          </w:tcPr>
          <w:p w14:paraId="3D18B6D5">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cs="Times New Roman"/>
                <w:b w:val="0"/>
                <w:bCs w:val="0"/>
                <w:color w:val="auto"/>
                <w:sz w:val="21"/>
                <w:szCs w:val="21"/>
                <w:highlight w:val="none"/>
                <w:vertAlign w:val="baseline"/>
                <w:lang w:val="en-US" w:eastAsia="zh-CN"/>
              </w:rPr>
            </w:pPr>
            <w:r>
              <w:rPr>
                <w:rFonts w:hint="eastAsia" w:cs="Times New Roman"/>
                <w:b w:val="0"/>
                <w:bCs w:val="0"/>
                <w:color w:val="auto"/>
                <w:sz w:val="21"/>
                <w:szCs w:val="21"/>
                <w:highlight w:val="none"/>
                <w:vertAlign w:val="baseline"/>
                <w:lang w:val="en-US" w:eastAsia="zh-CN"/>
              </w:rPr>
              <w:t>15</w:t>
            </w:r>
          </w:p>
        </w:tc>
        <w:tc>
          <w:tcPr>
            <w:tcW w:w="2203" w:type="dxa"/>
            <w:tcBorders>
              <w:tl2br w:val="nil"/>
              <w:tr2bl w:val="nil"/>
            </w:tcBorders>
            <w:shd w:val="clear" w:color="auto" w:fill="auto"/>
            <w:noWrap w:val="0"/>
            <w:vAlign w:val="center"/>
          </w:tcPr>
          <w:p w14:paraId="52041AEB">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cs="Times New Roman"/>
                <w:b w:val="0"/>
                <w:bCs w:val="0"/>
                <w:color w:val="auto"/>
                <w:sz w:val="21"/>
                <w:szCs w:val="21"/>
                <w:highlight w:val="none"/>
                <w:vertAlign w:val="baseline"/>
                <w:lang w:val="en-US" w:eastAsia="zh-CN"/>
              </w:rPr>
            </w:pPr>
            <w:r>
              <w:rPr>
                <w:rFonts w:hint="eastAsia" w:cs="Times New Roman"/>
                <w:b w:val="0"/>
                <w:bCs w:val="0"/>
                <w:color w:val="auto"/>
                <w:sz w:val="21"/>
                <w:szCs w:val="21"/>
                <w:highlight w:val="none"/>
                <w:vertAlign w:val="baseline"/>
                <w:lang w:val="en-US" w:eastAsia="zh-CN"/>
              </w:rPr>
              <w:t>废气处理系统风机3#</w:t>
            </w:r>
          </w:p>
        </w:tc>
        <w:tc>
          <w:tcPr>
            <w:tcW w:w="1039" w:type="dxa"/>
            <w:tcBorders>
              <w:tl2br w:val="nil"/>
              <w:tr2bl w:val="nil"/>
            </w:tcBorders>
            <w:shd w:val="clear" w:color="auto" w:fill="auto"/>
            <w:noWrap w:val="0"/>
            <w:vAlign w:val="center"/>
          </w:tcPr>
          <w:p w14:paraId="74E1764D">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cs="Times New Roman"/>
                <w:b w:val="0"/>
                <w:bCs w:val="0"/>
                <w:color w:val="auto"/>
                <w:sz w:val="21"/>
                <w:szCs w:val="21"/>
                <w:highlight w:val="none"/>
                <w:vertAlign w:val="baseline"/>
                <w:lang w:val="en-US" w:eastAsia="zh-CN"/>
              </w:rPr>
            </w:pPr>
            <w:r>
              <w:rPr>
                <w:rFonts w:hint="eastAsia" w:cs="Times New Roman"/>
                <w:b w:val="0"/>
                <w:bCs w:val="0"/>
                <w:color w:val="auto"/>
                <w:sz w:val="21"/>
                <w:szCs w:val="21"/>
                <w:highlight w:val="none"/>
                <w:vertAlign w:val="baseline"/>
                <w:lang w:val="en-US" w:eastAsia="zh-CN"/>
              </w:rPr>
              <w:t>1</w:t>
            </w:r>
          </w:p>
        </w:tc>
        <w:tc>
          <w:tcPr>
            <w:tcW w:w="1416" w:type="dxa"/>
            <w:tcBorders>
              <w:tl2br w:val="nil"/>
              <w:tr2bl w:val="nil"/>
            </w:tcBorders>
            <w:shd w:val="clear" w:color="auto" w:fill="auto"/>
            <w:noWrap w:val="0"/>
            <w:vAlign w:val="center"/>
          </w:tcPr>
          <w:p w14:paraId="79D562B9">
            <w:pPr>
              <w:widowControl/>
              <w:jc w:val="center"/>
              <w:rPr>
                <w:rFonts w:hint="eastAsia" w:ascii="Times New Roman" w:hAnsi="Times New Roman" w:eastAsia="宋体" w:cs="Times New Roman"/>
                <w:b w:val="0"/>
                <w:bCs w:val="0"/>
                <w:color w:val="auto"/>
                <w:sz w:val="21"/>
                <w:szCs w:val="21"/>
                <w:highlight w:val="none"/>
                <w:vertAlign w:val="baseline"/>
                <w:lang w:val="en-US" w:eastAsia="zh-CN"/>
              </w:rPr>
            </w:pPr>
            <w:r>
              <w:rPr>
                <w:rFonts w:hint="eastAsia" w:ascii="Times New Roman" w:hAnsi="Times New Roman" w:eastAsia="宋体" w:cs="Times New Roman"/>
                <w:b w:val="0"/>
                <w:bCs w:val="0"/>
                <w:color w:val="auto"/>
                <w:sz w:val="21"/>
                <w:szCs w:val="21"/>
                <w:highlight w:val="none"/>
                <w:vertAlign w:val="baseline"/>
                <w:lang w:val="en-US" w:eastAsia="zh-CN"/>
              </w:rPr>
              <w:t>100.41</w:t>
            </w:r>
          </w:p>
        </w:tc>
        <w:tc>
          <w:tcPr>
            <w:tcW w:w="1417" w:type="dxa"/>
            <w:tcBorders>
              <w:tl2br w:val="nil"/>
              <w:tr2bl w:val="nil"/>
            </w:tcBorders>
            <w:shd w:val="clear" w:color="auto" w:fill="auto"/>
            <w:noWrap w:val="0"/>
            <w:vAlign w:val="center"/>
          </w:tcPr>
          <w:p w14:paraId="3C05A76F">
            <w:pPr>
              <w:widowControl/>
              <w:jc w:val="center"/>
              <w:rPr>
                <w:rFonts w:hint="eastAsia" w:ascii="Times New Roman" w:hAnsi="Times New Roman" w:eastAsia="宋体" w:cs="Times New Roman"/>
                <w:b w:val="0"/>
                <w:bCs w:val="0"/>
                <w:color w:val="auto"/>
                <w:sz w:val="21"/>
                <w:szCs w:val="21"/>
                <w:highlight w:val="none"/>
                <w:vertAlign w:val="baseline"/>
                <w:lang w:val="en-US" w:eastAsia="zh-CN"/>
              </w:rPr>
            </w:pPr>
            <w:r>
              <w:rPr>
                <w:rFonts w:hint="eastAsia" w:ascii="Times New Roman" w:hAnsi="Times New Roman" w:eastAsia="宋体" w:cs="Times New Roman"/>
                <w:b w:val="0"/>
                <w:bCs w:val="0"/>
                <w:color w:val="auto"/>
                <w:sz w:val="21"/>
                <w:szCs w:val="21"/>
                <w:highlight w:val="none"/>
                <w:vertAlign w:val="baseline"/>
                <w:lang w:val="en-US" w:eastAsia="zh-CN"/>
              </w:rPr>
              <w:t>67.21</w:t>
            </w:r>
          </w:p>
        </w:tc>
        <w:tc>
          <w:tcPr>
            <w:tcW w:w="1416" w:type="dxa"/>
            <w:tcBorders>
              <w:tl2br w:val="nil"/>
              <w:tr2bl w:val="nil"/>
            </w:tcBorders>
            <w:shd w:val="clear" w:color="auto" w:fill="auto"/>
            <w:noWrap w:val="0"/>
            <w:vAlign w:val="center"/>
          </w:tcPr>
          <w:p w14:paraId="53FD1D45">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b w:val="0"/>
                <w:bCs w:val="0"/>
                <w:color w:val="auto"/>
                <w:sz w:val="21"/>
                <w:szCs w:val="21"/>
                <w:highlight w:val="none"/>
                <w:vertAlign w:val="baseline"/>
                <w:lang w:val="en-US" w:eastAsia="zh-CN"/>
              </w:rPr>
              <w:t>1.5</w:t>
            </w:r>
          </w:p>
        </w:tc>
        <w:tc>
          <w:tcPr>
            <w:tcW w:w="1269" w:type="dxa"/>
            <w:tcBorders>
              <w:tl2br w:val="nil"/>
              <w:tr2bl w:val="nil"/>
            </w:tcBorders>
            <w:shd w:val="clear" w:color="auto" w:fill="auto"/>
            <w:noWrap w:val="0"/>
            <w:vAlign w:val="center"/>
          </w:tcPr>
          <w:p w14:paraId="6A2110F2">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color w:val="auto"/>
                <w:szCs w:val="21"/>
                <w:highlight w:val="none"/>
                <w:lang w:val="en-US" w:eastAsia="zh-CN"/>
              </w:rPr>
            </w:pPr>
            <w:r>
              <w:rPr>
                <w:rFonts w:hint="eastAsia"/>
                <w:color w:val="auto"/>
                <w:szCs w:val="21"/>
                <w:highlight w:val="none"/>
                <w:lang w:val="en-US" w:eastAsia="zh-CN"/>
              </w:rPr>
              <w:t>90</w:t>
            </w:r>
          </w:p>
        </w:tc>
        <w:tc>
          <w:tcPr>
            <w:tcW w:w="2033" w:type="dxa"/>
            <w:vMerge w:val="continue"/>
            <w:tcBorders>
              <w:tl2br w:val="nil"/>
              <w:tr2bl w:val="nil"/>
            </w:tcBorders>
            <w:shd w:val="clear" w:color="auto" w:fill="auto"/>
            <w:noWrap w:val="0"/>
            <w:vAlign w:val="center"/>
          </w:tcPr>
          <w:p w14:paraId="5B67942D">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Times New Roman" w:hAnsi="Times New Roman" w:eastAsia="宋体" w:cs="Times New Roman"/>
                <w:b w:val="0"/>
                <w:bCs w:val="0"/>
                <w:color w:val="auto"/>
                <w:sz w:val="21"/>
                <w:szCs w:val="21"/>
                <w:highlight w:val="none"/>
                <w:vertAlign w:val="baseline"/>
                <w:lang w:val="en-US" w:eastAsia="zh-CN"/>
              </w:rPr>
            </w:pPr>
          </w:p>
        </w:tc>
        <w:tc>
          <w:tcPr>
            <w:tcW w:w="1395" w:type="dxa"/>
            <w:vMerge w:val="continue"/>
            <w:tcBorders>
              <w:tl2br w:val="nil"/>
              <w:tr2bl w:val="nil"/>
            </w:tcBorders>
            <w:shd w:val="clear" w:color="auto" w:fill="auto"/>
            <w:noWrap w:val="0"/>
            <w:vAlign w:val="center"/>
          </w:tcPr>
          <w:p w14:paraId="57C2B469">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Times New Roman" w:hAnsi="Times New Roman" w:cs="Times New Roman"/>
                <w:b w:val="0"/>
                <w:bCs w:val="0"/>
                <w:color w:val="auto"/>
                <w:sz w:val="21"/>
                <w:szCs w:val="21"/>
                <w:highlight w:val="none"/>
                <w:vertAlign w:val="baseline"/>
                <w:lang w:val="en-US" w:eastAsia="zh-CN"/>
              </w:rPr>
            </w:pPr>
          </w:p>
        </w:tc>
      </w:tr>
      <w:tr w14:paraId="5D9E303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24" w:hRule="atLeast"/>
          <w:jc w:val="center"/>
        </w:trPr>
        <w:tc>
          <w:tcPr>
            <w:tcW w:w="1023" w:type="dxa"/>
            <w:tcBorders>
              <w:tl2br w:val="nil"/>
              <w:tr2bl w:val="nil"/>
            </w:tcBorders>
            <w:shd w:val="clear" w:color="auto" w:fill="auto"/>
            <w:noWrap w:val="0"/>
            <w:vAlign w:val="center"/>
          </w:tcPr>
          <w:p w14:paraId="5F939F68">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r>
              <w:rPr>
                <w:rFonts w:hint="eastAsia" w:cs="Times New Roman"/>
                <w:b w:val="0"/>
                <w:bCs w:val="0"/>
                <w:color w:val="auto"/>
                <w:sz w:val="21"/>
                <w:szCs w:val="21"/>
                <w:highlight w:val="none"/>
                <w:vertAlign w:val="baseline"/>
                <w:lang w:val="en-US" w:eastAsia="zh-CN"/>
              </w:rPr>
              <w:t>16</w:t>
            </w:r>
          </w:p>
        </w:tc>
        <w:tc>
          <w:tcPr>
            <w:tcW w:w="2203" w:type="dxa"/>
            <w:tcBorders>
              <w:tl2br w:val="nil"/>
              <w:tr2bl w:val="nil"/>
            </w:tcBorders>
            <w:shd w:val="clear" w:color="auto" w:fill="auto"/>
            <w:noWrap w:val="0"/>
            <w:vAlign w:val="center"/>
          </w:tcPr>
          <w:p w14:paraId="23A5E830">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r>
              <w:rPr>
                <w:rFonts w:hint="eastAsia" w:cs="Times New Roman"/>
                <w:b w:val="0"/>
                <w:bCs w:val="0"/>
                <w:color w:val="auto"/>
                <w:sz w:val="21"/>
                <w:szCs w:val="21"/>
                <w:highlight w:val="none"/>
                <w:vertAlign w:val="baseline"/>
                <w:lang w:val="en-US" w:eastAsia="zh-CN"/>
              </w:rPr>
              <w:t>NMP系统</w:t>
            </w:r>
          </w:p>
        </w:tc>
        <w:tc>
          <w:tcPr>
            <w:tcW w:w="1039" w:type="dxa"/>
            <w:tcBorders>
              <w:tl2br w:val="nil"/>
              <w:tr2bl w:val="nil"/>
            </w:tcBorders>
            <w:shd w:val="clear" w:color="auto" w:fill="auto"/>
            <w:noWrap w:val="0"/>
            <w:vAlign w:val="center"/>
          </w:tcPr>
          <w:p w14:paraId="4E823BF7">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r>
              <w:rPr>
                <w:rFonts w:hint="eastAsia" w:cs="Times New Roman"/>
                <w:b w:val="0"/>
                <w:bCs w:val="0"/>
                <w:color w:val="auto"/>
                <w:sz w:val="21"/>
                <w:szCs w:val="21"/>
                <w:highlight w:val="none"/>
                <w:vertAlign w:val="baseline"/>
                <w:lang w:val="en-US" w:eastAsia="zh-CN"/>
              </w:rPr>
              <w:t>1</w:t>
            </w:r>
          </w:p>
        </w:tc>
        <w:tc>
          <w:tcPr>
            <w:tcW w:w="1416" w:type="dxa"/>
            <w:tcBorders>
              <w:tl2br w:val="nil"/>
              <w:tr2bl w:val="nil"/>
            </w:tcBorders>
            <w:shd w:val="clear" w:color="auto" w:fill="auto"/>
            <w:noWrap w:val="0"/>
            <w:vAlign w:val="center"/>
          </w:tcPr>
          <w:p w14:paraId="20B61794">
            <w:pPr>
              <w:widowControl/>
              <w:jc w:val="center"/>
              <w:rPr>
                <w:rFonts w:hint="default"/>
                <w:color w:val="auto"/>
                <w:kern w:val="0"/>
                <w:szCs w:val="21"/>
                <w:highlight w:val="none"/>
                <w:lang w:val="en-US" w:eastAsia="zh-CN"/>
              </w:rPr>
            </w:pPr>
            <w:r>
              <w:rPr>
                <w:rFonts w:hint="default"/>
                <w:color w:val="auto"/>
                <w:kern w:val="0"/>
                <w:szCs w:val="21"/>
                <w:highlight w:val="none"/>
                <w:lang w:val="en-US" w:eastAsia="zh-CN"/>
              </w:rPr>
              <w:t>65.61</w:t>
            </w:r>
          </w:p>
        </w:tc>
        <w:tc>
          <w:tcPr>
            <w:tcW w:w="1417" w:type="dxa"/>
            <w:tcBorders>
              <w:tl2br w:val="nil"/>
              <w:tr2bl w:val="nil"/>
            </w:tcBorders>
            <w:shd w:val="clear" w:color="auto" w:fill="auto"/>
            <w:noWrap w:val="0"/>
            <w:vAlign w:val="center"/>
          </w:tcPr>
          <w:p w14:paraId="7CC1E7EF">
            <w:pPr>
              <w:widowControl/>
              <w:jc w:val="center"/>
              <w:rPr>
                <w:rFonts w:hint="default"/>
                <w:color w:val="auto"/>
                <w:kern w:val="0"/>
                <w:szCs w:val="21"/>
                <w:highlight w:val="none"/>
                <w:lang w:val="en-US" w:eastAsia="zh-CN"/>
              </w:rPr>
            </w:pPr>
            <w:r>
              <w:rPr>
                <w:rFonts w:hint="default"/>
                <w:color w:val="auto"/>
                <w:kern w:val="0"/>
                <w:szCs w:val="21"/>
                <w:highlight w:val="none"/>
                <w:lang w:val="en-US" w:eastAsia="zh-CN"/>
              </w:rPr>
              <w:t>88.83</w:t>
            </w:r>
          </w:p>
        </w:tc>
        <w:tc>
          <w:tcPr>
            <w:tcW w:w="1416" w:type="dxa"/>
            <w:tcBorders>
              <w:tl2br w:val="nil"/>
              <w:tr2bl w:val="nil"/>
            </w:tcBorders>
            <w:shd w:val="clear" w:color="auto" w:fill="auto"/>
            <w:noWrap w:val="0"/>
            <w:vAlign w:val="center"/>
          </w:tcPr>
          <w:p w14:paraId="6CE58E43">
            <w:pPr>
              <w:spacing w:line="280" w:lineRule="exact"/>
              <w:jc w:val="center"/>
              <w:rPr>
                <w:rFonts w:hint="default"/>
                <w:color w:val="auto"/>
                <w:kern w:val="0"/>
                <w:szCs w:val="21"/>
                <w:highlight w:val="none"/>
                <w:lang w:val="en-US" w:eastAsia="zh-CN"/>
              </w:rPr>
            </w:pPr>
            <w:r>
              <w:rPr>
                <w:rFonts w:hint="eastAsia" w:cs="Times New Roman"/>
                <w:b w:val="0"/>
                <w:bCs w:val="0"/>
                <w:color w:val="auto"/>
                <w:sz w:val="21"/>
                <w:szCs w:val="21"/>
                <w:highlight w:val="none"/>
                <w:vertAlign w:val="baseline"/>
                <w:lang w:val="en-US" w:eastAsia="zh-CN"/>
              </w:rPr>
              <w:t>1.4</w:t>
            </w:r>
          </w:p>
        </w:tc>
        <w:tc>
          <w:tcPr>
            <w:tcW w:w="1269" w:type="dxa"/>
            <w:tcBorders>
              <w:tl2br w:val="nil"/>
              <w:tr2bl w:val="nil"/>
            </w:tcBorders>
            <w:shd w:val="clear" w:color="auto" w:fill="auto"/>
            <w:noWrap w:val="0"/>
            <w:vAlign w:val="center"/>
          </w:tcPr>
          <w:p w14:paraId="0860E64D">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r>
              <w:rPr>
                <w:rFonts w:hint="eastAsia" w:ascii="Times New Roman" w:hAnsi="Times New Roman" w:eastAsia="宋体" w:cs="Times New Roman"/>
                <w:b w:val="0"/>
                <w:bCs w:val="0"/>
                <w:color w:val="auto"/>
                <w:sz w:val="21"/>
                <w:szCs w:val="21"/>
                <w:highlight w:val="none"/>
                <w:vertAlign w:val="baseline"/>
                <w:lang w:val="en-US" w:eastAsia="zh-CN"/>
              </w:rPr>
              <w:t>80</w:t>
            </w:r>
          </w:p>
        </w:tc>
        <w:tc>
          <w:tcPr>
            <w:tcW w:w="2033" w:type="dxa"/>
            <w:vMerge w:val="continue"/>
            <w:tcBorders>
              <w:tl2br w:val="nil"/>
              <w:tr2bl w:val="nil"/>
            </w:tcBorders>
            <w:shd w:val="clear" w:color="auto" w:fill="auto"/>
            <w:noWrap w:val="0"/>
            <w:vAlign w:val="center"/>
          </w:tcPr>
          <w:p w14:paraId="706C7A26">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p>
        </w:tc>
        <w:tc>
          <w:tcPr>
            <w:tcW w:w="1395" w:type="dxa"/>
            <w:vMerge w:val="continue"/>
            <w:tcBorders>
              <w:tl2br w:val="nil"/>
              <w:tr2bl w:val="nil"/>
            </w:tcBorders>
            <w:shd w:val="clear" w:color="auto" w:fill="auto"/>
            <w:noWrap w:val="0"/>
            <w:vAlign w:val="center"/>
          </w:tcPr>
          <w:p w14:paraId="0545FE18">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Times New Roman" w:hAnsi="Times New Roman" w:cs="Times New Roman"/>
                <w:b w:val="0"/>
                <w:bCs w:val="0"/>
                <w:color w:val="auto"/>
                <w:sz w:val="21"/>
                <w:szCs w:val="21"/>
                <w:highlight w:val="none"/>
                <w:vertAlign w:val="baseline"/>
                <w:lang w:val="en-US" w:eastAsia="zh-CN"/>
              </w:rPr>
            </w:pPr>
          </w:p>
        </w:tc>
      </w:tr>
    </w:tbl>
    <w:p w14:paraId="3BD4DC33">
      <w:pPr>
        <w:pStyle w:val="66"/>
        <w:ind w:left="0" w:leftChars="0" w:firstLine="0" w:firstLineChars="0"/>
        <w:rPr>
          <w:b/>
          <w:bCs/>
          <w:color w:val="auto"/>
        </w:rPr>
      </w:pPr>
    </w:p>
    <w:p w14:paraId="3AF7626D">
      <w:pPr>
        <w:pStyle w:val="70"/>
        <w:rPr>
          <w:snapToGrid w:val="0"/>
          <w:color w:val="auto"/>
        </w:rPr>
        <w:sectPr>
          <w:pgSz w:w="16838" w:h="11906" w:orient="landscape"/>
          <w:pgMar w:top="1531" w:right="1701" w:bottom="1531" w:left="1701" w:header="851" w:footer="1021" w:gutter="0"/>
          <w:cols w:space="720" w:num="1"/>
          <w:docGrid w:linePitch="312" w:charSpace="0"/>
        </w:sectPr>
      </w:pPr>
    </w:p>
    <w:tbl>
      <w:tblPr>
        <w:tblStyle w:val="42"/>
        <w:tblW w:w="887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8"/>
        <w:gridCol w:w="8130"/>
      </w:tblGrid>
      <w:tr w14:paraId="36D8B6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57" w:hRule="atLeast"/>
        </w:trPr>
        <w:tc>
          <w:tcPr>
            <w:tcW w:w="748" w:type="dxa"/>
            <w:vAlign w:val="center"/>
          </w:tcPr>
          <w:p w14:paraId="7ABFEF23">
            <w:pPr>
              <w:adjustRightInd w:val="0"/>
              <w:snapToGrid w:val="0"/>
              <w:jc w:val="center"/>
              <w:rPr>
                <w:snapToGrid w:val="0"/>
                <w:color w:val="auto"/>
              </w:rPr>
            </w:pPr>
            <w:r>
              <w:rPr>
                <w:rFonts w:hint="eastAsia" w:cs="宋体"/>
                <w:b/>
                <w:bCs w:val="0"/>
                <w:color w:val="auto"/>
                <w:sz w:val="24"/>
                <w:szCs w:val="24"/>
              </w:rPr>
              <w:t>运营期环境影响和保护措施</w:t>
            </w:r>
          </w:p>
        </w:tc>
        <w:tc>
          <w:tcPr>
            <w:tcW w:w="8130" w:type="dxa"/>
          </w:tcPr>
          <w:p w14:paraId="0BABEBFB">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b w:val="0"/>
                <w:bCs w:val="0"/>
                <w:color w:val="auto"/>
                <w:kern w:val="0"/>
                <w:sz w:val="24"/>
                <w:szCs w:val="24"/>
                <w:highlight w:val="none"/>
                <w:lang w:val="en-US" w:eastAsia="zh-CN" w:bidi="ar-SA"/>
              </w:rPr>
            </w:pPr>
            <w:r>
              <w:rPr>
                <w:rFonts w:hint="eastAsia" w:cs="Times New Roman"/>
                <w:b w:val="0"/>
                <w:bCs w:val="0"/>
                <w:color w:val="auto"/>
                <w:sz w:val="24"/>
                <w:lang w:val="en-US" w:eastAsia="zh-CN"/>
              </w:rPr>
              <w:t>（4）</w:t>
            </w:r>
            <w:r>
              <w:rPr>
                <w:rFonts w:hint="eastAsia" w:ascii="Times New Roman" w:hAnsi="Times New Roman" w:eastAsia="宋体" w:cs="Times New Roman"/>
                <w:b w:val="0"/>
                <w:bCs w:val="0"/>
                <w:color w:val="auto"/>
                <w:sz w:val="24"/>
                <w:lang w:val="en-US" w:eastAsia="zh-CN"/>
              </w:rPr>
              <w:t>噪声治理措施</w:t>
            </w:r>
          </w:p>
          <w:p w14:paraId="14A3C337">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除上表中给出的措施外，本项目还可采取以下措施来降低噪声对声环境的影响。</w:t>
            </w:r>
          </w:p>
          <w:p w14:paraId="6D88A97B">
            <w:pPr>
              <w:adjustRightInd w:val="0"/>
              <w:snapToGrid w:val="0"/>
              <w:spacing w:line="360" w:lineRule="auto"/>
              <w:ind w:firstLine="480" w:firstLineChars="200"/>
              <w:rPr>
                <w:rFonts w:hint="eastAsia" w:ascii="Times New Roman" w:hAnsi="Times New Roman" w:eastAsia="宋体"/>
                <w:color w:val="auto"/>
                <w:sz w:val="24"/>
                <w:highlight w:val="none"/>
                <w:lang w:eastAsia="zh-CN"/>
              </w:rPr>
            </w:pPr>
            <w:r>
              <w:rPr>
                <w:rFonts w:hint="eastAsia" w:ascii="Times New Roman" w:hAnsi="Times New Roman"/>
                <w:color w:val="auto"/>
                <w:sz w:val="24"/>
                <w:highlight w:val="none"/>
              </w:rPr>
              <w:t>①合理布置总平面，利用墙体、距离衰减降低噪声对厂外环境的影响</w:t>
            </w:r>
            <w:r>
              <w:rPr>
                <w:rFonts w:hint="eastAsia" w:ascii="Times New Roman" w:hAnsi="Times New Roman"/>
                <w:color w:val="auto"/>
                <w:sz w:val="24"/>
                <w:highlight w:val="none"/>
                <w:lang w:eastAsia="zh-CN"/>
              </w:rPr>
              <w:t>；</w:t>
            </w:r>
          </w:p>
          <w:p w14:paraId="1850AEC6">
            <w:pPr>
              <w:adjustRightInd w:val="0"/>
              <w:snapToGrid w:val="0"/>
              <w:spacing w:line="360" w:lineRule="auto"/>
              <w:ind w:firstLine="480" w:firstLineChars="200"/>
              <w:rPr>
                <w:rFonts w:hint="eastAsia" w:ascii="Times New Roman" w:hAnsi="Times New Roman" w:eastAsia="宋体"/>
                <w:color w:val="auto"/>
                <w:sz w:val="24"/>
                <w:highlight w:val="none"/>
                <w:lang w:eastAsia="zh-CN"/>
              </w:rPr>
            </w:pPr>
            <w:r>
              <w:rPr>
                <w:rFonts w:hint="eastAsia" w:ascii="Times New Roman" w:hAnsi="Times New Roman"/>
                <w:color w:val="auto"/>
                <w:sz w:val="24"/>
                <w:highlight w:val="none"/>
              </w:rPr>
              <w:t>②选用低噪声设备</w:t>
            </w:r>
            <w:r>
              <w:rPr>
                <w:rFonts w:hint="eastAsia" w:ascii="Times New Roman" w:hAnsi="Times New Roman"/>
                <w:color w:val="auto"/>
                <w:sz w:val="24"/>
                <w:highlight w:val="none"/>
                <w:lang w:eastAsia="zh-CN"/>
              </w:rPr>
              <w:t>，</w:t>
            </w:r>
            <w:r>
              <w:rPr>
                <w:rFonts w:hint="eastAsia" w:ascii="Times New Roman" w:hAnsi="Times New Roman"/>
                <w:color w:val="auto"/>
                <w:sz w:val="24"/>
                <w:highlight w:val="none"/>
                <w:lang w:val="en-US" w:eastAsia="zh-CN"/>
              </w:rPr>
              <w:t>空压机单独密闭</w:t>
            </w:r>
            <w:r>
              <w:rPr>
                <w:rFonts w:hint="eastAsia" w:ascii="Times New Roman" w:hAnsi="Times New Roman"/>
                <w:color w:val="auto"/>
                <w:sz w:val="24"/>
                <w:highlight w:val="none"/>
                <w:lang w:eastAsia="zh-CN"/>
              </w:rPr>
              <w:t>；</w:t>
            </w:r>
          </w:p>
          <w:p w14:paraId="44A112BC">
            <w:pPr>
              <w:adjustRightInd w:val="0"/>
              <w:snapToGrid w:val="0"/>
              <w:spacing w:line="360" w:lineRule="auto"/>
              <w:ind w:firstLine="480" w:firstLineChars="200"/>
              <w:rPr>
                <w:rFonts w:hint="eastAsia" w:ascii="Times New Roman" w:hAnsi="Times New Roman"/>
                <w:color w:val="auto"/>
                <w:sz w:val="24"/>
                <w:highlight w:val="none"/>
              </w:rPr>
            </w:pPr>
            <w:r>
              <w:rPr>
                <w:rFonts w:hint="eastAsia" w:ascii="Times New Roman" w:hAnsi="Times New Roman"/>
                <w:color w:val="auto"/>
                <w:sz w:val="24"/>
                <w:highlight w:val="none"/>
              </w:rPr>
              <w:t>③风机</w:t>
            </w:r>
            <w:r>
              <w:rPr>
                <w:rFonts w:hint="eastAsia" w:ascii="Times New Roman" w:hAnsi="Times New Roman"/>
                <w:color w:val="auto"/>
                <w:sz w:val="24"/>
                <w:highlight w:val="none"/>
                <w:lang w:val="en-US" w:eastAsia="zh-CN"/>
              </w:rPr>
              <w:t>采取隔振、消声等措施，如安装减振垫、隔声棉等</w:t>
            </w:r>
            <w:r>
              <w:rPr>
                <w:rFonts w:hint="eastAsia" w:ascii="Times New Roman" w:hAnsi="Times New Roman"/>
                <w:color w:val="auto"/>
                <w:sz w:val="24"/>
                <w:highlight w:val="none"/>
              </w:rPr>
              <w:t>。</w:t>
            </w:r>
            <w:r>
              <w:rPr>
                <w:rFonts w:hint="eastAsia" w:ascii="Times New Roman" w:hAnsi="Times New Roman"/>
                <w:color w:val="auto"/>
                <w:sz w:val="24"/>
                <w:highlight w:val="none"/>
                <w:lang w:val="en-US" w:eastAsia="zh-CN"/>
              </w:rPr>
              <w:t>同时</w:t>
            </w:r>
            <w:r>
              <w:rPr>
                <w:rFonts w:hint="eastAsia" w:ascii="Times New Roman" w:hAnsi="Times New Roman"/>
                <w:color w:val="auto"/>
                <w:sz w:val="24"/>
                <w:highlight w:val="none"/>
              </w:rPr>
              <w:t>加强对风机的维护</w:t>
            </w:r>
            <w:r>
              <w:rPr>
                <w:rFonts w:hint="eastAsia"/>
                <w:color w:val="auto"/>
                <w:sz w:val="24"/>
                <w:highlight w:val="none"/>
                <w:lang w:eastAsia="zh-CN"/>
              </w:rPr>
              <w:t>，</w:t>
            </w:r>
            <w:r>
              <w:rPr>
                <w:rFonts w:hint="eastAsia" w:ascii="Times New Roman" w:hAnsi="Times New Roman"/>
                <w:color w:val="auto"/>
                <w:sz w:val="24"/>
                <w:highlight w:val="none"/>
              </w:rPr>
              <w:t>定期检查维护，及时更换破损零部件，排除异常，减少噪声排放；</w:t>
            </w:r>
          </w:p>
          <w:p w14:paraId="1AE313E2">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Times New Roman" w:hAnsi="Times New Roman"/>
                <w:color w:val="auto"/>
                <w:sz w:val="24"/>
                <w:highlight w:val="none"/>
                <w:lang w:eastAsia="zh-CN"/>
              </w:rPr>
            </w:pPr>
            <w:r>
              <w:rPr>
                <w:rFonts w:hint="eastAsia" w:ascii="Times New Roman" w:hAnsi="Times New Roman"/>
                <w:color w:val="auto"/>
                <w:sz w:val="24"/>
                <w:highlight w:val="none"/>
              </w:rPr>
              <w:t>④合理安排工作时间，加强职工环保意识教育，提倡文明生产，防止人为噪声；在原辅材料及产品运输、装卸时做到文明操作</w:t>
            </w:r>
            <w:r>
              <w:rPr>
                <w:rFonts w:hint="eastAsia" w:ascii="Times New Roman" w:hAnsi="Times New Roman"/>
                <w:color w:val="auto"/>
                <w:sz w:val="24"/>
                <w:highlight w:val="none"/>
                <w:lang w:eastAsia="zh-CN"/>
              </w:rPr>
              <w:t>；</w:t>
            </w:r>
          </w:p>
          <w:p w14:paraId="5F19DA14">
            <w:pPr>
              <w:widowControl w:val="0"/>
              <w:spacing w:line="360" w:lineRule="auto"/>
              <w:ind w:firstLine="480" w:firstLineChars="200"/>
              <w:jc w:val="both"/>
              <w:rPr>
                <w:rFonts w:hint="eastAsia"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⑤对各设备基础进行减振处理，并加强设备的日常运行维护，确保设备正常运转，避免故障引起高噪声。</w:t>
            </w:r>
          </w:p>
          <w:p w14:paraId="02545754">
            <w:pPr>
              <w:widowControl w:val="0"/>
              <w:spacing w:line="360" w:lineRule="auto"/>
              <w:ind w:firstLine="480" w:firstLineChars="200"/>
              <w:jc w:val="both"/>
              <w:rPr>
                <w:rFonts w:hint="eastAsia" w:ascii="Times New Roman" w:hAnsi="Times New Roman" w:eastAsia="宋体" w:cs="Times New Roman"/>
                <w:b w:val="0"/>
                <w:bCs/>
                <w:color w:val="auto"/>
                <w:sz w:val="24"/>
                <w:szCs w:val="24"/>
                <w:highlight w:val="none"/>
                <w:lang w:val="en-US" w:eastAsia="zh-CN"/>
              </w:rPr>
            </w:pPr>
            <w:r>
              <w:rPr>
                <w:rFonts w:hint="eastAsia" w:cs="Times New Roman"/>
                <w:b w:val="0"/>
                <w:bCs/>
                <w:color w:val="auto"/>
                <w:sz w:val="24"/>
                <w:szCs w:val="22"/>
                <w:highlight w:val="none"/>
                <w:lang w:val="en-US" w:eastAsia="zh-CN"/>
              </w:rPr>
              <w:t>（5）</w:t>
            </w:r>
            <w:r>
              <w:rPr>
                <w:rFonts w:hint="eastAsia" w:ascii="Times New Roman" w:hAnsi="Times New Roman" w:eastAsia="宋体" w:cs="Times New Roman"/>
                <w:b w:val="0"/>
                <w:bCs/>
                <w:color w:val="auto"/>
                <w:sz w:val="24"/>
                <w:highlight w:val="none"/>
                <w:lang w:val="en-US" w:eastAsia="zh-CN"/>
              </w:rPr>
              <w:t>噪声影响估算</w:t>
            </w:r>
          </w:p>
          <w:p w14:paraId="3620CCC3">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根据《环境影响评价技术导则－声环境》（HJ2.4-2021）中关于噪声源简化处理原则，以独立房间视为一个点声源，将房间内的主要噪声源分别进行声级叠加，一个叠加声源经房间墙体的隔声衰减，传至室外的声级值作为一个等效室外声源。所有室内声源在围护结构处产生的i倍频带叠加声级：</w:t>
            </w:r>
          </w:p>
          <w:p w14:paraId="4BCD7E1E">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center"/>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color w:val="auto"/>
                <w:sz w:val="21"/>
                <w:szCs w:val="21"/>
                <w:highlight w:val="none"/>
              </w:rPr>
              <w:drawing>
                <wp:inline distT="0" distB="0" distL="114300" distR="114300">
                  <wp:extent cx="1905635" cy="565150"/>
                  <wp:effectExtent l="0" t="0" r="18415" b="6350"/>
                  <wp:docPr id="22"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15"/>
                          <pic:cNvPicPr>
                            <a:picLocks noChangeAspect="1"/>
                          </pic:cNvPicPr>
                        </pic:nvPicPr>
                        <pic:blipFill>
                          <a:blip r:embed="rId35"/>
                          <a:stretch>
                            <a:fillRect/>
                          </a:stretch>
                        </pic:blipFill>
                        <pic:spPr>
                          <a:xfrm>
                            <a:off x="0" y="0"/>
                            <a:ext cx="1905635" cy="565150"/>
                          </a:xfrm>
                          <a:prstGeom prst="rect">
                            <a:avLst/>
                          </a:prstGeom>
                          <a:noFill/>
                          <a:ln>
                            <a:noFill/>
                          </a:ln>
                        </pic:spPr>
                      </pic:pic>
                    </a:graphicData>
                  </a:graphic>
                </wp:inline>
              </w:drawing>
            </w:r>
          </w:p>
          <w:p w14:paraId="7D744067">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式中：L</w:t>
            </w:r>
            <w:r>
              <w:rPr>
                <w:rFonts w:hint="eastAsia" w:ascii="Times New Roman" w:hAnsi="Times New Roman" w:eastAsia="宋体" w:cs="Times New Roman"/>
                <w:b w:val="0"/>
                <w:bCs w:val="0"/>
                <w:color w:val="auto"/>
                <w:kern w:val="0"/>
                <w:sz w:val="24"/>
                <w:szCs w:val="24"/>
                <w:highlight w:val="none"/>
                <w:vertAlign w:val="subscript"/>
                <w:lang w:val="en-US" w:eastAsia="zh-CN" w:bidi="ar-SA"/>
              </w:rPr>
              <w:t>pil</w:t>
            </w:r>
            <w:r>
              <w:rPr>
                <w:rFonts w:hint="eastAsia" w:ascii="Times New Roman" w:hAnsi="Times New Roman" w:eastAsia="宋体" w:cs="Times New Roman"/>
                <w:b w:val="0"/>
                <w:bCs w:val="0"/>
                <w:color w:val="auto"/>
                <w:kern w:val="0"/>
                <w:sz w:val="24"/>
                <w:szCs w:val="24"/>
                <w:highlight w:val="none"/>
                <w:lang w:val="en-US" w:eastAsia="zh-CN" w:bidi="ar-SA"/>
              </w:rPr>
              <w:t>（T）—靠近围护结构处室内N个声源i倍频带的叠加声压级dB（A）；</w:t>
            </w:r>
          </w:p>
          <w:p w14:paraId="5BABB45F">
            <w:pPr>
              <w:keepNext w:val="0"/>
              <w:keepLines w:val="0"/>
              <w:pageBreakBefore w:val="0"/>
              <w:widowControl w:val="0"/>
              <w:kinsoku/>
              <w:wordWrap/>
              <w:overflowPunct/>
              <w:topLinePunct w:val="0"/>
              <w:autoSpaceDE/>
              <w:autoSpaceDN/>
              <w:bidi w:val="0"/>
              <w:adjustRightInd w:val="0"/>
              <w:snapToGrid w:val="0"/>
              <w:spacing w:line="360" w:lineRule="auto"/>
              <w:ind w:firstLine="1200" w:firstLineChars="500"/>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L</w:t>
            </w:r>
            <w:r>
              <w:rPr>
                <w:rFonts w:hint="eastAsia" w:ascii="Times New Roman" w:hAnsi="Times New Roman" w:eastAsia="宋体" w:cs="Times New Roman"/>
                <w:b w:val="0"/>
                <w:bCs w:val="0"/>
                <w:color w:val="auto"/>
                <w:kern w:val="0"/>
                <w:sz w:val="24"/>
                <w:szCs w:val="24"/>
                <w:highlight w:val="none"/>
                <w:vertAlign w:val="subscript"/>
                <w:lang w:val="en-US" w:eastAsia="zh-CN" w:bidi="ar-SA"/>
              </w:rPr>
              <w:t>plij</w:t>
            </w:r>
            <w:r>
              <w:rPr>
                <w:rFonts w:hint="eastAsia" w:ascii="Times New Roman" w:hAnsi="Times New Roman" w:eastAsia="宋体" w:cs="Times New Roman"/>
                <w:b w:val="0"/>
                <w:bCs w:val="0"/>
                <w:color w:val="auto"/>
                <w:kern w:val="0"/>
                <w:sz w:val="24"/>
                <w:szCs w:val="24"/>
                <w:highlight w:val="none"/>
                <w:lang w:val="en-US" w:eastAsia="zh-CN" w:bidi="ar-SA"/>
              </w:rPr>
              <w:t>—室内j声源i倍频带的声压级，dB（A）；</w:t>
            </w:r>
          </w:p>
          <w:p w14:paraId="56C63BAA">
            <w:pPr>
              <w:keepNext w:val="0"/>
              <w:keepLines w:val="0"/>
              <w:pageBreakBefore w:val="0"/>
              <w:widowControl w:val="0"/>
              <w:kinsoku/>
              <w:wordWrap/>
              <w:overflowPunct/>
              <w:topLinePunct w:val="0"/>
              <w:autoSpaceDE/>
              <w:autoSpaceDN/>
              <w:bidi w:val="0"/>
              <w:adjustRightInd w:val="0"/>
              <w:snapToGrid w:val="0"/>
              <w:spacing w:line="360" w:lineRule="auto"/>
              <w:ind w:firstLine="1200" w:firstLineChars="500"/>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N—室内声源总数。</w:t>
            </w:r>
          </w:p>
          <w:p w14:paraId="6AF49969">
            <w:pPr>
              <w:keepNext w:val="0"/>
              <w:keepLines w:val="0"/>
              <w:pageBreakBefore w:val="0"/>
              <w:widowControl w:val="0"/>
              <w:kinsoku/>
              <w:wordWrap/>
              <w:overflowPunct/>
              <w:topLinePunct w:val="0"/>
              <w:autoSpaceDE/>
              <w:autoSpaceDN/>
              <w:bidi w:val="0"/>
              <w:adjustRightInd w:val="0"/>
              <w:snapToGrid w:val="0"/>
              <w:spacing w:line="360" w:lineRule="auto"/>
              <w:ind w:left="0" w:firstLine="480" w:firstLineChars="200"/>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将建设项目主要噪声源进行能量叠加后的合成总声级值视为一个混合点噪声源，并以半球形向外辐射传播，在只考虑声源的距离衰减时，采用以下公式预测工程噪声对厂界的噪声影响。</w:t>
            </w:r>
          </w:p>
          <w:p w14:paraId="014580E9">
            <w:pPr>
              <w:keepNext w:val="0"/>
              <w:keepLines w:val="0"/>
              <w:pageBreakBefore w:val="0"/>
              <w:widowControl w:val="0"/>
              <w:kinsoku/>
              <w:wordWrap/>
              <w:overflowPunct/>
              <w:topLinePunct w:val="0"/>
              <w:autoSpaceDE/>
              <w:autoSpaceDN/>
              <w:bidi w:val="0"/>
              <w:adjustRightInd w:val="0"/>
              <w:snapToGrid w:val="0"/>
              <w:spacing w:line="360" w:lineRule="auto"/>
              <w:ind w:left="0" w:firstLine="480" w:firstLineChars="200"/>
              <w:textAlignment w:val="auto"/>
              <w:rPr>
                <w:rFonts w:hint="default"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根据《环境影响评价技术导则－声环境》（HJ2.4-2021）中B.4计算室外围护结构处的声压级，公式如下：</w:t>
            </w:r>
          </w:p>
          <w:p w14:paraId="5345465C">
            <w:pPr>
              <w:keepNext w:val="0"/>
              <w:keepLines w:val="0"/>
              <w:pageBreakBefore w:val="0"/>
              <w:widowControl w:val="0"/>
              <w:kinsoku/>
              <w:wordWrap/>
              <w:overflowPunct/>
              <w:topLinePunct w:val="0"/>
              <w:autoSpaceDE/>
              <w:autoSpaceDN/>
              <w:bidi w:val="0"/>
              <w:adjustRightInd w:val="0"/>
              <w:snapToGrid w:val="0"/>
              <w:spacing w:line="360" w:lineRule="auto"/>
              <w:ind w:left="0" w:right="0" w:firstLine="0"/>
              <w:jc w:val="center"/>
              <w:textAlignment w:val="auto"/>
              <w:rPr>
                <w:rFonts w:hint="eastAsia" w:ascii="Times New Roman" w:hAnsi="Times New Roman" w:eastAsia="宋体"/>
                <w:color w:val="auto"/>
                <w:sz w:val="24"/>
                <w:szCs w:val="24"/>
                <w:highlight w:val="none"/>
                <w:lang w:eastAsia="zh-CN"/>
              </w:rPr>
            </w:pPr>
            <w:r>
              <w:rPr>
                <w:rFonts w:ascii="Times New Roman" w:hAnsi="Times New Roman"/>
                <w:i/>
                <w:color w:val="auto"/>
                <w:sz w:val="24"/>
                <w:szCs w:val="24"/>
                <w:highlight w:val="none"/>
              </w:rPr>
              <w:t>L</w:t>
            </w:r>
            <w:r>
              <w:rPr>
                <w:rFonts w:ascii="Times New Roman" w:hAnsi="Times New Roman"/>
                <w:i/>
                <w:color w:val="auto"/>
                <w:position w:val="-5"/>
                <w:sz w:val="24"/>
                <w:szCs w:val="24"/>
                <w:highlight w:val="none"/>
              </w:rPr>
              <w:t xml:space="preserve">p </w:t>
            </w:r>
            <w:r>
              <w:rPr>
                <w:rFonts w:ascii="Times New Roman" w:hAnsi="Times New Roman"/>
                <w:color w:val="auto"/>
                <w:position w:val="-5"/>
                <w:sz w:val="24"/>
                <w:szCs w:val="24"/>
                <w:highlight w:val="none"/>
              </w:rPr>
              <w:t>2</w:t>
            </w:r>
            <w:r>
              <w:rPr>
                <w:rFonts w:ascii="Times New Roman" w:hAnsi="Times New Roman"/>
                <w:i/>
                <w:color w:val="auto"/>
                <w:position w:val="-5"/>
                <w:sz w:val="24"/>
                <w:szCs w:val="24"/>
                <w:highlight w:val="none"/>
              </w:rPr>
              <w:t>i</w:t>
            </w:r>
            <w:r>
              <w:rPr>
                <w:rFonts w:hint="eastAsia"/>
                <w:color w:val="auto"/>
                <w:sz w:val="24"/>
                <w:szCs w:val="24"/>
                <w:highlight w:val="none"/>
                <w:lang w:eastAsia="zh-CN"/>
              </w:rPr>
              <w:t>（</w:t>
            </w:r>
            <w:r>
              <w:rPr>
                <w:rFonts w:ascii="Times New Roman" w:hAnsi="Times New Roman"/>
                <w:i/>
                <w:color w:val="auto"/>
                <w:sz w:val="24"/>
                <w:szCs w:val="24"/>
                <w:highlight w:val="none"/>
              </w:rPr>
              <w:t>T</w:t>
            </w:r>
            <w:r>
              <w:rPr>
                <w:rFonts w:hint="eastAsia"/>
                <w:color w:val="auto"/>
                <w:sz w:val="24"/>
                <w:szCs w:val="24"/>
                <w:highlight w:val="none"/>
                <w:lang w:eastAsia="zh-CN"/>
              </w:rPr>
              <w:t>）</w:t>
            </w:r>
            <w:r>
              <w:rPr>
                <w:rFonts w:ascii="Symbol" w:hAnsi="Symbol"/>
                <w:color w:val="auto"/>
                <w:sz w:val="24"/>
                <w:szCs w:val="24"/>
                <w:highlight w:val="none"/>
              </w:rPr>
              <w:t></w:t>
            </w:r>
            <w:r>
              <w:rPr>
                <w:rFonts w:ascii="Times New Roman" w:hAnsi="Times New Roman"/>
                <w:i/>
                <w:color w:val="auto"/>
                <w:sz w:val="24"/>
                <w:szCs w:val="24"/>
                <w:highlight w:val="none"/>
              </w:rPr>
              <w:t>L</w:t>
            </w:r>
            <w:r>
              <w:rPr>
                <w:rFonts w:ascii="Times New Roman" w:hAnsi="Times New Roman"/>
                <w:i/>
                <w:color w:val="auto"/>
                <w:position w:val="-5"/>
                <w:sz w:val="24"/>
                <w:szCs w:val="24"/>
                <w:highlight w:val="none"/>
              </w:rPr>
              <w:t>p</w:t>
            </w:r>
            <w:r>
              <w:rPr>
                <w:rFonts w:ascii="Times New Roman" w:hAnsi="Times New Roman"/>
                <w:color w:val="auto"/>
                <w:position w:val="-5"/>
                <w:sz w:val="24"/>
                <w:szCs w:val="24"/>
                <w:highlight w:val="none"/>
              </w:rPr>
              <w:t>1</w:t>
            </w:r>
            <w:r>
              <w:rPr>
                <w:rFonts w:ascii="Times New Roman" w:hAnsi="Times New Roman"/>
                <w:i/>
                <w:color w:val="auto"/>
                <w:position w:val="-5"/>
                <w:sz w:val="24"/>
                <w:szCs w:val="24"/>
                <w:highlight w:val="none"/>
              </w:rPr>
              <w:t>i</w:t>
            </w:r>
            <w:r>
              <w:rPr>
                <w:rFonts w:hint="eastAsia"/>
                <w:color w:val="auto"/>
                <w:sz w:val="24"/>
                <w:szCs w:val="24"/>
                <w:highlight w:val="none"/>
                <w:lang w:eastAsia="zh-CN"/>
              </w:rPr>
              <w:t>（</w:t>
            </w:r>
            <w:r>
              <w:rPr>
                <w:rFonts w:ascii="Times New Roman" w:hAnsi="Times New Roman"/>
                <w:i/>
                <w:color w:val="auto"/>
                <w:sz w:val="24"/>
                <w:szCs w:val="24"/>
                <w:highlight w:val="none"/>
              </w:rPr>
              <w:t>T</w:t>
            </w:r>
            <w:r>
              <w:rPr>
                <w:rFonts w:hint="eastAsia"/>
                <w:color w:val="auto"/>
                <w:sz w:val="24"/>
                <w:szCs w:val="24"/>
                <w:highlight w:val="none"/>
                <w:lang w:eastAsia="zh-CN"/>
              </w:rPr>
              <w:t>）</w:t>
            </w:r>
            <w:r>
              <w:rPr>
                <w:rFonts w:ascii="Symbol" w:hAnsi="Symbol"/>
                <w:color w:val="auto"/>
                <w:sz w:val="24"/>
                <w:szCs w:val="24"/>
                <w:highlight w:val="none"/>
              </w:rPr>
              <w:t></w:t>
            </w:r>
            <w:r>
              <w:rPr>
                <w:rFonts w:hint="eastAsia"/>
                <w:color w:val="auto"/>
                <w:sz w:val="24"/>
                <w:szCs w:val="24"/>
                <w:highlight w:val="none"/>
                <w:lang w:eastAsia="zh-CN"/>
              </w:rPr>
              <w:t>（</w:t>
            </w:r>
            <w:r>
              <w:rPr>
                <w:rFonts w:ascii="Times New Roman" w:hAnsi="Times New Roman"/>
                <w:i/>
                <w:color w:val="auto"/>
                <w:sz w:val="24"/>
                <w:szCs w:val="24"/>
                <w:highlight w:val="none"/>
              </w:rPr>
              <w:t>TL</w:t>
            </w:r>
            <w:r>
              <w:rPr>
                <w:rFonts w:ascii="Times New Roman" w:hAnsi="Times New Roman"/>
                <w:i/>
                <w:color w:val="auto"/>
                <w:position w:val="-5"/>
                <w:sz w:val="24"/>
                <w:szCs w:val="24"/>
                <w:highlight w:val="none"/>
              </w:rPr>
              <w:t>i</w:t>
            </w:r>
            <w:r>
              <w:rPr>
                <w:rFonts w:ascii="Symbol" w:hAnsi="Symbol"/>
                <w:color w:val="auto"/>
                <w:sz w:val="24"/>
                <w:szCs w:val="24"/>
                <w:highlight w:val="none"/>
              </w:rPr>
              <w:t></w:t>
            </w:r>
            <w:r>
              <w:rPr>
                <w:rFonts w:ascii="Times New Roman" w:hAnsi="Times New Roman"/>
                <w:color w:val="auto"/>
                <w:sz w:val="24"/>
                <w:szCs w:val="24"/>
                <w:highlight w:val="none"/>
              </w:rPr>
              <w:t>6</w:t>
            </w:r>
            <w:r>
              <w:rPr>
                <w:rFonts w:hint="eastAsia"/>
                <w:color w:val="auto"/>
                <w:sz w:val="24"/>
                <w:szCs w:val="24"/>
                <w:highlight w:val="none"/>
                <w:lang w:eastAsia="zh-CN"/>
              </w:rPr>
              <w:t>）</w:t>
            </w:r>
          </w:p>
          <w:p w14:paraId="640E9F88">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式中：Lp2i（T）—靠近围护结构处室外N个声源i倍频带的叠加声压级，dB；</w:t>
            </w:r>
          </w:p>
          <w:p w14:paraId="1D4551EA">
            <w:pPr>
              <w:autoSpaceDE w:val="0"/>
              <w:autoSpaceDN w:val="0"/>
              <w:adjustRightInd w:val="0"/>
              <w:spacing w:line="360" w:lineRule="auto"/>
              <w:ind w:firstLine="1200" w:firstLineChars="500"/>
              <w:rPr>
                <w:rFonts w:hint="eastAsia"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L</w:t>
            </w:r>
            <w:r>
              <w:rPr>
                <w:rFonts w:hint="eastAsia" w:ascii="Times New Roman" w:hAnsi="Times New Roman" w:eastAsia="宋体" w:cs="Times New Roman"/>
                <w:color w:val="auto"/>
                <w:sz w:val="24"/>
                <w:szCs w:val="24"/>
                <w:vertAlign w:val="subscript"/>
                <w:lang w:val="en-US" w:eastAsia="zh-CN"/>
              </w:rPr>
              <w:t>p1i</w:t>
            </w:r>
            <w:r>
              <w:rPr>
                <w:rFonts w:hint="eastAsia" w:ascii="Times New Roman" w:hAnsi="Times New Roman" w:eastAsia="宋体" w:cs="Times New Roman"/>
                <w:color w:val="auto"/>
                <w:sz w:val="24"/>
                <w:szCs w:val="24"/>
                <w:lang w:val="en-US" w:eastAsia="zh-CN"/>
              </w:rPr>
              <w:t>（T）—靠近围护结构处室内N个声源i倍频带的叠加声压级，dB；</w:t>
            </w:r>
          </w:p>
          <w:p w14:paraId="61224A70">
            <w:pPr>
              <w:autoSpaceDE w:val="0"/>
              <w:autoSpaceDN w:val="0"/>
              <w:adjustRightInd w:val="0"/>
              <w:spacing w:line="360" w:lineRule="auto"/>
              <w:ind w:firstLine="1200" w:firstLineChars="500"/>
              <w:rPr>
                <w:rFonts w:hint="default"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TLi—围护结构i倍频带的隔声量，dB；本项目门隔声量为20dB；</w:t>
            </w:r>
          </w:p>
          <w:p w14:paraId="2B54E6CB">
            <w:pPr>
              <w:autoSpaceDE w:val="0"/>
              <w:autoSpaceDN w:val="0"/>
              <w:adjustRightInd w:val="0"/>
              <w:spacing w:line="360" w:lineRule="auto"/>
              <w:ind w:firstLine="480" w:firstLineChars="200"/>
              <w:rPr>
                <w:rFonts w:hint="default"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然后按式（B.5）将室外声源的声压级和透过面积换算成等效的室外声源，计算出中心位置位于透声面积（S）处的等效声源的倍频带声功率级。</w:t>
            </w:r>
          </w:p>
          <w:p w14:paraId="253C9DF2">
            <w:pPr>
              <w:autoSpaceDE w:val="0"/>
              <w:autoSpaceDN w:val="0"/>
              <w:adjustRightInd w:val="0"/>
              <w:spacing w:line="360" w:lineRule="auto"/>
              <w:ind w:firstLine="480" w:firstLineChars="200"/>
              <w:jc w:val="center"/>
              <w:rPr>
                <w:rFonts w:hint="eastAsia" w:ascii="Times New Roman" w:hAnsi="Times New Roman" w:eastAsia="宋体" w:cs="Times New Roman"/>
                <w:color w:val="auto"/>
                <w:sz w:val="24"/>
                <w:szCs w:val="24"/>
                <w:lang w:val="en-US" w:eastAsia="zh-CN"/>
              </w:rPr>
            </w:pPr>
            <w:r>
              <w:rPr>
                <w:color w:val="auto"/>
                <w:sz w:val="24"/>
                <w:szCs w:val="24"/>
              </w:rPr>
              <w:drawing>
                <wp:inline distT="0" distB="0" distL="114300" distR="114300">
                  <wp:extent cx="1504950" cy="371475"/>
                  <wp:effectExtent l="0" t="0" r="0" b="9525"/>
                  <wp:docPr id="17"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6"/>
                          <pic:cNvPicPr>
                            <a:picLocks noChangeAspect="1"/>
                          </pic:cNvPicPr>
                        </pic:nvPicPr>
                        <pic:blipFill>
                          <a:blip r:embed="rId36"/>
                          <a:stretch>
                            <a:fillRect/>
                          </a:stretch>
                        </pic:blipFill>
                        <pic:spPr>
                          <a:xfrm>
                            <a:off x="0" y="0"/>
                            <a:ext cx="1504950" cy="371475"/>
                          </a:xfrm>
                          <a:prstGeom prst="rect">
                            <a:avLst/>
                          </a:prstGeom>
                          <a:noFill/>
                          <a:ln>
                            <a:noFill/>
                          </a:ln>
                        </pic:spPr>
                      </pic:pic>
                    </a:graphicData>
                  </a:graphic>
                </wp:inline>
              </w:drawing>
            </w:r>
          </w:p>
          <w:p w14:paraId="03CE2DA1">
            <w:pPr>
              <w:autoSpaceDE w:val="0"/>
              <w:autoSpaceDN w:val="0"/>
              <w:adjustRightInd w:val="0"/>
              <w:spacing w:line="360" w:lineRule="auto"/>
              <w:ind w:firstLine="480" w:firstLineChars="200"/>
              <w:rPr>
                <w:rFonts w:hint="eastAsia"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式中：L</w:t>
            </w:r>
            <w:r>
              <w:rPr>
                <w:rFonts w:hint="eastAsia" w:ascii="Times New Roman" w:hAnsi="Times New Roman" w:eastAsia="宋体" w:cs="Times New Roman"/>
                <w:color w:val="auto"/>
                <w:sz w:val="24"/>
                <w:szCs w:val="24"/>
                <w:vertAlign w:val="subscript"/>
                <w:lang w:val="en-US" w:eastAsia="zh-CN"/>
              </w:rPr>
              <w:t>W</w:t>
            </w:r>
            <w:r>
              <w:rPr>
                <w:rFonts w:hint="eastAsia" w:ascii="Times New Roman" w:hAnsi="Times New Roman" w:eastAsia="宋体" w:cs="Times New Roman"/>
                <w:color w:val="auto"/>
                <w:sz w:val="24"/>
                <w:szCs w:val="24"/>
                <w:lang w:val="en-US" w:eastAsia="zh-CN"/>
              </w:rPr>
              <w:t>—中心位置位于透声面积（S）处的等效声源的倍频带声功率级，dB；</w:t>
            </w:r>
          </w:p>
          <w:p w14:paraId="5DAEA78A">
            <w:pPr>
              <w:autoSpaceDE w:val="0"/>
              <w:autoSpaceDN w:val="0"/>
              <w:adjustRightInd w:val="0"/>
              <w:spacing w:line="360" w:lineRule="auto"/>
              <w:ind w:firstLine="1200" w:firstLineChars="500"/>
              <w:rPr>
                <w:rFonts w:hint="eastAsia"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L</w:t>
            </w:r>
            <w:r>
              <w:rPr>
                <w:rFonts w:hint="eastAsia" w:ascii="Times New Roman" w:hAnsi="Times New Roman" w:eastAsia="宋体" w:cs="Times New Roman"/>
                <w:color w:val="auto"/>
                <w:sz w:val="24"/>
                <w:szCs w:val="24"/>
                <w:vertAlign w:val="subscript"/>
                <w:lang w:val="en-US" w:eastAsia="zh-CN"/>
              </w:rPr>
              <w:t>p2</w:t>
            </w:r>
            <w:r>
              <w:rPr>
                <w:rFonts w:hint="eastAsia" w:ascii="Times New Roman" w:hAnsi="Times New Roman" w:eastAsia="宋体" w:cs="Times New Roman"/>
                <w:color w:val="auto"/>
                <w:sz w:val="24"/>
                <w:szCs w:val="24"/>
                <w:lang w:val="en-US" w:eastAsia="zh-CN"/>
              </w:rPr>
              <w:t>（T）—靠近围护结构处室外声源的声压级，dB；</w:t>
            </w:r>
          </w:p>
          <w:p w14:paraId="1C1888AE">
            <w:pPr>
              <w:autoSpaceDE w:val="0"/>
              <w:autoSpaceDN w:val="0"/>
              <w:adjustRightInd w:val="0"/>
              <w:spacing w:line="360" w:lineRule="auto"/>
              <w:ind w:firstLine="1200" w:firstLineChars="500"/>
              <w:rPr>
                <w:rFonts w:hint="eastAsia"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S—透声面积，m</w:t>
            </w:r>
            <w:r>
              <w:rPr>
                <w:rFonts w:hint="eastAsia" w:ascii="Times New Roman" w:hAnsi="Times New Roman" w:eastAsia="宋体" w:cs="Times New Roman"/>
                <w:color w:val="auto"/>
                <w:sz w:val="24"/>
                <w:szCs w:val="24"/>
                <w:vertAlign w:val="superscript"/>
                <w:lang w:val="en-US" w:eastAsia="zh-CN"/>
              </w:rPr>
              <w:t>2</w:t>
            </w:r>
            <w:r>
              <w:rPr>
                <w:rFonts w:hint="eastAsia" w:ascii="Times New Roman" w:hAnsi="Times New Roman" w:eastAsia="宋体" w:cs="Times New Roman"/>
                <w:color w:val="auto"/>
                <w:sz w:val="24"/>
                <w:szCs w:val="24"/>
                <w:lang w:val="en-US" w:eastAsia="zh-CN"/>
              </w:rPr>
              <w:t>；</w:t>
            </w:r>
          </w:p>
          <w:p w14:paraId="08693C5C">
            <w:pPr>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textAlignment w:val="auto"/>
              <w:rPr>
                <w:rFonts w:hint="eastAsia"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lang w:val="en-US" w:eastAsia="zh-CN"/>
              </w:rPr>
              <w:t>本项目生产车间厂房共设置</w:t>
            </w:r>
            <w:r>
              <w:rPr>
                <w:rFonts w:hint="eastAsia" w:ascii="Times New Roman" w:hAnsi="Times New Roman" w:cs="Times New Roman"/>
                <w:color w:val="auto"/>
                <w:sz w:val="24"/>
                <w:lang w:val="en-US" w:eastAsia="zh-CN"/>
              </w:rPr>
              <w:t>27</w:t>
            </w:r>
            <w:r>
              <w:rPr>
                <w:rFonts w:hint="eastAsia" w:ascii="Times New Roman" w:hAnsi="Times New Roman" w:eastAsia="宋体" w:cs="Times New Roman"/>
                <w:color w:val="auto"/>
                <w:sz w:val="24"/>
                <w:lang w:val="en-US" w:eastAsia="zh-CN"/>
              </w:rPr>
              <w:t>个大门，</w:t>
            </w:r>
            <w:r>
              <w:rPr>
                <w:rFonts w:hint="eastAsia" w:ascii="Times New Roman" w:hAnsi="Times New Roman" w:cs="Times New Roman"/>
                <w:color w:val="auto"/>
                <w:sz w:val="24"/>
                <w:lang w:val="en-US" w:eastAsia="zh-CN"/>
              </w:rPr>
              <w:t>总</w:t>
            </w:r>
            <w:r>
              <w:rPr>
                <w:rFonts w:hint="eastAsia" w:ascii="Times New Roman" w:hAnsi="Times New Roman" w:eastAsia="宋体" w:cs="Times New Roman"/>
                <w:color w:val="auto"/>
                <w:sz w:val="24"/>
                <w:lang w:val="en-US" w:eastAsia="zh-CN"/>
              </w:rPr>
              <w:t>面积</w:t>
            </w:r>
            <w:r>
              <w:rPr>
                <w:rFonts w:hint="eastAsia" w:ascii="Times New Roman" w:hAnsi="Times New Roman" w:cs="Times New Roman"/>
                <w:color w:val="auto"/>
                <w:sz w:val="24"/>
                <w:lang w:val="en-US" w:eastAsia="zh-CN"/>
              </w:rPr>
              <w:t>146.63</w:t>
            </w:r>
            <w:r>
              <w:rPr>
                <w:rFonts w:hint="eastAsia" w:ascii="Times New Roman" w:hAnsi="Times New Roman" w:eastAsia="宋体" w:cs="Times New Roman"/>
                <w:color w:val="auto"/>
                <w:sz w:val="24"/>
                <w:lang w:val="en-US" w:eastAsia="zh-CN"/>
              </w:rPr>
              <w:t>m</w:t>
            </w:r>
            <w:r>
              <w:rPr>
                <w:rFonts w:hint="eastAsia" w:ascii="Times New Roman" w:hAnsi="Times New Roman" w:eastAsia="宋体" w:cs="Times New Roman"/>
                <w:color w:val="auto"/>
                <w:sz w:val="24"/>
                <w:vertAlign w:val="superscript"/>
                <w:lang w:val="en-US" w:eastAsia="zh-CN"/>
              </w:rPr>
              <w:t>2</w:t>
            </w:r>
            <w:r>
              <w:rPr>
                <w:rFonts w:hint="eastAsia" w:ascii="Times New Roman" w:hAnsi="Times New Roman" w:cs="Times New Roman"/>
                <w:color w:val="auto"/>
                <w:sz w:val="24"/>
                <w:lang w:val="en-US" w:eastAsia="zh-CN"/>
              </w:rPr>
              <w:t>。</w:t>
            </w:r>
          </w:p>
          <w:p w14:paraId="69B8CBF3">
            <w:pPr>
              <w:autoSpaceDE w:val="0"/>
              <w:autoSpaceDN w:val="0"/>
              <w:adjustRightInd w:val="0"/>
              <w:spacing w:line="360" w:lineRule="auto"/>
              <w:ind w:firstLine="480" w:firstLineChars="200"/>
              <w:rPr>
                <w:rFonts w:hint="default"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本项目主要噪声源对预测点贡献值的计算（作为保险系数）不考虑大气吸收引起的衰减，地面效应引起的衰减，以及其他多方面效应引起的衰减；在只考虑几何发散衰减的情况下，按照《环境影响评价技术导则－声环境》（HJ2.4-2021）中附录A，式（A.4）计算。</w:t>
            </w:r>
          </w:p>
          <w:p w14:paraId="7F364590">
            <w:pPr>
              <w:autoSpaceDE w:val="0"/>
              <w:autoSpaceDN w:val="0"/>
              <w:adjustRightInd w:val="0"/>
              <w:spacing w:line="360" w:lineRule="auto"/>
              <w:ind w:firstLine="480" w:firstLineChars="200"/>
              <w:jc w:val="center"/>
              <w:rPr>
                <w:rFonts w:hint="eastAsia" w:ascii="Times New Roman" w:hAnsi="Times New Roman" w:eastAsia="宋体" w:cs="Times New Roman"/>
                <w:color w:val="auto"/>
                <w:sz w:val="24"/>
                <w:szCs w:val="24"/>
                <w:lang w:val="en-US" w:eastAsia="zh-CN"/>
              </w:rPr>
            </w:pPr>
            <w:r>
              <w:rPr>
                <w:color w:val="auto"/>
                <w:sz w:val="24"/>
                <w:szCs w:val="24"/>
              </w:rPr>
              <w:drawing>
                <wp:inline distT="0" distB="0" distL="114300" distR="114300">
                  <wp:extent cx="1247775" cy="361950"/>
                  <wp:effectExtent l="0" t="0" r="9525" b="0"/>
                  <wp:docPr id="23"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17"/>
                          <pic:cNvPicPr>
                            <a:picLocks noChangeAspect="1"/>
                          </pic:cNvPicPr>
                        </pic:nvPicPr>
                        <pic:blipFill>
                          <a:blip r:embed="rId37"/>
                          <a:stretch>
                            <a:fillRect/>
                          </a:stretch>
                        </pic:blipFill>
                        <pic:spPr>
                          <a:xfrm>
                            <a:off x="0" y="0"/>
                            <a:ext cx="1247775" cy="361950"/>
                          </a:xfrm>
                          <a:prstGeom prst="rect">
                            <a:avLst/>
                          </a:prstGeom>
                          <a:noFill/>
                          <a:ln>
                            <a:noFill/>
                          </a:ln>
                        </pic:spPr>
                      </pic:pic>
                    </a:graphicData>
                  </a:graphic>
                </wp:inline>
              </w:drawing>
            </w:r>
          </w:p>
          <w:p w14:paraId="34E41D1D">
            <w:pPr>
              <w:autoSpaceDE w:val="0"/>
              <w:autoSpaceDN w:val="0"/>
              <w:adjustRightInd w:val="0"/>
              <w:spacing w:line="360" w:lineRule="auto"/>
              <w:ind w:firstLine="480" w:firstLineChars="200"/>
              <w:rPr>
                <w:rFonts w:hint="eastAsia"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式中：L</w:t>
            </w:r>
            <w:r>
              <w:rPr>
                <w:rFonts w:hint="eastAsia" w:ascii="Times New Roman" w:hAnsi="Times New Roman" w:eastAsia="宋体" w:cs="Times New Roman"/>
                <w:color w:val="auto"/>
                <w:sz w:val="24"/>
                <w:szCs w:val="24"/>
                <w:vertAlign w:val="subscript"/>
                <w:lang w:val="en-US" w:eastAsia="zh-CN"/>
              </w:rPr>
              <w:t>A</w:t>
            </w:r>
            <w:r>
              <w:rPr>
                <w:rFonts w:hint="eastAsia" w:ascii="Times New Roman" w:hAnsi="Times New Roman" w:eastAsia="宋体" w:cs="Times New Roman"/>
                <w:color w:val="auto"/>
                <w:sz w:val="24"/>
                <w:szCs w:val="24"/>
                <w:lang w:val="en-US" w:eastAsia="zh-CN"/>
              </w:rPr>
              <w:t>（R）—距声源r处的A声级，dB（A）；</w:t>
            </w:r>
          </w:p>
          <w:p w14:paraId="7D60E8CB">
            <w:pPr>
              <w:autoSpaceDE w:val="0"/>
              <w:autoSpaceDN w:val="0"/>
              <w:adjustRightInd w:val="0"/>
              <w:spacing w:line="360" w:lineRule="auto"/>
              <w:ind w:firstLine="1200" w:firstLineChars="500"/>
              <w:rPr>
                <w:rFonts w:hint="eastAsia"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L</w:t>
            </w:r>
            <w:r>
              <w:rPr>
                <w:rFonts w:hint="eastAsia" w:ascii="Times New Roman" w:hAnsi="Times New Roman" w:eastAsia="宋体" w:cs="Times New Roman"/>
                <w:color w:val="auto"/>
                <w:sz w:val="24"/>
                <w:szCs w:val="24"/>
                <w:vertAlign w:val="subscript"/>
                <w:lang w:val="en-US" w:eastAsia="zh-CN"/>
              </w:rPr>
              <w:t>A</w:t>
            </w:r>
            <w:r>
              <w:rPr>
                <w:rFonts w:hint="eastAsia" w:ascii="Times New Roman" w:hAnsi="Times New Roman" w:eastAsia="宋体" w:cs="Times New Roman"/>
                <w:color w:val="auto"/>
                <w:sz w:val="24"/>
                <w:szCs w:val="24"/>
                <w:lang w:val="en-US" w:eastAsia="zh-CN"/>
              </w:rPr>
              <w:t>（r0）—参考位置r0处的A声级，dB（A）；</w:t>
            </w:r>
          </w:p>
          <w:p w14:paraId="470C30A3">
            <w:pPr>
              <w:autoSpaceDE w:val="0"/>
              <w:autoSpaceDN w:val="0"/>
              <w:adjustRightInd w:val="0"/>
              <w:spacing w:line="360" w:lineRule="auto"/>
              <w:ind w:firstLine="1200" w:firstLineChars="500"/>
              <w:rPr>
                <w:rFonts w:hint="default"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A</w:t>
            </w:r>
            <w:r>
              <w:rPr>
                <w:rFonts w:hint="eastAsia" w:ascii="Times New Roman" w:hAnsi="Times New Roman" w:eastAsia="宋体" w:cs="Times New Roman"/>
                <w:color w:val="auto"/>
                <w:sz w:val="24"/>
                <w:szCs w:val="24"/>
                <w:vertAlign w:val="subscript"/>
                <w:lang w:val="en-US" w:eastAsia="zh-CN"/>
              </w:rPr>
              <w:t>div</w:t>
            </w:r>
            <w:r>
              <w:rPr>
                <w:rFonts w:hint="eastAsia" w:ascii="Times New Roman" w:hAnsi="Times New Roman" w:eastAsia="宋体" w:cs="Times New Roman"/>
                <w:color w:val="auto"/>
                <w:sz w:val="24"/>
                <w:szCs w:val="24"/>
                <w:lang w:val="en-US" w:eastAsia="zh-CN"/>
              </w:rPr>
              <w:t>—几何发散引起的衰减，dB。</w:t>
            </w:r>
          </w:p>
          <w:p w14:paraId="0298EFD1">
            <w:pPr>
              <w:autoSpaceDE w:val="0"/>
              <w:autoSpaceDN w:val="0"/>
              <w:adjustRightInd w:val="0"/>
              <w:spacing w:line="360" w:lineRule="auto"/>
              <w:ind w:firstLine="480" w:firstLineChars="200"/>
              <w:rPr>
                <w:rFonts w:hint="default"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几何发散引起的衰减按照无指向性点声源几何发散衰减计算，</w:t>
            </w:r>
            <w:r>
              <w:rPr>
                <w:rFonts w:hint="eastAsia" w:cs="Times New Roman"/>
                <w:color w:val="auto"/>
                <w:sz w:val="24"/>
                <w:szCs w:val="24"/>
                <w:lang w:val="en-US" w:eastAsia="zh-CN"/>
              </w:rPr>
              <w:t>公式</w:t>
            </w:r>
            <w:r>
              <w:rPr>
                <w:rFonts w:hint="eastAsia" w:ascii="Times New Roman" w:hAnsi="Times New Roman" w:eastAsia="宋体" w:cs="Times New Roman"/>
                <w:color w:val="auto"/>
                <w:sz w:val="24"/>
                <w:szCs w:val="24"/>
                <w:lang w:val="en-US" w:eastAsia="zh-CN"/>
              </w:rPr>
              <w:t>为（A.5）。</w:t>
            </w:r>
          </w:p>
          <w:p w14:paraId="6AE2BB28">
            <w:pPr>
              <w:autoSpaceDE w:val="0"/>
              <w:autoSpaceDN w:val="0"/>
              <w:adjustRightInd w:val="0"/>
              <w:spacing w:line="360" w:lineRule="auto"/>
              <w:ind w:firstLine="480" w:firstLineChars="200"/>
              <w:jc w:val="center"/>
              <w:rPr>
                <w:rFonts w:hint="eastAsia" w:ascii="Times New Roman" w:hAnsi="Times New Roman" w:eastAsia="宋体" w:cs="Times New Roman"/>
                <w:color w:val="auto"/>
                <w:sz w:val="24"/>
                <w:szCs w:val="24"/>
                <w:lang w:val="en-US" w:eastAsia="zh-CN"/>
              </w:rPr>
            </w:pPr>
            <w:r>
              <w:rPr>
                <w:color w:val="auto"/>
                <w:sz w:val="24"/>
                <w:szCs w:val="24"/>
                <w:highlight w:val="none"/>
              </w:rPr>
              <w:drawing>
                <wp:inline distT="0" distB="0" distL="114300" distR="114300">
                  <wp:extent cx="1882775" cy="323850"/>
                  <wp:effectExtent l="0" t="0" r="3175" b="0"/>
                  <wp:docPr id="20"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18"/>
                          <pic:cNvPicPr>
                            <a:picLocks noChangeAspect="1"/>
                          </pic:cNvPicPr>
                        </pic:nvPicPr>
                        <pic:blipFill>
                          <a:blip r:embed="rId38"/>
                          <a:stretch>
                            <a:fillRect/>
                          </a:stretch>
                        </pic:blipFill>
                        <pic:spPr>
                          <a:xfrm>
                            <a:off x="0" y="0"/>
                            <a:ext cx="1882775" cy="323850"/>
                          </a:xfrm>
                          <a:prstGeom prst="rect">
                            <a:avLst/>
                          </a:prstGeom>
                          <a:noFill/>
                          <a:ln>
                            <a:noFill/>
                          </a:ln>
                        </pic:spPr>
                      </pic:pic>
                    </a:graphicData>
                  </a:graphic>
                </wp:inline>
              </w:drawing>
            </w:r>
          </w:p>
          <w:p w14:paraId="7068D11A">
            <w:pPr>
              <w:autoSpaceDE w:val="0"/>
              <w:autoSpaceDN w:val="0"/>
              <w:adjustRightInd w:val="0"/>
              <w:spacing w:line="360" w:lineRule="auto"/>
              <w:ind w:firstLine="480" w:firstLineChars="200"/>
              <w:rPr>
                <w:rFonts w:hint="eastAsia"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式中：LP（r）—预测点处声压级，dB；</w:t>
            </w:r>
          </w:p>
          <w:p w14:paraId="0BDE532E">
            <w:pPr>
              <w:autoSpaceDE w:val="0"/>
              <w:autoSpaceDN w:val="0"/>
              <w:adjustRightInd w:val="0"/>
              <w:spacing w:line="360" w:lineRule="auto"/>
              <w:ind w:firstLine="1200" w:firstLineChars="500"/>
              <w:rPr>
                <w:rFonts w:hint="eastAsia"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LP（r0）—参考位置r0处的声压级，dB；</w:t>
            </w:r>
          </w:p>
          <w:p w14:paraId="47D5A2FB">
            <w:pPr>
              <w:autoSpaceDE w:val="0"/>
              <w:autoSpaceDN w:val="0"/>
              <w:adjustRightInd w:val="0"/>
              <w:spacing w:line="360" w:lineRule="auto"/>
              <w:ind w:firstLine="1200" w:firstLineChars="500"/>
              <w:rPr>
                <w:rFonts w:hint="eastAsia"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r—预测点距声源距离，m；</w:t>
            </w:r>
          </w:p>
          <w:p w14:paraId="44489545">
            <w:pPr>
              <w:keepNext w:val="0"/>
              <w:keepLines w:val="0"/>
              <w:pageBreakBefore w:val="0"/>
              <w:widowControl w:val="0"/>
              <w:kinsoku/>
              <w:wordWrap/>
              <w:overflowPunct/>
              <w:topLinePunct w:val="0"/>
              <w:autoSpaceDE w:val="0"/>
              <w:autoSpaceDN w:val="0"/>
              <w:bidi w:val="0"/>
              <w:adjustRightInd w:val="0"/>
              <w:snapToGrid/>
              <w:spacing w:line="360" w:lineRule="auto"/>
              <w:ind w:firstLine="1200" w:firstLineChars="500"/>
              <w:textAlignment w:val="auto"/>
              <w:rPr>
                <w:rFonts w:hint="default"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r0—参考位置距声源的距离。</w:t>
            </w:r>
          </w:p>
          <w:p w14:paraId="51C4D025">
            <w:pPr>
              <w:widowControl w:val="0"/>
              <w:spacing w:line="360" w:lineRule="auto"/>
              <w:ind w:firstLine="480" w:firstLineChars="200"/>
              <w:jc w:val="both"/>
              <w:rPr>
                <w:rFonts w:hint="eastAsia"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lang w:val="en-US" w:eastAsia="zh-CN"/>
              </w:rPr>
              <w:t>本项目厂界50m范围内无声环境保护目标，</w:t>
            </w:r>
            <w:r>
              <w:rPr>
                <w:rFonts w:hint="eastAsia" w:cs="Times New Roman"/>
                <w:color w:val="auto"/>
                <w:sz w:val="24"/>
                <w:szCs w:val="24"/>
                <w:lang w:val="en-US" w:eastAsia="zh-CN"/>
              </w:rPr>
              <w:t>因此，本次仅预测厂界噪声贡献值，</w:t>
            </w:r>
            <w:r>
              <w:rPr>
                <w:rFonts w:hint="eastAsia" w:ascii="Times New Roman" w:hAnsi="Times New Roman" w:eastAsia="宋体" w:cs="Times New Roman"/>
                <w:color w:val="auto"/>
                <w:sz w:val="24"/>
                <w:szCs w:val="24"/>
                <w:lang w:val="en-US" w:eastAsia="zh-CN"/>
              </w:rPr>
              <w:t>具体预测结果见下表</w:t>
            </w:r>
            <w:r>
              <w:rPr>
                <w:rFonts w:hint="eastAsia" w:cs="Times New Roman"/>
                <w:color w:val="auto"/>
                <w:sz w:val="24"/>
                <w:szCs w:val="24"/>
                <w:lang w:val="en-US" w:eastAsia="zh-CN"/>
              </w:rPr>
              <w:t>。</w:t>
            </w:r>
          </w:p>
          <w:p w14:paraId="70025BC1">
            <w:pPr>
              <w:shd w:val="clear"/>
              <w:spacing w:line="240" w:lineRule="auto"/>
              <w:jc w:val="center"/>
              <w:rPr>
                <w:rFonts w:ascii="Times New Roman" w:hAnsi="Times New Roman"/>
                <w:color w:val="auto"/>
                <w:sz w:val="21"/>
                <w:szCs w:val="21"/>
                <w:highlight w:val="none"/>
              </w:rPr>
            </w:pPr>
            <w:r>
              <w:rPr>
                <w:rFonts w:ascii="Times New Roman" w:hAnsi="Times New Roman"/>
                <w:b/>
                <w:bCs/>
                <w:color w:val="auto"/>
                <w:kern w:val="0"/>
                <w:sz w:val="21"/>
                <w:szCs w:val="21"/>
                <w:highlight w:val="none"/>
              </w:rPr>
              <w:t>表</w:t>
            </w:r>
            <w:r>
              <w:rPr>
                <w:rFonts w:hint="eastAsia" w:ascii="Times New Roman" w:hAnsi="Times New Roman"/>
                <w:b/>
                <w:bCs/>
                <w:color w:val="auto"/>
                <w:kern w:val="0"/>
                <w:sz w:val="21"/>
                <w:szCs w:val="21"/>
                <w:highlight w:val="none"/>
              </w:rPr>
              <w:t>4-</w:t>
            </w:r>
            <w:r>
              <w:rPr>
                <w:rFonts w:hint="eastAsia" w:ascii="Times New Roman" w:hAnsi="Times New Roman"/>
                <w:b/>
                <w:bCs/>
                <w:color w:val="auto"/>
                <w:kern w:val="0"/>
                <w:sz w:val="21"/>
                <w:szCs w:val="21"/>
                <w:highlight w:val="none"/>
                <w:lang w:val="en-US" w:eastAsia="zh-CN"/>
              </w:rPr>
              <w:t>1</w:t>
            </w:r>
            <w:r>
              <w:rPr>
                <w:rFonts w:hint="eastAsia"/>
                <w:b/>
                <w:bCs/>
                <w:color w:val="auto"/>
                <w:kern w:val="0"/>
                <w:sz w:val="21"/>
                <w:szCs w:val="21"/>
                <w:highlight w:val="none"/>
                <w:lang w:val="en-US" w:eastAsia="zh-CN"/>
              </w:rPr>
              <w:t>8</w:t>
            </w:r>
            <w:r>
              <w:rPr>
                <w:rFonts w:hint="eastAsia" w:ascii="Times New Roman" w:hAnsi="Times New Roman"/>
                <w:b/>
                <w:bCs/>
                <w:color w:val="auto"/>
                <w:kern w:val="0"/>
                <w:sz w:val="21"/>
                <w:szCs w:val="21"/>
                <w:highlight w:val="none"/>
              </w:rPr>
              <w:t xml:space="preserve"> </w:t>
            </w:r>
            <w:r>
              <w:rPr>
                <w:rFonts w:hint="eastAsia" w:ascii="Times New Roman" w:hAnsi="Times New Roman"/>
                <w:b/>
                <w:bCs/>
                <w:color w:val="auto"/>
                <w:kern w:val="0"/>
                <w:sz w:val="21"/>
                <w:szCs w:val="21"/>
                <w:highlight w:val="none"/>
                <w:lang w:val="en-US" w:eastAsia="zh-CN"/>
              </w:rPr>
              <w:t>厂界噪声预测结果一览表</w:t>
            </w:r>
            <w:r>
              <w:rPr>
                <w:rFonts w:hint="eastAsia" w:ascii="Times New Roman" w:hAnsi="Times New Roman"/>
                <w:b/>
                <w:bCs/>
                <w:color w:val="auto"/>
                <w:kern w:val="0"/>
                <w:sz w:val="21"/>
                <w:szCs w:val="21"/>
                <w:highlight w:val="none"/>
              </w:rPr>
              <w:t>（单位：dB（A））</w:t>
            </w:r>
          </w:p>
          <w:tbl>
            <w:tblPr>
              <w:tblStyle w:val="41"/>
              <w:tblW w:w="4995"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756"/>
              <w:gridCol w:w="1940"/>
              <w:gridCol w:w="1974"/>
              <w:gridCol w:w="1662"/>
              <w:gridCol w:w="1575"/>
            </w:tblGrid>
            <w:tr w14:paraId="76BB6AB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78" w:type="pct"/>
                  <w:shd w:val="clear" w:color="auto" w:fill="DCE6F2"/>
                  <w:noWrap w:val="0"/>
                  <w:vAlign w:val="center"/>
                </w:tcPr>
                <w:p w14:paraId="4CA38087">
                  <w:pPr>
                    <w:shd w:val="clear"/>
                    <w:adjustRightInd w:val="0"/>
                    <w:snapToGrid w:val="0"/>
                    <w:spacing w:line="280" w:lineRule="exact"/>
                    <w:jc w:val="center"/>
                    <w:rPr>
                      <w:rFonts w:hint="eastAsia" w:ascii="Times New Roman" w:hAnsi="Times New Roman" w:eastAsia="宋体" w:cs="Times New Roman"/>
                      <w:b/>
                      <w:bCs/>
                      <w:color w:val="auto"/>
                      <w:kern w:val="0"/>
                      <w:szCs w:val="21"/>
                      <w:highlight w:val="none"/>
                      <w:lang w:val="en-US" w:eastAsia="zh-CN"/>
                    </w:rPr>
                  </w:pPr>
                  <w:r>
                    <w:rPr>
                      <w:rFonts w:hint="eastAsia" w:ascii="Times New Roman" w:hAnsi="Times New Roman" w:eastAsia="宋体" w:cs="Times New Roman"/>
                      <w:b/>
                      <w:bCs/>
                      <w:color w:val="auto"/>
                      <w:kern w:val="0"/>
                      <w:szCs w:val="21"/>
                      <w:highlight w:val="none"/>
                      <w:lang w:val="en-US" w:eastAsia="zh-CN"/>
                    </w:rPr>
                    <w:t>序号</w:t>
                  </w:r>
                </w:p>
              </w:tc>
              <w:tc>
                <w:tcPr>
                  <w:tcW w:w="1226" w:type="pct"/>
                  <w:shd w:val="clear" w:color="auto" w:fill="DCE6F2"/>
                  <w:noWrap w:val="0"/>
                  <w:vAlign w:val="center"/>
                </w:tcPr>
                <w:p w14:paraId="1405F548">
                  <w:pPr>
                    <w:shd w:val="clear"/>
                    <w:adjustRightInd w:val="0"/>
                    <w:snapToGrid w:val="0"/>
                    <w:spacing w:line="280" w:lineRule="exact"/>
                    <w:jc w:val="center"/>
                    <w:rPr>
                      <w:rFonts w:ascii="Times New Roman" w:hAnsi="Times New Roman"/>
                      <w:b/>
                      <w:bCs/>
                      <w:color w:val="auto"/>
                      <w:kern w:val="0"/>
                      <w:szCs w:val="21"/>
                      <w:highlight w:val="none"/>
                    </w:rPr>
                  </w:pPr>
                  <w:r>
                    <w:rPr>
                      <w:rFonts w:hint="eastAsia" w:ascii="Times New Roman" w:hAnsi="Times New Roman"/>
                      <w:b/>
                      <w:bCs/>
                      <w:color w:val="auto"/>
                      <w:kern w:val="0"/>
                      <w:szCs w:val="21"/>
                      <w:highlight w:val="none"/>
                    </w:rPr>
                    <w:t>预测点位置</w:t>
                  </w:r>
                </w:p>
              </w:tc>
              <w:tc>
                <w:tcPr>
                  <w:tcW w:w="1248" w:type="pct"/>
                  <w:shd w:val="clear" w:color="auto" w:fill="DCE6F2"/>
                  <w:noWrap w:val="0"/>
                  <w:vAlign w:val="center"/>
                </w:tcPr>
                <w:p w14:paraId="74035C15">
                  <w:pPr>
                    <w:shd w:val="clear"/>
                    <w:adjustRightInd w:val="0"/>
                    <w:snapToGrid w:val="0"/>
                    <w:spacing w:line="280" w:lineRule="exact"/>
                    <w:jc w:val="center"/>
                    <w:rPr>
                      <w:rFonts w:hint="default" w:ascii="Times New Roman" w:hAnsi="Times New Roman" w:eastAsia="宋体"/>
                      <w:b/>
                      <w:bCs/>
                      <w:color w:val="auto"/>
                      <w:kern w:val="0"/>
                      <w:szCs w:val="21"/>
                      <w:highlight w:val="none"/>
                      <w:lang w:val="en-US" w:eastAsia="zh-CN"/>
                    </w:rPr>
                  </w:pPr>
                  <w:r>
                    <w:rPr>
                      <w:rFonts w:hint="eastAsia" w:ascii="Times New Roman" w:hAnsi="Times New Roman"/>
                      <w:b/>
                      <w:bCs/>
                      <w:color w:val="auto"/>
                      <w:kern w:val="0"/>
                      <w:szCs w:val="21"/>
                      <w:highlight w:val="none"/>
                      <w:lang w:val="en-US" w:eastAsia="zh-CN"/>
                    </w:rPr>
                    <w:t>贡献值</w:t>
                  </w:r>
                </w:p>
              </w:tc>
              <w:tc>
                <w:tcPr>
                  <w:tcW w:w="1050" w:type="pct"/>
                  <w:shd w:val="clear" w:color="auto" w:fill="DCE6F2"/>
                  <w:noWrap w:val="0"/>
                  <w:vAlign w:val="center"/>
                </w:tcPr>
                <w:p w14:paraId="00C6BB38">
                  <w:pPr>
                    <w:shd w:val="clear"/>
                    <w:adjustRightInd w:val="0"/>
                    <w:snapToGrid w:val="0"/>
                    <w:spacing w:line="280" w:lineRule="exact"/>
                    <w:jc w:val="center"/>
                    <w:rPr>
                      <w:rFonts w:ascii="Times New Roman" w:hAnsi="Times New Roman"/>
                      <w:b/>
                      <w:bCs/>
                      <w:color w:val="auto"/>
                      <w:kern w:val="0"/>
                      <w:szCs w:val="21"/>
                      <w:highlight w:val="none"/>
                    </w:rPr>
                  </w:pPr>
                  <w:r>
                    <w:rPr>
                      <w:rFonts w:hint="eastAsia" w:ascii="Times New Roman" w:hAnsi="Times New Roman"/>
                      <w:b/>
                      <w:bCs/>
                      <w:color w:val="auto"/>
                      <w:kern w:val="0"/>
                      <w:szCs w:val="21"/>
                      <w:highlight w:val="none"/>
                    </w:rPr>
                    <w:t>标准值</w:t>
                  </w:r>
                </w:p>
              </w:tc>
              <w:tc>
                <w:tcPr>
                  <w:tcW w:w="995" w:type="pct"/>
                  <w:shd w:val="clear" w:color="auto" w:fill="DCE6F2"/>
                  <w:noWrap w:val="0"/>
                  <w:vAlign w:val="center"/>
                </w:tcPr>
                <w:p w14:paraId="224CDCAE">
                  <w:pPr>
                    <w:shd w:val="clear"/>
                    <w:adjustRightInd w:val="0"/>
                    <w:snapToGrid w:val="0"/>
                    <w:spacing w:line="280" w:lineRule="exact"/>
                    <w:jc w:val="center"/>
                    <w:rPr>
                      <w:rFonts w:ascii="Times New Roman" w:hAnsi="Times New Roman"/>
                      <w:b/>
                      <w:bCs/>
                      <w:color w:val="auto"/>
                      <w:kern w:val="0"/>
                      <w:szCs w:val="21"/>
                      <w:highlight w:val="none"/>
                    </w:rPr>
                  </w:pPr>
                  <w:r>
                    <w:rPr>
                      <w:rFonts w:hint="eastAsia" w:ascii="Times New Roman" w:hAnsi="Times New Roman"/>
                      <w:b/>
                      <w:bCs/>
                      <w:color w:val="auto"/>
                      <w:kern w:val="0"/>
                      <w:szCs w:val="21"/>
                      <w:highlight w:val="none"/>
                    </w:rPr>
                    <w:t>是否达标</w:t>
                  </w:r>
                </w:p>
              </w:tc>
            </w:tr>
            <w:tr w14:paraId="68C5919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78" w:type="pct"/>
                  <w:vMerge w:val="restart"/>
                  <w:noWrap w:val="0"/>
                  <w:vAlign w:val="center"/>
                </w:tcPr>
                <w:p w14:paraId="5F20B905">
                  <w:pPr>
                    <w:shd w:val="clear"/>
                    <w:adjustRightInd w:val="0"/>
                    <w:snapToGrid w:val="0"/>
                    <w:spacing w:line="280" w:lineRule="exact"/>
                    <w:jc w:val="center"/>
                    <w:rPr>
                      <w:rFonts w:hint="eastAsia" w:ascii="Times New Roman" w:hAnsi="Times New Roman" w:eastAsia="宋体"/>
                      <w:color w:val="auto"/>
                      <w:kern w:val="0"/>
                      <w:szCs w:val="21"/>
                      <w:highlight w:val="none"/>
                      <w:lang w:eastAsia="zh-CN"/>
                    </w:rPr>
                  </w:pPr>
                  <w:r>
                    <w:rPr>
                      <w:rFonts w:hint="eastAsia" w:ascii="Times New Roman" w:hAnsi="Times New Roman"/>
                      <w:color w:val="auto"/>
                      <w:kern w:val="0"/>
                      <w:szCs w:val="21"/>
                      <w:highlight w:val="none"/>
                      <w:lang w:eastAsia="zh-CN"/>
                    </w:rPr>
                    <w:t>1</w:t>
                  </w:r>
                </w:p>
              </w:tc>
              <w:tc>
                <w:tcPr>
                  <w:tcW w:w="1226" w:type="pct"/>
                  <w:vMerge w:val="restart"/>
                  <w:noWrap w:val="0"/>
                  <w:vAlign w:val="center"/>
                </w:tcPr>
                <w:p w14:paraId="3B40A67E">
                  <w:pPr>
                    <w:shd w:val="clear"/>
                    <w:adjustRightInd w:val="0"/>
                    <w:snapToGrid w:val="0"/>
                    <w:spacing w:line="280" w:lineRule="exact"/>
                    <w:jc w:val="center"/>
                    <w:rPr>
                      <w:rFonts w:hint="default" w:ascii="Times New Roman" w:hAnsi="Times New Roman"/>
                      <w:color w:val="auto"/>
                      <w:kern w:val="0"/>
                      <w:szCs w:val="21"/>
                      <w:highlight w:val="none"/>
                      <w:lang w:val="en-US"/>
                    </w:rPr>
                  </w:pPr>
                  <w:r>
                    <w:rPr>
                      <w:rFonts w:hint="eastAsia"/>
                      <w:color w:val="auto"/>
                      <w:kern w:val="0"/>
                      <w:szCs w:val="21"/>
                      <w:highlight w:val="none"/>
                      <w:lang w:val="en-US" w:eastAsia="zh-CN"/>
                    </w:rPr>
                    <w:t>东厂界</w:t>
                  </w:r>
                </w:p>
              </w:tc>
              <w:tc>
                <w:tcPr>
                  <w:tcW w:w="1248" w:type="pct"/>
                  <w:vMerge w:val="restart"/>
                  <w:noWrap w:val="0"/>
                  <w:vAlign w:val="center"/>
                </w:tcPr>
                <w:p w14:paraId="03D3B3B1">
                  <w:pPr>
                    <w:shd w:val="clear"/>
                    <w:adjustRightInd w:val="0"/>
                    <w:snapToGrid w:val="0"/>
                    <w:spacing w:line="280" w:lineRule="exact"/>
                    <w:jc w:val="center"/>
                    <w:rPr>
                      <w:rFonts w:hint="default" w:ascii="Times New Roman" w:hAnsi="Times New Roman" w:eastAsia="宋体"/>
                      <w:color w:val="auto"/>
                      <w:szCs w:val="21"/>
                      <w:highlight w:val="none"/>
                      <w:lang w:val="en-US" w:eastAsia="zh-CN"/>
                    </w:rPr>
                  </w:pPr>
                  <w:r>
                    <w:rPr>
                      <w:rFonts w:hint="eastAsia"/>
                      <w:color w:val="auto"/>
                      <w:szCs w:val="21"/>
                      <w:highlight w:val="none"/>
                      <w:lang w:val="en-US" w:eastAsia="zh-CN"/>
                    </w:rPr>
                    <w:t>47.01</w:t>
                  </w:r>
                </w:p>
              </w:tc>
              <w:tc>
                <w:tcPr>
                  <w:tcW w:w="1050" w:type="pct"/>
                  <w:noWrap w:val="0"/>
                  <w:vAlign w:val="center"/>
                </w:tcPr>
                <w:p w14:paraId="0F3AD919">
                  <w:pPr>
                    <w:shd w:val="clear"/>
                    <w:adjustRightInd w:val="0"/>
                    <w:snapToGrid w:val="0"/>
                    <w:spacing w:line="280" w:lineRule="exact"/>
                    <w:jc w:val="center"/>
                    <w:rPr>
                      <w:rFonts w:ascii="Times New Roman" w:hAnsi="Times New Roman"/>
                      <w:color w:val="auto"/>
                      <w:kern w:val="0"/>
                      <w:szCs w:val="21"/>
                      <w:highlight w:val="none"/>
                    </w:rPr>
                  </w:pPr>
                  <w:r>
                    <w:rPr>
                      <w:rFonts w:hint="eastAsia" w:ascii="Times New Roman" w:hAnsi="Times New Roman"/>
                      <w:color w:val="auto"/>
                      <w:kern w:val="0"/>
                      <w:szCs w:val="21"/>
                      <w:highlight w:val="none"/>
                    </w:rPr>
                    <w:t>昼间65</w:t>
                  </w:r>
                </w:p>
              </w:tc>
              <w:tc>
                <w:tcPr>
                  <w:tcW w:w="995" w:type="pct"/>
                  <w:noWrap w:val="0"/>
                  <w:vAlign w:val="center"/>
                </w:tcPr>
                <w:p w14:paraId="21EB891C">
                  <w:pPr>
                    <w:shd w:val="clear"/>
                    <w:adjustRightInd w:val="0"/>
                    <w:snapToGrid w:val="0"/>
                    <w:spacing w:line="280" w:lineRule="exact"/>
                    <w:jc w:val="center"/>
                    <w:rPr>
                      <w:rFonts w:ascii="Times New Roman" w:hAnsi="Times New Roman"/>
                      <w:color w:val="auto"/>
                      <w:kern w:val="0"/>
                      <w:szCs w:val="21"/>
                      <w:highlight w:val="none"/>
                    </w:rPr>
                  </w:pPr>
                  <w:r>
                    <w:rPr>
                      <w:rFonts w:hint="eastAsia" w:ascii="Times New Roman" w:hAnsi="Times New Roman"/>
                      <w:color w:val="auto"/>
                      <w:kern w:val="0"/>
                      <w:szCs w:val="21"/>
                      <w:highlight w:val="none"/>
                    </w:rPr>
                    <w:t>达标</w:t>
                  </w:r>
                </w:p>
              </w:tc>
            </w:tr>
            <w:tr w14:paraId="3338235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78" w:type="pct"/>
                  <w:vMerge w:val="continue"/>
                  <w:noWrap w:val="0"/>
                  <w:vAlign w:val="center"/>
                </w:tcPr>
                <w:p w14:paraId="60A6E042">
                  <w:pPr>
                    <w:shd w:val="clear"/>
                    <w:adjustRightInd w:val="0"/>
                    <w:snapToGrid w:val="0"/>
                    <w:spacing w:line="280" w:lineRule="exact"/>
                    <w:jc w:val="center"/>
                    <w:rPr>
                      <w:rFonts w:hint="eastAsia" w:ascii="Times New Roman" w:hAnsi="Times New Roman"/>
                      <w:color w:val="auto"/>
                      <w:kern w:val="0"/>
                      <w:szCs w:val="21"/>
                      <w:highlight w:val="none"/>
                    </w:rPr>
                  </w:pPr>
                </w:p>
              </w:tc>
              <w:tc>
                <w:tcPr>
                  <w:tcW w:w="1226" w:type="pct"/>
                  <w:vMerge w:val="continue"/>
                  <w:noWrap w:val="0"/>
                  <w:vAlign w:val="center"/>
                </w:tcPr>
                <w:p w14:paraId="60F6CD0C">
                  <w:pPr>
                    <w:shd w:val="clear"/>
                    <w:adjustRightInd w:val="0"/>
                    <w:snapToGrid w:val="0"/>
                    <w:spacing w:line="280" w:lineRule="exact"/>
                    <w:jc w:val="center"/>
                    <w:rPr>
                      <w:rFonts w:hint="eastAsia" w:ascii="Times New Roman" w:hAnsi="Times New Roman"/>
                      <w:color w:val="auto"/>
                      <w:kern w:val="0"/>
                      <w:szCs w:val="21"/>
                      <w:highlight w:val="none"/>
                    </w:rPr>
                  </w:pPr>
                </w:p>
              </w:tc>
              <w:tc>
                <w:tcPr>
                  <w:tcW w:w="1248" w:type="pct"/>
                  <w:vMerge w:val="continue"/>
                  <w:noWrap w:val="0"/>
                  <w:vAlign w:val="center"/>
                </w:tcPr>
                <w:p w14:paraId="10814F7F">
                  <w:pPr>
                    <w:shd w:val="clear"/>
                    <w:adjustRightInd w:val="0"/>
                    <w:snapToGrid w:val="0"/>
                    <w:spacing w:line="280" w:lineRule="exact"/>
                    <w:jc w:val="center"/>
                    <w:rPr>
                      <w:rFonts w:hint="eastAsia" w:ascii="Times New Roman" w:hAnsi="Times New Roman"/>
                      <w:color w:val="auto"/>
                      <w:szCs w:val="21"/>
                      <w:highlight w:val="none"/>
                      <w:lang w:val="en-US" w:eastAsia="zh-CN"/>
                    </w:rPr>
                  </w:pPr>
                </w:p>
              </w:tc>
              <w:tc>
                <w:tcPr>
                  <w:tcW w:w="1050" w:type="pct"/>
                  <w:noWrap w:val="0"/>
                  <w:vAlign w:val="center"/>
                </w:tcPr>
                <w:p w14:paraId="45E255A6">
                  <w:pPr>
                    <w:shd w:val="clear"/>
                    <w:adjustRightInd w:val="0"/>
                    <w:snapToGrid w:val="0"/>
                    <w:spacing w:line="280" w:lineRule="exact"/>
                    <w:jc w:val="center"/>
                    <w:rPr>
                      <w:rFonts w:ascii="Times New Roman" w:hAnsi="Times New Roman"/>
                      <w:color w:val="auto"/>
                      <w:kern w:val="0"/>
                      <w:szCs w:val="21"/>
                      <w:highlight w:val="none"/>
                    </w:rPr>
                  </w:pPr>
                  <w:r>
                    <w:rPr>
                      <w:rFonts w:hint="eastAsia" w:ascii="Times New Roman" w:hAnsi="Times New Roman"/>
                      <w:color w:val="auto"/>
                      <w:kern w:val="0"/>
                      <w:szCs w:val="21"/>
                      <w:highlight w:val="none"/>
                      <w:lang w:val="en-US" w:eastAsia="zh-CN"/>
                    </w:rPr>
                    <w:t>夜间5</w:t>
                  </w:r>
                  <w:r>
                    <w:rPr>
                      <w:rFonts w:hint="eastAsia" w:ascii="Times New Roman" w:hAnsi="Times New Roman"/>
                      <w:color w:val="auto"/>
                      <w:kern w:val="0"/>
                      <w:szCs w:val="21"/>
                      <w:highlight w:val="none"/>
                    </w:rPr>
                    <w:t>5</w:t>
                  </w:r>
                </w:p>
              </w:tc>
              <w:tc>
                <w:tcPr>
                  <w:tcW w:w="995" w:type="pct"/>
                  <w:noWrap w:val="0"/>
                  <w:vAlign w:val="center"/>
                </w:tcPr>
                <w:p w14:paraId="229C68AA">
                  <w:pPr>
                    <w:shd w:val="clear"/>
                    <w:adjustRightInd w:val="0"/>
                    <w:snapToGrid w:val="0"/>
                    <w:spacing w:line="280" w:lineRule="exact"/>
                    <w:jc w:val="center"/>
                    <w:rPr>
                      <w:rFonts w:hint="eastAsia" w:ascii="Times New Roman" w:hAnsi="Times New Roman"/>
                      <w:color w:val="auto"/>
                      <w:kern w:val="0"/>
                      <w:szCs w:val="21"/>
                      <w:highlight w:val="none"/>
                    </w:rPr>
                  </w:pPr>
                  <w:r>
                    <w:rPr>
                      <w:rFonts w:hint="eastAsia" w:ascii="Times New Roman" w:hAnsi="Times New Roman"/>
                      <w:color w:val="auto"/>
                      <w:kern w:val="0"/>
                      <w:szCs w:val="21"/>
                      <w:highlight w:val="none"/>
                    </w:rPr>
                    <w:t>达标</w:t>
                  </w:r>
                </w:p>
              </w:tc>
            </w:tr>
            <w:tr w14:paraId="51DB7C2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78" w:type="pct"/>
                  <w:vMerge w:val="restart"/>
                  <w:noWrap w:val="0"/>
                  <w:vAlign w:val="center"/>
                </w:tcPr>
                <w:p w14:paraId="1DEBA37A">
                  <w:pPr>
                    <w:shd w:val="clear"/>
                    <w:adjustRightInd w:val="0"/>
                    <w:snapToGrid w:val="0"/>
                    <w:spacing w:line="280" w:lineRule="exact"/>
                    <w:jc w:val="center"/>
                    <w:rPr>
                      <w:rFonts w:hint="eastAsia" w:ascii="Times New Roman" w:hAnsi="Times New Roman" w:eastAsia="宋体"/>
                      <w:color w:val="auto"/>
                      <w:kern w:val="0"/>
                      <w:szCs w:val="21"/>
                      <w:highlight w:val="none"/>
                      <w:lang w:val="en-US" w:eastAsia="zh-CN"/>
                    </w:rPr>
                  </w:pPr>
                  <w:r>
                    <w:rPr>
                      <w:rFonts w:hint="eastAsia"/>
                      <w:color w:val="auto"/>
                      <w:kern w:val="0"/>
                      <w:szCs w:val="21"/>
                      <w:highlight w:val="none"/>
                      <w:lang w:val="en-US" w:eastAsia="zh-CN"/>
                    </w:rPr>
                    <w:t>2</w:t>
                  </w:r>
                </w:p>
              </w:tc>
              <w:tc>
                <w:tcPr>
                  <w:tcW w:w="1226" w:type="pct"/>
                  <w:vMerge w:val="restart"/>
                  <w:noWrap w:val="0"/>
                  <w:vAlign w:val="center"/>
                </w:tcPr>
                <w:p w14:paraId="49F94830">
                  <w:pPr>
                    <w:shd w:val="clear"/>
                    <w:adjustRightInd w:val="0"/>
                    <w:snapToGrid w:val="0"/>
                    <w:spacing w:line="280" w:lineRule="exact"/>
                    <w:jc w:val="center"/>
                    <w:rPr>
                      <w:rFonts w:hint="default" w:ascii="Times New Roman" w:hAnsi="Times New Roman" w:eastAsia="宋体"/>
                      <w:color w:val="auto"/>
                      <w:kern w:val="0"/>
                      <w:szCs w:val="21"/>
                      <w:highlight w:val="none"/>
                      <w:lang w:val="en-US" w:eastAsia="zh-CN"/>
                    </w:rPr>
                  </w:pPr>
                  <w:r>
                    <w:rPr>
                      <w:rFonts w:hint="eastAsia"/>
                      <w:color w:val="auto"/>
                      <w:kern w:val="0"/>
                      <w:szCs w:val="21"/>
                      <w:highlight w:val="none"/>
                      <w:lang w:val="en-US" w:eastAsia="zh-CN"/>
                    </w:rPr>
                    <w:t>南厂界</w:t>
                  </w:r>
                </w:p>
              </w:tc>
              <w:tc>
                <w:tcPr>
                  <w:tcW w:w="1248" w:type="pct"/>
                  <w:vMerge w:val="restart"/>
                  <w:noWrap w:val="0"/>
                  <w:vAlign w:val="center"/>
                </w:tcPr>
                <w:p w14:paraId="7B53A6E9">
                  <w:pPr>
                    <w:shd w:val="clear"/>
                    <w:adjustRightInd w:val="0"/>
                    <w:snapToGrid w:val="0"/>
                    <w:spacing w:line="280" w:lineRule="exact"/>
                    <w:jc w:val="center"/>
                    <w:rPr>
                      <w:rFonts w:hint="default" w:ascii="Times New Roman" w:hAnsi="Times New Roman"/>
                      <w:color w:val="auto"/>
                      <w:szCs w:val="21"/>
                      <w:highlight w:val="none"/>
                      <w:lang w:val="en-US" w:eastAsia="zh-CN"/>
                    </w:rPr>
                  </w:pPr>
                  <w:r>
                    <w:rPr>
                      <w:rFonts w:hint="eastAsia"/>
                      <w:color w:val="auto"/>
                      <w:szCs w:val="21"/>
                      <w:highlight w:val="none"/>
                      <w:lang w:val="en-US" w:eastAsia="zh-CN"/>
                    </w:rPr>
                    <w:t>51.71</w:t>
                  </w:r>
                </w:p>
              </w:tc>
              <w:tc>
                <w:tcPr>
                  <w:tcW w:w="1662" w:type="dxa"/>
                  <w:noWrap w:val="0"/>
                  <w:vAlign w:val="center"/>
                </w:tcPr>
                <w:p w14:paraId="2359A573">
                  <w:pPr>
                    <w:shd w:val="clear"/>
                    <w:adjustRightInd w:val="0"/>
                    <w:snapToGrid w:val="0"/>
                    <w:spacing w:line="280" w:lineRule="exact"/>
                    <w:jc w:val="center"/>
                    <w:rPr>
                      <w:rFonts w:hint="eastAsia" w:ascii="Times New Roman" w:hAnsi="Times New Roman"/>
                      <w:color w:val="auto"/>
                      <w:kern w:val="0"/>
                      <w:szCs w:val="21"/>
                      <w:highlight w:val="none"/>
                      <w:lang w:val="en-US" w:eastAsia="zh-CN"/>
                    </w:rPr>
                  </w:pPr>
                  <w:r>
                    <w:rPr>
                      <w:rFonts w:hint="eastAsia" w:ascii="Times New Roman" w:hAnsi="Times New Roman"/>
                      <w:color w:val="auto"/>
                      <w:kern w:val="0"/>
                      <w:szCs w:val="21"/>
                      <w:highlight w:val="none"/>
                    </w:rPr>
                    <w:t>昼间65</w:t>
                  </w:r>
                </w:p>
              </w:tc>
              <w:tc>
                <w:tcPr>
                  <w:tcW w:w="1575" w:type="dxa"/>
                  <w:noWrap w:val="0"/>
                  <w:vAlign w:val="center"/>
                </w:tcPr>
                <w:p w14:paraId="46DCD870">
                  <w:pPr>
                    <w:shd w:val="clear"/>
                    <w:adjustRightInd w:val="0"/>
                    <w:snapToGrid w:val="0"/>
                    <w:spacing w:line="280" w:lineRule="exact"/>
                    <w:jc w:val="center"/>
                    <w:rPr>
                      <w:rFonts w:hint="eastAsia" w:ascii="Times New Roman" w:hAnsi="Times New Roman"/>
                      <w:color w:val="auto"/>
                      <w:kern w:val="0"/>
                      <w:szCs w:val="21"/>
                      <w:highlight w:val="none"/>
                    </w:rPr>
                  </w:pPr>
                  <w:r>
                    <w:rPr>
                      <w:rFonts w:hint="eastAsia" w:ascii="Times New Roman" w:hAnsi="Times New Roman"/>
                      <w:color w:val="auto"/>
                      <w:kern w:val="0"/>
                      <w:szCs w:val="21"/>
                      <w:highlight w:val="none"/>
                    </w:rPr>
                    <w:t>达标</w:t>
                  </w:r>
                </w:p>
              </w:tc>
            </w:tr>
            <w:tr w14:paraId="26ECFE5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78" w:type="pct"/>
                  <w:vMerge w:val="continue"/>
                  <w:noWrap w:val="0"/>
                  <w:vAlign w:val="center"/>
                </w:tcPr>
                <w:p w14:paraId="2DC5D243">
                  <w:pPr>
                    <w:shd w:val="clear"/>
                    <w:adjustRightInd w:val="0"/>
                    <w:snapToGrid w:val="0"/>
                    <w:spacing w:line="280" w:lineRule="exact"/>
                    <w:jc w:val="center"/>
                    <w:rPr>
                      <w:rFonts w:hint="eastAsia" w:ascii="Times New Roman" w:hAnsi="Times New Roman"/>
                      <w:color w:val="auto"/>
                      <w:kern w:val="0"/>
                      <w:szCs w:val="21"/>
                      <w:highlight w:val="none"/>
                    </w:rPr>
                  </w:pPr>
                </w:p>
              </w:tc>
              <w:tc>
                <w:tcPr>
                  <w:tcW w:w="1226" w:type="pct"/>
                  <w:vMerge w:val="continue"/>
                  <w:noWrap w:val="0"/>
                  <w:vAlign w:val="center"/>
                </w:tcPr>
                <w:p w14:paraId="022C9A3E">
                  <w:pPr>
                    <w:shd w:val="clear"/>
                    <w:adjustRightInd w:val="0"/>
                    <w:snapToGrid w:val="0"/>
                    <w:spacing w:line="280" w:lineRule="exact"/>
                    <w:jc w:val="center"/>
                    <w:rPr>
                      <w:rFonts w:hint="eastAsia" w:ascii="Times New Roman" w:hAnsi="Times New Roman"/>
                      <w:color w:val="auto"/>
                      <w:kern w:val="0"/>
                      <w:szCs w:val="21"/>
                      <w:highlight w:val="none"/>
                    </w:rPr>
                  </w:pPr>
                </w:p>
              </w:tc>
              <w:tc>
                <w:tcPr>
                  <w:tcW w:w="1248" w:type="pct"/>
                  <w:vMerge w:val="continue"/>
                  <w:noWrap w:val="0"/>
                  <w:vAlign w:val="center"/>
                </w:tcPr>
                <w:p w14:paraId="43FD696C">
                  <w:pPr>
                    <w:shd w:val="clear"/>
                    <w:adjustRightInd w:val="0"/>
                    <w:snapToGrid w:val="0"/>
                    <w:spacing w:line="280" w:lineRule="exact"/>
                    <w:jc w:val="center"/>
                    <w:rPr>
                      <w:rFonts w:hint="eastAsia" w:ascii="Times New Roman" w:hAnsi="Times New Roman"/>
                      <w:color w:val="auto"/>
                      <w:szCs w:val="21"/>
                      <w:highlight w:val="none"/>
                      <w:lang w:val="en-US" w:eastAsia="zh-CN"/>
                    </w:rPr>
                  </w:pPr>
                </w:p>
              </w:tc>
              <w:tc>
                <w:tcPr>
                  <w:tcW w:w="1662" w:type="dxa"/>
                  <w:noWrap w:val="0"/>
                  <w:vAlign w:val="center"/>
                </w:tcPr>
                <w:p w14:paraId="6DC27504">
                  <w:pPr>
                    <w:shd w:val="clear"/>
                    <w:adjustRightInd w:val="0"/>
                    <w:snapToGrid w:val="0"/>
                    <w:spacing w:line="280" w:lineRule="exact"/>
                    <w:jc w:val="center"/>
                    <w:rPr>
                      <w:rFonts w:hint="eastAsia" w:ascii="Times New Roman" w:hAnsi="Times New Roman"/>
                      <w:color w:val="auto"/>
                      <w:kern w:val="0"/>
                      <w:szCs w:val="21"/>
                      <w:highlight w:val="none"/>
                      <w:lang w:val="en-US" w:eastAsia="zh-CN"/>
                    </w:rPr>
                  </w:pPr>
                  <w:r>
                    <w:rPr>
                      <w:rFonts w:hint="eastAsia" w:ascii="Times New Roman" w:hAnsi="Times New Roman"/>
                      <w:color w:val="auto"/>
                      <w:kern w:val="0"/>
                      <w:szCs w:val="21"/>
                      <w:highlight w:val="none"/>
                      <w:lang w:val="en-US" w:eastAsia="zh-CN"/>
                    </w:rPr>
                    <w:t>夜间5</w:t>
                  </w:r>
                  <w:r>
                    <w:rPr>
                      <w:rFonts w:hint="eastAsia" w:ascii="Times New Roman" w:hAnsi="Times New Roman"/>
                      <w:color w:val="auto"/>
                      <w:kern w:val="0"/>
                      <w:szCs w:val="21"/>
                      <w:highlight w:val="none"/>
                    </w:rPr>
                    <w:t>5</w:t>
                  </w:r>
                </w:p>
              </w:tc>
              <w:tc>
                <w:tcPr>
                  <w:tcW w:w="1575" w:type="dxa"/>
                  <w:noWrap w:val="0"/>
                  <w:vAlign w:val="center"/>
                </w:tcPr>
                <w:p w14:paraId="3948E226">
                  <w:pPr>
                    <w:shd w:val="clear"/>
                    <w:adjustRightInd w:val="0"/>
                    <w:snapToGrid w:val="0"/>
                    <w:spacing w:line="280" w:lineRule="exact"/>
                    <w:jc w:val="center"/>
                    <w:rPr>
                      <w:rFonts w:hint="eastAsia" w:ascii="Times New Roman" w:hAnsi="Times New Roman"/>
                      <w:color w:val="auto"/>
                      <w:kern w:val="0"/>
                      <w:szCs w:val="21"/>
                      <w:highlight w:val="none"/>
                    </w:rPr>
                  </w:pPr>
                  <w:r>
                    <w:rPr>
                      <w:rFonts w:hint="eastAsia" w:ascii="Times New Roman" w:hAnsi="Times New Roman"/>
                      <w:color w:val="auto"/>
                      <w:kern w:val="0"/>
                      <w:szCs w:val="21"/>
                      <w:highlight w:val="none"/>
                    </w:rPr>
                    <w:t>达标</w:t>
                  </w:r>
                </w:p>
              </w:tc>
            </w:tr>
            <w:tr w14:paraId="54DD8BC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78" w:type="pct"/>
                  <w:vMerge w:val="restart"/>
                  <w:noWrap w:val="0"/>
                  <w:vAlign w:val="center"/>
                </w:tcPr>
                <w:p w14:paraId="1ADD5876">
                  <w:pPr>
                    <w:shd w:val="clear"/>
                    <w:adjustRightInd w:val="0"/>
                    <w:snapToGrid w:val="0"/>
                    <w:spacing w:line="280" w:lineRule="exact"/>
                    <w:jc w:val="center"/>
                    <w:rPr>
                      <w:rFonts w:hint="eastAsia" w:ascii="Times New Roman" w:hAnsi="Times New Roman" w:eastAsia="宋体"/>
                      <w:color w:val="auto"/>
                      <w:kern w:val="0"/>
                      <w:szCs w:val="21"/>
                      <w:highlight w:val="none"/>
                      <w:lang w:val="en-US" w:eastAsia="zh-CN"/>
                    </w:rPr>
                  </w:pPr>
                  <w:r>
                    <w:rPr>
                      <w:rFonts w:hint="eastAsia"/>
                      <w:color w:val="auto"/>
                      <w:kern w:val="0"/>
                      <w:szCs w:val="21"/>
                      <w:highlight w:val="none"/>
                      <w:lang w:val="en-US" w:eastAsia="zh-CN"/>
                    </w:rPr>
                    <w:t>3</w:t>
                  </w:r>
                </w:p>
              </w:tc>
              <w:tc>
                <w:tcPr>
                  <w:tcW w:w="1226" w:type="pct"/>
                  <w:vMerge w:val="restart"/>
                  <w:noWrap w:val="0"/>
                  <w:vAlign w:val="center"/>
                </w:tcPr>
                <w:p w14:paraId="143F1251">
                  <w:pPr>
                    <w:shd w:val="clear"/>
                    <w:adjustRightInd w:val="0"/>
                    <w:snapToGrid w:val="0"/>
                    <w:spacing w:line="280" w:lineRule="exact"/>
                    <w:jc w:val="center"/>
                    <w:rPr>
                      <w:rFonts w:hint="eastAsia" w:ascii="Times New Roman" w:hAnsi="Times New Roman"/>
                      <w:color w:val="auto"/>
                      <w:kern w:val="0"/>
                      <w:szCs w:val="21"/>
                      <w:highlight w:val="none"/>
                    </w:rPr>
                  </w:pPr>
                  <w:r>
                    <w:rPr>
                      <w:rFonts w:hint="eastAsia"/>
                      <w:color w:val="auto"/>
                      <w:kern w:val="0"/>
                      <w:szCs w:val="21"/>
                      <w:highlight w:val="none"/>
                      <w:lang w:val="en-US" w:eastAsia="zh-CN"/>
                    </w:rPr>
                    <w:t>西厂界</w:t>
                  </w:r>
                </w:p>
              </w:tc>
              <w:tc>
                <w:tcPr>
                  <w:tcW w:w="1248" w:type="pct"/>
                  <w:vMerge w:val="restart"/>
                  <w:noWrap w:val="0"/>
                  <w:vAlign w:val="center"/>
                </w:tcPr>
                <w:p w14:paraId="1B401552">
                  <w:pPr>
                    <w:shd w:val="clear"/>
                    <w:adjustRightInd w:val="0"/>
                    <w:snapToGrid w:val="0"/>
                    <w:spacing w:line="280" w:lineRule="exact"/>
                    <w:jc w:val="center"/>
                    <w:rPr>
                      <w:rFonts w:hint="default" w:ascii="Times New Roman" w:hAnsi="Times New Roman"/>
                      <w:color w:val="auto"/>
                      <w:szCs w:val="21"/>
                      <w:highlight w:val="none"/>
                      <w:lang w:val="en-US" w:eastAsia="zh-CN"/>
                    </w:rPr>
                  </w:pPr>
                  <w:r>
                    <w:rPr>
                      <w:rFonts w:hint="eastAsia"/>
                      <w:color w:val="auto"/>
                      <w:szCs w:val="21"/>
                      <w:highlight w:val="none"/>
                      <w:lang w:val="en-US" w:eastAsia="zh-CN"/>
                    </w:rPr>
                    <w:t>34.14</w:t>
                  </w:r>
                </w:p>
              </w:tc>
              <w:tc>
                <w:tcPr>
                  <w:tcW w:w="1662" w:type="dxa"/>
                  <w:noWrap w:val="0"/>
                  <w:vAlign w:val="center"/>
                </w:tcPr>
                <w:p w14:paraId="507745BD">
                  <w:pPr>
                    <w:shd w:val="clear"/>
                    <w:adjustRightInd w:val="0"/>
                    <w:snapToGrid w:val="0"/>
                    <w:spacing w:line="280" w:lineRule="exact"/>
                    <w:jc w:val="center"/>
                    <w:rPr>
                      <w:rFonts w:hint="eastAsia" w:ascii="Times New Roman" w:hAnsi="Times New Roman"/>
                      <w:color w:val="auto"/>
                      <w:kern w:val="0"/>
                      <w:szCs w:val="21"/>
                      <w:highlight w:val="none"/>
                      <w:lang w:val="en-US" w:eastAsia="zh-CN"/>
                    </w:rPr>
                  </w:pPr>
                  <w:r>
                    <w:rPr>
                      <w:rFonts w:hint="eastAsia" w:ascii="Times New Roman" w:hAnsi="Times New Roman"/>
                      <w:color w:val="auto"/>
                      <w:kern w:val="0"/>
                      <w:szCs w:val="21"/>
                      <w:highlight w:val="none"/>
                    </w:rPr>
                    <w:t>昼间65</w:t>
                  </w:r>
                </w:p>
              </w:tc>
              <w:tc>
                <w:tcPr>
                  <w:tcW w:w="1575" w:type="dxa"/>
                  <w:noWrap w:val="0"/>
                  <w:vAlign w:val="center"/>
                </w:tcPr>
                <w:p w14:paraId="2624DCC9">
                  <w:pPr>
                    <w:shd w:val="clear"/>
                    <w:adjustRightInd w:val="0"/>
                    <w:snapToGrid w:val="0"/>
                    <w:spacing w:line="280" w:lineRule="exact"/>
                    <w:jc w:val="center"/>
                    <w:rPr>
                      <w:rFonts w:hint="eastAsia" w:ascii="Times New Roman" w:hAnsi="Times New Roman"/>
                      <w:color w:val="auto"/>
                      <w:kern w:val="0"/>
                      <w:szCs w:val="21"/>
                      <w:highlight w:val="none"/>
                    </w:rPr>
                  </w:pPr>
                  <w:r>
                    <w:rPr>
                      <w:rFonts w:hint="eastAsia" w:ascii="Times New Roman" w:hAnsi="Times New Roman"/>
                      <w:color w:val="auto"/>
                      <w:kern w:val="0"/>
                      <w:szCs w:val="21"/>
                      <w:highlight w:val="none"/>
                    </w:rPr>
                    <w:t>达标</w:t>
                  </w:r>
                </w:p>
              </w:tc>
            </w:tr>
            <w:tr w14:paraId="2EE0F7C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78" w:type="pct"/>
                  <w:vMerge w:val="continue"/>
                  <w:noWrap w:val="0"/>
                  <w:vAlign w:val="center"/>
                </w:tcPr>
                <w:p w14:paraId="4487D64F">
                  <w:pPr>
                    <w:shd w:val="clear"/>
                    <w:adjustRightInd w:val="0"/>
                    <w:snapToGrid w:val="0"/>
                    <w:spacing w:line="280" w:lineRule="exact"/>
                    <w:jc w:val="center"/>
                    <w:rPr>
                      <w:rFonts w:hint="eastAsia" w:ascii="Times New Roman" w:hAnsi="Times New Roman"/>
                      <w:color w:val="auto"/>
                      <w:kern w:val="0"/>
                      <w:szCs w:val="21"/>
                      <w:highlight w:val="none"/>
                    </w:rPr>
                  </w:pPr>
                </w:p>
              </w:tc>
              <w:tc>
                <w:tcPr>
                  <w:tcW w:w="1226" w:type="pct"/>
                  <w:vMerge w:val="continue"/>
                  <w:noWrap w:val="0"/>
                  <w:vAlign w:val="center"/>
                </w:tcPr>
                <w:p w14:paraId="2D0CC34A">
                  <w:pPr>
                    <w:shd w:val="clear"/>
                    <w:adjustRightInd w:val="0"/>
                    <w:snapToGrid w:val="0"/>
                    <w:spacing w:line="280" w:lineRule="exact"/>
                    <w:jc w:val="center"/>
                    <w:rPr>
                      <w:rFonts w:hint="eastAsia" w:ascii="Times New Roman" w:hAnsi="Times New Roman"/>
                      <w:color w:val="auto"/>
                      <w:kern w:val="0"/>
                      <w:szCs w:val="21"/>
                      <w:highlight w:val="none"/>
                    </w:rPr>
                  </w:pPr>
                </w:p>
              </w:tc>
              <w:tc>
                <w:tcPr>
                  <w:tcW w:w="1248" w:type="pct"/>
                  <w:vMerge w:val="continue"/>
                  <w:noWrap w:val="0"/>
                  <w:vAlign w:val="center"/>
                </w:tcPr>
                <w:p w14:paraId="563B7EC0">
                  <w:pPr>
                    <w:shd w:val="clear"/>
                    <w:adjustRightInd w:val="0"/>
                    <w:snapToGrid w:val="0"/>
                    <w:spacing w:line="280" w:lineRule="exact"/>
                    <w:jc w:val="center"/>
                    <w:rPr>
                      <w:rFonts w:hint="eastAsia" w:ascii="Times New Roman" w:hAnsi="Times New Roman"/>
                      <w:color w:val="auto"/>
                      <w:szCs w:val="21"/>
                      <w:highlight w:val="none"/>
                      <w:lang w:val="en-US" w:eastAsia="zh-CN"/>
                    </w:rPr>
                  </w:pPr>
                </w:p>
              </w:tc>
              <w:tc>
                <w:tcPr>
                  <w:tcW w:w="1662" w:type="dxa"/>
                  <w:noWrap w:val="0"/>
                  <w:vAlign w:val="center"/>
                </w:tcPr>
                <w:p w14:paraId="351AC3D4">
                  <w:pPr>
                    <w:shd w:val="clear"/>
                    <w:adjustRightInd w:val="0"/>
                    <w:snapToGrid w:val="0"/>
                    <w:spacing w:line="280" w:lineRule="exact"/>
                    <w:jc w:val="center"/>
                    <w:rPr>
                      <w:rFonts w:hint="eastAsia" w:ascii="Times New Roman" w:hAnsi="Times New Roman"/>
                      <w:color w:val="auto"/>
                      <w:kern w:val="0"/>
                      <w:szCs w:val="21"/>
                      <w:highlight w:val="none"/>
                      <w:lang w:val="en-US" w:eastAsia="zh-CN"/>
                    </w:rPr>
                  </w:pPr>
                  <w:r>
                    <w:rPr>
                      <w:rFonts w:hint="eastAsia" w:ascii="Times New Roman" w:hAnsi="Times New Roman"/>
                      <w:color w:val="auto"/>
                      <w:kern w:val="0"/>
                      <w:szCs w:val="21"/>
                      <w:highlight w:val="none"/>
                      <w:lang w:val="en-US" w:eastAsia="zh-CN"/>
                    </w:rPr>
                    <w:t>夜间5</w:t>
                  </w:r>
                  <w:r>
                    <w:rPr>
                      <w:rFonts w:hint="eastAsia" w:ascii="Times New Roman" w:hAnsi="Times New Roman"/>
                      <w:color w:val="auto"/>
                      <w:kern w:val="0"/>
                      <w:szCs w:val="21"/>
                      <w:highlight w:val="none"/>
                    </w:rPr>
                    <w:t>5</w:t>
                  </w:r>
                </w:p>
              </w:tc>
              <w:tc>
                <w:tcPr>
                  <w:tcW w:w="1575" w:type="dxa"/>
                  <w:noWrap w:val="0"/>
                  <w:vAlign w:val="center"/>
                </w:tcPr>
                <w:p w14:paraId="67F2DBED">
                  <w:pPr>
                    <w:shd w:val="clear"/>
                    <w:adjustRightInd w:val="0"/>
                    <w:snapToGrid w:val="0"/>
                    <w:spacing w:line="280" w:lineRule="exact"/>
                    <w:jc w:val="center"/>
                    <w:rPr>
                      <w:rFonts w:hint="eastAsia" w:ascii="Times New Roman" w:hAnsi="Times New Roman"/>
                      <w:color w:val="auto"/>
                      <w:kern w:val="0"/>
                      <w:szCs w:val="21"/>
                      <w:highlight w:val="none"/>
                    </w:rPr>
                  </w:pPr>
                  <w:r>
                    <w:rPr>
                      <w:rFonts w:hint="eastAsia" w:ascii="Times New Roman" w:hAnsi="Times New Roman"/>
                      <w:color w:val="auto"/>
                      <w:kern w:val="0"/>
                      <w:szCs w:val="21"/>
                      <w:highlight w:val="none"/>
                    </w:rPr>
                    <w:t>达标</w:t>
                  </w:r>
                </w:p>
              </w:tc>
            </w:tr>
            <w:tr w14:paraId="2000448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35" w:hRule="atLeast"/>
                <w:jc w:val="center"/>
              </w:trPr>
              <w:tc>
                <w:tcPr>
                  <w:tcW w:w="478" w:type="pct"/>
                  <w:vMerge w:val="restart"/>
                  <w:noWrap w:val="0"/>
                  <w:vAlign w:val="center"/>
                </w:tcPr>
                <w:p w14:paraId="4501BCEE">
                  <w:pPr>
                    <w:shd w:val="clear"/>
                    <w:adjustRightInd w:val="0"/>
                    <w:snapToGrid w:val="0"/>
                    <w:spacing w:line="280" w:lineRule="exact"/>
                    <w:jc w:val="center"/>
                    <w:rPr>
                      <w:rFonts w:hint="eastAsia" w:ascii="Times New Roman" w:hAnsi="Times New Roman" w:eastAsia="宋体"/>
                      <w:color w:val="auto"/>
                      <w:kern w:val="0"/>
                      <w:szCs w:val="21"/>
                      <w:highlight w:val="none"/>
                      <w:lang w:val="en-US" w:eastAsia="zh-CN"/>
                    </w:rPr>
                  </w:pPr>
                  <w:r>
                    <w:rPr>
                      <w:rFonts w:hint="eastAsia" w:ascii="Times New Roman" w:hAnsi="Times New Roman"/>
                      <w:color w:val="auto"/>
                      <w:kern w:val="0"/>
                      <w:szCs w:val="21"/>
                      <w:highlight w:val="none"/>
                      <w:lang w:val="en-US" w:eastAsia="zh-CN"/>
                    </w:rPr>
                    <w:t>2</w:t>
                  </w:r>
                </w:p>
              </w:tc>
              <w:tc>
                <w:tcPr>
                  <w:tcW w:w="1226" w:type="pct"/>
                  <w:vMerge w:val="restart"/>
                  <w:noWrap w:val="0"/>
                  <w:vAlign w:val="center"/>
                </w:tcPr>
                <w:p w14:paraId="5CD75E1A">
                  <w:pPr>
                    <w:shd w:val="clear"/>
                    <w:adjustRightInd w:val="0"/>
                    <w:snapToGrid w:val="0"/>
                    <w:spacing w:line="280" w:lineRule="exact"/>
                    <w:jc w:val="center"/>
                    <w:rPr>
                      <w:rFonts w:ascii="Times New Roman" w:hAnsi="Times New Roman"/>
                      <w:color w:val="auto"/>
                      <w:kern w:val="0"/>
                      <w:szCs w:val="21"/>
                      <w:highlight w:val="none"/>
                    </w:rPr>
                  </w:pPr>
                  <w:r>
                    <w:rPr>
                      <w:rFonts w:hint="eastAsia"/>
                      <w:color w:val="auto"/>
                      <w:kern w:val="0"/>
                      <w:szCs w:val="21"/>
                      <w:highlight w:val="none"/>
                      <w:lang w:val="en-US" w:eastAsia="zh-CN"/>
                    </w:rPr>
                    <w:t>北</w:t>
                  </w:r>
                  <w:r>
                    <w:rPr>
                      <w:rFonts w:hint="eastAsia" w:ascii="Times New Roman" w:hAnsi="Times New Roman"/>
                      <w:color w:val="auto"/>
                      <w:kern w:val="0"/>
                      <w:szCs w:val="21"/>
                      <w:highlight w:val="none"/>
                    </w:rPr>
                    <w:t>厂界</w:t>
                  </w:r>
                </w:p>
              </w:tc>
              <w:tc>
                <w:tcPr>
                  <w:tcW w:w="1248" w:type="pct"/>
                  <w:vMerge w:val="restart"/>
                  <w:noWrap w:val="0"/>
                  <w:vAlign w:val="center"/>
                </w:tcPr>
                <w:p w14:paraId="05373166">
                  <w:pPr>
                    <w:shd w:val="clear"/>
                    <w:adjustRightInd w:val="0"/>
                    <w:snapToGrid w:val="0"/>
                    <w:spacing w:line="280" w:lineRule="exact"/>
                    <w:jc w:val="center"/>
                    <w:rPr>
                      <w:rFonts w:hint="default" w:ascii="Times New Roman" w:hAnsi="Times New Roman" w:eastAsia="宋体"/>
                      <w:color w:val="auto"/>
                      <w:szCs w:val="21"/>
                      <w:highlight w:val="none"/>
                      <w:lang w:val="en-US" w:eastAsia="zh-CN"/>
                    </w:rPr>
                  </w:pPr>
                  <w:r>
                    <w:rPr>
                      <w:rFonts w:hint="eastAsia"/>
                      <w:color w:val="auto"/>
                      <w:szCs w:val="21"/>
                      <w:highlight w:val="none"/>
                      <w:lang w:val="en-US" w:eastAsia="zh-CN"/>
                    </w:rPr>
                    <w:t>52.09</w:t>
                  </w:r>
                </w:p>
              </w:tc>
              <w:tc>
                <w:tcPr>
                  <w:tcW w:w="1050" w:type="pct"/>
                  <w:noWrap w:val="0"/>
                  <w:vAlign w:val="center"/>
                </w:tcPr>
                <w:p w14:paraId="0E5B9A89">
                  <w:pPr>
                    <w:shd w:val="clear"/>
                    <w:adjustRightInd w:val="0"/>
                    <w:snapToGrid w:val="0"/>
                    <w:spacing w:line="280" w:lineRule="exact"/>
                    <w:jc w:val="center"/>
                    <w:rPr>
                      <w:rFonts w:ascii="Times New Roman" w:hAnsi="Times New Roman"/>
                      <w:color w:val="auto"/>
                      <w:kern w:val="0"/>
                      <w:szCs w:val="21"/>
                      <w:highlight w:val="none"/>
                    </w:rPr>
                  </w:pPr>
                  <w:r>
                    <w:rPr>
                      <w:rFonts w:hint="eastAsia" w:ascii="Times New Roman" w:hAnsi="Times New Roman"/>
                      <w:color w:val="auto"/>
                      <w:kern w:val="0"/>
                      <w:szCs w:val="21"/>
                      <w:highlight w:val="none"/>
                    </w:rPr>
                    <w:t>昼间65</w:t>
                  </w:r>
                </w:p>
              </w:tc>
              <w:tc>
                <w:tcPr>
                  <w:tcW w:w="995" w:type="pct"/>
                  <w:noWrap w:val="0"/>
                  <w:vAlign w:val="center"/>
                </w:tcPr>
                <w:p w14:paraId="33C84C58">
                  <w:pPr>
                    <w:shd w:val="clear"/>
                    <w:adjustRightInd w:val="0"/>
                    <w:snapToGrid w:val="0"/>
                    <w:spacing w:line="280" w:lineRule="exact"/>
                    <w:jc w:val="center"/>
                    <w:rPr>
                      <w:rFonts w:ascii="Times New Roman" w:hAnsi="Times New Roman"/>
                      <w:color w:val="auto"/>
                      <w:kern w:val="0"/>
                      <w:szCs w:val="21"/>
                      <w:highlight w:val="none"/>
                    </w:rPr>
                  </w:pPr>
                  <w:r>
                    <w:rPr>
                      <w:rFonts w:hint="eastAsia" w:ascii="Times New Roman" w:hAnsi="Times New Roman"/>
                      <w:color w:val="auto"/>
                      <w:kern w:val="0"/>
                      <w:szCs w:val="21"/>
                      <w:highlight w:val="none"/>
                    </w:rPr>
                    <w:t>达标</w:t>
                  </w:r>
                </w:p>
              </w:tc>
            </w:tr>
            <w:tr w14:paraId="47F54B3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65" w:hRule="atLeast"/>
                <w:jc w:val="center"/>
              </w:trPr>
              <w:tc>
                <w:tcPr>
                  <w:tcW w:w="478" w:type="pct"/>
                  <w:vMerge w:val="continue"/>
                  <w:noWrap w:val="0"/>
                  <w:vAlign w:val="center"/>
                </w:tcPr>
                <w:p w14:paraId="426238E7">
                  <w:pPr>
                    <w:shd w:val="clear"/>
                    <w:adjustRightInd w:val="0"/>
                    <w:snapToGrid w:val="0"/>
                    <w:spacing w:line="280" w:lineRule="exact"/>
                    <w:jc w:val="center"/>
                    <w:rPr>
                      <w:rFonts w:hint="eastAsia" w:ascii="Times New Roman" w:hAnsi="Times New Roman"/>
                      <w:color w:val="auto"/>
                      <w:kern w:val="0"/>
                      <w:szCs w:val="21"/>
                      <w:highlight w:val="none"/>
                    </w:rPr>
                  </w:pPr>
                </w:p>
              </w:tc>
              <w:tc>
                <w:tcPr>
                  <w:tcW w:w="1226" w:type="pct"/>
                  <w:vMerge w:val="continue"/>
                  <w:noWrap w:val="0"/>
                  <w:vAlign w:val="center"/>
                </w:tcPr>
                <w:p w14:paraId="07E15CB3">
                  <w:pPr>
                    <w:shd w:val="clear"/>
                    <w:adjustRightInd w:val="0"/>
                    <w:snapToGrid w:val="0"/>
                    <w:spacing w:line="280" w:lineRule="exact"/>
                    <w:jc w:val="center"/>
                    <w:rPr>
                      <w:rFonts w:hint="eastAsia" w:ascii="Times New Roman" w:hAnsi="Times New Roman"/>
                      <w:color w:val="auto"/>
                      <w:kern w:val="0"/>
                      <w:szCs w:val="21"/>
                      <w:highlight w:val="none"/>
                    </w:rPr>
                  </w:pPr>
                </w:p>
              </w:tc>
              <w:tc>
                <w:tcPr>
                  <w:tcW w:w="1248" w:type="pct"/>
                  <w:vMerge w:val="continue"/>
                  <w:noWrap w:val="0"/>
                  <w:vAlign w:val="center"/>
                </w:tcPr>
                <w:p w14:paraId="3A2AFD01">
                  <w:pPr>
                    <w:shd w:val="clear"/>
                    <w:adjustRightInd w:val="0"/>
                    <w:snapToGrid w:val="0"/>
                    <w:spacing w:line="280" w:lineRule="exact"/>
                    <w:jc w:val="center"/>
                    <w:rPr>
                      <w:rFonts w:hint="eastAsia" w:ascii="Times New Roman" w:hAnsi="Times New Roman"/>
                      <w:color w:val="auto"/>
                      <w:szCs w:val="21"/>
                      <w:highlight w:val="none"/>
                      <w:lang w:val="en-US" w:eastAsia="zh-CN"/>
                    </w:rPr>
                  </w:pPr>
                </w:p>
              </w:tc>
              <w:tc>
                <w:tcPr>
                  <w:tcW w:w="1050" w:type="pct"/>
                  <w:noWrap w:val="0"/>
                  <w:vAlign w:val="center"/>
                </w:tcPr>
                <w:p w14:paraId="42F88E85">
                  <w:pPr>
                    <w:shd w:val="clear"/>
                    <w:adjustRightInd w:val="0"/>
                    <w:snapToGrid w:val="0"/>
                    <w:spacing w:line="280" w:lineRule="exact"/>
                    <w:jc w:val="center"/>
                    <w:rPr>
                      <w:rFonts w:ascii="Times New Roman" w:hAnsi="Times New Roman"/>
                      <w:color w:val="auto"/>
                      <w:kern w:val="0"/>
                      <w:szCs w:val="21"/>
                      <w:highlight w:val="none"/>
                    </w:rPr>
                  </w:pPr>
                  <w:r>
                    <w:rPr>
                      <w:rFonts w:hint="eastAsia" w:ascii="Times New Roman" w:hAnsi="Times New Roman"/>
                      <w:color w:val="auto"/>
                      <w:kern w:val="0"/>
                      <w:szCs w:val="21"/>
                      <w:highlight w:val="none"/>
                      <w:lang w:val="en-US" w:eastAsia="zh-CN"/>
                    </w:rPr>
                    <w:t>夜间5</w:t>
                  </w:r>
                  <w:r>
                    <w:rPr>
                      <w:rFonts w:hint="eastAsia" w:ascii="Times New Roman" w:hAnsi="Times New Roman"/>
                      <w:color w:val="auto"/>
                      <w:kern w:val="0"/>
                      <w:szCs w:val="21"/>
                      <w:highlight w:val="none"/>
                    </w:rPr>
                    <w:t>5</w:t>
                  </w:r>
                </w:p>
              </w:tc>
              <w:tc>
                <w:tcPr>
                  <w:tcW w:w="995" w:type="pct"/>
                  <w:noWrap w:val="0"/>
                  <w:vAlign w:val="center"/>
                </w:tcPr>
                <w:p w14:paraId="339B7969">
                  <w:pPr>
                    <w:shd w:val="clear"/>
                    <w:adjustRightInd w:val="0"/>
                    <w:snapToGrid w:val="0"/>
                    <w:spacing w:line="280" w:lineRule="exact"/>
                    <w:jc w:val="center"/>
                    <w:rPr>
                      <w:rFonts w:hint="eastAsia" w:ascii="Times New Roman" w:hAnsi="Times New Roman"/>
                      <w:color w:val="auto"/>
                      <w:kern w:val="0"/>
                      <w:szCs w:val="21"/>
                      <w:highlight w:val="none"/>
                    </w:rPr>
                  </w:pPr>
                  <w:r>
                    <w:rPr>
                      <w:rFonts w:hint="eastAsia" w:ascii="Times New Roman" w:hAnsi="Times New Roman"/>
                      <w:color w:val="auto"/>
                      <w:kern w:val="0"/>
                      <w:szCs w:val="21"/>
                      <w:highlight w:val="none"/>
                    </w:rPr>
                    <w:t>达标</w:t>
                  </w:r>
                </w:p>
              </w:tc>
            </w:tr>
          </w:tbl>
          <w:p w14:paraId="4D37CDFA">
            <w:pPr>
              <w:spacing w:line="360" w:lineRule="auto"/>
              <w:ind w:firstLine="480" w:firstLineChars="200"/>
              <w:jc w:val="both"/>
              <w:rPr>
                <w:rFonts w:hint="default" w:ascii="Times New Roman" w:hAnsi="Times New Roman" w:cs="Times New Roman"/>
                <w:color w:val="auto"/>
                <w:sz w:val="24"/>
              </w:rPr>
            </w:pPr>
            <w:r>
              <w:rPr>
                <w:rFonts w:hint="eastAsia" w:ascii="Times New Roman" w:hAnsi="Times New Roman" w:cs="Times New Roman"/>
                <w:color w:val="auto"/>
                <w:sz w:val="24"/>
                <w:lang w:val="en-US" w:eastAsia="zh-CN"/>
              </w:rPr>
              <w:t>根据预测结果，厂区设备经建筑隔声、减振等措施、距离衰减处理后，厂界噪声满足《工业企业厂界环境噪声排放标准》（GB12348-2008）中3类标准要求</w:t>
            </w:r>
            <w:r>
              <w:rPr>
                <w:rFonts w:hint="default" w:ascii="Times New Roman" w:hAnsi="Times New Roman" w:cs="Times New Roman"/>
                <w:color w:val="auto"/>
                <w:sz w:val="24"/>
              </w:rPr>
              <w:t>，对周围声环境影响较小。</w:t>
            </w:r>
          </w:p>
          <w:p w14:paraId="74D8647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w:t>
            </w:r>
            <w:r>
              <w:rPr>
                <w:rFonts w:hint="eastAsia" w:ascii="Times New Roman" w:hAnsi="Times New Roman" w:eastAsia="宋体" w:cs="Times New Roman"/>
                <w:color w:val="auto"/>
                <w:sz w:val="24"/>
                <w:szCs w:val="24"/>
                <w:lang w:val="en-US" w:eastAsia="zh-CN"/>
              </w:rPr>
              <w:t>6</w:t>
            </w:r>
            <w:r>
              <w:rPr>
                <w:rFonts w:hint="default" w:ascii="Times New Roman" w:hAnsi="Times New Roman" w:eastAsia="宋体" w:cs="Times New Roman"/>
                <w:color w:val="auto"/>
                <w:sz w:val="24"/>
                <w:szCs w:val="24"/>
              </w:rPr>
              <w:t>）环境监测计划</w:t>
            </w:r>
          </w:p>
          <w:p w14:paraId="4B3BA15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color w:val="auto"/>
                <w:sz w:val="24"/>
                <w:szCs w:val="24"/>
                <w:lang w:eastAsia="zh-CN"/>
              </w:rPr>
            </w:pPr>
            <w:r>
              <w:rPr>
                <w:rFonts w:hint="default" w:ascii="Times New Roman" w:hAnsi="Times New Roman" w:eastAsia="宋体" w:cs="Times New Roman"/>
                <w:color w:val="auto"/>
                <w:sz w:val="24"/>
                <w:szCs w:val="24"/>
              </w:rPr>
              <w:t>根据《排污单位自行监测技术指南</w:t>
            </w:r>
            <w:r>
              <w:rPr>
                <w:rFonts w:hint="default" w:ascii="Times New Roman" w:hAnsi="Times New Roman" w:eastAsia="宋体" w:cs="Times New Roman"/>
                <w:color w:val="auto"/>
                <w:sz w:val="24"/>
                <w:szCs w:val="24"/>
                <w:lang w:val="en-US" w:eastAsia="zh-CN"/>
              </w:rPr>
              <w:t xml:space="preserve"> </w:t>
            </w:r>
            <w:r>
              <w:rPr>
                <w:rFonts w:hint="default" w:ascii="Times New Roman" w:hAnsi="Times New Roman" w:eastAsia="宋体" w:cs="Times New Roman"/>
                <w:color w:val="auto"/>
                <w:sz w:val="24"/>
                <w:szCs w:val="24"/>
              </w:rPr>
              <w:t>电池工业》（HJ1204-2021）</w:t>
            </w:r>
            <w:r>
              <w:rPr>
                <w:rFonts w:hint="eastAsia" w:ascii="Times New Roman" w:hAnsi="Times New Roman" w:eastAsia="宋体" w:cs="Times New Roman"/>
                <w:color w:val="auto"/>
                <w:sz w:val="24"/>
                <w:szCs w:val="24"/>
                <w:lang w:eastAsia="zh-CN"/>
              </w:rPr>
              <w:t>，</w:t>
            </w:r>
            <w:r>
              <w:rPr>
                <w:rFonts w:hint="eastAsia" w:ascii="Times New Roman" w:hAnsi="Times New Roman" w:eastAsia="宋体" w:cs="Times New Roman"/>
                <w:color w:val="auto"/>
                <w:sz w:val="24"/>
                <w:szCs w:val="24"/>
                <w:lang w:val="en-US" w:eastAsia="zh-CN"/>
              </w:rPr>
              <w:t>本项目</w:t>
            </w:r>
            <w:r>
              <w:rPr>
                <w:rFonts w:hint="default" w:ascii="Times New Roman" w:hAnsi="Times New Roman" w:eastAsia="宋体" w:cs="Times New Roman"/>
                <w:color w:val="auto"/>
                <w:sz w:val="24"/>
                <w:szCs w:val="24"/>
              </w:rPr>
              <w:t>噪声监测方案见下表</w:t>
            </w:r>
            <w:r>
              <w:rPr>
                <w:rFonts w:hint="eastAsia" w:ascii="Times New Roman" w:hAnsi="Times New Roman" w:eastAsia="宋体" w:cs="Times New Roman"/>
                <w:color w:val="auto"/>
                <w:sz w:val="24"/>
                <w:szCs w:val="24"/>
                <w:lang w:eastAsia="zh-CN"/>
              </w:rPr>
              <w:t>。</w:t>
            </w:r>
          </w:p>
          <w:p w14:paraId="45ED1BA0">
            <w:pPr>
              <w:pStyle w:val="12"/>
              <w:keepNext w:val="0"/>
              <w:keepLines w:val="0"/>
              <w:pageBreakBefore w:val="0"/>
              <w:widowControl w:val="0"/>
              <w:kinsoku/>
              <w:wordWrap/>
              <w:overflowPunct/>
              <w:topLinePunct w:val="0"/>
              <w:autoSpaceDE w:val="0"/>
              <w:autoSpaceDN w:val="0"/>
              <w:bidi w:val="0"/>
              <w:adjustRightInd/>
              <w:snapToGrid/>
              <w:spacing w:line="240" w:lineRule="auto"/>
              <w:textAlignment w:val="auto"/>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表4-</w:t>
            </w:r>
            <w:r>
              <w:rPr>
                <w:rFonts w:hint="default" w:ascii="Times New Roman" w:hAnsi="Times New Roman" w:eastAsia="宋体" w:cs="Times New Roman"/>
                <w:b/>
                <w:bCs/>
                <w:color w:val="auto"/>
                <w:sz w:val="21"/>
                <w:szCs w:val="21"/>
                <w:lang w:val="en-US" w:eastAsia="zh-CN"/>
              </w:rPr>
              <w:t>1</w:t>
            </w:r>
            <w:r>
              <w:rPr>
                <w:rFonts w:hint="eastAsia" w:eastAsia="宋体" w:cs="Times New Roman"/>
                <w:b/>
                <w:bCs/>
                <w:color w:val="auto"/>
                <w:sz w:val="21"/>
                <w:szCs w:val="21"/>
                <w:lang w:val="en-US" w:eastAsia="zh-CN"/>
              </w:rPr>
              <w:t>9</w:t>
            </w:r>
            <w:r>
              <w:rPr>
                <w:rFonts w:hint="default" w:ascii="Times New Roman" w:hAnsi="Times New Roman" w:eastAsia="宋体" w:cs="Times New Roman"/>
                <w:b/>
                <w:bCs/>
                <w:color w:val="auto"/>
                <w:sz w:val="21"/>
                <w:szCs w:val="21"/>
                <w:lang w:val="en-US" w:eastAsia="zh-CN"/>
              </w:rPr>
              <w:t xml:space="preserve"> </w:t>
            </w:r>
            <w:r>
              <w:rPr>
                <w:rFonts w:hint="default" w:ascii="Times New Roman" w:hAnsi="Times New Roman" w:eastAsia="宋体" w:cs="Times New Roman"/>
                <w:b/>
                <w:bCs/>
                <w:color w:val="auto"/>
                <w:sz w:val="21"/>
                <w:szCs w:val="21"/>
              </w:rPr>
              <w:t>项目噪声监测方案</w:t>
            </w:r>
          </w:p>
          <w:tbl>
            <w:tblPr>
              <w:tblStyle w:val="41"/>
              <w:tblW w:w="7838"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977"/>
              <w:gridCol w:w="1785"/>
              <w:gridCol w:w="1648"/>
              <w:gridCol w:w="995"/>
              <w:gridCol w:w="2433"/>
            </w:tblGrid>
            <w:tr w14:paraId="4DA8774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8" w:hRule="atLeast"/>
                <w:jc w:val="center"/>
              </w:trPr>
              <w:tc>
                <w:tcPr>
                  <w:tcW w:w="977" w:type="dxa"/>
                  <w:noWrap w:val="0"/>
                  <w:tcMar>
                    <w:left w:w="0" w:type="dxa"/>
                    <w:right w:w="0" w:type="dxa"/>
                  </w:tcMar>
                  <w:vAlign w:val="center"/>
                </w:tcPr>
                <w:p w14:paraId="56482AF9">
                  <w:pPr>
                    <w:pStyle w:val="208"/>
                    <w:spacing w:line="240" w:lineRule="auto"/>
                    <w:ind w:firstLine="0"/>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类别</w:t>
                  </w:r>
                </w:p>
              </w:tc>
              <w:tc>
                <w:tcPr>
                  <w:tcW w:w="1785" w:type="dxa"/>
                  <w:noWrap w:val="0"/>
                  <w:tcMar>
                    <w:left w:w="0" w:type="dxa"/>
                    <w:right w:w="0" w:type="dxa"/>
                  </w:tcMar>
                  <w:vAlign w:val="center"/>
                </w:tcPr>
                <w:p w14:paraId="3A952418">
                  <w:pPr>
                    <w:pStyle w:val="208"/>
                    <w:spacing w:line="240" w:lineRule="auto"/>
                    <w:ind w:firstLine="0"/>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监测点位</w:t>
                  </w:r>
                </w:p>
              </w:tc>
              <w:tc>
                <w:tcPr>
                  <w:tcW w:w="1648" w:type="dxa"/>
                  <w:noWrap w:val="0"/>
                  <w:tcMar>
                    <w:left w:w="0" w:type="dxa"/>
                    <w:right w:w="0" w:type="dxa"/>
                  </w:tcMar>
                  <w:vAlign w:val="center"/>
                </w:tcPr>
                <w:p w14:paraId="6B8ACC09">
                  <w:pPr>
                    <w:pStyle w:val="208"/>
                    <w:spacing w:line="240" w:lineRule="auto"/>
                    <w:ind w:firstLine="0"/>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监测指标</w:t>
                  </w:r>
                </w:p>
              </w:tc>
              <w:tc>
                <w:tcPr>
                  <w:tcW w:w="995" w:type="dxa"/>
                  <w:noWrap w:val="0"/>
                  <w:tcMar>
                    <w:left w:w="0" w:type="dxa"/>
                    <w:right w:w="0" w:type="dxa"/>
                  </w:tcMar>
                  <w:vAlign w:val="center"/>
                </w:tcPr>
                <w:p w14:paraId="2664C5F6">
                  <w:pPr>
                    <w:pStyle w:val="208"/>
                    <w:spacing w:line="240" w:lineRule="auto"/>
                    <w:ind w:firstLine="0"/>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监测频次</w:t>
                  </w:r>
                </w:p>
              </w:tc>
              <w:tc>
                <w:tcPr>
                  <w:tcW w:w="2433" w:type="dxa"/>
                  <w:noWrap w:val="0"/>
                  <w:tcMar>
                    <w:left w:w="0" w:type="dxa"/>
                    <w:right w:w="0" w:type="dxa"/>
                  </w:tcMar>
                  <w:vAlign w:val="center"/>
                </w:tcPr>
                <w:p w14:paraId="5F403072">
                  <w:pPr>
                    <w:pStyle w:val="208"/>
                    <w:spacing w:line="240" w:lineRule="auto"/>
                    <w:ind w:firstLine="0"/>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执行排放标准</w:t>
                  </w:r>
                </w:p>
              </w:tc>
            </w:tr>
            <w:tr w14:paraId="675DAE2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110" w:hRule="atLeast"/>
                <w:jc w:val="center"/>
              </w:trPr>
              <w:tc>
                <w:tcPr>
                  <w:tcW w:w="977" w:type="dxa"/>
                  <w:noWrap w:val="0"/>
                  <w:tcMar>
                    <w:left w:w="0" w:type="dxa"/>
                    <w:right w:w="0" w:type="dxa"/>
                  </w:tcMar>
                  <w:vAlign w:val="center"/>
                </w:tcPr>
                <w:p w14:paraId="10E2E5B8">
                  <w:pPr>
                    <w:pStyle w:val="70"/>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噪声</w:t>
                  </w:r>
                </w:p>
              </w:tc>
              <w:tc>
                <w:tcPr>
                  <w:tcW w:w="1785" w:type="dxa"/>
                  <w:noWrap w:val="0"/>
                  <w:tcMar>
                    <w:left w:w="0" w:type="dxa"/>
                    <w:right w:w="0" w:type="dxa"/>
                  </w:tcMar>
                  <w:vAlign w:val="center"/>
                </w:tcPr>
                <w:p w14:paraId="2BA9D4EE">
                  <w:pPr>
                    <w:pStyle w:val="70"/>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厂界四周</w:t>
                  </w:r>
                </w:p>
              </w:tc>
              <w:tc>
                <w:tcPr>
                  <w:tcW w:w="1648" w:type="dxa"/>
                  <w:noWrap w:val="0"/>
                  <w:tcMar>
                    <w:left w:w="0" w:type="dxa"/>
                    <w:right w:w="0" w:type="dxa"/>
                  </w:tcMar>
                  <w:vAlign w:val="center"/>
                </w:tcPr>
                <w:p w14:paraId="31DC097C">
                  <w:pPr>
                    <w:pStyle w:val="7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昼间、夜间</w:t>
                  </w:r>
                  <w:r>
                    <w:rPr>
                      <w:rFonts w:hint="default" w:ascii="Times New Roman" w:hAnsi="Times New Roman" w:eastAsia="宋体" w:cs="Times New Roman"/>
                      <w:color w:val="auto"/>
                      <w:sz w:val="21"/>
                      <w:szCs w:val="21"/>
                    </w:rPr>
                    <w:t>等效</w:t>
                  </w:r>
                  <w:r>
                    <w:rPr>
                      <w:rFonts w:hint="default" w:ascii="Times New Roman" w:hAnsi="Times New Roman" w:eastAsia="宋体" w:cs="Times New Roman"/>
                      <w:color w:val="auto"/>
                      <w:sz w:val="21"/>
                      <w:szCs w:val="21"/>
                      <w:lang w:val="en-US" w:eastAsia="zh-CN"/>
                    </w:rPr>
                    <w:t>连续</w:t>
                  </w:r>
                  <w:r>
                    <w:rPr>
                      <w:rFonts w:hint="default" w:ascii="Times New Roman" w:hAnsi="Times New Roman" w:eastAsia="宋体" w:cs="Times New Roman"/>
                      <w:color w:val="auto"/>
                      <w:sz w:val="21"/>
                      <w:szCs w:val="21"/>
                    </w:rPr>
                    <w:t>A声级</w:t>
                  </w:r>
                  <w:r>
                    <w:rPr>
                      <w:rFonts w:hint="default" w:ascii="Times New Roman" w:hAnsi="Times New Roman" w:eastAsia="宋体" w:cs="Times New Roman"/>
                      <w:color w:val="auto"/>
                      <w:sz w:val="21"/>
                      <w:szCs w:val="21"/>
                      <w:lang w:eastAsia="zh-CN"/>
                    </w:rPr>
                    <w:t>，</w:t>
                  </w:r>
                  <w:r>
                    <w:rPr>
                      <w:rFonts w:hint="default" w:ascii="Times New Roman" w:hAnsi="Times New Roman" w:eastAsia="宋体" w:cs="Times New Roman"/>
                      <w:color w:val="auto"/>
                      <w:sz w:val="21"/>
                      <w:szCs w:val="21"/>
                      <w:lang w:val="en-US" w:eastAsia="zh-CN"/>
                    </w:rPr>
                    <w:t>夜间偶发最大声级</w:t>
                  </w:r>
                </w:p>
              </w:tc>
              <w:tc>
                <w:tcPr>
                  <w:tcW w:w="995" w:type="dxa"/>
                  <w:noWrap w:val="0"/>
                  <w:tcMar>
                    <w:left w:w="0" w:type="dxa"/>
                    <w:right w:w="0" w:type="dxa"/>
                  </w:tcMar>
                  <w:vAlign w:val="center"/>
                </w:tcPr>
                <w:p w14:paraId="18FC44F5">
                  <w:pPr>
                    <w:pStyle w:val="7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1次/季度</w:t>
                  </w:r>
                </w:p>
              </w:tc>
              <w:tc>
                <w:tcPr>
                  <w:tcW w:w="2433" w:type="dxa"/>
                  <w:noWrap w:val="0"/>
                  <w:tcMar>
                    <w:left w:w="0" w:type="dxa"/>
                    <w:right w:w="0" w:type="dxa"/>
                  </w:tcMar>
                  <w:vAlign w:val="center"/>
                </w:tcPr>
                <w:p w14:paraId="772A710F">
                  <w:pPr>
                    <w:pStyle w:val="7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《工业企业厂界环境噪声排放标准》（GB 12348-2008）3类标准</w:t>
                  </w:r>
                </w:p>
              </w:tc>
            </w:tr>
          </w:tbl>
          <w:p w14:paraId="738A2DE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4、固体废物</w:t>
            </w:r>
          </w:p>
          <w:p w14:paraId="4C0266D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（1）固废产生源强及治理措施</w:t>
            </w:r>
          </w:p>
          <w:p w14:paraId="1456E96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rPr>
            </w:pPr>
            <w:r>
              <w:rPr>
                <w:rFonts w:hint="eastAsia" w:cs="Times New Roman"/>
                <w:color w:val="auto"/>
                <w:sz w:val="24"/>
                <w:szCs w:val="24"/>
                <w:lang w:val="en-US" w:eastAsia="zh-CN"/>
              </w:rPr>
              <w:t>本项目采用无油螺杆空压机</w:t>
            </w:r>
            <w:r>
              <w:rPr>
                <w:rFonts w:ascii="宋体" w:hAnsi="宋体" w:eastAsia="宋体" w:cs="宋体"/>
                <w:color w:val="auto"/>
                <w:sz w:val="24"/>
                <w:szCs w:val="24"/>
              </w:rPr>
              <w:t>，设备不使用矿物润滑油</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因此不产生含油废水，营运期</w:t>
            </w:r>
            <w:r>
              <w:rPr>
                <w:rFonts w:hint="eastAsia" w:ascii="宋体" w:hAnsi="宋体" w:cs="宋体"/>
                <w:color w:val="auto"/>
                <w:sz w:val="24"/>
                <w:szCs w:val="24"/>
                <w:lang w:val="en-US" w:eastAsia="zh-CN"/>
              </w:rPr>
              <w:t>固体废物</w:t>
            </w:r>
            <w:r>
              <w:rPr>
                <w:rFonts w:hint="eastAsia" w:ascii="宋体" w:hAnsi="宋体" w:eastAsia="宋体" w:cs="宋体"/>
                <w:color w:val="auto"/>
                <w:sz w:val="24"/>
                <w:szCs w:val="24"/>
                <w:lang w:val="en-US" w:eastAsia="zh-CN"/>
              </w:rPr>
              <w:t>主要</w:t>
            </w:r>
            <w:r>
              <w:rPr>
                <w:rFonts w:hint="default" w:ascii="Times New Roman" w:hAnsi="Times New Roman" w:eastAsia="宋体" w:cs="Times New Roman"/>
                <w:color w:val="auto"/>
                <w:sz w:val="24"/>
                <w:szCs w:val="24"/>
              </w:rPr>
              <w:t>分为生活垃圾、一般固废和危险废物</w:t>
            </w:r>
            <w:r>
              <w:rPr>
                <w:rFonts w:hint="eastAsia" w:cs="Times New Roman"/>
                <w:color w:val="auto"/>
                <w:sz w:val="24"/>
                <w:szCs w:val="24"/>
                <w:lang w:val="en-US" w:eastAsia="zh-CN"/>
              </w:rPr>
              <w:t>等</w:t>
            </w:r>
            <w:r>
              <w:rPr>
                <w:rFonts w:hint="default" w:ascii="Times New Roman" w:hAnsi="Times New Roman" w:eastAsia="宋体" w:cs="Times New Roman"/>
                <w:color w:val="auto"/>
                <w:sz w:val="24"/>
                <w:szCs w:val="24"/>
              </w:rPr>
              <w:t>。</w:t>
            </w:r>
          </w:p>
          <w:p w14:paraId="6EAC086E">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default" w:ascii="Times New Roman" w:hAnsi="Times New Roman" w:eastAsia="宋体" w:cs="Times New Roman"/>
                <w:b/>
                <w:bCs/>
                <w:color w:val="auto"/>
                <w:sz w:val="24"/>
                <w:szCs w:val="24"/>
              </w:rPr>
            </w:pPr>
            <w:r>
              <w:rPr>
                <w:rFonts w:hint="eastAsia" w:ascii="Times New Roman" w:hAnsi="Times New Roman" w:eastAsia="宋体" w:cs="Times New Roman"/>
                <w:b/>
                <w:bCs/>
                <w:color w:val="auto"/>
                <w:sz w:val="24"/>
                <w:szCs w:val="24"/>
                <w:lang w:val="en-US" w:eastAsia="zh-CN"/>
              </w:rPr>
              <w:t>1）</w:t>
            </w:r>
            <w:r>
              <w:rPr>
                <w:rFonts w:hint="default" w:ascii="Times New Roman" w:hAnsi="Times New Roman" w:eastAsia="宋体" w:cs="Times New Roman"/>
                <w:b/>
                <w:bCs/>
                <w:color w:val="auto"/>
                <w:sz w:val="24"/>
                <w:szCs w:val="24"/>
              </w:rPr>
              <w:t>生活垃圾</w:t>
            </w:r>
          </w:p>
          <w:p w14:paraId="63E1505F">
            <w:pPr>
              <w:pStyle w:val="217"/>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default" w:ascii="Times New Roman" w:hAnsi="Times New Roman" w:eastAsia="宋体" w:cs="Times New Roman"/>
                <w:color w:val="auto"/>
                <w:sz w:val="24"/>
                <w:szCs w:val="24"/>
              </w:rPr>
            </w:pPr>
            <w:r>
              <w:rPr>
                <w:rFonts w:hint="eastAsia" w:ascii="Times New Roman" w:hAnsi="Times New Roman" w:cs="Times New Roman"/>
                <w:b/>
                <w:bCs/>
                <w:color w:val="auto"/>
                <w:sz w:val="24"/>
                <w:szCs w:val="24"/>
                <w:lang w:val="en-US" w:eastAsia="zh-CN"/>
              </w:rPr>
              <w:t>①员工生活垃圾：</w:t>
            </w:r>
            <w:r>
              <w:rPr>
                <w:rFonts w:hint="default" w:ascii="Times New Roman" w:hAnsi="Times New Roman" w:eastAsia="宋体" w:cs="Times New Roman"/>
                <w:color w:val="auto"/>
                <w:sz w:val="24"/>
                <w:szCs w:val="24"/>
              </w:rPr>
              <w:t>本项目劳动定员</w:t>
            </w:r>
            <w:r>
              <w:rPr>
                <w:rFonts w:hint="eastAsia" w:ascii="Times New Roman" w:hAnsi="Times New Roman" w:eastAsia="宋体" w:cs="Times New Roman"/>
                <w:color w:val="auto"/>
                <w:sz w:val="24"/>
                <w:szCs w:val="24"/>
                <w:lang w:val="en-US" w:eastAsia="zh-CN"/>
              </w:rPr>
              <w:t>160</w:t>
            </w:r>
            <w:r>
              <w:rPr>
                <w:rFonts w:hint="default" w:ascii="Times New Roman" w:hAnsi="Times New Roman" w:eastAsia="宋体" w:cs="Times New Roman"/>
                <w:color w:val="auto"/>
                <w:sz w:val="24"/>
                <w:szCs w:val="24"/>
              </w:rPr>
              <w:t>人，年工作3</w:t>
            </w:r>
            <w:r>
              <w:rPr>
                <w:rFonts w:hint="default" w:ascii="Times New Roman" w:hAnsi="Times New Roman" w:eastAsia="宋体" w:cs="Times New Roman"/>
                <w:color w:val="auto"/>
                <w:sz w:val="24"/>
                <w:szCs w:val="24"/>
                <w:lang w:val="en-US" w:eastAsia="zh-CN"/>
              </w:rPr>
              <w:t>0</w:t>
            </w:r>
            <w:r>
              <w:rPr>
                <w:rFonts w:hint="default" w:ascii="Times New Roman" w:hAnsi="Times New Roman" w:eastAsia="宋体" w:cs="Times New Roman"/>
                <w:color w:val="auto"/>
                <w:sz w:val="24"/>
                <w:szCs w:val="24"/>
              </w:rPr>
              <w:t>0天。生活垃圾产生量按0.5</w:t>
            </w:r>
            <w:r>
              <w:rPr>
                <w:rFonts w:hint="default" w:ascii="Times New Roman" w:hAnsi="Times New Roman" w:eastAsia="宋体" w:cs="Times New Roman"/>
                <w:color w:val="auto"/>
                <w:sz w:val="24"/>
                <w:szCs w:val="24"/>
                <w:lang w:eastAsia="zh-CN"/>
              </w:rPr>
              <w:t>kg</w:t>
            </w:r>
            <w:r>
              <w:rPr>
                <w:rFonts w:hint="default" w:ascii="Times New Roman" w:hAnsi="Times New Roman" w:eastAsia="宋体" w:cs="Times New Roman"/>
                <w:color w:val="auto"/>
                <w:sz w:val="24"/>
                <w:szCs w:val="24"/>
              </w:rPr>
              <w:t>/人·d计，则产生量为</w:t>
            </w:r>
            <w:r>
              <w:rPr>
                <w:rFonts w:hint="eastAsia" w:ascii="Times New Roman" w:hAnsi="Times New Roman" w:eastAsia="宋体" w:cs="Times New Roman"/>
                <w:color w:val="auto"/>
                <w:sz w:val="24"/>
                <w:szCs w:val="24"/>
                <w:lang w:val="en-US" w:eastAsia="zh-CN"/>
              </w:rPr>
              <w:t>80</w:t>
            </w:r>
            <w:r>
              <w:rPr>
                <w:rFonts w:hint="default" w:ascii="Times New Roman" w:hAnsi="Times New Roman" w:eastAsia="宋体" w:cs="Times New Roman"/>
                <w:color w:val="auto"/>
                <w:sz w:val="24"/>
                <w:szCs w:val="24"/>
                <w:lang w:eastAsia="zh-CN"/>
              </w:rPr>
              <w:t>kg</w:t>
            </w:r>
            <w:r>
              <w:rPr>
                <w:rFonts w:hint="default" w:ascii="Times New Roman" w:hAnsi="Times New Roman" w:eastAsia="宋体" w:cs="Times New Roman"/>
                <w:color w:val="auto"/>
                <w:sz w:val="24"/>
                <w:szCs w:val="24"/>
              </w:rPr>
              <w:t>/d（</w:t>
            </w:r>
            <w:r>
              <w:rPr>
                <w:rFonts w:hint="eastAsia" w:ascii="Times New Roman" w:hAnsi="Times New Roman" w:eastAsia="宋体" w:cs="Times New Roman"/>
                <w:color w:val="auto"/>
                <w:sz w:val="24"/>
                <w:szCs w:val="24"/>
                <w:lang w:val="en-US" w:eastAsia="zh-CN"/>
              </w:rPr>
              <w:t>24</w:t>
            </w:r>
            <w:r>
              <w:rPr>
                <w:rFonts w:hint="default" w:ascii="Times New Roman" w:hAnsi="Times New Roman" w:eastAsia="宋体" w:cs="Times New Roman"/>
                <w:color w:val="auto"/>
                <w:sz w:val="24"/>
                <w:szCs w:val="24"/>
              </w:rPr>
              <w:t>t/a）</w:t>
            </w:r>
            <w:r>
              <w:rPr>
                <w:rFonts w:hint="eastAsia" w:ascii="宋体" w:hAnsi="宋体" w:eastAsia="宋体" w:cs="宋体"/>
                <w:color w:val="auto"/>
                <w:sz w:val="24"/>
                <w:szCs w:val="24"/>
              </w:rPr>
              <w:t>，经</w:t>
            </w:r>
            <w:r>
              <w:rPr>
                <w:rFonts w:hint="default" w:ascii="Times New Roman" w:hAnsi="Times New Roman" w:eastAsia="宋体" w:cs="Times New Roman"/>
                <w:color w:val="auto"/>
                <w:sz w:val="24"/>
                <w:szCs w:val="24"/>
                <w:lang w:val="en-US" w:eastAsia="zh-CN"/>
              </w:rPr>
              <w:t>收集</w:t>
            </w:r>
            <w:r>
              <w:rPr>
                <w:rFonts w:hint="eastAsia" w:ascii="Times New Roman" w:hAnsi="Times New Roman" w:eastAsia="宋体" w:cs="Times New Roman"/>
                <w:color w:val="auto"/>
                <w:sz w:val="24"/>
                <w:szCs w:val="24"/>
                <w:lang w:val="en-US" w:eastAsia="zh-CN"/>
              </w:rPr>
              <w:t>后交</w:t>
            </w:r>
            <w:r>
              <w:rPr>
                <w:rFonts w:hint="default" w:ascii="Times New Roman" w:hAnsi="Times New Roman" w:eastAsia="宋体" w:cs="Times New Roman"/>
                <w:color w:val="auto"/>
                <w:sz w:val="24"/>
                <w:szCs w:val="24"/>
              </w:rPr>
              <w:t>由当地环卫部门清运</w:t>
            </w:r>
            <w:r>
              <w:rPr>
                <w:rFonts w:hint="eastAsia" w:ascii="Times New Roman" w:hAnsi="Times New Roman" w:eastAsia="宋体" w:cs="Times New Roman"/>
                <w:color w:val="auto"/>
                <w:sz w:val="24"/>
                <w:szCs w:val="24"/>
                <w:lang w:val="en-US" w:eastAsia="zh-CN"/>
              </w:rPr>
              <w:t>处理</w:t>
            </w:r>
            <w:r>
              <w:rPr>
                <w:rFonts w:hint="default" w:ascii="Times New Roman" w:hAnsi="Times New Roman" w:eastAsia="宋体" w:cs="Times New Roman"/>
                <w:color w:val="auto"/>
                <w:sz w:val="24"/>
                <w:szCs w:val="24"/>
              </w:rPr>
              <w:t>。</w:t>
            </w:r>
          </w:p>
          <w:p w14:paraId="1CC3D90E">
            <w:pPr>
              <w:pStyle w:val="217"/>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default" w:ascii="Times New Roman" w:hAnsi="Times New Roman" w:eastAsia="宋体" w:cs="Times New Roman"/>
                <w:color w:val="auto"/>
                <w:sz w:val="24"/>
                <w:szCs w:val="24"/>
                <w:lang w:val="en-US" w:eastAsia="zh-CN"/>
              </w:rPr>
            </w:pPr>
            <w:r>
              <w:rPr>
                <w:rFonts w:hint="eastAsia" w:ascii="Times New Roman" w:hAnsi="Times New Roman" w:cs="Times New Roman"/>
                <w:b/>
                <w:bCs/>
                <w:color w:val="auto"/>
                <w:sz w:val="24"/>
                <w:szCs w:val="24"/>
                <w:lang w:val="en-US" w:eastAsia="zh-CN"/>
              </w:rPr>
              <w:t>②预处理池污泥：</w:t>
            </w:r>
            <w:r>
              <w:rPr>
                <w:rFonts w:hint="eastAsia"/>
                <w:color w:val="auto"/>
                <w:sz w:val="24"/>
                <w:highlight w:val="none"/>
              </w:rPr>
              <w:t>本项目</w:t>
            </w:r>
            <w:r>
              <w:rPr>
                <w:rFonts w:hint="eastAsia"/>
                <w:color w:val="auto"/>
                <w:sz w:val="24"/>
                <w:highlight w:val="none"/>
                <w:lang w:val="en-US" w:eastAsia="zh-CN"/>
              </w:rPr>
              <w:t>预处理池污泥产生量约</w:t>
            </w:r>
            <w:r>
              <w:rPr>
                <w:rFonts w:hint="default" w:ascii="Times New Roman" w:hAnsi="Times New Roman" w:cs="Times New Roman"/>
                <w:color w:val="auto"/>
                <w:sz w:val="24"/>
                <w:highlight w:val="none"/>
                <w:lang w:val="en-US" w:eastAsia="zh-CN"/>
              </w:rPr>
              <w:t>0.6t/a</w:t>
            </w:r>
            <w:r>
              <w:rPr>
                <w:rFonts w:hint="eastAsia"/>
                <w:color w:val="auto"/>
                <w:sz w:val="24"/>
                <w:highlight w:val="none"/>
                <w:lang w:val="en-US" w:eastAsia="zh-CN"/>
              </w:rPr>
              <w:t>，委托有能力的单位转运处置。</w:t>
            </w:r>
          </w:p>
          <w:p w14:paraId="2BD5E9FC">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default" w:ascii="Times New Roman" w:hAnsi="Times New Roman" w:eastAsia="宋体" w:cs="Times New Roman"/>
                <w:b/>
                <w:bCs/>
                <w:color w:val="auto"/>
                <w:sz w:val="24"/>
                <w:szCs w:val="24"/>
              </w:rPr>
            </w:pPr>
            <w:r>
              <w:rPr>
                <w:rFonts w:hint="eastAsia" w:ascii="Times New Roman" w:hAnsi="Times New Roman" w:eastAsia="宋体" w:cs="Times New Roman"/>
                <w:b/>
                <w:bCs/>
                <w:color w:val="auto"/>
                <w:sz w:val="24"/>
                <w:szCs w:val="24"/>
                <w:lang w:val="en-US" w:eastAsia="zh-CN"/>
              </w:rPr>
              <w:t>2）</w:t>
            </w:r>
            <w:r>
              <w:rPr>
                <w:rFonts w:hint="default" w:ascii="Times New Roman" w:hAnsi="Times New Roman" w:eastAsia="宋体" w:cs="Times New Roman"/>
                <w:b/>
                <w:bCs/>
                <w:color w:val="auto"/>
                <w:sz w:val="24"/>
                <w:szCs w:val="24"/>
              </w:rPr>
              <w:t>一般工业固废</w:t>
            </w:r>
          </w:p>
          <w:p w14:paraId="6983D5BA">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Times New Roman" w:hAnsi="Times New Roman" w:eastAsia="宋体" w:cs="Times New Roman"/>
                <w:b/>
                <w:bCs/>
                <w:color w:val="auto"/>
                <w:sz w:val="24"/>
                <w:szCs w:val="24"/>
                <w:lang w:eastAsia="zh-CN"/>
              </w:rPr>
            </w:pPr>
            <w:r>
              <w:rPr>
                <w:rFonts w:hint="eastAsia" w:cs="Times New Roman"/>
                <w:b/>
                <w:bCs/>
                <w:color w:val="auto"/>
                <w:sz w:val="24"/>
                <w:szCs w:val="24"/>
                <w:lang w:val="en-US" w:eastAsia="zh-CN"/>
              </w:rPr>
              <w:t>①</w:t>
            </w:r>
            <w:r>
              <w:rPr>
                <w:rFonts w:hint="default" w:ascii="Times New Roman" w:hAnsi="Times New Roman" w:eastAsia="宋体" w:cs="Times New Roman"/>
                <w:b/>
                <w:bCs/>
                <w:color w:val="auto"/>
                <w:sz w:val="24"/>
                <w:szCs w:val="24"/>
              </w:rPr>
              <w:t>废包装</w:t>
            </w:r>
            <w:r>
              <w:rPr>
                <w:rFonts w:hint="eastAsia" w:ascii="Times New Roman" w:hAnsi="Times New Roman" w:eastAsia="宋体" w:cs="Times New Roman"/>
                <w:b/>
                <w:bCs/>
                <w:color w:val="auto"/>
                <w:sz w:val="24"/>
                <w:szCs w:val="24"/>
                <w:lang w:val="en-US" w:eastAsia="zh-CN"/>
              </w:rPr>
              <w:t>材料</w:t>
            </w:r>
          </w:p>
          <w:p w14:paraId="01B9AA1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rPr>
            </w:pPr>
            <w:r>
              <w:rPr>
                <w:rFonts w:ascii="宋体" w:hAnsi="宋体" w:eastAsia="宋体" w:cs="宋体"/>
                <w:color w:val="auto"/>
                <w:sz w:val="24"/>
                <w:szCs w:val="24"/>
              </w:rPr>
              <w:t>项目</w:t>
            </w:r>
            <w:r>
              <w:rPr>
                <w:rFonts w:hint="eastAsia" w:ascii="宋体" w:hAnsi="宋体" w:eastAsia="宋体" w:cs="宋体"/>
                <w:color w:val="auto"/>
                <w:sz w:val="24"/>
                <w:szCs w:val="24"/>
                <w:lang w:val="en-US" w:eastAsia="zh-CN"/>
              </w:rPr>
              <w:t>在原材料拆包、产品包装等生产过</w:t>
            </w:r>
            <w:r>
              <w:rPr>
                <w:rFonts w:hint="eastAsia" w:ascii="宋体" w:hAnsi="宋体" w:cs="宋体"/>
                <w:color w:val="auto"/>
                <w:sz w:val="24"/>
                <w:szCs w:val="24"/>
                <w:lang w:val="en-US" w:eastAsia="zh-CN"/>
              </w:rPr>
              <w:t>程中</w:t>
            </w:r>
            <w:r>
              <w:rPr>
                <w:rFonts w:hint="eastAsia" w:ascii="宋体" w:hAnsi="宋体" w:eastAsia="宋体" w:cs="宋体"/>
                <w:color w:val="auto"/>
                <w:sz w:val="24"/>
                <w:szCs w:val="24"/>
                <w:lang w:val="en-US" w:eastAsia="zh-CN"/>
              </w:rPr>
              <w:t>会产生各类废包装材料</w:t>
            </w:r>
            <w:r>
              <w:rPr>
                <w:rFonts w:hint="eastAsia" w:ascii="宋体" w:hAnsi="宋体" w:eastAsia="宋体" w:cs="宋体"/>
                <w:color w:val="auto"/>
                <w:sz w:val="24"/>
                <w:szCs w:val="24"/>
              </w:rPr>
              <w:t>，年产生量约为</w:t>
            </w:r>
            <w:r>
              <w:rPr>
                <w:rFonts w:hint="default" w:ascii="Times New Roman" w:hAnsi="Times New Roman" w:eastAsia="宋体" w:cs="Times New Roman"/>
                <w:color w:val="auto"/>
                <w:sz w:val="24"/>
                <w:szCs w:val="24"/>
              </w:rPr>
              <w:t>0.</w:t>
            </w:r>
            <w:r>
              <w:rPr>
                <w:rFonts w:hint="default" w:ascii="Times New Roman" w:hAnsi="Times New Roman" w:eastAsia="宋体" w:cs="Times New Roman"/>
                <w:color w:val="auto"/>
                <w:sz w:val="24"/>
                <w:szCs w:val="24"/>
                <w:lang w:val="en-US" w:eastAsia="zh-CN"/>
              </w:rPr>
              <w:t>2</w:t>
            </w:r>
            <w:r>
              <w:rPr>
                <w:rFonts w:hint="default" w:ascii="Times New Roman" w:hAnsi="Times New Roman" w:eastAsia="宋体" w:cs="Times New Roman"/>
                <w:color w:val="auto"/>
                <w:sz w:val="24"/>
                <w:szCs w:val="24"/>
              </w:rPr>
              <w:t>t/a</w:t>
            </w:r>
            <w:r>
              <w:rPr>
                <w:rFonts w:hint="eastAsia" w:ascii="宋体" w:hAnsi="宋体" w:eastAsia="宋体" w:cs="宋体"/>
                <w:color w:val="auto"/>
                <w:sz w:val="24"/>
                <w:szCs w:val="24"/>
              </w:rPr>
              <w:t>，</w:t>
            </w:r>
            <w:r>
              <w:rPr>
                <w:rFonts w:hint="eastAsia" w:ascii="宋体" w:hAnsi="宋体" w:eastAsia="宋体" w:cs="宋体"/>
                <w:color w:val="auto"/>
                <w:sz w:val="24"/>
                <w:szCs w:val="24"/>
                <w:lang w:val="en-US" w:eastAsia="zh-CN"/>
              </w:rPr>
              <w:t>属于</w:t>
            </w:r>
            <w:r>
              <w:rPr>
                <w:rFonts w:hint="eastAsia" w:ascii="宋体" w:hAnsi="宋体" w:eastAsia="宋体" w:cs="宋体"/>
                <w:color w:val="auto"/>
                <w:sz w:val="24"/>
                <w:szCs w:val="24"/>
              </w:rPr>
              <w:t>《固体废物分类与代码目录》</w:t>
            </w:r>
            <w:r>
              <w:rPr>
                <w:rFonts w:hint="eastAsia" w:ascii="宋体" w:hAnsi="宋体" w:eastAsia="宋体" w:cs="宋体"/>
                <w:color w:val="auto"/>
                <w:sz w:val="24"/>
                <w:szCs w:val="24"/>
                <w:lang w:val="en-US" w:eastAsia="zh-CN"/>
              </w:rPr>
              <w:t>中</w:t>
            </w:r>
            <w:r>
              <w:rPr>
                <w:rFonts w:hint="eastAsia" w:ascii="宋体" w:hAnsi="宋体" w:eastAsia="宋体" w:cs="宋体"/>
                <w:color w:val="auto"/>
                <w:sz w:val="24"/>
                <w:szCs w:val="24"/>
                <w:lang w:eastAsia="zh-CN"/>
              </w:rPr>
              <w:t>“</w:t>
            </w:r>
            <w:r>
              <w:rPr>
                <w:rFonts w:hint="default" w:ascii="Times New Roman" w:hAnsi="Times New Roman" w:eastAsia="宋体" w:cs="Times New Roman"/>
                <w:color w:val="auto"/>
                <w:sz w:val="24"/>
                <w:szCs w:val="24"/>
              </w:rPr>
              <w:t>SW17可再生类废物</w:t>
            </w:r>
            <w:r>
              <w:rPr>
                <w:rFonts w:hint="default" w:ascii="Times New Roman" w:hAnsi="Times New Roman" w:eastAsia="宋体" w:cs="Times New Roman"/>
                <w:color w:val="auto"/>
                <w:sz w:val="24"/>
                <w:szCs w:val="24"/>
                <w:lang w:val="en-US" w:eastAsia="zh-CN"/>
              </w:rPr>
              <w:t>/</w:t>
            </w:r>
            <w:r>
              <w:rPr>
                <w:rFonts w:hint="default" w:ascii="Times New Roman" w:hAnsi="Times New Roman" w:eastAsia="宋体" w:cs="Times New Roman"/>
                <w:color w:val="auto"/>
                <w:sz w:val="24"/>
                <w:szCs w:val="24"/>
              </w:rPr>
              <w:t>非特定行业</w:t>
            </w:r>
            <w:r>
              <w:rPr>
                <w:rFonts w:hint="default" w:ascii="Times New Roman" w:hAnsi="Times New Roman" w:eastAsia="宋体" w:cs="Times New Roman"/>
                <w:color w:val="auto"/>
                <w:sz w:val="24"/>
                <w:szCs w:val="24"/>
                <w:lang w:val="en-US" w:eastAsia="zh-CN"/>
              </w:rPr>
              <w:t>/</w:t>
            </w:r>
            <w:r>
              <w:rPr>
                <w:rFonts w:hint="default" w:ascii="Times New Roman" w:hAnsi="Times New Roman" w:eastAsia="宋体" w:cs="Times New Roman"/>
                <w:color w:val="auto"/>
                <w:sz w:val="24"/>
                <w:szCs w:val="24"/>
              </w:rPr>
              <w:t>900-003-S17</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，收集</w:t>
            </w:r>
            <w:r>
              <w:rPr>
                <w:rFonts w:hint="default" w:ascii="Times New Roman" w:hAnsi="Times New Roman" w:eastAsia="宋体" w:cs="Times New Roman"/>
                <w:color w:val="auto"/>
                <w:sz w:val="24"/>
                <w:szCs w:val="24"/>
              </w:rPr>
              <w:t>后送至一般固废暂存间，定期外售综合利用。</w:t>
            </w:r>
          </w:p>
          <w:p w14:paraId="3A01F8BB">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default" w:cs="Times New Roman"/>
                <w:b/>
                <w:bCs/>
                <w:color w:val="auto"/>
                <w:sz w:val="24"/>
                <w:szCs w:val="24"/>
                <w:lang w:val="en-US" w:eastAsia="zh-CN"/>
              </w:rPr>
            </w:pPr>
            <w:r>
              <w:rPr>
                <w:rFonts w:hint="eastAsia" w:cs="Times New Roman"/>
                <w:b/>
                <w:bCs/>
                <w:color w:val="auto"/>
                <w:sz w:val="24"/>
                <w:szCs w:val="24"/>
                <w:lang w:val="en-US" w:eastAsia="zh-CN"/>
              </w:rPr>
              <w:t>②废边角料</w:t>
            </w:r>
          </w:p>
          <w:p w14:paraId="160E427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eastAsia="zh-CN"/>
              </w:rPr>
            </w:pPr>
            <w:r>
              <w:rPr>
                <w:rFonts w:hint="eastAsia" w:ascii="宋体" w:hAnsi="宋体" w:cs="宋体"/>
                <w:color w:val="auto"/>
                <w:sz w:val="24"/>
                <w:szCs w:val="24"/>
                <w:lang w:val="en-US" w:eastAsia="zh-CN"/>
              </w:rPr>
              <w:t>项</w:t>
            </w:r>
            <w:r>
              <w:rPr>
                <w:rFonts w:ascii="宋体" w:hAnsi="宋体" w:eastAsia="宋体" w:cs="宋体"/>
                <w:color w:val="auto"/>
                <w:sz w:val="24"/>
                <w:szCs w:val="24"/>
              </w:rPr>
              <w:t>目在正负极极片</w:t>
            </w:r>
            <w:r>
              <w:rPr>
                <w:rFonts w:hint="eastAsia" w:ascii="宋体" w:hAnsi="宋体" w:cs="宋体"/>
                <w:color w:val="auto"/>
                <w:sz w:val="24"/>
                <w:szCs w:val="24"/>
                <w:lang w:val="en-US" w:eastAsia="zh-CN"/>
              </w:rPr>
              <w:t>涂布、</w:t>
            </w:r>
            <w:r>
              <w:rPr>
                <w:rFonts w:ascii="宋体" w:hAnsi="宋体" w:eastAsia="宋体" w:cs="宋体"/>
                <w:color w:val="auto"/>
                <w:sz w:val="24"/>
                <w:szCs w:val="24"/>
              </w:rPr>
              <w:t>分条、</w:t>
            </w:r>
            <w:r>
              <w:rPr>
                <w:rFonts w:hint="eastAsia" w:ascii="宋体" w:hAnsi="宋体" w:cs="宋体"/>
                <w:color w:val="auto"/>
                <w:sz w:val="24"/>
                <w:szCs w:val="24"/>
                <w:lang w:val="en-US" w:eastAsia="zh-CN"/>
              </w:rPr>
              <w:t>模切</w:t>
            </w:r>
            <w:r>
              <w:rPr>
                <w:rFonts w:ascii="宋体" w:hAnsi="宋体" w:eastAsia="宋体" w:cs="宋体"/>
                <w:color w:val="auto"/>
                <w:sz w:val="24"/>
                <w:szCs w:val="24"/>
              </w:rPr>
              <w:t>等工序生产过程中，会产生少量</w:t>
            </w:r>
            <w:r>
              <w:rPr>
                <w:rFonts w:hint="eastAsia" w:ascii="宋体" w:hAnsi="宋体" w:cs="宋体"/>
                <w:color w:val="auto"/>
                <w:sz w:val="24"/>
                <w:szCs w:val="24"/>
                <w:lang w:val="en-US" w:eastAsia="zh-CN"/>
              </w:rPr>
              <w:t>沾染浆料的废铜箔、废铝箔、废极片</w:t>
            </w:r>
            <w:r>
              <w:rPr>
                <w:rFonts w:ascii="宋体" w:hAnsi="宋体" w:eastAsia="宋体" w:cs="宋体"/>
                <w:color w:val="auto"/>
                <w:sz w:val="24"/>
                <w:szCs w:val="24"/>
              </w:rPr>
              <w:t>及铝塑膜废边角料</w:t>
            </w:r>
            <w:r>
              <w:rPr>
                <w:rFonts w:hint="eastAsia" w:ascii="宋体" w:hAnsi="宋体" w:cs="宋体"/>
                <w:color w:val="auto"/>
                <w:sz w:val="24"/>
                <w:szCs w:val="24"/>
                <w:lang w:val="en-US" w:eastAsia="zh-CN"/>
              </w:rPr>
              <w:t>等</w:t>
            </w:r>
            <w:r>
              <w:rPr>
                <w:rFonts w:hint="default" w:ascii="Times New Roman" w:hAnsi="Times New Roman" w:eastAsia="宋体" w:cs="Times New Roman"/>
                <w:color w:val="auto"/>
                <w:sz w:val="24"/>
                <w:szCs w:val="24"/>
                <w:lang w:val="en-US" w:eastAsia="zh-CN"/>
              </w:rPr>
              <w:t>，产生量约0.</w:t>
            </w:r>
            <w:r>
              <w:rPr>
                <w:rFonts w:hint="eastAsia" w:cs="Times New Roman"/>
                <w:color w:val="auto"/>
                <w:sz w:val="24"/>
                <w:szCs w:val="24"/>
                <w:lang w:val="en-US" w:eastAsia="zh-CN"/>
              </w:rPr>
              <w:t>2</w:t>
            </w:r>
            <w:r>
              <w:rPr>
                <w:rFonts w:hint="default" w:ascii="Times New Roman" w:hAnsi="Times New Roman" w:eastAsia="宋体" w:cs="Times New Roman"/>
                <w:color w:val="auto"/>
                <w:sz w:val="24"/>
                <w:szCs w:val="24"/>
                <w:lang w:val="en-US" w:eastAsia="zh-CN"/>
              </w:rPr>
              <w:t>t/a</w:t>
            </w:r>
            <w:r>
              <w:rPr>
                <w:rFonts w:hint="eastAsia" w:ascii="宋体" w:hAnsi="宋体" w:eastAsia="宋体" w:cs="宋体"/>
                <w:color w:val="auto"/>
                <w:sz w:val="24"/>
                <w:szCs w:val="24"/>
                <w:lang w:val="en-US" w:eastAsia="zh-CN"/>
              </w:rPr>
              <w:t>，</w:t>
            </w:r>
            <w:r>
              <w:rPr>
                <w:rFonts w:hint="default" w:ascii="宋体" w:hAnsi="宋体" w:eastAsia="宋体" w:cs="宋体"/>
                <w:color w:val="auto"/>
                <w:sz w:val="24"/>
                <w:szCs w:val="24"/>
                <w:lang w:val="en-US" w:eastAsia="zh-CN"/>
              </w:rPr>
              <w:t>属于</w:t>
            </w:r>
            <w:r>
              <w:rPr>
                <w:rFonts w:hint="default" w:ascii="宋体" w:hAnsi="宋体" w:eastAsia="宋体" w:cs="宋体"/>
                <w:color w:val="auto"/>
                <w:sz w:val="24"/>
                <w:szCs w:val="24"/>
              </w:rPr>
              <w:t>《固体废物分类与代码目录》</w:t>
            </w:r>
            <w:r>
              <w:rPr>
                <w:rFonts w:hint="default" w:ascii="宋体" w:hAnsi="宋体" w:eastAsia="宋体" w:cs="宋体"/>
                <w:color w:val="auto"/>
                <w:sz w:val="24"/>
                <w:szCs w:val="24"/>
                <w:lang w:val="en-US" w:eastAsia="zh-CN"/>
              </w:rPr>
              <w:t>中</w:t>
            </w:r>
            <w:r>
              <w:rPr>
                <w:rFonts w:hint="eastAsia" w:ascii="宋体" w:hAnsi="宋体" w:eastAsia="宋体" w:cs="宋体"/>
                <w:color w:val="auto"/>
                <w:sz w:val="24"/>
                <w:szCs w:val="24"/>
                <w:lang w:eastAsia="zh-CN"/>
              </w:rPr>
              <w:t>“</w:t>
            </w:r>
            <w:r>
              <w:rPr>
                <w:rFonts w:hint="default" w:ascii="Times New Roman" w:hAnsi="Times New Roman" w:eastAsia="宋体" w:cs="Times New Roman"/>
                <w:color w:val="auto"/>
                <w:sz w:val="24"/>
                <w:szCs w:val="24"/>
              </w:rPr>
              <w:t>SW17可再生类废物</w:t>
            </w:r>
            <w:r>
              <w:rPr>
                <w:rFonts w:hint="default" w:ascii="Times New Roman" w:hAnsi="Times New Roman" w:eastAsia="宋体" w:cs="Times New Roman"/>
                <w:color w:val="auto"/>
                <w:sz w:val="24"/>
                <w:szCs w:val="24"/>
                <w:lang w:val="en-US" w:eastAsia="zh-CN"/>
              </w:rPr>
              <w:t>/</w:t>
            </w:r>
            <w:r>
              <w:rPr>
                <w:rFonts w:hint="default" w:ascii="Times New Roman" w:hAnsi="Times New Roman" w:eastAsia="宋体" w:cs="Times New Roman"/>
                <w:color w:val="auto"/>
                <w:sz w:val="24"/>
                <w:szCs w:val="24"/>
              </w:rPr>
              <w:t>非特定行业</w:t>
            </w:r>
            <w:r>
              <w:rPr>
                <w:rFonts w:hint="default" w:ascii="Times New Roman" w:hAnsi="Times New Roman" w:eastAsia="宋体" w:cs="Times New Roman"/>
                <w:color w:val="auto"/>
                <w:sz w:val="24"/>
                <w:szCs w:val="24"/>
                <w:lang w:val="en-US" w:eastAsia="zh-CN"/>
              </w:rPr>
              <w:t>/</w:t>
            </w:r>
            <w:r>
              <w:rPr>
                <w:rFonts w:hint="default" w:ascii="Times New Roman" w:hAnsi="Times New Roman" w:eastAsia="宋体" w:cs="Times New Roman"/>
                <w:color w:val="auto"/>
                <w:sz w:val="24"/>
                <w:szCs w:val="24"/>
              </w:rPr>
              <w:t>900-012-S17</w:t>
            </w:r>
            <w:r>
              <w:rPr>
                <w:rFonts w:hint="eastAsia" w:ascii="宋体" w:hAnsi="宋体" w:eastAsia="宋体" w:cs="宋体"/>
                <w:color w:val="auto"/>
                <w:sz w:val="24"/>
                <w:szCs w:val="24"/>
                <w:lang w:eastAsia="zh-CN"/>
              </w:rPr>
              <w:t>”</w:t>
            </w:r>
            <w:r>
              <w:rPr>
                <w:rFonts w:hint="default" w:ascii="宋体" w:hAnsi="宋体" w:eastAsia="宋体" w:cs="宋体"/>
                <w:color w:val="auto"/>
                <w:sz w:val="24"/>
                <w:szCs w:val="24"/>
                <w:lang w:eastAsia="zh-CN"/>
              </w:rPr>
              <w:t>，</w:t>
            </w:r>
            <w:r>
              <w:rPr>
                <w:rFonts w:hint="default" w:ascii="宋体" w:hAnsi="宋体" w:eastAsia="宋体" w:cs="宋体"/>
                <w:color w:val="auto"/>
                <w:sz w:val="24"/>
                <w:szCs w:val="24"/>
              </w:rPr>
              <w:t>收集后定期外售综合利用</w:t>
            </w:r>
            <w:r>
              <w:rPr>
                <w:rFonts w:hint="eastAsia" w:ascii="宋体" w:hAnsi="宋体" w:eastAsia="宋体" w:cs="宋体"/>
                <w:color w:val="auto"/>
                <w:sz w:val="24"/>
                <w:szCs w:val="24"/>
                <w:lang w:eastAsia="zh-CN"/>
              </w:rPr>
              <w:t>。</w:t>
            </w:r>
          </w:p>
          <w:p w14:paraId="0AC347A1">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cs="宋体"/>
                <w:b/>
                <w:bCs/>
                <w:color w:val="auto"/>
                <w:sz w:val="24"/>
                <w:szCs w:val="24"/>
                <w:lang w:val="en-US" w:eastAsia="zh-CN"/>
              </w:rPr>
            </w:pPr>
            <w:r>
              <w:rPr>
                <w:rFonts w:hint="eastAsia" w:ascii="宋体" w:hAnsi="宋体" w:cs="宋体"/>
                <w:b/>
                <w:bCs/>
                <w:color w:val="auto"/>
                <w:sz w:val="24"/>
                <w:szCs w:val="24"/>
                <w:lang w:val="en-US" w:eastAsia="zh-CN"/>
              </w:rPr>
              <w:t>③废隔膜、废极片</w:t>
            </w:r>
          </w:p>
          <w:p w14:paraId="7ABC8E1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eastAsia="zh-CN"/>
              </w:rPr>
            </w:pPr>
            <w:r>
              <w:rPr>
                <w:rFonts w:ascii="宋体" w:hAnsi="宋体" w:eastAsia="宋体" w:cs="宋体"/>
                <w:color w:val="auto"/>
                <w:sz w:val="24"/>
                <w:szCs w:val="24"/>
              </w:rPr>
              <w:t>叠片工序</w:t>
            </w:r>
            <w:r>
              <w:rPr>
                <w:rFonts w:hint="eastAsia" w:ascii="宋体" w:hAnsi="宋体" w:eastAsia="宋体" w:cs="宋体"/>
                <w:color w:val="auto"/>
                <w:sz w:val="24"/>
                <w:szCs w:val="24"/>
                <w:lang w:val="en-US" w:eastAsia="zh-CN"/>
              </w:rPr>
              <w:t>由于</w:t>
            </w:r>
            <w:r>
              <w:rPr>
                <w:rFonts w:ascii="宋体" w:hAnsi="宋体" w:eastAsia="宋体" w:cs="宋体"/>
                <w:color w:val="auto"/>
                <w:sz w:val="24"/>
                <w:szCs w:val="24"/>
              </w:rPr>
              <w:t>组装电芯时裁切余量、物料错位</w:t>
            </w:r>
            <w:r>
              <w:rPr>
                <w:rFonts w:hint="eastAsia" w:ascii="宋体" w:hAnsi="宋体" w:eastAsia="宋体" w:cs="宋体"/>
                <w:color w:val="auto"/>
                <w:sz w:val="24"/>
                <w:szCs w:val="24"/>
                <w:lang w:val="en-US" w:eastAsia="zh-CN"/>
              </w:rPr>
              <w:t>等，会</w:t>
            </w:r>
            <w:r>
              <w:rPr>
                <w:rFonts w:ascii="宋体" w:hAnsi="宋体" w:eastAsia="宋体" w:cs="宋体"/>
                <w:color w:val="auto"/>
                <w:sz w:val="24"/>
                <w:szCs w:val="24"/>
              </w:rPr>
              <w:t>产生</w:t>
            </w:r>
            <w:r>
              <w:rPr>
                <w:rFonts w:hint="eastAsia" w:ascii="宋体" w:hAnsi="宋体" w:eastAsia="宋体" w:cs="宋体"/>
                <w:color w:val="auto"/>
                <w:sz w:val="24"/>
                <w:szCs w:val="24"/>
                <w:lang w:val="en-US" w:eastAsia="zh-CN"/>
              </w:rPr>
              <w:t>少量</w:t>
            </w:r>
            <w:r>
              <w:rPr>
                <w:rFonts w:ascii="宋体" w:hAnsi="宋体" w:eastAsia="宋体" w:cs="宋体"/>
                <w:color w:val="auto"/>
                <w:sz w:val="24"/>
                <w:szCs w:val="24"/>
              </w:rPr>
              <w:t>沾染浆料的废隔膜与废极片</w:t>
            </w:r>
            <w:r>
              <w:rPr>
                <w:rFonts w:hint="eastAsia" w:ascii="宋体" w:hAnsi="宋体" w:cs="宋体"/>
                <w:color w:val="auto"/>
                <w:sz w:val="24"/>
                <w:szCs w:val="24"/>
                <w:lang w:val="en-US" w:eastAsia="zh-CN"/>
              </w:rPr>
              <w:t>等</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产生量约为</w:t>
            </w:r>
            <w:r>
              <w:rPr>
                <w:rFonts w:hint="default" w:ascii="Times New Roman" w:hAnsi="Times New Roman" w:eastAsia="宋体" w:cs="Times New Roman"/>
                <w:color w:val="auto"/>
                <w:sz w:val="24"/>
                <w:szCs w:val="24"/>
                <w:lang w:val="en-US" w:eastAsia="zh-CN"/>
              </w:rPr>
              <w:t>0.</w:t>
            </w:r>
            <w:r>
              <w:rPr>
                <w:rFonts w:hint="eastAsia" w:cs="Times New Roman"/>
                <w:color w:val="auto"/>
                <w:sz w:val="24"/>
                <w:szCs w:val="24"/>
                <w:lang w:val="en-US" w:eastAsia="zh-CN"/>
              </w:rPr>
              <w:t>565</w:t>
            </w:r>
            <w:r>
              <w:rPr>
                <w:rFonts w:hint="default" w:ascii="Times New Roman" w:hAnsi="Times New Roman" w:eastAsia="宋体" w:cs="Times New Roman"/>
                <w:color w:val="auto"/>
                <w:sz w:val="24"/>
                <w:szCs w:val="24"/>
                <w:lang w:val="en-US" w:eastAsia="zh-CN"/>
              </w:rPr>
              <w:t>t/a</w:t>
            </w:r>
            <w:r>
              <w:rPr>
                <w:rFonts w:hint="eastAsia" w:ascii="宋体" w:hAnsi="宋体" w:eastAsia="宋体" w:cs="宋体"/>
                <w:color w:val="auto"/>
                <w:sz w:val="24"/>
                <w:szCs w:val="24"/>
                <w:lang w:val="en-US" w:eastAsia="zh-CN"/>
              </w:rPr>
              <w:t>，</w:t>
            </w:r>
            <w:r>
              <w:rPr>
                <w:rFonts w:hint="default" w:ascii="宋体" w:hAnsi="宋体" w:eastAsia="宋体" w:cs="宋体"/>
                <w:color w:val="auto"/>
                <w:sz w:val="24"/>
                <w:szCs w:val="24"/>
                <w:lang w:val="en-US" w:eastAsia="zh-CN"/>
              </w:rPr>
              <w:t>属于</w:t>
            </w:r>
            <w:r>
              <w:rPr>
                <w:rFonts w:hint="default" w:ascii="宋体" w:hAnsi="宋体" w:eastAsia="宋体" w:cs="宋体"/>
                <w:color w:val="auto"/>
                <w:sz w:val="24"/>
                <w:szCs w:val="24"/>
              </w:rPr>
              <w:t>《固体废物分类与代码目录》</w:t>
            </w:r>
            <w:r>
              <w:rPr>
                <w:rFonts w:hint="default" w:ascii="宋体" w:hAnsi="宋体" w:eastAsia="宋体" w:cs="宋体"/>
                <w:color w:val="auto"/>
                <w:sz w:val="24"/>
                <w:szCs w:val="24"/>
                <w:lang w:val="en-US" w:eastAsia="zh-CN"/>
              </w:rPr>
              <w:t>中</w:t>
            </w:r>
            <w:r>
              <w:rPr>
                <w:rFonts w:hint="eastAsia" w:ascii="宋体" w:hAnsi="宋体" w:eastAsia="宋体" w:cs="宋体"/>
                <w:color w:val="auto"/>
                <w:sz w:val="24"/>
                <w:szCs w:val="24"/>
                <w:lang w:eastAsia="zh-CN"/>
              </w:rPr>
              <w:t>“</w:t>
            </w:r>
            <w:r>
              <w:rPr>
                <w:rFonts w:hint="default" w:ascii="Times New Roman" w:hAnsi="Times New Roman" w:eastAsia="宋体" w:cs="Times New Roman"/>
                <w:color w:val="auto"/>
                <w:sz w:val="24"/>
                <w:szCs w:val="24"/>
              </w:rPr>
              <w:t>SW17可再生类废物</w:t>
            </w:r>
            <w:r>
              <w:rPr>
                <w:rFonts w:hint="default" w:ascii="Times New Roman" w:hAnsi="Times New Roman" w:eastAsia="宋体" w:cs="Times New Roman"/>
                <w:color w:val="auto"/>
                <w:sz w:val="24"/>
                <w:szCs w:val="24"/>
                <w:lang w:val="en-US" w:eastAsia="zh-CN"/>
              </w:rPr>
              <w:t>/</w:t>
            </w:r>
            <w:r>
              <w:rPr>
                <w:rFonts w:hint="default" w:ascii="Times New Roman" w:hAnsi="Times New Roman" w:eastAsia="宋体" w:cs="Times New Roman"/>
                <w:color w:val="auto"/>
                <w:sz w:val="24"/>
                <w:szCs w:val="24"/>
              </w:rPr>
              <w:t>非特定行业</w:t>
            </w:r>
            <w:r>
              <w:rPr>
                <w:rFonts w:hint="default" w:ascii="Times New Roman" w:hAnsi="Times New Roman" w:eastAsia="宋体" w:cs="Times New Roman"/>
                <w:color w:val="auto"/>
                <w:sz w:val="24"/>
                <w:szCs w:val="24"/>
                <w:lang w:val="en-US" w:eastAsia="zh-CN"/>
              </w:rPr>
              <w:t>/</w:t>
            </w:r>
            <w:r>
              <w:rPr>
                <w:rFonts w:hint="default" w:ascii="Times New Roman" w:hAnsi="Times New Roman" w:eastAsia="宋体" w:cs="Times New Roman"/>
                <w:color w:val="auto"/>
                <w:sz w:val="24"/>
                <w:szCs w:val="24"/>
              </w:rPr>
              <w:t>900-012-S17</w:t>
            </w:r>
            <w:r>
              <w:rPr>
                <w:rFonts w:hint="eastAsia" w:ascii="宋体" w:hAnsi="宋体" w:eastAsia="宋体" w:cs="宋体"/>
                <w:color w:val="auto"/>
                <w:sz w:val="24"/>
                <w:szCs w:val="24"/>
                <w:lang w:eastAsia="zh-CN"/>
              </w:rPr>
              <w:t>”</w:t>
            </w:r>
            <w:r>
              <w:rPr>
                <w:rFonts w:hint="default" w:ascii="宋体" w:hAnsi="宋体" w:eastAsia="宋体" w:cs="宋体"/>
                <w:color w:val="auto"/>
                <w:sz w:val="24"/>
                <w:szCs w:val="24"/>
                <w:lang w:eastAsia="zh-CN"/>
              </w:rPr>
              <w:t>，</w:t>
            </w:r>
            <w:r>
              <w:rPr>
                <w:rFonts w:hint="default" w:ascii="宋体" w:hAnsi="宋体" w:eastAsia="宋体" w:cs="宋体"/>
                <w:color w:val="auto"/>
                <w:sz w:val="24"/>
                <w:szCs w:val="24"/>
              </w:rPr>
              <w:t>收集后定期外售综合利用</w:t>
            </w:r>
            <w:r>
              <w:rPr>
                <w:rFonts w:hint="eastAsia" w:ascii="宋体" w:hAnsi="宋体" w:eastAsia="宋体" w:cs="宋体"/>
                <w:color w:val="auto"/>
                <w:sz w:val="24"/>
                <w:szCs w:val="24"/>
                <w:lang w:eastAsia="zh-CN"/>
              </w:rPr>
              <w:t>。</w:t>
            </w:r>
          </w:p>
          <w:p w14:paraId="69898AFB">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cs="宋体"/>
                <w:b/>
                <w:bCs/>
                <w:color w:val="auto"/>
                <w:sz w:val="24"/>
                <w:szCs w:val="24"/>
                <w:lang w:val="en-US" w:eastAsia="zh-CN"/>
              </w:rPr>
            </w:pPr>
            <w:r>
              <w:rPr>
                <w:rFonts w:hint="eastAsia" w:ascii="宋体" w:hAnsi="宋体" w:cs="宋体"/>
                <w:b/>
                <w:bCs/>
                <w:color w:val="auto"/>
                <w:sz w:val="24"/>
                <w:szCs w:val="24"/>
                <w:lang w:val="en-US" w:eastAsia="zh-CN"/>
              </w:rPr>
              <w:t>④沾染浆料的废手套</w:t>
            </w:r>
          </w:p>
          <w:p w14:paraId="4194C89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cs="宋体"/>
                <w:color w:val="auto"/>
                <w:sz w:val="24"/>
                <w:szCs w:val="24"/>
                <w:lang w:val="en-US" w:eastAsia="zh-CN"/>
              </w:rPr>
            </w:pPr>
            <w:r>
              <w:rPr>
                <w:rFonts w:ascii="宋体" w:hAnsi="宋体" w:eastAsia="宋体" w:cs="宋体"/>
                <w:color w:val="auto"/>
                <w:sz w:val="24"/>
                <w:szCs w:val="24"/>
              </w:rPr>
              <w:t>投料工序人工将各类原辅材料投至上料系统</w:t>
            </w:r>
            <w:r>
              <w:rPr>
                <w:rFonts w:hint="eastAsia" w:ascii="宋体" w:hAnsi="宋体" w:cs="宋体"/>
                <w:color w:val="auto"/>
                <w:sz w:val="24"/>
                <w:szCs w:val="24"/>
                <w:lang w:val="en-US" w:eastAsia="zh-CN"/>
              </w:rPr>
              <w:t>，此过程会产生沾染相应原辅料及正负极浆料的废弃</w:t>
            </w:r>
            <w:r>
              <w:rPr>
                <w:rFonts w:hint="default" w:ascii="Times New Roman" w:hAnsi="Times New Roman" w:eastAsia="宋体" w:cs="Times New Roman"/>
                <w:color w:val="auto"/>
                <w:sz w:val="24"/>
                <w:szCs w:val="24"/>
                <w:lang w:val="en-US" w:eastAsia="zh-CN"/>
              </w:rPr>
              <w:t>劳保手套，产生量为</w:t>
            </w:r>
            <w:r>
              <w:rPr>
                <w:rFonts w:hint="eastAsia" w:ascii="Times New Roman" w:hAnsi="Times New Roman" w:cs="Times New Roman"/>
                <w:color w:val="auto"/>
                <w:sz w:val="24"/>
                <w:szCs w:val="24"/>
                <w:lang w:val="en-US" w:eastAsia="zh-CN"/>
              </w:rPr>
              <w:t>1</w:t>
            </w:r>
            <w:r>
              <w:rPr>
                <w:rFonts w:hint="default" w:ascii="Times New Roman" w:hAnsi="Times New Roman" w:eastAsia="宋体" w:cs="Times New Roman"/>
                <w:color w:val="auto"/>
                <w:sz w:val="24"/>
                <w:szCs w:val="24"/>
                <w:lang w:val="en-US" w:eastAsia="zh-CN"/>
              </w:rPr>
              <w:t>t/a，属于</w:t>
            </w:r>
            <w:r>
              <w:rPr>
                <w:rFonts w:hint="default" w:ascii="Times New Roman" w:hAnsi="Times New Roman" w:eastAsia="宋体" w:cs="Times New Roman"/>
                <w:color w:val="auto"/>
                <w:sz w:val="24"/>
                <w:szCs w:val="24"/>
              </w:rPr>
              <w:t>《固体废物分类与代码目录》</w:t>
            </w:r>
            <w:r>
              <w:rPr>
                <w:rFonts w:hint="eastAsia" w:ascii="宋体" w:hAnsi="宋体" w:eastAsia="宋体" w:cs="宋体"/>
                <w:color w:val="auto"/>
                <w:sz w:val="24"/>
                <w:szCs w:val="24"/>
                <w:lang w:val="en-US" w:eastAsia="zh-CN"/>
              </w:rPr>
              <w:t>中</w:t>
            </w:r>
            <w:r>
              <w:rPr>
                <w:rFonts w:hint="eastAsia" w:ascii="宋体" w:hAnsi="宋体" w:eastAsia="宋体" w:cs="宋体"/>
                <w:color w:val="auto"/>
                <w:sz w:val="24"/>
                <w:szCs w:val="24"/>
                <w:lang w:eastAsia="zh-CN"/>
              </w:rPr>
              <w:t>“</w:t>
            </w:r>
            <w:r>
              <w:rPr>
                <w:rFonts w:hint="default" w:ascii="Times New Roman" w:hAnsi="Times New Roman" w:eastAsia="宋体" w:cs="Times New Roman"/>
                <w:color w:val="auto"/>
                <w:sz w:val="24"/>
                <w:szCs w:val="24"/>
              </w:rPr>
              <w:t>SW17可再生类废物</w:t>
            </w:r>
            <w:r>
              <w:rPr>
                <w:rFonts w:hint="default" w:ascii="Times New Roman" w:hAnsi="Times New Roman" w:eastAsia="宋体" w:cs="Times New Roman"/>
                <w:color w:val="auto"/>
                <w:sz w:val="24"/>
                <w:szCs w:val="24"/>
                <w:lang w:val="en-US" w:eastAsia="zh-CN"/>
              </w:rPr>
              <w:t>/</w:t>
            </w:r>
            <w:r>
              <w:rPr>
                <w:rFonts w:hint="default" w:ascii="Times New Roman" w:hAnsi="Times New Roman" w:eastAsia="宋体" w:cs="Times New Roman"/>
                <w:color w:val="auto"/>
                <w:sz w:val="24"/>
                <w:szCs w:val="24"/>
              </w:rPr>
              <w:t>非特定行业</w:t>
            </w:r>
            <w:r>
              <w:rPr>
                <w:rFonts w:hint="default" w:ascii="Times New Roman" w:hAnsi="Times New Roman" w:eastAsia="宋体" w:cs="Times New Roman"/>
                <w:color w:val="auto"/>
                <w:sz w:val="24"/>
                <w:szCs w:val="24"/>
                <w:lang w:val="en-US" w:eastAsia="zh-CN"/>
              </w:rPr>
              <w:t>/</w:t>
            </w:r>
            <w:r>
              <w:rPr>
                <w:rFonts w:hint="default" w:ascii="Times New Roman" w:hAnsi="Times New Roman" w:eastAsia="宋体" w:cs="Times New Roman"/>
                <w:color w:val="auto"/>
                <w:sz w:val="24"/>
                <w:szCs w:val="24"/>
              </w:rPr>
              <w:t>900-0</w:t>
            </w:r>
            <w:r>
              <w:rPr>
                <w:rFonts w:hint="eastAsia" w:ascii="Times New Roman" w:hAnsi="Times New Roman" w:cs="Times New Roman"/>
                <w:color w:val="auto"/>
                <w:sz w:val="24"/>
                <w:szCs w:val="24"/>
                <w:lang w:val="en-US" w:eastAsia="zh-CN"/>
              </w:rPr>
              <w:t>99</w:t>
            </w:r>
            <w:r>
              <w:rPr>
                <w:rFonts w:hint="default" w:ascii="Times New Roman" w:hAnsi="Times New Roman" w:eastAsia="宋体" w:cs="Times New Roman"/>
                <w:color w:val="auto"/>
                <w:sz w:val="24"/>
                <w:szCs w:val="24"/>
              </w:rPr>
              <w:t>-S17</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收集</w:t>
            </w:r>
            <w:r>
              <w:rPr>
                <w:rFonts w:hint="default" w:ascii="Times New Roman" w:hAnsi="Times New Roman" w:eastAsia="宋体" w:cs="Times New Roman"/>
                <w:color w:val="auto"/>
                <w:sz w:val="24"/>
                <w:szCs w:val="24"/>
              </w:rPr>
              <w:t>后定期外售综合利用</w:t>
            </w:r>
            <w:r>
              <w:rPr>
                <w:rFonts w:hint="default" w:ascii="Times New Roman" w:hAnsi="Times New Roman" w:eastAsia="宋体" w:cs="Times New Roman"/>
                <w:color w:val="auto"/>
                <w:sz w:val="24"/>
                <w:szCs w:val="24"/>
                <w:lang w:eastAsia="zh-CN"/>
              </w:rPr>
              <w:t>。</w:t>
            </w:r>
          </w:p>
          <w:p w14:paraId="0B670320">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Times New Roman" w:hAnsi="Times New Roman" w:eastAsia="宋体" w:cs="Times New Roman"/>
                <w:b/>
                <w:bCs/>
                <w:color w:val="auto"/>
                <w:sz w:val="24"/>
                <w:szCs w:val="24"/>
                <w:lang w:val="en-US" w:eastAsia="zh-CN"/>
              </w:rPr>
            </w:pPr>
            <w:r>
              <w:rPr>
                <w:rFonts w:hint="eastAsia" w:cs="Times New Roman"/>
                <w:b/>
                <w:bCs/>
                <w:color w:val="auto"/>
                <w:sz w:val="24"/>
                <w:szCs w:val="24"/>
                <w:lang w:val="en-US" w:eastAsia="zh-CN"/>
              </w:rPr>
              <w:t>⑤</w:t>
            </w:r>
            <w:r>
              <w:rPr>
                <w:rFonts w:hint="eastAsia" w:ascii="Times New Roman" w:hAnsi="Times New Roman" w:eastAsia="宋体" w:cs="Times New Roman"/>
                <w:b/>
                <w:bCs/>
                <w:color w:val="auto"/>
                <w:sz w:val="24"/>
                <w:szCs w:val="24"/>
                <w:lang w:val="en-US" w:eastAsia="zh-CN"/>
              </w:rPr>
              <w:t>NMP</w:t>
            </w:r>
            <w:r>
              <w:rPr>
                <w:rFonts w:hint="eastAsia" w:cs="Times New Roman"/>
                <w:b/>
                <w:bCs/>
                <w:color w:val="auto"/>
                <w:sz w:val="24"/>
                <w:szCs w:val="24"/>
                <w:lang w:val="en-US" w:eastAsia="zh-CN"/>
              </w:rPr>
              <w:t>回收</w:t>
            </w:r>
            <w:r>
              <w:rPr>
                <w:rFonts w:hint="eastAsia" w:ascii="Times New Roman" w:hAnsi="Times New Roman" w:eastAsia="宋体" w:cs="Times New Roman"/>
                <w:b/>
                <w:bCs/>
                <w:color w:val="auto"/>
                <w:sz w:val="24"/>
                <w:szCs w:val="24"/>
                <w:lang w:val="en-US" w:eastAsia="zh-CN"/>
              </w:rPr>
              <w:t>液</w:t>
            </w:r>
          </w:p>
          <w:p w14:paraId="7DAA6A9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rPr>
              <w:t>本项目电芯涂布工序NMP废气采用</w:t>
            </w:r>
            <w:r>
              <w:rPr>
                <w:rFonts w:hint="eastAsia" w:ascii="宋体" w:hAnsi="宋体" w:eastAsia="宋体" w:cs="宋体"/>
                <w:color w:val="auto"/>
                <w:sz w:val="24"/>
                <w:szCs w:val="24"/>
              </w:rPr>
              <w:t>“二级冷凝回收+转轮深度吸附”工</w:t>
            </w:r>
            <w:r>
              <w:rPr>
                <w:rFonts w:hint="default" w:ascii="Times New Roman" w:hAnsi="Times New Roman" w:eastAsia="宋体" w:cs="Times New Roman"/>
                <w:color w:val="auto"/>
                <w:sz w:val="24"/>
                <w:szCs w:val="24"/>
              </w:rPr>
              <w:t>艺处理，NMP纯物质回收量为</w:t>
            </w:r>
            <w:r>
              <w:rPr>
                <w:rFonts w:hint="eastAsia" w:cs="Times New Roman"/>
                <w:color w:val="auto"/>
                <w:sz w:val="24"/>
                <w:szCs w:val="24"/>
                <w:lang w:val="en-US" w:eastAsia="zh-CN"/>
              </w:rPr>
              <w:t>1327.51</w:t>
            </w:r>
            <w:r>
              <w:rPr>
                <w:rFonts w:hint="default" w:ascii="Times New Roman" w:hAnsi="Times New Roman" w:eastAsia="宋体" w:cs="Times New Roman"/>
                <w:color w:val="auto"/>
                <w:sz w:val="24"/>
                <w:szCs w:val="24"/>
                <w:lang w:val="en-US" w:eastAsia="zh-CN"/>
              </w:rPr>
              <w:t>t/a，</w:t>
            </w:r>
            <w:r>
              <w:rPr>
                <w:rFonts w:hint="default" w:ascii="Times New Roman" w:hAnsi="Times New Roman" w:eastAsia="宋体" w:cs="Times New Roman"/>
                <w:color w:val="auto"/>
                <w:sz w:val="24"/>
                <w:szCs w:val="24"/>
              </w:rPr>
              <w:t>按回收废液中NMP浓度85%计，折合NMP回收废液量约</w:t>
            </w:r>
            <w:r>
              <w:rPr>
                <w:rFonts w:hint="eastAsia" w:cs="Times New Roman"/>
                <w:color w:val="auto"/>
                <w:sz w:val="24"/>
                <w:szCs w:val="24"/>
                <w:lang w:val="en-US" w:eastAsia="zh-CN"/>
              </w:rPr>
              <w:t>1526.64</w:t>
            </w:r>
            <w:r>
              <w:rPr>
                <w:rFonts w:hint="eastAsia" w:ascii="Times New Roman" w:hAnsi="Times New Roman" w:cs="Times New Roman"/>
                <w:color w:val="auto"/>
                <w:sz w:val="24"/>
                <w:szCs w:val="24"/>
                <w:lang w:val="en-US" w:eastAsia="zh-CN"/>
              </w:rPr>
              <w:t>t</w:t>
            </w:r>
            <w:r>
              <w:rPr>
                <w:rFonts w:hint="default" w:ascii="Times New Roman" w:hAnsi="Times New Roman" w:eastAsia="宋体" w:cs="Times New Roman"/>
                <w:color w:val="auto"/>
                <w:sz w:val="24"/>
                <w:szCs w:val="24"/>
              </w:rPr>
              <w:t>/a，主要为NMP与少量水及杂质的混合物</w:t>
            </w:r>
            <w:r>
              <w:rPr>
                <w:rFonts w:hint="eastAsia" w:ascii="Times New Roman" w:hAnsi="Times New Roman" w:cs="Times New Roman"/>
                <w:color w:val="auto"/>
                <w:sz w:val="24"/>
                <w:szCs w:val="24"/>
                <w:lang w:eastAsia="zh-CN"/>
              </w:rPr>
              <w:t>，</w:t>
            </w:r>
            <w:r>
              <w:rPr>
                <w:rFonts w:hint="default" w:ascii="Times New Roman" w:hAnsi="Times New Roman" w:eastAsia="宋体" w:cs="Times New Roman"/>
                <w:color w:val="auto"/>
                <w:sz w:val="24"/>
                <w:szCs w:val="24"/>
                <w:lang w:val="en-US" w:eastAsia="zh-CN"/>
              </w:rPr>
              <w:t>属于</w:t>
            </w:r>
            <w:r>
              <w:rPr>
                <w:rFonts w:hint="default" w:ascii="Times New Roman" w:hAnsi="Times New Roman" w:eastAsia="宋体" w:cs="Times New Roman"/>
                <w:color w:val="auto"/>
                <w:sz w:val="24"/>
                <w:szCs w:val="24"/>
              </w:rPr>
              <w:t>《固体废物分类与代码目</w:t>
            </w:r>
            <w:r>
              <w:rPr>
                <w:rFonts w:hint="eastAsia" w:ascii="宋体" w:hAnsi="宋体" w:eastAsia="宋体" w:cs="宋体"/>
                <w:color w:val="auto"/>
                <w:sz w:val="24"/>
                <w:szCs w:val="24"/>
              </w:rPr>
              <w:t>录》</w:t>
            </w:r>
            <w:r>
              <w:rPr>
                <w:rFonts w:hint="eastAsia" w:ascii="宋体" w:hAnsi="宋体" w:eastAsia="宋体" w:cs="宋体"/>
                <w:color w:val="auto"/>
                <w:sz w:val="24"/>
                <w:szCs w:val="24"/>
                <w:lang w:val="en-US" w:eastAsia="zh-CN"/>
              </w:rPr>
              <w:t>中</w:t>
            </w:r>
            <w:r>
              <w:rPr>
                <w:rFonts w:hint="eastAsia" w:ascii="宋体" w:hAnsi="宋体" w:eastAsia="宋体" w:cs="宋体"/>
                <w:color w:val="auto"/>
                <w:sz w:val="24"/>
                <w:szCs w:val="24"/>
                <w:lang w:eastAsia="zh-CN"/>
              </w:rPr>
              <w:t>“</w:t>
            </w:r>
            <w:r>
              <w:rPr>
                <w:rFonts w:hint="default" w:ascii="Times New Roman" w:hAnsi="Times New Roman" w:eastAsia="宋体" w:cs="Times New Roman"/>
                <w:color w:val="auto"/>
                <w:sz w:val="24"/>
                <w:szCs w:val="24"/>
              </w:rPr>
              <w:t>SW17可再生类废物</w:t>
            </w:r>
            <w:r>
              <w:rPr>
                <w:rFonts w:hint="default" w:ascii="Times New Roman" w:hAnsi="Times New Roman" w:eastAsia="宋体" w:cs="Times New Roman"/>
                <w:color w:val="auto"/>
                <w:sz w:val="24"/>
                <w:szCs w:val="24"/>
                <w:lang w:val="en-US" w:eastAsia="zh-CN"/>
              </w:rPr>
              <w:t>/</w:t>
            </w:r>
            <w:r>
              <w:rPr>
                <w:rFonts w:hint="default" w:ascii="Times New Roman" w:hAnsi="Times New Roman" w:eastAsia="宋体" w:cs="Times New Roman"/>
                <w:color w:val="auto"/>
                <w:sz w:val="24"/>
                <w:szCs w:val="24"/>
              </w:rPr>
              <w:t>非特定行业</w:t>
            </w:r>
            <w:r>
              <w:rPr>
                <w:rFonts w:hint="default" w:ascii="Times New Roman" w:hAnsi="Times New Roman" w:eastAsia="宋体" w:cs="Times New Roman"/>
                <w:color w:val="auto"/>
                <w:sz w:val="24"/>
                <w:szCs w:val="24"/>
                <w:lang w:val="en-US" w:eastAsia="zh-CN"/>
              </w:rPr>
              <w:t>/</w:t>
            </w:r>
            <w:r>
              <w:rPr>
                <w:rFonts w:hint="default" w:ascii="Times New Roman" w:hAnsi="Times New Roman" w:eastAsia="宋体" w:cs="Times New Roman"/>
                <w:color w:val="auto"/>
                <w:sz w:val="24"/>
                <w:szCs w:val="24"/>
              </w:rPr>
              <w:t>900-0</w:t>
            </w:r>
            <w:r>
              <w:rPr>
                <w:rFonts w:hint="default" w:ascii="Times New Roman" w:hAnsi="Times New Roman" w:eastAsia="宋体" w:cs="Times New Roman"/>
                <w:color w:val="auto"/>
                <w:sz w:val="24"/>
                <w:szCs w:val="24"/>
                <w:lang w:val="en-US" w:eastAsia="zh-CN"/>
              </w:rPr>
              <w:t>12</w:t>
            </w:r>
            <w:r>
              <w:rPr>
                <w:rFonts w:hint="default" w:ascii="Times New Roman" w:hAnsi="Times New Roman" w:eastAsia="宋体" w:cs="Times New Roman"/>
                <w:color w:val="auto"/>
                <w:sz w:val="24"/>
                <w:szCs w:val="24"/>
              </w:rPr>
              <w:t>-S17</w:t>
            </w:r>
            <w:r>
              <w:rPr>
                <w:rFonts w:hint="eastAsia"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lang w:val="en-US" w:eastAsia="zh-CN"/>
              </w:rPr>
              <w:t>由原料厂家</w:t>
            </w:r>
            <w:r>
              <w:rPr>
                <w:rFonts w:hint="eastAsia" w:ascii="Times New Roman" w:hAnsi="Times New Roman" w:eastAsia="宋体" w:cs="Times New Roman"/>
                <w:color w:val="auto"/>
                <w:sz w:val="24"/>
                <w:szCs w:val="24"/>
                <w:lang w:val="en-US" w:eastAsia="zh-CN"/>
              </w:rPr>
              <w:t>每天</w:t>
            </w:r>
            <w:r>
              <w:rPr>
                <w:rFonts w:hint="default" w:ascii="Times New Roman" w:hAnsi="Times New Roman" w:eastAsia="宋体" w:cs="Times New Roman"/>
                <w:color w:val="auto"/>
                <w:sz w:val="24"/>
                <w:szCs w:val="24"/>
                <w:lang w:val="en-US" w:eastAsia="zh-CN"/>
              </w:rPr>
              <w:t>回收精馏提纯综合利用。</w:t>
            </w:r>
          </w:p>
          <w:p w14:paraId="7E401F49">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Times New Roman" w:hAnsi="Times New Roman" w:eastAsia="宋体" w:cs="Times New Roman"/>
                <w:b/>
                <w:bCs/>
                <w:color w:val="auto"/>
                <w:sz w:val="24"/>
                <w:szCs w:val="24"/>
                <w:lang w:val="en-US" w:eastAsia="zh-CN"/>
              </w:rPr>
            </w:pPr>
            <w:r>
              <w:rPr>
                <w:rFonts w:hint="eastAsia" w:cs="Times New Roman"/>
                <w:b/>
                <w:bCs/>
                <w:color w:val="auto"/>
                <w:sz w:val="24"/>
                <w:szCs w:val="24"/>
                <w:lang w:val="en-US" w:eastAsia="zh-CN"/>
              </w:rPr>
              <w:t>⑥</w:t>
            </w:r>
            <w:r>
              <w:rPr>
                <w:rFonts w:hint="eastAsia" w:ascii="Times New Roman" w:hAnsi="Times New Roman" w:eastAsia="宋体" w:cs="Times New Roman"/>
                <w:b/>
                <w:bCs/>
                <w:color w:val="auto"/>
                <w:sz w:val="24"/>
                <w:szCs w:val="24"/>
                <w:lang w:val="en-US" w:eastAsia="zh-CN"/>
              </w:rPr>
              <w:t>废NMP包装桶</w:t>
            </w:r>
          </w:p>
          <w:p w14:paraId="0ACDA7D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b w:val="0"/>
                <w:bCs w:val="0"/>
                <w:color w:val="auto"/>
                <w:sz w:val="24"/>
                <w:szCs w:val="24"/>
                <w:lang w:val="en-US" w:eastAsia="zh-CN"/>
              </w:rPr>
            </w:pPr>
            <w:r>
              <w:rPr>
                <w:rFonts w:hint="eastAsia" w:ascii="Times New Roman" w:hAnsi="Times New Roman" w:eastAsia="宋体" w:cs="Times New Roman"/>
                <w:b w:val="0"/>
                <w:bCs w:val="0"/>
                <w:color w:val="auto"/>
                <w:sz w:val="24"/>
                <w:szCs w:val="24"/>
                <w:lang w:val="en-US" w:eastAsia="zh-CN"/>
              </w:rPr>
              <w:t>项目生产使用NMP会产生废包装桶，产生量约3t/a，</w:t>
            </w:r>
            <w:r>
              <w:rPr>
                <w:rFonts w:hint="default" w:ascii="Times New Roman" w:hAnsi="Times New Roman" w:eastAsia="宋体" w:cs="Times New Roman"/>
                <w:color w:val="auto"/>
                <w:sz w:val="24"/>
                <w:szCs w:val="24"/>
                <w:lang w:val="en-US" w:eastAsia="zh-CN"/>
              </w:rPr>
              <w:t>属于</w:t>
            </w:r>
            <w:r>
              <w:rPr>
                <w:rFonts w:hint="default" w:ascii="Times New Roman" w:hAnsi="Times New Roman" w:eastAsia="宋体" w:cs="Times New Roman"/>
                <w:color w:val="auto"/>
                <w:sz w:val="24"/>
                <w:szCs w:val="24"/>
              </w:rPr>
              <w:t>《固体废物分类与代码</w:t>
            </w:r>
            <w:r>
              <w:rPr>
                <w:rFonts w:hint="eastAsia" w:ascii="宋体" w:hAnsi="宋体" w:eastAsia="宋体" w:cs="宋体"/>
                <w:color w:val="auto"/>
                <w:sz w:val="24"/>
                <w:szCs w:val="24"/>
              </w:rPr>
              <w:t>目录》</w:t>
            </w:r>
            <w:r>
              <w:rPr>
                <w:rFonts w:hint="eastAsia" w:ascii="宋体" w:hAnsi="宋体" w:eastAsia="宋体" w:cs="宋体"/>
                <w:color w:val="auto"/>
                <w:sz w:val="24"/>
                <w:szCs w:val="24"/>
                <w:lang w:val="en-US" w:eastAsia="zh-CN"/>
              </w:rPr>
              <w:t>中</w:t>
            </w:r>
            <w:r>
              <w:rPr>
                <w:rFonts w:hint="eastAsia" w:ascii="宋体" w:hAnsi="宋体" w:eastAsia="宋体" w:cs="宋体"/>
                <w:color w:val="auto"/>
                <w:sz w:val="24"/>
                <w:szCs w:val="24"/>
                <w:lang w:eastAsia="zh-CN"/>
              </w:rPr>
              <w:t>“</w:t>
            </w:r>
            <w:r>
              <w:rPr>
                <w:rFonts w:hint="default" w:ascii="Times New Roman" w:hAnsi="Times New Roman" w:eastAsia="宋体" w:cs="Times New Roman"/>
                <w:color w:val="auto"/>
                <w:sz w:val="24"/>
                <w:szCs w:val="24"/>
              </w:rPr>
              <w:t>SW17可再生类废物</w:t>
            </w:r>
            <w:r>
              <w:rPr>
                <w:rFonts w:hint="default" w:ascii="Times New Roman" w:hAnsi="Times New Roman" w:eastAsia="宋体" w:cs="Times New Roman"/>
                <w:color w:val="auto"/>
                <w:sz w:val="24"/>
                <w:szCs w:val="24"/>
                <w:lang w:val="en-US" w:eastAsia="zh-CN"/>
              </w:rPr>
              <w:t>/</w:t>
            </w:r>
            <w:r>
              <w:rPr>
                <w:rFonts w:hint="default" w:ascii="Times New Roman" w:hAnsi="Times New Roman" w:eastAsia="宋体" w:cs="Times New Roman"/>
                <w:color w:val="auto"/>
                <w:sz w:val="24"/>
                <w:szCs w:val="24"/>
              </w:rPr>
              <w:t>非特定行业</w:t>
            </w:r>
            <w:r>
              <w:rPr>
                <w:rFonts w:hint="default" w:ascii="Times New Roman" w:hAnsi="Times New Roman" w:eastAsia="宋体" w:cs="Times New Roman"/>
                <w:color w:val="auto"/>
                <w:sz w:val="24"/>
                <w:szCs w:val="24"/>
                <w:lang w:val="en-US" w:eastAsia="zh-CN"/>
              </w:rPr>
              <w:t>/</w:t>
            </w:r>
            <w:r>
              <w:rPr>
                <w:rFonts w:hint="default" w:ascii="Times New Roman" w:hAnsi="Times New Roman" w:eastAsia="宋体" w:cs="Times New Roman"/>
                <w:color w:val="auto"/>
                <w:sz w:val="24"/>
                <w:szCs w:val="24"/>
              </w:rPr>
              <w:t>900-0</w:t>
            </w:r>
            <w:r>
              <w:rPr>
                <w:rFonts w:hint="eastAsia" w:cs="Times New Roman"/>
                <w:color w:val="auto"/>
                <w:sz w:val="24"/>
                <w:szCs w:val="24"/>
                <w:lang w:val="en-US" w:eastAsia="zh-CN"/>
              </w:rPr>
              <w:t>99-</w:t>
            </w:r>
            <w:r>
              <w:rPr>
                <w:rFonts w:hint="default" w:ascii="Times New Roman" w:hAnsi="Times New Roman" w:eastAsia="宋体" w:cs="Times New Roman"/>
                <w:color w:val="auto"/>
                <w:sz w:val="24"/>
                <w:szCs w:val="24"/>
              </w:rPr>
              <w:t>S17</w:t>
            </w:r>
            <w:r>
              <w:rPr>
                <w:rFonts w:hint="eastAsia" w:ascii="宋体" w:hAnsi="宋体" w:eastAsia="宋体" w:cs="宋体"/>
                <w:color w:val="auto"/>
                <w:sz w:val="24"/>
                <w:szCs w:val="24"/>
                <w:lang w:eastAsia="zh-CN"/>
              </w:rPr>
              <w:t>”，</w:t>
            </w:r>
            <w:r>
              <w:rPr>
                <w:rFonts w:hint="eastAsia" w:ascii="Times New Roman" w:hAnsi="Times New Roman" w:eastAsia="宋体" w:cs="Times New Roman"/>
                <w:b w:val="0"/>
                <w:bCs w:val="0"/>
                <w:color w:val="auto"/>
                <w:sz w:val="24"/>
                <w:szCs w:val="24"/>
                <w:lang w:val="en-US" w:eastAsia="zh-CN"/>
              </w:rPr>
              <w:t>经收集后定期交由</w:t>
            </w:r>
            <w:r>
              <w:rPr>
                <w:rFonts w:hint="eastAsia" w:cs="Times New Roman"/>
                <w:b w:val="0"/>
                <w:bCs w:val="0"/>
                <w:color w:val="auto"/>
                <w:sz w:val="24"/>
                <w:szCs w:val="24"/>
                <w:lang w:val="en-US" w:eastAsia="zh-CN"/>
              </w:rPr>
              <w:t>原料</w:t>
            </w:r>
            <w:r>
              <w:rPr>
                <w:rFonts w:hint="eastAsia" w:ascii="Times New Roman" w:hAnsi="Times New Roman" w:eastAsia="宋体" w:cs="Times New Roman"/>
                <w:b w:val="0"/>
                <w:bCs w:val="0"/>
                <w:color w:val="auto"/>
                <w:sz w:val="24"/>
                <w:szCs w:val="24"/>
                <w:lang w:val="en-US" w:eastAsia="zh-CN"/>
              </w:rPr>
              <w:t>厂家回收利用。</w:t>
            </w:r>
          </w:p>
          <w:p w14:paraId="01C0409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根据原国家环境保护总局《关于N-甲基吡咯烷酮是否属于危险化学品事项的答复》（环信复字〔2007〕3号）：</w:t>
            </w:r>
            <w:r>
              <w:rPr>
                <w:rFonts w:hint="eastAsia" w:ascii="宋体" w:hAnsi="宋体" w:eastAsia="宋体" w:cs="宋体"/>
                <w:color w:val="auto"/>
                <w:sz w:val="24"/>
                <w:szCs w:val="24"/>
                <w:lang w:val="en-US" w:eastAsia="zh-CN"/>
              </w:rPr>
              <w:t>“</w:t>
            </w:r>
            <w:r>
              <w:rPr>
                <w:rFonts w:hint="default" w:ascii="Times New Roman" w:hAnsi="Times New Roman" w:eastAsia="宋体" w:cs="Times New Roman"/>
                <w:color w:val="auto"/>
                <w:sz w:val="24"/>
                <w:szCs w:val="24"/>
                <w:lang w:val="en-US" w:eastAsia="zh-CN"/>
              </w:rPr>
              <w:t>一、N-甲基吡咯烷酮（NMP）未列入《危险化学品名录（2002）》，目前在我国不属于危险化学品。经营NMP无需领取危险化学品相关许可证。二、废弃NMP未列入《国家危险废物名录》，且有关危险废物毒性标准中未将NMP列入相关指标中，废弃NMP不属于危险废物，经营废弃NMP无需领取危险废物相关许可</w:t>
            </w:r>
            <w:r>
              <w:rPr>
                <w:rFonts w:hint="eastAsia" w:ascii="Times New Roman" w:hAnsi="Times New Roman" w:eastAsia="宋体" w:cs="Times New Roman"/>
                <w:color w:val="auto"/>
                <w:sz w:val="24"/>
                <w:szCs w:val="24"/>
                <w:lang w:val="en-US" w:eastAsia="zh-CN"/>
              </w:rPr>
              <w:t>证”。</w:t>
            </w:r>
            <w:r>
              <w:rPr>
                <w:rFonts w:hint="default" w:ascii="Times New Roman" w:hAnsi="Times New Roman" w:cs="Times New Roman"/>
                <w:color w:val="auto"/>
                <w:sz w:val="24"/>
                <w:szCs w:val="24"/>
                <w:lang w:val="en-US" w:eastAsia="zh-CN"/>
              </w:rPr>
              <w:t>目前虽然《危险化学品目录》和《国家危险废物名录》均已更新，但NMP仍然未列入现行的《危险化学品目录（2015版，2022年调整）》，废弃NMP也未列入现行的《国家危险废物名录》（2025年版）。根据《国家危险废物名录》（2025年版），NMP未列入《危险化学品目录》，也未列入危险废物名录，可判定不属于HW06类危险废物。</w:t>
            </w:r>
          </w:p>
          <w:p w14:paraId="0FA130C4">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default" w:ascii="Times New Roman" w:hAnsi="Times New Roman" w:eastAsia="宋体" w:cs="Times New Roman"/>
                <w:b/>
                <w:bCs/>
                <w:color w:val="auto"/>
                <w:sz w:val="24"/>
                <w:szCs w:val="24"/>
                <w:lang w:val="en-US" w:eastAsia="zh-CN"/>
              </w:rPr>
            </w:pPr>
            <w:r>
              <w:rPr>
                <w:rFonts w:hint="eastAsia" w:cs="Times New Roman"/>
                <w:b/>
                <w:bCs/>
                <w:color w:val="auto"/>
                <w:sz w:val="24"/>
                <w:szCs w:val="24"/>
                <w:lang w:val="en-US" w:eastAsia="zh-CN"/>
              </w:rPr>
              <w:t>⑦</w:t>
            </w:r>
            <w:r>
              <w:rPr>
                <w:rFonts w:hint="eastAsia" w:ascii="Times New Roman" w:hAnsi="Times New Roman" w:eastAsia="宋体" w:cs="Times New Roman"/>
                <w:b/>
                <w:bCs/>
                <w:color w:val="auto"/>
                <w:sz w:val="24"/>
                <w:szCs w:val="24"/>
                <w:lang w:val="en-US" w:eastAsia="zh-CN"/>
              </w:rPr>
              <w:t>纯水制备废过滤材料</w:t>
            </w:r>
          </w:p>
          <w:p w14:paraId="5E7203E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b w:val="0"/>
                <w:bCs w:val="0"/>
                <w:color w:val="auto"/>
                <w:sz w:val="24"/>
                <w:szCs w:val="24"/>
                <w:lang w:val="en-US" w:eastAsia="zh-CN"/>
              </w:rPr>
            </w:pPr>
            <w:r>
              <w:rPr>
                <w:rFonts w:hint="eastAsia" w:ascii="Times New Roman" w:hAnsi="Times New Roman" w:eastAsia="宋体" w:cs="Times New Roman"/>
                <w:b w:val="0"/>
                <w:bCs w:val="0"/>
                <w:color w:val="auto"/>
                <w:sz w:val="24"/>
                <w:szCs w:val="24"/>
                <w:lang w:val="en-US" w:eastAsia="zh-CN"/>
              </w:rPr>
              <w:t>项目纯水机需定期更换石英砂、活性炭、RO膜，其废石英砂、废活性炭、废RO膜产生量约0.2t/a，</w:t>
            </w:r>
            <w:r>
              <w:rPr>
                <w:rFonts w:hint="default" w:ascii="Times New Roman" w:hAnsi="Times New Roman" w:cs="Times New Roman"/>
                <w:color w:val="auto"/>
              </w:rPr>
              <w:t>属于《</w:t>
            </w:r>
            <w:r>
              <w:rPr>
                <w:rFonts w:hint="default" w:ascii="Times New Roman" w:hAnsi="Times New Roman" w:eastAsia="宋体" w:cs="Times New Roman"/>
                <w:b w:val="0"/>
                <w:bCs w:val="0"/>
                <w:color w:val="auto"/>
                <w:sz w:val="24"/>
                <w:szCs w:val="24"/>
                <w:lang w:val="en-US" w:eastAsia="zh-CN"/>
              </w:rPr>
              <w:t>固体废物分类与代码目录》中</w:t>
            </w:r>
            <w:r>
              <w:rPr>
                <w:rFonts w:hint="eastAsia" w:ascii="Times New Roman" w:hAnsi="Times New Roman" w:eastAsia="宋体" w:cs="Times New Roman"/>
                <w:b w:val="0"/>
                <w:bCs w:val="0"/>
                <w:color w:val="auto"/>
                <w:sz w:val="24"/>
                <w:szCs w:val="24"/>
                <w:lang w:val="en-US" w:eastAsia="zh-CN"/>
              </w:rPr>
              <w:t>“</w:t>
            </w:r>
            <w:r>
              <w:rPr>
                <w:rFonts w:hint="default" w:ascii="Times New Roman" w:hAnsi="Times New Roman" w:eastAsia="宋体" w:cs="Times New Roman"/>
                <w:b w:val="0"/>
                <w:bCs w:val="0"/>
                <w:color w:val="auto"/>
                <w:sz w:val="24"/>
                <w:szCs w:val="24"/>
                <w:lang w:val="en-US" w:eastAsia="zh-CN"/>
              </w:rPr>
              <w:t>SW59其他工业固体废物/非特定行业/900-00</w:t>
            </w:r>
            <w:r>
              <w:rPr>
                <w:rFonts w:hint="eastAsia" w:cs="Times New Roman"/>
                <w:b w:val="0"/>
                <w:bCs w:val="0"/>
                <w:color w:val="auto"/>
                <w:sz w:val="24"/>
                <w:szCs w:val="24"/>
                <w:lang w:val="en-US" w:eastAsia="zh-CN"/>
              </w:rPr>
              <w:t>9</w:t>
            </w:r>
            <w:r>
              <w:rPr>
                <w:rFonts w:hint="default" w:ascii="Times New Roman" w:hAnsi="Times New Roman" w:eastAsia="宋体" w:cs="Times New Roman"/>
                <w:b w:val="0"/>
                <w:bCs w:val="0"/>
                <w:color w:val="auto"/>
                <w:sz w:val="24"/>
                <w:szCs w:val="24"/>
                <w:lang w:val="en-US" w:eastAsia="zh-CN"/>
              </w:rPr>
              <w:t>-S59</w:t>
            </w:r>
            <w:r>
              <w:rPr>
                <w:rFonts w:hint="eastAsia" w:ascii="Times New Roman" w:hAnsi="Times New Roman" w:eastAsia="宋体" w:cs="Times New Roman"/>
                <w:b w:val="0"/>
                <w:bCs w:val="0"/>
                <w:color w:val="auto"/>
                <w:sz w:val="24"/>
                <w:szCs w:val="24"/>
                <w:lang w:val="en-US" w:eastAsia="zh-CN"/>
              </w:rPr>
              <w:t>”</w:t>
            </w:r>
            <w:r>
              <w:rPr>
                <w:rFonts w:hint="default" w:ascii="Times New Roman" w:hAnsi="Times New Roman" w:eastAsia="宋体" w:cs="Times New Roman"/>
                <w:b w:val="0"/>
                <w:bCs w:val="0"/>
                <w:color w:val="auto"/>
                <w:sz w:val="24"/>
                <w:szCs w:val="24"/>
                <w:lang w:val="en-US" w:eastAsia="zh-CN"/>
              </w:rPr>
              <w:t>，</w:t>
            </w:r>
            <w:r>
              <w:rPr>
                <w:rFonts w:hint="eastAsia" w:ascii="Times New Roman" w:hAnsi="Times New Roman" w:eastAsia="宋体" w:cs="Times New Roman"/>
                <w:b w:val="0"/>
                <w:bCs w:val="0"/>
                <w:color w:val="auto"/>
                <w:sz w:val="24"/>
                <w:szCs w:val="24"/>
                <w:lang w:val="en-US" w:eastAsia="zh-CN"/>
              </w:rPr>
              <w:t>经收集后定期交厂家回收。</w:t>
            </w:r>
          </w:p>
          <w:p w14:paraId="5887DE15">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Times New Roman" w:hAnsi="Times New Roman" w:eastAsia="宋体" w:cs="Times New Roman"/>
                <w:b/>
                <w:bCs/>
                <w:color w:val="auto"/>
                <w:sz w:val="24"/>
                <w:szCs w:val="24"/>
                <w:lang w:val="en-US" w:eastAsia="zh-CN"/>
              </w:rPr>
            </w:pPr>
            <w:r>
              <w:rPr>
                <w:rFonts w:hint="eastAsia" w:cs="Times New Roman"/>
                <w:b/>
                <w:bCs/>
                <w:color w:val="auto"/>
                <w:sz w:val="24"/>
                <w:szCs w:val="24"/>
                <w:lang w:val="en-US" w:eastAsia="zh-CN"/>
              </w:rPr>
              <w:t>⑧</w:t>
            </w:r>
            <w:r>
              <w:rPr>
                <w:rFonts w:hint="eastAsia" w:ascii="Times New Roman" w:hAnsi="Times New Roman" w:eastAsia="宋体" w:cs="Times New Roman"/>
                <w:b/>
                <w:bCs/>
                <w:color w:val="auto"/>
                <w:sz w:val="24"/>
                <w:szCs w:val="24"/>
                <w:lang w:val="en-US" w:eastAsia="zh-CN"/>
              </w:rPr>
              <w:t>废分子筛</w:t>
            </w:r>
          </w:p>
          <w:p w14:paraId="5CF855ED">
            <w:pPr>
              <w:keepNext w:val="0"/>
              <w:keepLines w:val="0"/>
              <w:pageBreakBefore w:val="0"/>
              <w:widowControl w:val="0"/>
              <w:kinsoku/>
              <w:wordWrap/>
              <w:overflowPunct/>
              <w:topLinePunct w:val="0"/>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rPr>
            </w:pPr>
            <w:r>
              <w:rPr>
                <w:rFonts w:hint="eastAsia" w:ascii="Times New Roman" w:hAnsi="Times New Roman" w:eastAsia="宋体" w:cs="Times New Roman"/>
                <w:b w:val="0"/>
                <w:bCs w:val="0"/>
                <w:color w:val="auto"/>
                <w:sz w:val="24"/>
                <w:szCs w:val="24"/>
                <w:lang w:val="en-US" w:eastAsia="zh-CN"/>
              </w:rPr>
              <w:t>项目氮气制备系统分子筛会因老化损耗而定期更换（约1年更换1次），产生量约0.2t/a，</w:t>
            </w:r>
            <w:r>
              <w:rPr>
                <w:rFonts w:hint="default" w:ascii="Times New Roman" w:hAnsi="Times New Roman" w:eastAsia="宋体" w:cs="Times New Roman"/>
                <w:color w:val="auto"/>
                <w:sz w:val="24"/>
                <w:szCs w:val="24"/>
              </w:rPr>
              <w:t>属于《固体废物分类与代码目录</w:t>
            </w:r>
            <w:r>
              <w:rPr>
                <w:rFonts w:hint="eastAsia" w:ascii="宋体" w:hAnsi="宋体" w:eastAsia="宋体" w:cs="宋体"/>
                <w:color w:val="auto"/>
                <w:sz w:val="24"/>
                <w:szCs w:val="24"/>
              </w:rPr>
              <w:t>》</w:t>
            </w:r>
            <w:r>
              <w:rPr>
                <w:rFonts w:hint="eastAsia" w:ascii="宋体" w:hAnsi="宋体" w:eastAsia="宋体" w:cs="宋体"/>
                <w:color w:val="auto"/>
                <w:sz w:val="24"/>
                <w:szCs w:val="24"/>
                <w:lang w:val="en-US" w:eastAsia="zh-CN"/>
              </w:rPr>
              <w:t>中</w:t>
            </w:r>
            <w:r>
              <w:rPr>
                <w:rFonts w:hint="eastAsia" w:ascii="宋体" w:hAnsi="宋体" w:eastAsia="宋体" w:cs="宋体"/>
                <w:color w:val="auto"/>
                <w:sz w:val="24"/>
                <w:szCs w:val="24"/>
                <w:lang w:eastAsia="zh-CN"/>
              </w:rPr>
              <w:t>“</w:t>
            </w:r>
            <w:r>
              <w:rPr>
                <w:rFonts w:hint="default" w:ascii="Times New Roman" w:hAnsi="Times New Roman" w:eastAsia="宋体" w:cs="Times New Roman"/>
                <w:color w:val="auto"/>
                <w:sz w:val="24"/>
                <w:szCs w:val="24"/>
              </w:rPr>
              <w:t>SW59其他工业固体废物</w:t>
            </w:r>
            <w:r>
              <w:rPr>
                <w:rFonts w:hint="default" w:ascii="Times New Roman" w:hAnsi="Times New Roman" w:eastAsia="宋体" w:cs="Times New Roman"/>
                <w:color w:val="auto"/>
                <w:sz w:val="24"/>
                <w:szCs w:val="24"/>
                <w:lang w:val="en-US" w:eastAsia="zh-CN"/>
              </w:rPr>
              <w:t>/非特定行业/</w:t>
            </w:r>
            <w:r>
              <w:rPr>
                <w:rFonts w:hint="default" w:ascii="Times New Roman" w:hAnsi="Times New Roman" w:eastAsia="宋体" w:cs="Times New Roman"/>
                <w:color w:val="auto"/>
                <w:sz w:val="24"/>
                <w:szCs w:val="24"/>
              </w:rPr>
              <w:t>900-005-S59</w:t>
            </w:r>
            <w:r>
              <w:rPr>
                <w:rFonts w:hint="eastAsia" w:ascii="宋体" w:hAnsi="宋体" w:eastAsia="宋体" w:cs="宋体"/>
                <w:color w:val="auto"/>
                <w:sz w:val="24"/>
                <w:szCs w:val="24"/>
                <w:lang w:eastAsia="zh-CN"/>
              </w:rPr>
              <w:t>”，</w:t>
            </w:r>
            <w:r>
              <w:rPr>
                <w:rFonts w:hint="eastAsia" w:ascii="Times New Roman" w:hAnsi="Times New Roman" w:eastAsia="宋体" w:cs="Times New Roman"/>
                <w:color w:val="auto"/>
                <w:sz w:val="24"/>
                <w:szCs w:val="24"/>
                <w:lang w:val="en-US" w:eastAsia="zh-CN"/>
              </w:rPr>
              <w:t>经收集</w:t>
            </w:r>
            <w:r>
              <w:rPr>
                <w:rFonts w:hint="default" w:ascii="Times New Roman" w:hAnsi="Times New Roman" w:eastAsia="宋体" w:cs="Times New Roman"/>
                <w:color w:val="auto"/>
                <w:sz w:val="24"/>
                <w:szCs w:val="24"/>
              </w:rPr>
              <w:t>定期交</w:t>
            </w:r>
            <w:r>
              <w:rPr>
                <w:rFonts w:hint="default" w:ascii="Times New Roman" w:hAnsi="Times New Roman" w:eastAsia="宋体" w:cs="Times New Roman"/>
                <w:color w:val="auto"/>
                <w:sz w:val="24"/>
                <w:szCs w:val="24"/>
                <w:lang w:eastAsia="zh-CN"/>
              </w:rPr>
              <w:t>厂家</w:t>
            </w:r>
            <w:r>
              <w:rPr>
                <w:rFonts w:hint="default" w:ascii="Times New Roman" w:hAnsi="Times New Roman" w:eastAsia="宋体" w:cs="Times New Roman"/>
                <w:color w:val="auto"/>
                <w:sz w:val="24"/>
                <w:szCs w:val="24"/>
              </w:rPr>
              <w:t>回收。</w:t>
            </w:r>
          </w:p>
          <w:p w14:paraId="31122B51">
            <w:pPr>
              <w:keepNext w:val="0"/>
              <w:keepLines w:val="0"/>
              <w:pageBreakBefore w:val="0"/>
              <w:widowControl w:val="0"/>
              <w:kinsoku/>
              <w:wordWrap/>
              <w:overflowPunct/>
              <w:topLinePunct w:val="0"/>
              <w:bidi w:val="0"/>
              <w:adjustRightInd/>
              <w:snapToGrid/>
              <w:spacing w:line="360" w:lineRule="auto"/>
              <w:ind w:firstLine="482" w:firstLineChars="200"/>
              <w:textAlignment w:val="auto"/>
              <w:rPr>
                <w:rFonts w:hint="default" w:ascii="Times New Roman" w:hAnsi="Times New Roman" w:eastAsia="宋体" w:cs="Times New Roman"/>
                <w:b/>
                <w:bCs/>
                <w:color w:val="auto"/>
                <w:sz w:val="24"/>
                <w:szCs w:val="24"/>
                <w:lang w:val="en-US" w:eastAsia="zh-CN"/>
              </w:rPr>
            </w:pPr>
            <w:r>
              <w:rPr>
                <w:rFonts w:hint="eastAsia" w:cs="Times New Roman"/>
                <w:b/>
                <w:bCs/>
                <w:color w:val="auto"/>
                <w:sz w:val="24"/>
                <w:szCs w:val="24"/>
                <w:lang w:val="en-US" w:eastAsia="zh-CN"/>
              </w:rPr>
              <w:t>⑨不合格品</w:t>
            </w:r>
          </w:p>
          <w:p w14:paraId="11C3E816">
            <w:pPr>
              <w:keepNext w:val="0"/>
              <w:keepLines w:val="0"/>
              <w:pageBreakBefore w:val="0"/>
              <w:widowControl w:val="0"/>
              <w:kinsoku/>
              <w:wordWrap/>
              <w:overflowPunct/>
              <w:topLinePunct w:val="0"/>
              <w:bidi w:val="0"/>
              <w:adjustRightInd/>
              <w:snapToGrid/>
              <w:spacing w:line="360" w:lineRule="auto"/>
              <w:ind w:firstLine="480" w:firstLineChars="200"/>
              <w:textAlignment w:val="auto"/>
              <w:rPr>
                <w:rFonts w:hint="eastAsia" w:ascii="Times New Roman" w:hAnsi="Times New Roman" w:eastAsia="宋体" w:cs="Times New Roman"/>
                <w:color w:val="auto"/>
                <w:sz w:val="24"/>
                <w:szCs w:val="24"/>
                <w:lang w:val="en-US" w:eastAsia="zh-CN"/>
              </w:rPr>
            </w:pPr>
            <w:r>
              <w:rPr>
                <w:rFonts w:hint="eastAsia" w:cs="Times New Roman"/>
                <w:color w:val="auto"/>
                <w:sz w:val="24"/>
                <w:szCs w:val="24"/>
                <w:lang w:val="en-US" w:eastAsia="zh-CN"/>
              </w:rPr>
              <w:t>本项目产品测试过程中会产生不合格产品，产生量约0.7t/a，</w:t>
            </w:r>
            <w:r>
              <w:rPr>
                <w:rFonts w:hint="eastAsia" w:ascii="Times New Roman" w:hAnsi="Times New Roman" w:eastAsia="宋体" w:cs="Times New Roman"/>
                <w:color w:val="auto"/>
                <w:sz w:val="24"/>
                <w:szCs w:val="24"/>
                <w:lang w:val="en-US" w:eastAsia="zh-CN"/>
              </w:rPr>
              <w:t>根据</w:t>
            </w:r>
            <w:r>
              <w:rPr>
                <w:rFonts w:hint="default" w:ascii="Times New Roman" w:hAnsi="Times New Roman" w:eastAsia="宋体" w:cs="Times New Roman"/>
                <w:color w:val="auto"/>
                <w:sz w:val="24"/>
                <w:szCs w:val="24"/>
                <w:lang w:val="en-US" w:eastAsia="zh-CN"/>
              </w:rPr>
              <w:t>《关于废旧锂电池收集处置有关问题的复函》（环办函〔2014〕1621号）中指出：</w:t>
            </w:r>
            <w:r>
              <w:rPr>
                <w:rFonts w:hint="eastAsia" w:ascii="Times New Roman" w:hAnsi="Times New Roman" w:eastAsia="宋体" w:cs="Times New Roman"/>
                <w:color w:val="auto"/>
                <w:sz w:val="24"/>
                <w:szCs w:val="24"/>
                <w:lang w:val="en-US" w:eastAsia="zh-CN"/>
              </w:rPr>
              <w:t>“</w:t>
            </w:r>
            <w:r>
              <w:rPr>
                <w:rFonts w:hint="default" w:ascii="Times New Roman" w:hAnsi="Times New Roman" w:eastAsia="宋体" w:cs="Times New Roman"/>
                <w:color w:val="auto"/>
                <w:sz w:val="24"/>
                <w:szCs w:val="24"/>
                <w:lang w:val="en-US" w:eastAsia="zh-CN"/>
              </w:rPr>
              <w:t>废旧锂电池未列入《国家危险废物名录》。《国家危险废物名录》（2025年版）中明确废铅蓄电池、废镍镉电池和氧化汞电池属于危险废物等，未提到锂离子电池及钠离子电池，同时根据《固体废物分类与代码目录》，工业生产活动中产生的废弃磷酸铁锂电池、废弃三元锂电池、废弃钴酸锂电池、废弃镍氢电池、废弃燃料电池等废电池，以及电池生产过程中产生的废极片、废电芯、废粉末及浆料、边角料等属于工业固体废物类别下的SW17</w:t>
            </w:r>
            <w:r>
              <w:rPr>
                <w:rFonts w:hint="eastAsia" w:cs="Times New Roman"/>
                <w:color w:val="auto"/>
                <w:sz w:val="24"/>
                <w:szCs w:val="24"/>
                <w:lang w:val="en-US" w:eastAsia="zh-CN"/>
              </w:rPr>
              <w:t>/</w:t>
            </w:r>
            <w:r>
              <w:rPr>
                <w:rFonts w:hint="default" w:ascii="Times New Roman" w:hAnsi="Times New Roman" w:eastAsia="宋体" w:cs="Times New Roman"/>
                <w:color w:val="auto"/>
                <w:sz w:val="24"/>
                <w:szCs w:val="24"/>
                <w:lang w:val="en-US" w:eastAsia="zh-CN"/>
              </w:rPr>
              <w:t>可再生类废物</w:t>
            </w:r>
            <w:r>
              <w:rPr>
                <w:rFonts w:hint="eastAsia" w:cs="Times New Roman"/>
                <w:color w:val="auto"/>
                <w:sz w:val="24"/>
                <w:szCs w:val="24"/>
                <w:lang w:val="en-US" w:eastAsia="zh-CN"/>
              </w:rPr>
              <w:t>/非特定行业/</w:t>
            </w:r>
            <w:r>
              <w:rPr>
                <w:rFonts w:hint="default" w:ascii="Times New Roman" w:hAnsi="Times New Roman" w:eastAsia="宋体" w:cs="Times New Roman"/>
                <w:color w:val="auto"/>
                <w:sz w:val="24"/>
                <w:szCs w:val="24"/>
                <w:lang w:val="en-US" w:eastAsia="zh-CN"/>
              </w:rPr>
              <w:t>900-012-S17</w:t>
            </w:r>
            <w:r>
              <w:rPr>
                <w:rFonts w:hint="eastAsia" w:ascii="Times New Roman" w:hAnsi="Times New Roman" w:eastAsia="宋体" w:cs="Times New Roman"/>
                <w:color w:val="auto"/>
                <w:sz w:val="24"/>
                <w:szCs w:val="24"/>
                <w:lang w:val="en-US" w:eastAsia="zh-CN"/>
              </w:rPr>
              <w:t>，经收集后定期外售综合利用。</w:t>
            </w:r>
          </w:p>
          <w:p w14:paraId="06428510">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default" w:ascii="Times New Roman" w:hAnsi="Times New Roman" w:eastAsia="宋体" w:cs="Times New Roman"/>
                <w:b/>
                <w:bCs/>
                <w:color w:val="auto"/>
                <w:sz w:val="24"/>
                <w:szCs w:val="24"/>
                <w:lang w:val="en-US" w:eastAsia="zh-CN"/>
              </w:rPr>
            </w:pPr>
            <w:r>
              <w:rPr>
                <w:rFonts w:hint="eastAsia" w:cs="Times New Roman"/>
                <w:b/>
                <w:bCs/>
                <w:color w:val="auto"/>
                <w:sz w:val="24"/>
                <w:szCs w:val="24"/>
                <w:lang w:val="en-US" w:eastAsia="zh-CN"/>
              </w:rPr>
              <w:t>⑩</w:t>
            </w:r>
            <w:r>
              <w:rPr>
                <w:rFonts w:hint="default" w:ascii="Times New Roman" w:hAnsi="Times New Roman" w:eastAsia="宋体" w:cs="Times New Roman"/>
                <w:b/>
                <w:bCs/>
                <w:color w:val="auto"/>
                <w:sz w:val="24"/>
                <w:szCs w:val="24"/>
                <w:lang w:val="en-US" w:eastAsia="zh-CN"/>
              </w:rPr>
              <w:t>除尘器收集粉尘</w:t>
            </w:r>
          </w:p>
          <w:p w14:paraId="7FCE6B2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color w:val="auto"/>
                <w:sz w:val="24"/>
                <w:szCs w:val="24"/>
                <w:lang w:eastAsia="zh-CN"/>
              </w:rPr>
            </w:pPr>
            <w:r>
              <w:rPr>
                <w:rFonts w:hint="eastAsia" w:ascii="Times New Roman" w:hAnsi="Times New Roman" w:eastAsia="宋体" w:cs="Times New Roman"/>
                <w:b w:val="0"/>
                <w:bCs w:val="0"/>
                <w:color w:val="auto"/>
                <w:sz w:val="24"/>
                <w:szCs w:val="24"/>
                <w:lang w:val="en-US" w:eastAsia="zh-CN"/>
              </w:rPr>
              <w:t>本</w:t>
            </w:r>
            <w:r>
              <w:rPr>
                <w:rFonts w:hint="default" w:ascii="Times New Roman" w:hAnsi="Times New Roman" w:eastAsia="宋体" w:cs="Times New Roman"/>
                <w:b w:val="0"/>
                <w:bCs w:val="0"/>
                <w:color w:val="auto"/>
                <w:sz w:val="24"/>
                <w:szCs w:val="24"/>
                <w:lang w:val="en-US" w:eastAsia="zh-CN"/>
              </w:rPr>
              <w:t>项目</w:t>
            </w:r>
            <w:r>
              <w:rPr>
                <w:rFonts w:hint="eastAsia" w:cs="Times New Roman"/>
                <w:b w:val="0"/>
                <w:bCs w:val="0"/>
                <w:color w:val="auto"/>
                <w:sz w:val="24"/>
                <w:szCs w:val="24"/>
                <w:lang w:val="en-US" w:eastAsia="zh-CN"/>
              </w:rPr>
              <w:t>投料工序产生的原辅料散逸粉尘由</w:t>
            </w:r>
            <w:r>
              <w:rPr>
                <w:rFonts w:hint="default" w:ascii="Times New Roman" w:hAnsi="Times New Roman" w:eastAsia="宋体" w:cs="Times New Roman"/>
                <w:b w:val="0"/>
                <w:bCs w:val="0"/>
                <w:color w:val="auto"/>
                <w:sz w:val="24"/>
                <w:szCs w:val="24"/>
                <w:lang w:val="en-US" w:eastAsia="zh-CN"/>
              </w:rPr>
              <w:t>滤芯除尘器</w:t>
            </w:r>
            <w:r>
              <w:rPr>
                <w:rFonts w:hint="eastAsia" w:cs="Times New Roman"/>
                <w:b w:val="0"/>
                <w:bCs w:val="0"/>
                <w:color w:val="auto"/>
                <w:sz w:val="24"/>
                <w:szCs w:val="24"/>
                <w:lang w:val="en-US" w:eastAsia="zh-CN"/>
              </w:rPr>
              <w:t>收集，收集的除尘灰</w:t>
            </w:r>
            <w:r>
              <w:rPr>
                <w:rFonts w:hint="default" w:ascii="Times New Roman" w:hAnsi="Times New Roman" w:eastAsia="宋体" w:cs="Times New Roman"/>
                <w:b w:val="0"/>
                <w:bCs w:val="0"/>
                <w:color w:val="auto"/>
                <w:sz w:val="24"/>
                <w:szCs w:val="24"/>
                <w:lang w:val="en-US" w:eastAsia="zh-CN"/>
              </w:rPr>
              <w:t>约为</w:t>
            </w:r>
            <w:r>
              <w:rPr>
                <w:rFonts w:hint="eastAsia" w:cs="Times New Roman"/>
                <w:b w:val="0"/>
                <w:bCs w:val="0"/>
                <w:color w:val="auto"/>
                <w:sz w:val="24"/>
                <w:szCs w:val="24"/>
                <w:lang w:val="en-US" w:eastAsia="zh-CN"/>
              </w:rPr>
              <w:t>0.133</w:t>
            </w:r>
            <w:r>
              <w:rPr>
                <w:rFonts w:hint="default" w:ascii="Times New Roman" w:hAnsi="Times New Roman" w:eastAsia="宋体" w:cs="Times New Roman"/>
                <w:b w:val="0"/>
                <w:bCs w:val="0"/>
                <w:color w:val="auto"/>
                <w:sz w:val="24"/>
                <w:szCs w:val="24"/>
                <w:lang w:val="en-US" w:eastAsia="zh-CN"/>
              </w:rPr>
              <w:t>t/a</w:t>
            </w:r>
            <w:r>
              <w:rPr>
                <w:rFonts w:hint="eastAsia"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rPr>
              <w:t>属于《固体废物分类与代码目录</w:t>
            </w:r>
            <w:r>
              <w:rPr>
                <w:rFonts w:hint="eastAsia" w:ascii="宋体" w:hAnsi="宋体" w:eastAsia="宋体" w:cs="宋体"/>
                <w:color w:val="auto"/>
                <w:sz w:val="24"/>
                <w:szCs w:val="24"/>
              </w:rPr>
              <w:t>》</w:t>
            </w:r>
            <w:r>
              <w:rPr>
                <w:rFonts w:hint="eastAsia" w:ascii="宋体" w:hAnsi="宋体" w:eastAsia="宋体" w:cs="宋体"/>
                <w:color w:val="auto"/>
                <w:sz w:val="24"/>
                <w:szCs w:val="24"/>
                <w:lang w:val="en-US" w:eastAsia="zh-CN"/>
              </w:rPr>
              <w:t>中</w:t>
            </w:r>
            <w:r>
              <w:rPr>
                <w:rFonts w:hint="eastAsia" w:ascii="宋体" w:hAnsi="宋体" w:eastAsia="宋体" w:cs="宋体"/>
                <w:color w:val="auto"/>
                <w:sz w:val="24"/>
                <w:szCs w:val="24"/>
                <w:lang w:eastAsia="zh-CN"/>
              </w:rPr>
              <w:t>“</w:t>
            </w:r>
            <w:r>
              <w:rPr>
                <w:rFonts w:hint="default" w:ascii="Times New Roman" w:hAnsi="Times New Roman" w:eastAsia="宋体" w:cs="Times New Roman"/>
                <w:color w:val="auto"/>
                <w:sz w:val="24"/>
                <w:szCs w:val="24"/>
                <w:lang w:val="en-US" w:eastAsia="zh-CN"/>
              </w:rPr>
              <w:t>SW17</w:t>
            </w:r>
            <w:r>
              <w:rPr>
                <w:rFonts w:hint="eastAsia" w:cs="Times New Roman"/>
                <w:color w:val="auto"/>
                <w:sz w:val="24"/>
                <w:szCs w:val="24"/>
                <w:lang w:val="en-US" w:eastAsia="zh-CN"/>
              </w:rPr>
              <w:t>/</w:t>
            </w:r>
            <w:r>
              <w:rPr>
                <w:rFonts w:hint="default" w:ascii="Times New Roman" w:hAnsi="Times New Roman" w:eastAsia="宋体" w:cs="Times New Roman"/>
                <w:color w:val="auto"/>
                <w:sz w:val="24"/>
                <w:szCs w:val="24"/>
                <w:lang w:val="en-US" w:eastAsia="zh-CN"/>
              </w:rPr>
              <w:t>可再生类废物</w:t>
            </w:r>
            <w:r>
              <w:rPr>
                <w:rFonts w:hint="eastAsia" w:cs="Times New Roman"/>
                <w:color w:val="auto"/>
                <w:sz w:val="24"/>
                <w:szCs w:val="24"/>
                <w:lang w:val="en-US" w:eastAsia="zh-CN"/>
              </w:rPr>
              <w:t>/非特定行业/</w:t>
            </w:r>
            <w:r>
              <w:rPr>
                <w:rFonts w:hint="default" w:ascii="Times New Roman" w:hAnsi="Times New Roman" w:eastAsia="宋体" w:cs="Times New Roman"/>
                <w:color w:val="auto"/>
                <w:sz w:val="24"/>
                <w:szCs w:val="24"/>
                <w:lang w:val="en-US" w:eastAsia="zh-CN"/>
              </w:rPr>
              <w:t>900-012-S17</w:t>
            </w:r>
            <w:r>
              <w:rPr>
                <w:rFonts w:hint="eastAsia" w:ascii="宋体" w:hAnsi="宋体" w:eastAsia="宋体" w:cs="宋体"/>
                <w:color w:val="auto"/>
                <w:sz w:val="24"/>
                <w:szCs w:val="24"/>
                <w:lang w:eastAsia="zh-CN"/>
              </w:rPr>
              <w:t>”，</w:t>
            </w:r>
            <w:r>
              <w:rPr>
                <w:rFonts w:hint="eastAsia" w:ascii="Times New Roman" w:hAnsi="Times New Roman" w:eastAsia="宋体" w:cs="Times New Roman"/>
                <w:color w:val="auto"/>
                <w:sz w:val="24"/>
                <w:szCs w:val="24"/>
                <w:lang w:val="en-US" w:eastAsia="zh-CN"/>
              </w:rPr>
              <w:t>经收集后定期外售综合利用</w:t>
            </w:r>
            <w:r>
              <w:rPr>
                <w:rFonts w:hint="eastAsia" w:ascii="Times New Roman" w:hAnsi="Times New Roman" w:eastAsia="宋体" w:cs="Times New Roman"/>
                <w:color w:val="auto"/>
                <w:sz w:val="24"/>
                <w:szCs w:val="24"/>
                <w:lang w:eastAsia="zh-CN"/>
              </w:rPr>
              <w:t>。</w:t>
            </w:r>
          </w:p>
          <w:p w14:paraId="034C634E">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cs="Times New Roman"/>
                <w:b/>
                <w:bCs/>
                <w:color w:val="auto"/>
                <w:sz w:val="24"/>
                <w:szCs w:val="24"/>
                <w:lang w:val="en-US" w:eastAsia="zh-CN"/>
              </w:rPr>
            </w:pPr>
            <w:r>
              <w:rPr>
                <w:rFonts w:hint="eastAsia" w:cs="Times New Roman"/>
                <w:b/>
                <w:bCs/>
                <w:color w:val="auto"/>
                <w:sz w:val="24"/>
                <w:szCs w:val="24"/>
                <w:lang w:val="en-US" w:eastAsia="zh-CN"/>
              </w:rPr>
              <w:t>⑪废浆料</w:t>
            </w:r>
          </w:p>
          <w:p w14:paraId="0765F54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color w:val="auto"/>
                <w:lang w:val="en-US" w:eastAsia="zh-CN"/>
              </w:rPr>
            </w:pPr>
            <w:r>
              <w:rPr>
                <w:rFonts w:hint="eastAsia" w:ascii="Times New Roman" w:hAnsi="Times New Roman" w:eastAsia="宋体" w:cs="Times New Roman"/>
                <w:b w:val="0"/>
                <w:bCs w:val="0"/>
                <w:color w:val="auto"/>
                <w:sz w:val="24"/>
                <w:szCs w:val="24"/>
                <w:lang w:val="en-US" w:eastAsia="zh-CN"/>
              </w:rPr>
              <w:t>本</w:t>
            </w:r>
            <w:r>
              <w:rPr>
                <w:rFonts w:hint="default" w:ascii="Times New Roman" w:hAnsi="Times New Roman" w:eastAsia="宋体" w:cs="Times New Roman"/>
                <w:b w:val="0"/>
                <w:bCs w:val="0"/>
                <w:color w:val="auto"/>
                <w:sz w:val="24"/>
                <w:szCs w:val="24"/>
                <w:lang w:val="en-US" w:eastAsia="zh-CN"/>
              </w:rPr>
              <w:t>项目</w:t>
            </w:r>
            <w:r>
              <w:rPr>
                <w:rFonts w:hint="eastAsia" w:cs="Times New Roman"/>
                <w:b w:val="0"/>
                <w:bCs w:val="0"/>
                <w:color w:val="auto"/>
                <w:sz w:val="24"/>
                <w:szCs w:val="24"/>
                <w:lang w:val="en-US" w:eastAsia="zh-CN"/>
              </w:rPr>
              <w:t>投料工序会产生少量浆料，产生量约0.2t/a，根据</w:t>
            </w:r>
            <w:r>
              <w:rPr>
                <w:rFonts w:hint="default" w:ascii="Times New Roman" w:hAnsi="Times New Roman" w:eastAsia="宋体" w:cs="Times New Roman"/>
                <w:color w:val="auto"/>
                <w:sz w:val="24"/>
                <w:szCs w:val="24"/>
              </w:rPr>
              <w:t>属于《固体废物分类与代码目录</w:t>
            </w:r>
            <w:r>
              <w:rPr>
                <w:rFonts w:hint="eastAsia" w:ascii="宋体" w:hAnsi="宋体" w:eastAsia="宋体" w:cs="宋体"/>
                <w:color w:val="auto"/>
                <w:sz w:val="24"/>
                <w:szCs w:val="24"/>
              </w:rPr>
              <w:t>》</w:t>
            </w:r>
            <w:r>
              <w:rPr>
                <w:rFonts w:hint="eastAsia" w:ascii="宋体" w:hAnsi="宋体" w:eastAsia="宋体" w:cs="宋体"/>
                <w:color w:val="auto"/>
                <w:sz w:val="24"/>
                <w:szCs w:val="24"/>
                <w:lang w:val="en-US" w:eastAsia="zh-CN"/>
              </w:rPr>
              <w:t>中</w:t>
            </w:r>
            <w:r>
              <w:rPr>
                <w:rFonts w:hint="eastAsia" w:ascii="宋体" w:hAnsi="宋体" w:eastAsia="宋体" w:cs="宋体"/>
                <w:color w:val="auto"/>
                <w:sz w:val="24"/>
                <w:szCs w:val="24"/>
                <w:lang w:eastAsia="zh-CN"/>
              </w:rPr>
              <w:t>“</w:t>
            </w:r>
            <w:r>
              <w:rPr>
                <w:rFonts w:hint="default" w:ascii="Times New Roman" w:hAnsi="Times New Roman" w:eastAsia="宋体" w:cs="Times New Roman"/>
                <w:color w:val="auto"/>
                <w:sz w:val="24"/>
                <w:szCs w:val="24"/>
                <w:lang w:val="en-US" w:eastAsia="zh-CN"/>
              </w:rPr>
              <w:t>SW17</w:t>
            </w:r>
            <w:r>
              <w:rPr>
                <w:rFonts w:hint="eastAsia" w:cs="Times New Roman"/>
                <w:color w:val="auto"/>
                <w:sz w:val="24"/>
                <w:szCs w:val="24"/>
                <w:lang w:val="en-US" w:eastAsia="zh-CN"/>
              </w:rPr>
              <w:t>/</w:t>
            </w:r>
            <w:r>
              <w:rPr>
                <w:rFonts w:hint="default" w:ascii="Times New Roman" w:hAnsi="Times New Roman" w:eastAsia="宋体" w:cs="Times New Roman"/>
                <w:color w:val="auto"/>
                <w:sz w:val="24"/>
                <w:szCs w:val="24"/>
                <w:lang w:val="en-US" w:eastAsia="zh-CN"/>
              </w:rPr>
              <w:t>可再生类废物</w:t>
            </w:r>
            <w:r>
              <w:rPr>
                <w:rFonts w:hint="eastAsia" w:cs="Times New Roman"/>
                <w:color w:val="auto"/>
                <w:sz w:val="24"/>
                <w:szCs w:val="24"/>
                <w:lang w:val="en-US" w:eastAsia="zh-CN"/>
              </w:rPr>
              <w:t>/非特定行业/</w:t>
            </w:r>
            <w:r>
              <w:rPr>
                <w:rFonts w:hint="default" w:ascii="Times New Roman" w:hAnsi="Times New Roman" w:eastAsia="宋体" w:cs="Times New Roman"/>
                <w:color w:val="auto"/>
                <w:sz w:val="24"/>
                <w:szCs w:val="24"/>
                <w:lang w:val="en-US" w:eastAsia="zh-CN"/>
              </w:rPr>
              <w:t>900-012-S17</w:t>
            </w:r>
            <w:r>
              <w:rPr>
                <w:rFonts w:hint="eastAsia" w:ascii="宋体" w:hAnsi="宋体" w:eastAsia="宋体" w:cs="宋体"/>
                <w:color w:val="auto"/>
                <w:sz w:val="24"/>
                <w:szCs w:val="24"/>
                <w:lang w:eastAsia="zh-CN"/>
              </w:rPr>
              <w:t>”，</w:t>
            </w:r>
            <w:r>
              <w:rPr>
                <w:rFonts w:hint="eastAsia" w:ascii="Times New Roman" w:hAnsi="Times New Roman" w:eastAsia="宋体" w:cs="Times New Roman"/>
                <w:color w:val="auto"/>
                <w:sz w:val="24"/>
                <w:szCs w:val="24"/>
                <w:lang w:val="en-US" w:eastAsia="zh-CN"/>
              </w:rPr>
              <w:t>经收集后定期外售综合利用</w:t>
            </w:r>
            <w:r>
              <w:rPr>
                <w:rFonts w:hint="eastAsia" w:cs="Times New Roman"/>
                <w:color w:val="auto"/>
                <w:sz w:val="24"/>
                <w:szCs w:val="24"/>
                <w:lang w:val="en-US" w:eastAsia="zh-CN"/>
              </w:rPr>
              <w:t>。</w:t>
            </w:r>
          </w:p>
          <w:p w14:paraId="2D5418B2">
            <w:pPr>
              <w:keepNext w:val="0"/>
              <w:keepLines w:val="0"/>
              <w:pageBreakBefore w:val="0"/>
              <w:widowControl w:val="0"/>
              <w:kinsoku/>
              <w:wordWrap/>
              <w:overflowPunct/>
              <w:topLinePunct w:val="0"/>
              <w:bidi w:val="0"/>
              <w:adjustRightInd/>
              <w:snapToGrid/>
              <w:spacing w:line="360" w:lineRule="auto"/>
              <w:ind w:firstLine="482" w:firstLineChars="200"/>
              <w:textAlignment w:val="auto"/>
              <w:rPr>
                <w:rFonts w:hint="default" w:ascii="Times New Roman" w:hAnsi="Times New Roman" w:eastAsia="宋体" w:cs="Times New Roman"/>
                <w:b/>
                <w:bCs/>
                <w:color w:val="auto"/>
                <w:sz w:val="24"/>
                <w:szCs w:val="24"/>
              </w:rPr>
            </w:pPr>
            <w:r>
              <w:rPr>
                <w:rFonts w:hint="eastAsia" w:ascii="Times New Roman" w:hAnsi="Times New Roman" w:eastAsia="宋体" w:cs="Times New Roman"/>
                <w:b/>
                <w:bCs/>
                <w:color w:val="auto"/>
                <w:sz w:val="24"/>
                <w:szCs w:val="24"/>
                <w:lang w:val="en-US" w:eastAsia="zh-CN"/>
              </w:rPr>
              <w:t>3）</w:t>
            </w:r>
            <w:r>
              <w:rPr>
                <w:rFonts w:hint="default" w:ascii="Times New Roman" w:hAnsi="Times New Roman" w:eastAsia="宋体" w:cs="Times New Roman"/>
                <w:b/>
                <w:bCs/>
                <w:color w:val="auto"/>
                <w:sz w:val="24"/>
                <w:szCs w:val="24"/>
              </w:rPr>
              <w:t>危险废物</w:t>
            </w:r>
          </w:p>
          <w:p w14:paraId="0BAE3E44">
            <w:pPr>
              <w:keepNext w:val="0"/>
              <w:keepLines w:val="0"/>
              <w:pageBreakBefore w:val="0"/>
              <w:widowControl w:val="0"/>
              <w:shd w:val="clear"/>
              <w:kinsoku/>
              <w:wordWrap/>
              <w:overflowPunct/>
              <w:topLinePunct w:val="0"/>
              <w:autoSpaceDE w:val="0"/>
              <w:autoSpaceDN w:val="0"/>
              <w:bidi w:val="0"/>
              <w:adjustRightInd/>
              <w:snapToGrid/>
              <w:spacing w:line="360" w:lineRule="auto"/>
              <w:ind w:firstLine="482" w:firstLineChars="200"/>
              <w:jc w:val="left"/>
              <w:textAlignment w:val="auto"/>
              <w:rPr>
                <w:rFonts w:hint="default" w:ascii="Times New Roman" w:hAnsi="Times New Roman" w:eastAsia="宋体" w:cs="Times New Roman"/>
                <w:b/>
                <w:bCs/>
                <w:color w:val="auto"/>
                <w:sz w:val="24"/>
                <w:szCs w:val="24"/>
                <w:lang w:val="en-US" w:eastAsia="zh-CN"/>
              </w:rPr>
            </w:pPr>
            <w:r>
              <w:rPr>
                <w:rFonts w:hint="eastAsia" w:ascii="Times New Roman" w:hAnsi="Times New Roman" w:eastAsia="宋体" w:cs="Times New Roman"/>
                <w:b/>
                <w:bCs/>
                <w:color w:val="auto"/>
                <w:sz w:val="24"/>
                <w:szCs w:val="24"/>
                <w:lang w:val="en-US" w:eastAsia="zh-CN"/>
              </w:rPr>
              <w:t>①</w:t>
            </w:r>
            <w:r>
              <w:rPr>
                <w:rFonts w:hint="default" w:ascii="Times New Roman" w:hAnsi="Times New Roman" w:eastAsia="宋体" w:cs="Times New Roman"/>
                <w:b/>
                <w:bCs/>
                <w:color w:val="auto"/>
                <w:sz w:val="24"/>
                <w:szCs w:val="24"/>
                <w:lang w:val="en-US" w:eastAsia="zh-CN"/>
              </w:rPr>
              <w:t>废活性炭</w:t>
            </w:r>
          </w:p>
          <w:p w14:paraId="7DA0485C">
            <w:pPr>
              <w:keepNext w:val="0"/>
              <w:keepLines w:val="0"/>
              <w:pageBreakBefore w:val="0"/>
              <w:widowControl w:val="0"/>
              <w:shd w:val="clear"/>
              <w:kinsoku/>
              <w:wordWrap/>
              <w:overflowPunct/>
              <w:topLinePunct w:val="0"/>
              <w:autoSpaceDE w:val="0"/>
              <w:autoSpaceDN w:val="0"/>
              <w:bidi w:val="0"/>
              <w:adjustRightInd/>
              <w:snapToGrid/>
              <w:spacing w:line="360" w:lineRule="auto"/>
              <w:ind w:firstLine="480" w:firstLineChars="200"/>
              <w:jc w:val="left"/>
              <w:textAlignment w:val="auto"/>
              <w:rPr>
                <w:rFonts w:hint="eastAsia" w:ascii="Times New Roman" w:hAnsi="Times New Roman" w:eastAsia="宋体" w:cs="Times New Roman"/>
                <w:b w:val="0"/>
                <w:bCs w:val="0"/>
                <w:color w:val="auto"/>
                <w:sz w:val="24"/>
                <w:szCs w:val="24"/>
                <w:lang w:val="en-US" w:eastAsia="zh-CN"/>
              </w:rPr>
            </w:pPr>
            <w:r>
              <w:rPr>
                <w:rFonts w:hint="eastAsia" w:ascii="Times New Roman" w:hAnsi="Times New Roman" w:eastAsia="宋体" w:cs="Times New Roman"/>
                <w:color w:val="auto"/>
                <w:sz w:val="24"/>
                <w:szCs w:val="24"/>
                <w:highlight w:val="none"/>
                <w:lang w:val="en-US" w:eastAsia="zh-CN"/>
              </w:rPr>
              <w:t>本项目活性炭填充量约</w:t>
            </w:r>
            <w:r>
              <w:rPr>
                <w:rFonts w:hint="eastAsia" w:cs="Times New Roman"/>
                <w:color w:val="auto"/>
                <w:sz w:val="24"/>
                <w:szCs w:val="24"/>
                <w:highlight w:val="none"/>
                <w:lang w:val="en-US" w:eastAsia="zh-CN"/>
              </w:rPr>
              <w:t>14</w:t>
            </w:r>
            <w:r>
              <w:rPr>
                <w:rFonts w:hint="eastAsia" w:ascii="Times New Roman" w:hAnsi="Times New Roman" w:eastAsia="宋体" w:cs="Times New Roman"/>
                <w:color w:val="auto"/>
                <w:sz w:val="24"/>
                <w:szCs w:val="24"/>
                <w:highlight w:val="none"/>
                <w:lang w:val="en-US" w:eastAsia="zh-CN"/>
              </w:rPr>
              <w:t>t/a，吸附废气量</w:t>
            </w:r>
            <w:r>
              <w:rPr>
                <w:rFonts w:hint="eastAsia" w:cs="Times New Roman"/>
                <w:color w:val="auto"/>
                <w:sz w:val="24"/>
                <w:szCs w:val="24"/>
                <w:highlight w:val="none"/>
                <w:lang w:val="en-US" w:eastAsia="zh-CN"/>
              </w:rPr>
              <w:t>0.7642</w:t>
            </w:r>
            <w:r>
              <w:rPr>
                <w:rFonts w:hint="eastAsia"/>
                <w:color w:val="auto"/>
                <w:sz w:val="24"/>
                <w:szCs w:val="24"/>
                <w:highlight w:val="none"/>
                <w:lang w:val="en-US" w:eastAsia="zh-CN"/>
              </w:rPr>
              <w:t>t，则本项目废活性炭产生量为14.7642t/a，</w:t>
            </w:r>
            <w:r>
              <w:rPr>
                <w:rFonts w:hint="eastAsia"/>
                <w:color w:val="auto"/>
                <w:sz w:val="24"/>
                <w:szCs w:val="24"/>
                <w:highlight w:val="none"/>
              </w:rPr>
              <w:t>属于《国家危险废物名录（202</w:t>
            </w:r>
            <w:r>
              <w:rPr>
                <w:rFonts w:hint="eastAsia"/>
                <w:color w:val="auto"/>
                <w:sz w:val="24"/>
                <w:szCs w:val="24"/>
                <w:highlight w:val="none"/>
                <w:lang w:val="en-US" w:eastAsia="zh-CN"/>
              </w:rPr>
              <w:t>5</w:t>
            </w:r>
            <w:r>
              <w:rPr>
                <w:rFonts w:hint="eastAsia"/>
                <w:color w:val="auto"/>
                <w:sz w:val="24"/>
                <w:szCs w:val="24"/>
                <w:highlight w:val="none"/>
              </w:rPr>
              <w:t>年版）》中的</w:t>
            </w:r>
            <w:r>
              <w:rPr>
                <w:rFonts w:hint="eastAsia"/>
                <w:color w:val="auto"/>
                <w:sz w:val="24"/>
                <w:szCs w:val="24"/>
                <w:highlight w:val="none"/>
                <w:lang w:eastAsia="zh-CN"/>
              </w:rPr>
              <w:t>“</w:t>
            </w:r>
            <w:r>
              <w:rPr>
                <w:rFonts w:hint="eastAsia"/>
                <w:color w:val="auto"/>
                <w:sz w:val="24"/>
                <w:szCs w:val="24"/>
                <w:highlight w:val="none"/>
              </w:rPr>
              <w:t>HW49</w:t>
            </w:r>
            <w:r>
              <w:rPr>
                <w:rFonts w:hint="eastAsia"/>
                <w:color w:val="auto"/>
                <w:sz w:val="24"/>
                <w:szCs w:val="24"/>
                <w:highlight w:val="none"/>
                <w:lang w:val="en-US" w:eastAsia="zh-CN"/>
              </w:rPr>
              <w:t xml:space="preserve"> 其他废物/非特定行业/</w:t>
            </w:r>
            <w:r>
              <w:rPr>
                <w:rFonts w:hint="eastAsia"/>
                <w:color w:val="auto"/>
                <w:sz w:val="24"/>
                <w:szCs w:val="24"/>
                <w:highlight w:val="none"/>
              </w:rPr>
              <w:t>900-0</w:t>
            </w:r>
            <w:r>
              <w:rPr>
                <w:rFonts w:hint="eastAsia"/>
                <w:color w:val="auto"/>
                <w:sz w:val="24"/>
                <w:szCs w:val="24"/>
                <w:highlight w:val="none"/>
                <w:lang w:val="en-US" w:eastAsia="zh-CN"/>
              </w:rPr>
              <w:t>39</w:t>
            </w:r>
            <w:r>
              <w:rPr>
                <w:rFonts w:hint="eastAsia"/>
                <w:color w:val="auto"/>
                <w:sz w:val="24"/>
                <w:szCs w:val="24"/>
                <w:highlight w:val="none"/>
              </w:rPr>
              <w:t>-49</w:t>
            </w:r>
            <w:r>
              <w:rPr>
                <w:rFonts w:hint="eastAsia"/>
                <w:color w:val="auto"/>
                <w:sz w:val="24"/>
                <w:szCs w:val="24"/>
                <w:highlight w:val="none"/>
                <w:lang w:eastAsia="zh-CN"/>
              </w:rPr>
              <w:t>”</w:t>
            </w:r>
            <w:r>
              <w:rPr>
                <w:rFonts w:hint="eastAsia"/>
                <w:color w:val="auto"/>
                <w:sz w:val="24"/>
                <w:szCs w:val="24"/>
                <w:highlight w:val="none"/>
              </w:rPr>
              <w:t>类危险废物</w:t>
            </w:r>
            <w:r>
              <w:rPr>
                <w:rFonts w:hint="eastAsia"/>
                <w:color w:val="auto"/>
                <w:sz w:val="24"/>
                <w:szCs w:val="24"/>
                <w:highlight w:val="none"/>
                <w:lang w:eastAsia="zh-CN"/>
              </w:rPr>
              <w:t>，</w:t>
            </w:r>
            <w:r>
              <w:rPr>
                <w:rFonts w:hint="default" w:ascii="Times New Roman" w:hAnsi="Times New Roman" w:eastAsia="宋体" w:cs="Times New Roman"/>
                <w:color w:val="auto"/>
                <w:sz w:val="24"/>
                <w:szCs w:val="24"/>
              </w:rPr>
              <w:t>收集暂存于</w:t>
            </w:r>
            <w:r>
              <w:rPr>
                <w:rFonts w:hint="eastAsia" w:cs="Times New Roman"/>
                <w:color w:val="auto"/>
                <w:sz w:val="24"/>
                <w:szCs w:val="24"/>
                <w:lang w:val="en-US" w:eastAsia="zh-CN"/>
              </w:rPr>
              <w:t>危废库</w:t>
            </w:r>
            <w:r>
              <w:rPr>
                <w:rFonts w:hint="default" w:ascii="Times New Roman" w:hAnsi="Times New Roman" w:eastAsia="宋体" w:cs="Times New Roman"/>
                <w:color w:val="auto"/>
                <w:sz w:val="24"/>
                <w:szCs w:val="24"/>
              </w:rPr>
              <w:t>，定期交由有资质的单位处置。</w:t>
            </w:r>
          </w:p>
          <w:p w14:paraId="4A946FF7">
            <w:pPr>
              <w:keepNext w:val="0"/>
              <w:keepLines w:val="0"/>
              <w:pageBreakBefore w:val="0"/>
              <w:widowControl w:val="0"/>
              <w:kinsoku/>
              <w:wordWrap/>
              <w:overflowPunct/>
              <w:topLinePunct w:val="0"/>
              <w:bidi w:val="0"/>
              <w:adjustRightInd/>
              <w:snapToGrid/>
              <w:spacing w:line="360" w:lineRule="auto"/>
              <w:ind w:firstLine="482" w:firstLineChars="200"/>
              <w:textAlignment w:val="auto"/>
              <w:rPr>
                <w:rFonts w:hint="default" w:ascii="Times New Roman" w:hAnsi="Times New Roman" w:eastAsia="宋体" w:cs="Times New Roman"/>
                <w:b/>
                <w:bCs/>
                <w:color w:val="auto"/>
                <w:sz w:val="24"/>
                <w:szCs w:val="24"/>
                <w:lang w:val="en-US" w:eastAsia="zh-CN"/>
              </w:rPr>
            </w:pPr>
            <w:r>
              <w:rPr>
                <w:rFonts w:hint="eastAsia" w:ascii="Times New Roman" w:hAnsi="Times New Roman" w:eastAsia="宋体" w:cs="Times New Roman"/>
                <w:b/>
                <w:bCs/>
                <w:color w:val="auto"/>
                <w:sz w:val="24"/>
                <w:szCs w:val="24"/>
                <w:lang w:val="en-US" w:eastAsia="zh-CN"/>
              </w:rPr>
              <w:t>②</w:t>
            </w:r>
            <w:r>
              <w:rPr>
                <w:rFonts w:hint="default" w:ascii="Times New Roman" w:hAnsi="Times New Roman" w:eastAsia="宋体" w:cs="Times New Roman"/>
                <w:b/>
                <w:bCs/>
                <w:color w:val="auto"/>
                <w:sz w:val="24"/>
                <w:szCs w:val="24"/>
                <w:lang w:val="en-US" w:eastAsia="zh-CN"/>
              </w:rPr>
              <w:t>废水处理污泥</w:t>
            </w:r>
          </w:p>
          <w:p w14:paraId="52374910">
            <w:pPr>
              <w:keepNext w:val="0"/>
              <w:keepLines w:val="0"/>
              <w:pageBreakBefore w:val="0"/>
              <w:widowControl w:val="0"/>
              <w:kinsoku/>
              <w:wordWrap/>
              <w:overflowPunct/>
              <w:topLinePunct w:val="0"/>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项目生产废水在厂区污水处理站处理时会产生污泥，</w:t>
            </w:r>
            <w:r>
              <w:rPr>
                <w:rFonts w:hint="default" w:ascii="Times New Roman" w:hAnsi="Times New Roman" w:eastAsia="宋体" w:cs="Times New Roman"/>
                <w:color w:val="auto"/>
                <w:sz w:val="24"/>
                <w:szCs w:val="24"/>
              </w:rPr>
              <w:t>参照《集中式污染治理设施产排污系数手册（2010修订）》，污泥产生量按照16.7t/万t废水处理量计算，本项目进入污水站的水量为</w:t>
            </w:r>
            <w:r>
              <w:rPr>
                <w:rFonts w:hint="eastAsia" w:cs="Times New Roman"/>
                <w:color w:val="auto"/>
                <w:sz w:val="24"/>
                <w:szCs w:val="24"/>
                <w:lang w:val="en-US" w:eastAsia="zh-CN"/>
              </w:rPr>
              <w:t>76.8</w:t>
            </w:r>
            <w:r>
              <w:rPr>
                <w:rFonts w:hint="default" w:ascii="Times New Roman" w:hAnsi="Times New Roman" w:eastAsia="宋体" w:cs="Times New Roman"/>
                <w:color w:val="auto"/>
                <w:sz w:val="24"/>
                <w:szCs w:val="24"/>
              </w:rPr>
              <w:t>t/a，则污水处理站污泥产生量约为</w:t>
            </w:r>
            <w:r>
              <w:rPr>
                <w:rFonts w:hint="eastAsia" w:cs="Times New Roman"/>
                <w:color w:val="auto"/>
                <w:sz w:val="24"/>
                <w:szCs w:val="24"/>
                <w:lang w:val="en-US" w:eastAsia="zh-CN"/>
              </w:rPr>
              <w:t>0.13</w:t>
            </w:r>
            <w:r>
              <w:rPr>
                <w:rFonts w:hint="default" w:ascii="Times New Roman" w:hAnsi="Times New Roman" w:eastAsia="宋体" w:cs="Times New Roman"/>
                <w:color w:val="auto"/>
                <w:sz w:val="24"/>
                <w:szCs w:val="24"/>
              </w:rPr>
              <w:t>t/a</w:t>
            </w:r>
            <w:r>
              <w:rPr>
                <w:rFonts w:hint="default" w:ascii="Times New Roman" w:hAnsi="Times New Roman" w:eastAsia="宋体" w:cs="Times New Roman"/>
                <w:color w:val="auto"/>
                <w:sz w:val="24"/>
                <w:szCs w:val="24"/>
                <w:lang w:val="en-US" w:eastAsia="zh-CN"/>
              </w:rPr>
              <w:t>，属于</w:t>
            </w:r>
            <w:r>
              <w:rPr>
                <w:rFonts w:hint="default" w:ascii="Times New Roman" w:hAnsi="Times New Roman" w:eastAsia="宋体" w:cs="Times New Roman"/>
                <w:color w:val="auto"/>
                <w:sz w:val="24"/>
                <w:szCs w:val="24"/>
                <w:lang w:eastAsia="zh-CN"/>
              </w:rPr>
              <w:t>《国家危险废物名录》（2025年版</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中“</w:t>
            </w:r>
            <w:r>
              <w:rPr>
                <w:rFonts w:hint="default" w:ascii="Times New Roman" w:hAnsi="Times New Roman" w:eastAsia="宋体" w:cs="Times New Roman"/>
                <w:color w:val="auto"/>
                <w:sz w:val="24"/>
                <w:szCs w:val="24"/>
                <w:lang w:val="en-US" w:eastAsia="zh-CN"/>
              </w:rPr>
              <w:t>HW49其他废物/环境治理/772-006-49</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，收集暂</w:t>
            </w:r>
            <w:r>
              <w:rPr>
                <w:rFonts w:hint="default" w:ascii="Times New Roman" w:hAnsi="Times New Roman" w:eastAsia="宋体" w:cs="Times New Roman"/>
                <w:color w:val="auto"/>
                <w:sz w:val="24"/>
                <w:szCs w:val="24"/>
              </w:rPr>
              <w:t>存于</w:t>
            </w:r>
            <w:r>
              <w:rPr>
                <w:rFonts w:hint="eastAsia" w:cs="Times New Roman"/>
                <w:color w:val="auto"/>
                <w:sz w:val="24"/>
                <w:szCs w:val="24"/>
                <w:lang w:val="en-US" w:eastAsia="zh-CN"/>
              </w:rPr>
              <w:t>危废库</w:t>
            </w:r>
            <w:r>
              <w:rPr>
                <w:rFonts w:hint="default" w:ascii="Times New Roman" w:hAnsi="Times New Roman" w:eastAsia="宋体" w:cs="Times New Roman"/>
                <w:color w:val="auto"/>
                <w:sz w:val="24"/>
                <w:szCs w:val="24"/>
              </w:rPr>
              <w:t>，定期交由有资质的单位处置。</w:t>
            </w:r>
          </w:p>
          <w:p w14:paraId="19076D66">
            <w:pPr>
              <w:keepNext w:val="0"/>
              <w:keepLines w:val="0"/>
              <w:pageBreakBefore w:val="0"/>
              <w:widowControl w:val="0"/>
              <w:kinsoku/>
              <w:wordWrap/>
              <w:overflowPunct/>
              <w:topLinePunct w:val="0"/>
              <w:bidi w:val="0"/>
              <w:adjustRightInd/>
              <w:snapToGrid/>
              <w:spacing w:line="360" w:lineRule="auto"/>
              <w:ind w:firstLine="482" w:firstLineChars="200"/>
              <w:textAlignment w:val="auto"/>
              <w:rPr>
                <w:rFonts w:hint="default" w:ascii="Times New Roman" w:hAnsi="Times New Roman" w:eastAsia="宋体" w:cs="Times New Roman"/>
                <w:b/>
                <w:bCs/>
                <w:color w:val="auto"/>
                <w:sz w:val="24"/>
                <w:szCs w:val="24"/>
              </w:rPr>
            </w:pPr>
            <w:r>
              <w:rPr>
                <w:rFonts w:hint="eastAsia" w:ascii="Times New Roman" w:hAnsi="Times New Roman" w:eastAsia="宋体" w:cs="Times New Roman"/>
                <w:b/>
                <w:bCs/>
                <w:color w:val="auto"/>
                <w:sz w:val="24"/>
                <w:szCs w:val="24"/>
                <w:lang w:val="en-US" w:eastAsia="zh-CN"/>
              </w:rPr>
              <w:t>③</w:t>
            </w:r>
            <w:r>
              <w:rPr>
                <w:rFonts w:hint="default" w:ascii="Times New Roman" w:hAnsi="Times New Roman" w:eastAsia="宋体" w:cs="Times New Roman"/>
                <w:b/>
                <w:bCs/>
                <w:color w:val="auto"/>
                <w:sz w:val="24"/>
                <w:szCs w:val="24"/>
              </w:rPr>
              <w:t>废机油</w:t>
            </w:r>
          </w:p>
          <w:p w14:paraId="08F1599C">
            <w:pPr>
              <w:keepNext w:val="0"/>
              <w:keepLines w:val="0"/>
              <w:pageBreakBefore w:val="0"/>
              <w:widowControl w:val="0"/>
              <w:kinsoku/>
              <w:wordWrap/>
              <w:overflowPunct/>
              <w:topLinePunct w:val="0"/>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主要为设备</w:t>
            </w:r>
            <w:r>
              <w:rPr>
                <w:rFonts w:hint="eastAsia" w:ascii="Times New Roman" w:hAnsi="Times New Roman" w:eastAsia="宋体" w:cs="Times New Roman"/>
                <w:color w:val="auto"/>
                <w:sz w:val="24"/>
                <w:szCs w:val="24"/>
                <w:lang w:val="en-US" w:eastAsia="zh-CN"/>
              </w:rPr>
              <w:t>维护</w:t>
            </w:r>
            <w:r>
              <w:rPr>
                <w:rFonts w:hint="eastAsia" w:ascii="Times New Roman" w:hAnsi="Times New Roman" w:eastAsia="宋体" w:cs="Times New Roman"/>
                <w:color w:val="auto"/>
                <w:sz w:val="24"/>
                <w:szCs w:val="24"/>
              </w:rPr>
              <w:t>过程中</w:t>
            </w:r>
            <w:r>
              <w:rPr>
                <w:rFonts w:hint="eastAsia" w:cs="Times New Roman"/>
                <w:color w:val="auto"/>
                <w:sz w:val="24"/>
                <w:szCs w:val="24"/>
                <w:lang w:eastAsia="zh-CN"/>
              </w:rPr>
              <w:t>产生的</w:t>
            </w:r>
            <w:r>
              <w:rPr>
                <w:rFonts w:hint="default" w:ascii="Times New Roman" w:hAnsi="Times New Roman" w:eastAsia="宋体" w:cs="Times New Roman"/>
                <w:color w:val="auto"/>
                <w:sz w:val="24"/>
                <w:szCs w:val="24"/>
              </w:rPr>
              <w:t>废机油产生量约0.0</w:t>
            </w:r>
            <w:r>
              <w:rPr>
                <w:rFonts w:hint="eastAsia" w:ascii="Times New Roman" w:hAnsi="Times New Roman" w:eastAsia="宋体" w:cs="Times New Roman"/>
                <w:color w:val="auto"/>
                <w:sz w:val="24"/>
                <w:szCs w:val="24"/>
                <w:lang w:val="en-US" w:eastAsia="zh-CN"/>
              </w:rPr>
              <w:t>1</w:t>
            </w:r>
            <w:r>
              <w:rPr>
                <w:rFonts w:hint="default" w:ascii="Times New Roman" w:hAnsi="Times New Roman" w:eastAsia="宋体" w:cs="Times New Roman"/>
                <w:color w:val="auto"/>
                <w:sz w:val="24"/>
                <w:szCs w:val="24"/>
              </w:rPr>
              <w:t>t/a</w:t>
            </w:r>
            <w:r>
              <w:rPr>
                <w:rFonts w:hint="eastAsia"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lang w:val="en-US" w:eastAsia="zh-CN"/>
              </w:rPr>
              <w:t>属于</w:t>
            </w:r>
            <w:r>
              <w:rPr>
                <w:rFonts w:hint="default" w:ascii="Times New Roman" w:hAnsi="Times New Roman" w:eastAsia="宋体" w:cs="Times New Roman"/>
                <w:color w:val="auto"/>
                <w:sz w:val="24"/>
                <w:szCs w:val="24"/>
                <w:lang w:eastAsia="zh-CN"/>
              </w:rPr>
              <w:t>《国家危险废物名录》（2025年版）</w:t>
            </w:r>
            <w:r>
              <w:rPr>
                <w:rFonts w:hint="eastAsia" w:ascii="宋体" w:hAnsi="宋体" w:eastAsia="宋体" w:cs="宋体"/>
                <w:color w:val="auto"/>
                <w:sz w:val="24"/>
                <w:szCs w:val="24"/>
                <w:lang w:val="en-US" w:eastAsia="zh-CN"/>
              </w:rPr>
              <w:t>中“</w:t>
            </w:r>
            <w:r>
              <w:rPr>
                <w:rFonts w:hint="default" w:ascii="Times New Roman" w:hAnsi="Times New Roman" w:eastAsia="宋体" w:cs="Times New Roman"/>
                <w:color w:val="auto"/>
                <w:sz w:val="24"/>
                <w:szCs w:val="24"/>
              </w:rPr>
              <w:t>HW08</w:t>
            </w:r>
            <w:r>
              <w:rPr>
                <w:rFonts w:hint="default" w:ascii="Times New Roman" w:hAnsi="Times New Roman" w:eastAsia="宋体" w:cs="Times New Roman"/>
                <w:color w:val="auto"/>
                <w:sz w:val="24"/>
                <w:szCs w:val="24"/>
                <w:lang w:val="en-US" w:eastAsia="zh-CN"/>
              </w:rPr>
              <w:t>废矿物油与含矿物油废物/非特定行业/</w:t>
            </w:r>
            <w:r>
              <w:rPr>
                <w:rFonts w:hint="default" w:ascii="Times New Roman" w:hAnsi="Times New Roman" w:eastAsia="宋体" w:cs="Times New Roman"/>
                <w:color w:val="auto"/>
                <w:sz w:val="24"/>
                <w:szCs w:val="24"/>
              </w:rPr>
              <w:t>900-2</w:t>
            </w:r>
            <w:r>
              <w:rPr>
                <w:rFonts w:hint="eastAsia" w:ascii="Times New Roman" w:hAnsi="Times New Roman" w:eastAsia="宋体" w:cs="Times New Roman"/>
                <w:color w:val="auto"/>
                <w:sz w:val="24"/>
                <w:szCs w:val="24"/>
                <w:lang w:val="en-US" w:eastAsia="zh-CN"/>
              </w:rPr>
              <w:t>49</w:t>
            </w:r>
            <w:r>
              <w:rPr>
                <w:rFonts w:hint="default" w:ascii="Times New Roman" w:hAnsi="Times New Roman" w:eastAsia="宋体" w:cs="Times New Roman"/>
                <w:color w:val="auto"/>
                <w:sz w:val="24"/>
                <w:szCs w:val="24"/>
              </w:rPr>
              <w:t>-08</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，采用专</w:t>
            </w:r>
            <w:r>
              <w:rPr>
                <w:rFonts w:hint="default" w:ascii="Times New Roman" w:hAnsi="Times New Roman" w:eastAsia="宋体" w:cs="Times New Roman"/>
                <w:color w:val="auto"/>
                <w:sz w:val="24"/>
                <w:szCs w:val="24"/>
              </w:rPr>
              <w:t>用容器密封收集暂存于</w:t>
            </w:r>
            <w:r>
              <w:rPr>
                <w:rFonts w:hint="eastAsia" w:cs="Times New Roman"/>
                <w:color w:val="auto"/>
                <w:sz w:val="24"/>
                <w:szCs w:val="24"/>
                <w:lang w:val="en-US" w:eastAsia="zh-CN"/>
              </w:rPr>
              <w:t>危废库</w:t>
            </w:r>
            <w:r>
              <w:rPr>
                <w:rFonts w:hint="default" w:ascii="Times New Roman" w:hAnsi="Times New Roman" w:eastAsia="宋体" w:cs="Times New Roman"/>
                <w:color w:val="auto"/>
                <w:sz w:val="24"/>
                <w:szCs w:val="24"/>
              </w:rPr>
              <w:t>内，定期交由有资质的单位处置。</w:t>
            </w:r>
          </w:p>
          <w:p w14:paraId="69842080">
            <w:pPr>
              <w:keepNext w:val="0"/>
              <w:keepLines w:val="0"/>
              <w:pageBreakBefore w:val="0"/>
              <w:widowControl w:val="0"/>
              <w:kinsoku/>
              <w:wordWrap/>
              <w:overflowPunct/>
              <w:topLinePunct w:val="0"/>
              <w:bidi w:val="0"/>
              <w:adjustRightInd/>
              <w:snapToGrid/>
              <w:spacing w:line="360" w:lineRule="auto"/>
              <w:ind w:firstLine="482" w:firstLineChars="200"/>
              <w:textAlignment w:val="auto"/>
              <w:rPr>
                <w:rFonts w:hint="default" w:ascii="Times New Roman" w:hAnsi="Times New Roman" w:eastAsia="宋体" w:cs="Times New Roman"/>
                <w:b/>
                <w:bCs/>
                <w:color w:val="auto"/>
                <w:sz w:val="24"/>
                <w:szCs w:val="24"/>
              </w:rPr>
            </w:pPr>
            <w:r>
              <w:rPr>
                <w:rFonts w:hint="eastAsia" w:ascii="Times New Roman" w:hAnsi="Times New Roman" w:eastAsia="宋体" w:cs="Times New Roman"/>
                <w:b/>
                <w:bCs/>
                <w:color w:val="auto"/>
                <w:sz w:val="24"/>
                <w:szCs w:val="24"/>
                <w:lang w:val="en-US" w:eastAsia="zh-CN"/>
              </w:rPr>
              <w:t>④</w:t>
            </w:r>
            <w:r>
              <w:rPr>
                <w:rFonts w:hint="default" w:ascii="Times New Roman" w:hAnsi="Times New Roman" w:eastAsia="宋体" w:cs="Times New Roman"/>
                <w:b/>
                <w:bCs/>
                <w:color w:val="auto"/>
                <w:sz w:val="24"/>
                <w:szCs w:val="24"/>
              </w:rPr>
              <w:t>含油</w:t>
            </w:r>
            <w:r>
              <w:rPr>
                <w:rFonts w:hint="eastAsia" w:cs="Times New Roman"/>
                <w:b/>
                <w:bCs/>
                <w:color w:val="auto"/>
                <w:sz w:val="24"/>
                <w:szCs w:val="24"/>
                <w:lang w:val="en-US" w:eastAsia="zh-CN"/>
              </w:rPr>
              <w:t>棉纱</w:t>
            </w:r>
            <w:r>
              <w:rPr>
                <w:rFonts w:hint="default" w:ascii="Times New Roman" w:hAnsi="Times New Roman" w:eastAsia="宋体" w:cs="Times New Roman"/>
                <w:b/>
                <w:bCs/>
                <w:color w:val="auto"/>
                <w:sz w:val="24"/>
                <w:szCs w:val="24"/>
              </w:rPr>
              <w:t>手套、抹布</w:t>
            </w:r>
          </w:p>
          <w:p w14:paraId="2AE1C8AA">
            <w:pPr>
              <w:keepNext w:val="0"/>
              <w:keepLines w:val="0"/>
              <w:pageBreakBefore w:val="0"/>
              <w:widowControl w:val="0"/>
              <w:kinsoku/>
              <w:wordWrap/>
              <w:overflowPunct/>
              <w:topLinePunct w:val="0"/>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lang w:val="en-US" w:eastAsia="zh-CN"/>
              </w:rPr>
              <w:t>项目生产过程中会因设备使用、维护机械设备产生含油棉纱手套、抹布等，</w:t>
            </w:r>
            <w:r>
              <w:rPr>
                <w:rFonts w:hint="default" w:ascii="Times New Roman" w:hAnsi="Times New Roman" w:eastAsia="宋体" w:cs="Times New Roman"/>
                <w:color w:val="auto"/>
                <w:sz w:val="24"/>
                <w:szCs w:val="24"/>
              </w:rPr>
              <w:t>产生量约为0.0</w:t>
            </w:r>
            <w:r>
              <w:rPr>
                <w:rFonts w:hint="default" w:ascii="Times New Roman" w:hAnsi="Times New Roman" w:eastAsia="宋体" w:cs="Times New Roman"/>
                <w:color w:val="auto"/>
                <w:sz w:val="24"/>
                <w:szCs w:val="24"/>
                <w:lang w:val="en-US" w:eastAsia="zh-CN"/>
              </w:rPr>
              <w:t>1</w:t>
            </w:r>
            <w:r>
              <w:rPr>
                <w:rFonts w:hint="default" w:ascii="Times New Roman" w:hAnsi="Times New Roman" w:eastAsia="宋体" w:cs="Times New Roman"/>
                <w:color w:val="auto"/>
                <w:sz w:val="24"/>
                <w:szCs w:val="24"/>
              </w:rPr>
              <w:t>t/a</w:t>
            </w:r>
            <w:r>
              <w:rPr>
                <w:rFonts w:hint="eastAsia"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rPr>
              <w:t>属于</w:t>
            </w:r>
            <w:r>
              <w:rPr>
                <w:rFonts w:hint="default" w:ascii="Times New Roman" w:hAnsi="Times New Roman" w:eastAsia="宋体" w:cs="Times New Roman"/>
                <w:color w:val="auto"/>
                <w:sz w:val="24"/>
                <w:szCs w:val="24"/>
                <w:lang w:eastAsia="zh-CN"/>
              </w:rPr>
              <w:t>《国家危险废物名录》（2025年版</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中</w:t>
            </w:r>
            <w:r>
              <w:rPr>
                <w:rFonts w:hint="eastAsia" w:ascii="宋体" w:hAnsi="宋体" w:eastAsia="宋体" w:cs="宋体"/>
                <w:color w:val="auto"/>
                <w:sz w:val="24"/>
                <w:szCs w:val="24"/>
                <w:lang w:eastAsia="zh-CN"/>
              </w:rPr>
              <w:t>“</w:t>
            </w:r>
            <w:r>
              <w:rPr>
                <w:rFonts w:hint="default" w:ascii="Times New Roman" w:hAnsi="Times New Roman" w:eastAsia="宋体" w:cs="Times New Roman"/>
                <w:color w:val="auto"/>
                <w:sz w:val="24"/>
                <w:szCs w:val="24"/>
                <w:lang w:val="en-US" w:eastAsia="zh-CN"/>
              </w:rPr>
              <w:t>HW49其他废物/非特定行业/900-041-49</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，收集后暂存于</w:t>
            </w:r>
            <w:r>
              <w:rPr>
                <w:rFonts w:hint="eastAsia" w:cs="Times New Roman"/>
                <w:color w:val="auto"/>
                <w:sz w:val="24"/>
                <w:szCs w:val="24"/>
                <w:lang w:val="en-US" w:eastAsia="zh-CN"/>
              </w:rPr>
              <w:t>危废库</w:t>
            </w:r>
            <w:r>
              <w:rPr>
                <w:rFonts w:hint="default" w:ascii="Times New Roman" w:hAnsi="Times New Roman" w:eastAsia="宋体" w:cs="Times New Roman"/>
                <w:color w:val="auto"/>
                <w:sz w:val="24"/>
                <w:szCs w:val="24"/>
              </w:rPr>
              <w:t>，定期交由有资质的单位处置。</w:t>
            </w:r>
          </w:p>
          <w:p w14:paraId="0EC772C4">
            <w:pPr>
              <w:keepNext w:val="0"/>
              <w:keepLines w:val="0"/>
              <w:pageBreakBefore w:val="0"/>
              <w:widowControl w:val="0"/>
              <w:kinsoku/>
              <w:wordWrap/>
              <w:overflowPunct/>
              <w:topLinePunct w:val="0"/>
              <w:bidi w:val="0"/>
              <w:adjustRightInd/>
              <w:snapToGrid/>
              <w:spacing w:line="360" w:lineRule="auto"/>
              <w:ind w:firstLine="482" w:firstLineChars="200"/>
              <w:textAlignment w:val="auto"/>
              <w:rPr>
                <w:rFonts w:hint="default" w:ascii="Times New Roman" w:hAnsi="Times New Roman" w:eastAsia="宋体" w:cs="Times New Roman"/>
                <w:b/>
                <w:bCs/>
                <w:color w:val="auto"/>
                <w:sz w:val="24"/>
                <w:szCs w:val="24"/>
                <w:lang w:val="en-US" w:eastAsia="zh-CN"/>
              </w:rPr>
            </w:pPr>
            <w:r>
              <w:rPr>
                <w:rFonts w:hint="eastAsia" w:ascii="Times New Roman" w:hAnsi="Times New Roman" w:eastAsia="宋体" w:cs="Times New Roman"/>
                <w:b/>
                <w:bCs/>
                <w:color w:val="auto"/>
                <w:sz w:val="24"/>
                <w:szCs w:val="24"/>
                <w:lang w:val="en-US" w:eastAsia="zh-CN"/>
              </w:rPr>
              <w:t>⑤</w:t>
            </w:r>
            <w:r>
              <w:rPr>
                <w:rFonts w:hint="eastAsia" w:cs="Times New Roman"/>
                <w:b/>
                <w:bCs/>
                <w:color w:val="auto"/>
                <w:sz w:val="24"/>
                <w:szCs w:val="24"/>
                <w:lang w:val="en-US" w:eastAsia="zh-CN"/>
              </w:rPr>
              <w:t>沾染危险物质的废包装材料</w:t>
            </w:r>
          </w:p>
          <w:p w14:paraId="4493205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主要为电解液、机油产生的废</w:t>
            </w:r>
            <w:r>
              <w:rPr>
                <w:rFonts w:hint="eastAsia" w:ascii="Times New Roman" w:hAnsi="Times New Roman" w:eastAsia="宋体" w:cs="Times New Roman"/>
                <w:color w:val="auto"/>
                <w:sz w:val="24"/>
                <w:szCs w:val="24"/>
                <w:lang w:val="en-US" w:eastAsia="zh-CN"/>
              </w:rPr>
              <w:t>包装</w:t>
            </w:r>
            <w:r>
              <w:rPr>
                <w:rFonts w:hint="default" w:ascii="Times New Roman" w:hAnsi="Times New Roman" w:eastAsia="宋体" w:cs="Times New Roman"/>
                <w:color w:val="auto"/>
                <w:sz w:val="24"/>
                <w:szCs w:val="24"/>
              </w:rPr>
              <w:t>桶（用完后的沾带有残存电解液、机油等物质的废弃包装铁桶），</w:t>
            </w:r>
            <w:r>
              <w:rPr>
                <w:rFonts w:hint="eastAsia" w:ascii="Times New Roman" w:hAnsi="Times New Roman" w:eastAsia="宋体" w:cs="Times New Roman"/>
                <w:color w:val="auto"/>
                <w:sz w:val="24"/>
                <w:szCs w:val="24"/>
                <w:lang w:val="en-US" w:eastAsia="zh-CN"/>
              </w:rPr>
              <w:t>产生</w:t>
            </w:r>
            <w:r>
              <w:rPr>
                <w:rFonts w:hint="default" w:ascii="Times New Roman" w:hAnsi="Times New Roman" w:eastAsia="宋体" w:cs="Times New Roman"/>
                <w:color w:val="auto"/>
                <w:sz w:val="24"/>
                <w:szCs w:val="24"/>
              </w:rPr>
              <w:t>量约</w:t>
            </w:r>
            <w:r>
              <w:rPr>
                <w:rFonts w:hint="eastAsia" w:ascii="Times New Roman" w:hAnsi="Times New Roman" w:eastAsia="宋体" w:cs="Times New Roman"/>
                <w:color w:val="auto"/>
                <w:sz w:val="24"/>
                <w:szCs w:val="24"/>
                <w:lang w:val="en-US" w:eastAsia="zh-CN"/>
              </w:rPr>
              <w:t>3</w:t>
            </w:r>
            <w:r>
              <w:rPr>
                <w:rFonts w:hint="default" w:ascii="Times New Roman" w:hAnsi="Times New Roman" w:eastAsia="宋体" w:cs="Times New Roman"/>
                <w:color w:val="auto"/>
                <w:sz w:val="24"/>
                <w:szCs w:val="24"/>
              </w:rPr>
              <w:t>t/a，属于《国家危险废物名录》（202</w:t>
            </w:r>
            <w:r>
              <w:rPr>
                <w:rFonts w:hint="default" w:ascii="Times New Roman" w:hAnsi="Times New Roman" w:eastAsia="宋体" w:cs="Times New Roman"/>
                <w:color w:val="auto"/>
                <w:sz w:val="24"/>
                <w:szCs w:val="24"/>
                <w:lang w:val="en-US" w:eastAsia="zh-CN"/>
              </w:rPr>
              <w:t>5</w:t>
            </w:r>
            <w:r>
              <w:rPr>
                <w:rFonts w:hint="default" w:ascii="Times New Roman" w:hAnsi="Times New Roman" w:eastAsia="宋体" w:cs="Times New Roman"/>
                <w:color w:val="auto"/>
                <w:sz w:val="24"/>
                <w:szCs w:val="24"/>
              </w:rPr>
              <w:t>年版）</w:t>
            </w:r>
            <w:r>
              <w:rPr>
                <w:rFonts w:hint="eastAsia" w:ascii="宋体" w:hAnsi="宋体" w:eastAsia="宋体" w:cs="宋体"/>
                <w:color w:val="auto"/>
                <w:sz w:val="24"/>
                <w:szCs w:val="24"/>
              </w:rPr>
              <w:t>中</w:t>
            </w:r>
            <w:r>
              <w:rPr>
                <w:rFonts w:hint="eastAsia" w:ascii="宋体" w:hAnsi="宋体" w:eastAsia="宋体" w:cs="宋体"/>
                <w:color w:val="auto"/>
                <w:sz w:val="24"/>
                <w:szCs w:val="24"/>
                <w:lang w:eastAsia="zh-CN"/>
              </w:rPr>
              <w:t>“</w:t>
            </w:r>
            <w:r>
              <w:rPr>
                <w:rFonts w:hint="default" w:ascii="Times New Roman" w:hAnsi="Times New Roman" w:eastAsia="宋体" w:cs="Times New Roman"/>
                <w:color w:val="auto"/>
                <w:sz w:val="24"/>
                <w:szCs w:val="24"/>
                <w:lang w:val="en-US" w:eastAsia="zh-CN"/>
              </w:rPr>
              <w:t>HW49其他废物/非特定行业/900-041-49</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收集</w:t>
            </w:r>
            <w:r>
              <w:rPr>
                <w:rFonts w:hint="default" w:ascii="Times New Roman" w:hAnsi="Times New Roman" w:eastAsia="宋体" w:cs="Times New Roman"/>
                <w:color w:val="auto"/>
                <w:sz w:val="24"/>
                <w:szCs w:val="24"/>
              </w:rPr>
              <w:t>暂存于</w:t>
            </w:r>
            <w:r>
              <w:rPr>
                <w:rFonts w:hint="eastAsia" w:cs="Times New Roman"/>
                <w:color w:val="auto"/>
                <w:sz w:val="24"/>
                <w:szCs w:val="24"/>
                <w:lang w:val="en-US" w:eastAsia="zh-CN"/>
              </w:rPr>
              <w:t>危废库</w:t>
            </w:r>
            <w:r>
              <w:rPr>
                <w:rFonts w:hint="default" w:ascii="Times New Roman" w:hAnsi="Times New Roman" w:eastAsia="宋体" w:cs="Times New Roman"/>
                <w:color w:val="auto"/>
                <w:sz w:val="24"/>
                <w:szCs w:val="24"/>
              </w:rPr>
              <w:t>，定期交由有资质的单位处置。</w:t>
            </w:r>
          </w:p>
          <w:p w14:paraId="3E537C20">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Times New Roman" w:hAnsi="Times New Roman" w:eastAsia="宋体" w:cs="Times New Roman"/>
                <w:b/>
                <w:bCs/>
                <w:color w:val="auto"/>
                <w:sz w:val="24"/>
                <w:szCs w:val="24"/>
                <w:lang w:val="en-US" w:eastAsia="zh-CN"/>
              </w:rPr>
            </w:pPr>
            <w:r>
              <w:rPr>
                <w:rFonts w:hint="eastAsia" w:ascii="Times New Roman" w:hAnsi="Times New Roman" w:eastAsia="宋体" w:cs="Times New Roman"/>
                <w:b/>
                <w:bCs/>
                <w:color w:val="auto"/>
                <w:sz w:val="24"/>
                <w:szCs w:val="24"/>
                <w:lang w:val="en-US" w:eastAsia="zh-CN"/>
              </w:rPr>
              <w:t>⑥废电解液</w:t>
            </w:r>
          </w:p>
          <w:p w14:paraId="75E5150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rPr>
            </w:pPr>
            <w:r>
              <w:rPr>
                <w:rFonts w:ascii="宋体" w:hAnsi="宋体" w:eastAsia="宋体" w:cs="宋体"/>
                <w:color w:val="auto"/>
                <w:sz w:val="24"/>
                <w:szCs w:val="24"/>
              </w:rPr>
              <w:t>项目</w:t>
            </w:r>
            <w:r>
              <w:rPr>
                <w:rFonts w:hint="default" w:ascii="Times New Roman" w:hAnsi="Times New Roman" w:eastAsia="宋体" w:cs="Times New Roman"/>
                <w:color w:val="auto"/>
                <w:sz w:val="24"/>
                <w:szCs w:val="24"/>
              </w:rPr>
              <w:t>停产时清空注液机电解液，连同电池拆解产生的废电解液，均收集于密封桶内分区暂存，废电解液年产生量约1.2t</w:t>
            </w:r>
            <w:r>
              <w:rPr>
                <w:rFonts w:hint="eastAsia" w:ascii="Times New Roman" w:hAnsi="Times New Roman" w:eastAsia="宋体" w:cs="Times New Roman"/>
                <w:color w:val="auto"/>
                <w:sz w:val="24"/>
                <w:szCs w:val="24"/>
                <w:lang w:eastAsia="zh-CN"/>
              </w:rPr>
              <w:t>，</w:t>
            </w:r>
            <w:r>
              <w:rPr>
                <w:rFonts w:hint="eastAsia" w:ascii="Times New Roman" w:hAnsi="Times New Roman" w:eastAsia="宋体" w:cs="Times New Roman"/>
                <w:color w:val="auto"/>
                <w:sz w:val="24"/>
                <w:szCs w:val="24"/>
                <w:lang w:val="en-US" w:eastAsia="zh-CN"/>
              </w:rPr>
              <w:t>属于</w:t>
            </w:r>
            <w:r>
              <w:rPr>
                <w:rFonts w:hint="default" w:ascii="Times New Roman" w:hAnsi="Times New Roman" w:eastAsia="宋体" w:cs="Times New Roman"/>
                <w:color w:val="auto"/>
                <w:sz w:val="24"/>
                <w:szCs w:val="24"/>
              </w:rPr>
              <w:t>《国家危险废物名录》（202</w:t>
            </w:r>
            <w:r>
              <w:rPr>
                <w:rFonts w:hint="default" w:ascii="Times New Roman" w:hAnsi="Times New Roman" w:eastAsia="宋体" w:cs="Times New Roman"/>
                <w:color w:val="auto"/>
                <w:sz w:val="24"/>
                <w:szCs w:val="24"/>
                <w:lang w:val="en-US" w:eastAsia="zh-CN"/>
              </w:rPr>
              <w:t>5</w:t>
            </w:r>
            <w:r>
              <w:rPr>
                <w:rFonts w:hint="default" w:ascii="Times New Roman" w:hAnsi="Times New Roman" w:eastAsia="宋体" w:cs="Times New Roman"/>
                <w:color w:val="auto"/>
                <w:sz w:val="24"/>
                <w:szCs w:val="24"/>
              </w:rPr>
              <w:t>年版）</w:t>
            </w:r>
            <w:r>
              <w:rPr>
                <w:rFonts w:hint="eastAsia" w:ascii="宋体" w:hAnsi="宋体" w:eastAsia="宋体" w:cs="宋体"/>
                <w:color w:val="auto"/>
                <w:sz w:val="24"/>
                <w:szCs w:val="24"/>
              </w:rPr>
              <w:t>中</w:t>
            </w:r>
            <w:r>
              <w:rPr>
                <w:rFonts w:hint="eastAsia" w:ascii="宋体" w:hAnsi="宋体" w:eastAsia="宋体" w:cs="宋体"/>
                <w:color w:val="auto"/>
                <w:sz w:val="24"/>
                <w:szCs w:val="24"/>
                <w:lang w:eastAsia="zh-CN"/>
              </w:rPr>
              <w:t>“</w:t>
            </w:r>
            <w:r>
              <w:rPr>
                <w:rFonts w:hint="default" w:ascii="Times New Roman" w:hAnsi="Times New Roman" w:eastAsia="宋体" w:cs="Times New Roman"/>
                <w:color w:val="auto"/>
                <w:sz w:val="24"/>
                <w:szCs w:val="24"/>
                <w:lang w:val="en-US" w:eastAsia="zh-CN"/>
              </w:rPr>
              <w:t>HW49其他废物/非特定行业/900-04</w:t>
            </w:r>
            <w:r>
              <w:rPr>
                <w:rFonts w:hint="eastAsia" w:ascii="Times New Roman" w:hAnsi="Times New Roman" w:eastAsia="宋体" w:cs="Times New Roman"/>
                <w:color w:val="auto"/>
                <w:sz w:val="24"/>
                <w:szCs w:val="24"/>
                <w:lang w:val="en-US" w:eastAsia="zh-CN"/>
              </w:rPr>
              <w:t>5</w:t>
            </w:r>
            <w:r>
              <w:rPr>
                <w:rFonts w:hint="default" w:ascii="Times New Roman" w:hAnsi="Times New Roman" w:eastAsia="宋体" w:cs="Times New Roman"/>
                <w:color w:val="auto"/>
                <w:sz w:val="24"/>
                <w:szCs w:val="24"/>
                <w:lang w:val="en-US" w:eastAsia="zh-CN"/>
              </w:rPr>
              <w:t>-49</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收集</w:t>
            </w:r>
            <w:r>
              <w:rPr>
                <w:rFonts w:hint="default" w:ascii="Times New Roman" w:hAnsi="Times New Roman" w:eastAsia="宋体" w:cs="Times New Roman"/>
                <w:color w:val="auto"/>
                <w:sz w:val="24"/>
                <w:szCs w:val="24"/>
              </w:rPr>
              <w:t>暂存于</w:t>
            </w:r>
            <w:r>
              <w:rPr>
                <w:rFonts w:hint="eastAsia" w:cs="Times New Roman"/>
                <w:color w:val="auto"/>
                <w:sz w:val="24"/>
                <w:szCs w:val="24"/>
                <w:lang w:val="en-US" w:eastAsia="zh-CN"/>
              </w:rPr>
              <w:t>危废库</w:t>
            </w:r>
            <w:r>
              <w:rPr>
                <w:rFonts w:hint="default" w:ascii="Times New Roman" w:hAnsi="Times New Roman" w:eastAsia="宋体" w:cs="Times New Roman"/>
                <w:color w:val="auto"/>
                <w:sz w:val="24"/>
                <w:szCs w:val="24"/>
              </w:rPr>
              <w:t>，定期交由有资质的单位处置。</w:t>
            </w:r>
          </w:p>
          <w:p w14:paraId="4B22A10B">
            <w:pPr>
              <w:pStyle w:val="34"/>
              <w:spacing w:line="360" w:lineRule="auto"/>
              <w:rPr>
                <w:rFonts w:hint="default" w:ascii="Times New Roman" w:hAnsi="Times New Roman" w:cs="Times New Roman"/>
                <w:b/>
                <w:bCs/>
                <w:color w:val="auto"/>
                <w:sz w:val="24"/>
                <w:szCs w:val="24"/>
                <w:lang w:val="en-US" w:eastAsia="zh-CN"/>
              </w:rPr>
            </w:pPr>
            <w:r>
              <w:rPr>
                <w:rFonts w:hint="default" w:ascii="Times New Roman" w:hAnsi="Times New Roman" w:cs="Times New Roman"/>
                <w:b/>
                <w:bCs/>
                <w:color w:val="auto"/>
                <w:sz w:val="24"/>
                <w:szCs w:val="24"/>
                <w:lang w:val="en-US" w:eastAsia="zh-CN"/>
              </w:rPr>
              <w:t>⑦</w:t>
            </w:r>
            <w:r>
              <w:rPr>
                <w:rFonts w:hint="eastAsia" w:ascii="Times New Roman" w:hAnsi="Times New Roman" w:cs="Times New Roman"/>
                <w:b/>
                <w:bCs/>
                <w:color w:val="auto"/>
                <w:sz w:val="24"/>
                <w:szCs w:val="24"/>
                <w:lang w:val="en-US" w:eastAsia="zh-CN"/>
              </w:rPr>
              <w:t>沾染危险物质的废组件</w:t>
            </w:r>
          </w:p>
          <w:p w14:paraId="253D97F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lang w:val="en-US" w:eastAsia="zh-CN"/>
              </w:rPr>
              <w:t>项目在电池拆解过程中，会产生沾染电解液的废组件，如废铜箔、铝箔、铝塑膜、隔膜</w:t>
            </w:r>
            <w:r>
              <w:rPr>
                <w:rFonts w:hint="eastAsia" w:cs="Times New Roman"/>
                <w:color w:val="auto"/>
                <w:sz w:val="24"/>
                <w:szCs w:val="24"/>
                <w:lang w:val="en-US" w:eastAsia="zh-CN"/>
              </w:rPr>
              <w:t>、极片</w:t>
            </w:r>
            <w:r>
              <w:rPr>
                <w:rFonts w:hint="eastAsia" w:ascii="Times New Roman" w:hAnsi="Times New Roman" w:eastAsia="宋体" w:cs="Times New Roman"/>
                <w:color w:val="auto"/>
                <w:sz w:val="24"/>
                <w:szCs w:val="24"/>
                <w:lang w:val="en-US" w:eastAsia="zh-CN"/>
              </w:rPr>
              <w:t>等，产生量约1t/a，属于</w:t>
            </w:r>
            <w:r>
              <w:rPr>
                <w:rFonts w:hint="default" w:ascii="Times New Roman" w:hAnsi="Times New Roman" w:eastAsia="宋体" w:cs="Times New Roman"/>
                <w:color w:val="auto"/>
                <w:sz w:val="24"/>
                <w:szCs w:val="24"/>
              </w:rPr>
              <w:t>《国家危险废物名录》（202</w:t>
            </w:r>
            <w:r>
              <w:rPr>
                <w:rFonts w:hint="default" w:ascii="Times New Roman" w:hAnsi="Times New Roman" w:eastAsia="宋体" w:cs="Times New Roman"/>
                <w:color w:val="auto"/>
                <w:sz w:val="24"/>
                <w:szCs w:val="24"/>
                <w:lang w:val="en-US" w:eastAsia="zh-CN"/>
              </w:rPr>
              <w:t>5</w:t>
            </w:r>
            <w:r>
              <w:rPr>
                <w:rFonts w:hint="default" w:ascii="Times New Roman" w:hAnsi="Times New Roman" w:eastAsia="宋体" w:cs="Times New Roman"/>
                <w:color w:val="auto"/>
                <w:sz w:val="24"/>
                <w:szCs w:val="24"/>
              </w:rPr>
              <w:t>年版）</w:t>
            </w:r>
            <w:r>
              <w:rPr>
                <w:rFonts w:hint="eastAsia" w:ascii="Times New Roman" w:hAnsi="Times New Roman" w:eastAsia="宋体" w:cs="Times New Roman"/>
                <w:color w:val="auto"/>
                <w:sz w:val="24"/>
                <w:szCs w:val="24"/>
              </w:rPr>
              <w:t>中</w:t>
            </w:r>
            <w:r>
              <w:rPr>
                <w:rFonts w:hint="eastAsia"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lang w:val="en-US" w:eastAsia="zh-CN"/>
              </w:rPr>
              <w:t>HW49其他废物/非特定行业/900-04</w:t>
            </w:r>
            <w:r>
              <w:rPr>
                <w:rFonts w:hint="eastAsia" w:ascii="Times New Roman" w:hAnsi="Times New Roman" w:eastAsia="宋体" w:cs="Times New Roman"/>
                <w:color w:val="auto"/>
                <w:sz w:val="24"/>
                <w:szCs w:val="24"/>
                <w:lang w:val="en-US" w:eastAsia="zh-CN"/>
              </w:rPr>
              <w:t>5</w:t>
            </w:r>
            <w:r>
              <w:rPr>
                <w:rFonts w:hint="default" w:ascii="Times New Roman" w:hAnsi="Times New Roman" w:eastAsia="宋体" w:cs="Times New Roman"/>
                <w:color w:val="auto"/>
                <w:sz w:val="24"/>
                <w:szCs w:val="24"/>
                <w:lang w:val="en-US" w:eastAsia="zh-CN"/>
              </w:rPr>
              <w:t>-49</w:t>
            </w:r>
            <w:r>
              <w:rPr>
                <w:rFonts w:hint="eastAsia" w:ascii="Times New Roman" w:hAnsi="Times New Roman" w:eastAsia="宋体" w:cs="Times New Roman"/>
                <w:color w:val="auto"/>
                <w:sz w:val="24"/>
                <w:szCs w:val="24"/>
                <w:lang w:eastAsia="zh-CN"/>
              </w:rPr>
              <w:t>”，</w:t>
            </w:r>
            <w:r>
              <w:rPr>
                <w:rFonts w:hint="eastAsia" w:ascii="Times New Roman" w:hAnsi="Times New Roman" w:eastAsia="宋体" w:cs="Times New Roman"/>
                <w:color w:val="auto"/>
                <w:sz w:val="24"/>
                <w:szCs w:val="24"/>
              </w:rPr>
              <w:t>收集</w:t>
            </w:r>
            <w:r>
              <w:rPr>
                <w:rFonts w:hint="default" w:ascii="Times New Roman" w:hAnsi="Times New Roman" w:eastAsia="宋体" w:cs="Times New Roman"/>
                <w:color w:val="auto"/>
                <w:sz w:val="24"/>
                <w:szCs w:val="24"/>
              </w:rPr>
              <w:t>暂存于</w:t>
            </w:r>
            <w:r>
              <w:rPr>
                <w:rFonts w:hint="eastAsia" w:ascii="Times New Roman" w:hAnsi="Times New Roman" w:eastAsia="宋体" w:cs="Times New Roman"/>
                <w:color w:val="auto"/>
                <w:sz w:val="24"/>
                <w:szCs w:val="24"/>
                <w:lang w:val="en-US" w:eastAsia="zh-CN"/>
              </w:rPr>
              <w:t>危废库</w:t>
            </w:r>
            <w:r>
              <w:rPr>
                <w:rFonts w:hint="default" w:ascii="Times New Roman" w:hAnsi="Times New Roman" w:eastAsia="宋体" w:cs="Times New Roman"/>
                <w:color w:val="auto"/>
                <w:sz w:val="24"/>
                <w:szCs w:val="24"/>
              </w:rPr>
              <w:t>，定期交由有资质的单位处置。</w:t>
            </w:r>
          </w:p>
          <w:p w14:paraId="3FC50C60">
            <w:pPr>
              <w:spacing w:line="360" w:lineRule="auto"/>
              <w:ind w:firstLine="480"/>
              <w:rPr>
                <w:rFonts w:hint="eastAsia" w:ascii="Calibri" w:hAnsi="Calibri"/>
                <w:color w:val="auto"/>
                <w:sz w:val="24"/>
              </w:rPr>
            </w:pPr>
            <w:r>
              <w:rPr>
                <w:rFonts w:hint="eastAsia" w:ascii="Calibri" w:hAnsi="Calibri"/>
                <w:color w:val="auto"/>
                <w:sz w:val="24"/>
              </w:rPr>
              <w:t>综上，项目</w:t>
            </w:r>
            <w:r>
              <w:rPr>
                <w:rFonts w:hint="eastAsia" w:ascii="Calibri" w:hAnsi="Calibri"/>
                <w:color w:val="auto"/>
                <w:sz w:val="24"/>
                <w:lang w:val="en-US" w:eastAsia="zh-CN"/>
              </w:rPr>
              <w:t>固废</w:t>
            </w:r>
            <w:r>
              <w:rPr>
                <w:rFonts w:hint="eastAsia" w:ascii="Calibri" w:hAnsi="Calibri"/>
                <w:color w:val="auto"/>
                <w:sz w:val="24"/>
              </w:rPr>
              <w:t>产生及处置情况见下表。</w:t>
            </w:r>
          </w:p>
          <w:p w14:paraId="1D6AC411">
            <w:pPr>
              <w:keepNext w:val="0"/>
              <w:keepLines w:val="0"/>
              <w:pageBreakBefore w:val="0"/>
              <w:widowControl w:val="0"/>
              <w:kinsoku/>
              <w:wordWrap/>
              <w:overflowPunct/>
              <w:topLinePunct w:val="0"/>
              <w:autoSpaceDE w:val="0"/>
              <w:autoSpaceDN w:val="0"/>
              <w:bidi w:val="0"/>
              <w:adjustRightInd/>
              <w:snapToGrid/>
              <w:spacing w:line="240" w:lineRule="auto"/>
              <w:ind w:left="0" w:right="0" w:firstLine="0" w:firstLineChars="0"/>
              <w:jc w:val="center"/>
              <w:textAlignment w:val="auto"/>
              <w:rPr>
                <w:rFonts w:hint="default" w:ascii="Times New Roman" w:hAnsi="Times New Roman" w:eastAsia="宋体" w:cs="Times New Roman"/>
                <w:b/>
                <w:bCs/>
                <w:color w:val="auto"/>
                <w:kern w:val="0"/>
                <w:sz w:val="21"/>
                <w:szCs w:val="21"/>
                <w:highlight w:val="none"/>
                <w:lang w:val="en-US" w:eastAsia="zh-CN" w:bidi="ar-SA"/>
              </w:rPr>
            </w:pPr>
            <w:r>
              <w:rPr>
                <w:rFonts w:hint="default" w:ascii="Times New Roman" w:hAnsi="Times New Roman" w:eastAsia="宋体" w:cs="Times New Roman"/>
                <w:b/>
                <w:bCs/>
                <w:color w:val="auto"/>
                <w:kern w:val="0"/>
                <w:sz w:val="21"/>
                <w:szCs w:val="21"/>
                <w:highlight w:val="none"/>
                <w:lang w:val="en-US" w:eastAsia="zh-CN" w:bidi="ar-SA"/>
              </w:rPr>
              <w:t>表4-</w:t>
            </w:r>
            <w:r>
              <w:rPr>
                <w:rFonts w:hint="eastAsia" w:cs="Times New Roman"/>
                <w:b/>
                <w:bCs/>
                <w:color w:val="auto"/>
                <w:kern w:val="0"/>
                <w:sz w:val="21"/>
                <w:szCs w:val="21"/>
                <w:highlight w:val="none"/>
                <w:lang w:val="en-US" w:eastAsia="zh-CN" w:bidi="ar-SA"/>
              </w:rPr>
              <w:t>20</w:t>
            </w:r>
            <w:r>
              <w:rPr>
                <w:rFonts w:hint="default" w:ascii="Times New Roman" w:hAnsi="Times New Roman" w:eastAsia="宋体" w:cs="Times New Roman"/>
                <w:b/>
                <w:bCs/>
                <w:color w:val="auto"/>
                <w:kern w:val="0"/>
                <w:sz w:val="21"/>
                <w:szCs w:val="21"/>
                <w:highlight w:val="none"/>
                <w:lang w:val="en-US" w:eastAsia="zh-CN" w:bidi="ar-SA"/>
              </w:rPr>
              <w:t xml:space="preserve"> 固体废物产生及处置情况一览表（t/a）</w:t>
            </w:r>
          </w:p>
          <w:tbl>
            <w:tblPr>
              <w:tblStyle w:val="41"/>
              <w:tblW w:w="8035" w:type="dxa"/>
              <w:jc w:val="center"/>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Layout w:type="fixed"/>
              <w:tblCellMar>
                <w:top w:w="0" w:type="dxa"/>
                <w:left w:w="0" w:type="dxa"/>
                <w:bottom w:w="0" w:type="dxa"/>
                <w:right w:w="0" w:type="dxa"/>
              </w:tblCellMar>
            </w:tblPr>
            <w:tblGrid>
              <w:gridCol w:w="388"/>
              <w:gridCol w:w="1006"/>
              <w:gridCol w:w="886"/>
              <w:gridCol w:w="1837"/>
              <w:gridCol w:w="911"/>
              <w:gridCol w:w="665"/>
              <w:gridCol w:w="788"/>
              <w:gridCol w:w="619"/>
              <w:gridCol w:w="935"/>
            </w:tblGrid>
            <w:tr w14:paraId="496BC814">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823" w:hRule="atLeast"/>
                <w:jc w:val="center"/>
              </w:trPr>
              <w:tc>
                <w:tcPr>
                  <w:tcW w:w="388" w:type="dxa"/>
                  <w:noWrap w:val="0"/>
                  <w:vAlign w:val="center"/>
                </w:tcPr>
                <w:p w14:paraId="4B20DD45">
                  <w:pPr>
                    <w:autoSpaceDE w:val="0"/>
                    <w:autoSpaceDN w:val="0"/>
                    <w:adjustRightInd w:val="0"/>
                    <w:snapToGrid w:val="0"/>
                    <w:jc w:val="center"/>
                    <w:rPr>
                      <w:rFonts w:hint="eastAsia" w:eastAsia="宋体"/>
                      <w:b/>
                      <w:color w:val="auto"/>
                      <w:kern w:val="0"/>
                      <w:sz w:val="21"/>
                      <w:szCs w:val="21"/>
                      <w:lang w:eastAsia="zh-CN"/>
                    </w:rPr>
                  </w:pPr>
                  <w:r>
                    <w:rPr>
                      <w:rFonts w:hint="eastAsia"/>
                      <w:b/>
                      <w:color w:val="auto"/>
                      <w:kern w:val="0"/>
                      <w:sz w:val="21"/>
                      <w:szCs w:val="21"/>
                      <w:lang w:val="en-US" w:eastAsia="zh-CN"/>
                    </w:rPr>
                    <w:t>序号</w:t>
                  </w:r>
                </w:p>
              </w:tc>
              <w:tc>
                <w:tcPr>
                  <w:tcW w:w="1006" w:type="dxa"/>
                  <w:noWrap w:val="0"/>
                  <w:vAlign w:val="center"/>
                </w:tcPr>
                <w:p w14:paraId="162D960D">
                  <w:pPr>
                    <w:autoSpaceDE w:val="0"/>
                    <w:autoSpaceDN w:val="0"/>
                    <w:adjustRightInd w:val="0"/>
                    <w:snapToGrid w:val="0"/>
                    <w:jc w:val="center"/>
                    <w:rPr>
                      <w:b/>
                      <w:color w:val="auto"/>
                      <w:kern w:val="0"/>
                      <w:sz w:val="21"/>
                      <w:szCs w:val="21"/>
                      <w:lang w:eastAsia="en-US"/>
                    </w:rPr>
                  </w:pPr>
                  <w:r>
                    <w:rPr>
                      <w:b/>
                      <w:color w:val="auto"/>
                      <w:kern w:val="0"/>
                      <w:sz w:val="21"/>
                      <w:szCs w:val="21"/>
                      <w:lang w:eastAsia="en-US"/>
                    </w:rPr>
                    <w:t>固废名称</w:t>
                  </w:r>
                </w:p>
              </w:tc>
              <w:tc>
                <w:tcPr>
                  <w:tcW w:w="886" w:type="dxa"/>
                  <w:noWrap w:val="0"/>
                  <w:vAlign w:val="center"/>
                </w:tcPr>
                <w:p w14:paraId="73F7C009">
                  <w:pPr>
                    <w:autoSpaceDE w:val="0"/>
                    <w:autoSpaceDN w:val="0"/>
                    <w:adjustRightInd w:val="0"/>
                    <w:snapToGrid w:val="0"/>
                    <w:jc w:val="center"/>
                    <w:rPr>
                      <w:b/>
                      <w:color w:val="auto"/>
                      <w:kern w:val="0"/>
                      <w:sz w:val="21"/>
                      <w:szCs w:val="21"/>
                      <w:lang w:eastAsia="en-US"/>
                    </w:rPr>
                  </w:pPr>
                  <w:r>
                    <w:rPr>
                      <w:b/>
                      <w:color w:val="auto"/>
                      <w:kern w:val="0"/>
                      <w:sz w:val="21"/>
                      <w:szCs w:val="21"/>
                      <w:lang w:eastAsia="en-US"/>
                    </w:rPr>
                    <w:t>固废属性</w:t>
                  </w:r>
                </w:p>
              </w:tc>
              <w:tc>
                <w:tcPr>
                  <w:tcW w:w="1837" w:type="dxa"/>
                  <w:noWrap w:val="0"/>
                  <w:vAlign w:val="center"/>
                </w:tcPr>
                <w:p w14:paraId="0B6F4872">
                  <w:pPr>
                    <w:autoSpaceDE w:val="0"/>
                    <w:autoSpaceDN w:val="0"/>
                    <w:adjustRightInd w:val="0"/>
                    <w:snapToGrid w:val="0"/>
                    <w:jc w:val="center"/>
                    <w:rPr>
                      <w:rFonts w:hint="default" w:eastAsia="宋体"/>
                      <w:b/>
                      <w:color w:val="auto"/>
                      <w:kern w:val="0"/>
                      <w:sz w:val="21"/>
                      <w:szCs w:val="21"/>
                      <w:lang w:val="en-US" w:eastAsia="zh-CN"/>
                    </w:rPr>
                  </w:pPr>
                  <w:r>
                    <w:rPr>
                      <w:rFonts w:hint="eastAsia"/>
                      <w:b/>
                      <w:color w:val="auto"/>
                      <w:kern w:val="0"/>
                      <w:sz w:val="21"/>
                      <w:szCs w:val="21"/>
                      <w:lang w:val="en-US" w:eastAsia="zh-CN"/>
                    </w:rPr>
                    <w:t>类别代码</w:t>
                  </w:r>
                </w:p>
              </w:tc>
              <w:tc>
                <w:tcPr>
                  <w:tcW w:w="911" w:type="dxa"/>
                  <w:noWrap w:val="0"/>
                  <w:vAlign w:val="center"/>
                </w:tcPr>
                <w:p w14:paraId="7F9E2027">
                  <w:pPr>
                    <w:autoSpaceDE w:val="0"/>
                    <w:autoSpaceDN w:val="0"/>
                    <w:adjustRightInd w:val="0"/>
                    <w:snapToGrid w:val="0"/>
                    <w:jc w:val="center"/>
                    <w:rPr>
                      <w:b/>
                      <w:color w:val="auto"/>
                      <w:kern w:val="0"/>
                      <w:sz w:val="21"/>
                      <w:szCs w:val="21"/>
                    </w:rPr>
                  </w:pPr>
                  <w:r>
                    <w:rPr>
                      <w:b/>
                      <w:color w:val="auto"/>
                      <w:kern w:val="0"/>
                      <w:sz w:val="21"/>
                      <w:szCs w:val="21"/>
                    </w:rPr>
                    <w:t>主要有毒有害物质名称</w:t>
                  </w:r>
                </w:p>
              </w:tc>
              <w:tc>
                <w:tcPr>
                  <w:tcW w:w="665" w:type="dxa"/>
                  <w:noWrap w:val="0"/>
                  <w:vAlign w:val="center"/>
                </w:tcPr>
                <w:p w14:paraId="6534D0F2">
                  <w:pPr>
                    <w:autoSpaceDE w:val="0"/>
                    <w:autoSpaceDN w:val="0"/>
                    <w:adjustRightInd w:val="0"/>
                    <w:snapToGrid w:val="0"/>
                    <w:jc w:val="center"/>
                    <w:rPr>
                      <w:b/>
                      <w:color w:val="auto"/>
                      <w:kern w:val="0"/>
                      <w:sz w:val="21"/>
                      <w:szCs w:val="21"/>
                    </w:rPr>
                  </w:pPr>
                  <w:r>
                    <w:rPr>
                      <w:b/>
                      <w:color w:val="auto"/>
                      <w:kern w:val="0"/>
                      <w:sz w:val="21"/>
                      <w:szCs w:val="21"/>
                    </w:rPr>
                    <w:t>物理性状</w:t>
                  </w:r>
                </w:p>
              </w:tc>
              <w:tc>
                <w:tcPr>
                  <w:tcW w:w="788" w:type="dxa"/>
                  <w:noWrap w:val="0"/>
                  <w:vAlign w:val="center"/>
                </w:tcPr>
                <w:p w14:paraId="03A0BD75">
                  <w:pPr>
                    <w:autoSpaceDE w:val="0"/>
                    <w:autoSpaceDN w:val="0"/>
                    <w:adjustRightInd w:val="0"/>
                    <w:snapToGrid w:val="0"/>
                    <w:jc w:val="center"/>
                    <w:rPr>
                      <w:b/>
                      <w:color w:val="auto"/>
                      <w:kern w:val="0"/>
                      <w:sz w:val="21"/>
                      <w:szCs w:val="21"/>
                      <w:lang w:eastAsia="en-US"/>
                    </w:rPr>
                  </w:pPr>
                  <w:r>
                    <w:rPr>
                      <w:b/>
                      <w:color w:val="auto"/>
                      <w:kern w:val="0"/>
                      <w:sz w:val="21"/>
                      <w:szCs w:val="21"/>
                    </w:rPr>
                    <w:t>环境危险特性</w:t>
                  </w:r>
                </w:p>
              </w:tc>
              <w:tc>
                <w:tcPr>
                  <w:tcW w:w="619" w:type="dxa"/>
                  <w:noWrap w:val="0"/>
                  <w:vAlign w:val="center"/>
                </w:tcPr>
                <w:p w14:paraId="2B163324">
                  <w:pPr>
                    <w:autoSpaceDE w:val="0"/>
                    <w:autoSpaceDN w:val="0"/>
                    <w:adjustRightInd w:val="0"/>
                    <w:snapToGrid w:val="0"/>
                    <w:jc w:val="center"/>
                    <w:rPr>
                      <w:b/>
                      <w:color w:val="auto"/>
                      <w:kern w:val="0"/>
                      <w:sz w:val="21"/>
                      <w:szCs w:val="21"/>
                      <w:lang w:eastAsia="en-US"/>
                    </w:rPr>
                  </w:pPr>
                  <w:r>
                    <w:rPr>
                      <w:b/>
                      <w:color w:val="auto"/>
                      <w:kern w:val="0"/>
                      <w:sz w:val="21"/>
                      <w:szCs w:val="21"/>
                    </w:rPr>
                    <w:t>年度产生</w:t>
                  </w:r>
                  <w:r>
                    <w:rPr>
                      <w:b/>
                      <w:color w:val="auto"/>
                      <w:kern w:val="0"/>
                      <w:sz w:val="21"/>
                      <w:szCs w:val="21"/>
                      <w:lang w:eastAsia="en-US"/>
                    </w:rPr>
                    <w:t>量</w:t>
                  </w:r>
                </w:p>
              </w:tc>
              <w:tc>
                <w:tcPr>
                  <w:tcW w:w="935" w:type="dxa"/>
                  <w:noWrap w:val="0"/>
                  <w:vAlign w:val="center"/>
                </w:tcPr>
                <w:p w14:paraId="1F77B1B3">
                  <w:pPr>
                    <w:autoSpaceDE w:val="0"/>
                    <w:autoSpaceDN w:val="0"/>
                    <w:adjustRightInd w:val="0"/>
                    <w:snapToGrid w:val="0"/>
                    <w:jc w:val="center"/>
                    <w:rPr>
                      <w:b/>
                      <w:color w:val="auto"/>
                      <w:kern w:val="0"/>
                      <w:sz w:val="21"/>
                      <w:szCs w:val="21"/>
                      <w:lang w:eastAsia="en-US"/>
                    </w:rPr>
                  </w:pPr>
                  <w:r>
                    <w:rPr>
                      <w:b/>
                      <w:color w:val="auto"/>
                      <w:kern w:val="0"/>
                      <w:sz w:val="21"/>
                      <w:szCs w:val="21"/>
                    </w:rPr>
                    <w:t>利用处置方式及</w:t>
                  </w:r>
                  <w:r>
                    <w:rPr>
                      <w:b/>
                      <w:color w:val="auto"/>
                      <w:kern w:val="0"/>
                      <w:sz w:val="21"/>
                      <w:szCs w:val="21"/>
                      <w:lang w:eastAsia="en-US"/>
                    </w:rPr>
                    <w:t>去向</w:t>
                  </w:r>
                </w:p>
              </w:tc>
            </w:tr>
            <w:tr w14:paraId="07D75354">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794" w:hRule="exact"/>
                <w:jc w:val="center"/>
              </w:trPr>
              <w:tc>
                <w:tcPr>
                  <w:tcW w:w="388" w:type="dxa"/>
                  <w:noWrap w:val="0"/>
                  <w:vAlign w:val="center"/>
                </w:tcPr>
                <w:p w14:paraId="2DDD99BB">
                  <w:pPr>
                    <w:autoSpaceDE w:val="0"/>
                    <w:autoSpaceDN w:val="0"/>
                    <w:adjustRightInd w:val="0"/>
                    <w:snapToGrid w:val="0"/>
                    <w:jc w:val="center"/>
                    <w:rPr>
                      <w:rFonts w:hint="default" w:eastAsia="宋体"/>
                      <w:color w:val="auto"/>
                      <w:kern w:val="0"/>
                      <w:sz w:val="21"/>
                      <w:szCs w:val="21"/>
                      <w:lang w:val="en-US" w:eastAsia="zh-CN"/>
                    </w:rPr>
                  </w:pPr>
                  <w:r>
                    <w:rPr>
                      <w:rFonts w:hint="eastAsia"/>
                      <w:color w:val="auto"/>
                      <w:kern w:val="0"/>
                      <w:sz w:val="21"/>
                      <w:szCs w:val="21"/>
                      <w:lang w:val="en-US" w:eastAsia="zh-CN"/>
                    </w:rPr>
                    <w:t>1</w:t>
                  </w:r>
                </w:p>
              </w:tc>
              <w:tc>
                <w:tcPr>
                  <w:tcW w:w="1006" w:type="dxa"/>
                  <w:noWrap w:val="0"/>
                  <w:vAlign w:val="center"/>
                </w:tcPr>
                <w:p w14:paraId="74D75837">
                  <w:pPr>
                    <w:autoSpaceDE w:val="0"/>
                    <w:autoSpaceDN w:val="0"/>
                    <w:adjustRightInd w:val="0"/>
                    <w:snapToGrid w:val="0"/>
                    <w:jc w:val="center"/>
                    <w:rPr>
                      <w:rFonts w:hint="default" w:eastAsia="宋体"/>
                      <w:color w:val="auto"/>
                      <w:kern w:val="0"/>
                      <w:sz w:val="21"/>
                      <w:szCs w:val="21"/>
                      <w:lang w:val="en-US" w:eastAsia="zh-CN"/>
                    </w:rPr>
                  </w:pPr>
                  <w:r>
                    <w:rPr>
                      <w:rFonts w:hint="eastAsia"/>
                      <w:color w:val="auto"/>
                      <w:kern w:val="0"/>
                      <w:sz w:val="21"/>
                      <w:szCs w:val="21"/>
                      <w:lang w:val="en-US" w:eastAsia="zh-CN"/>
                    </w:rPr>
                    <w:t>生活垃圾</w:t>
                  </w:r>
                </w:p>
              </w:tc>
              <w:tc>
                <w:tcPr>
                  <w:tcW w:w="886" w:type="dxa"/>
                  <w:noWrap w:val="0"/>
                  <w:vAlign w:val="center"/>
                </w:tcPr>
                <w:p w14:paraId="20603A41">
                  <w:pPr>
                    <w:autoSpaceDE w:val="0"/>
                    <w:autoSpaceDN w:val="0"/>
                    <w:adjustRightInd w:val="0"/>
                    <w:snapToGrid w:val="0"/>
                    <w:jc w:val="center"/>
                    <w:rPr>
                      <w:rFonts w:hint="eastAsia" w:eastAsia="宋体"/>
                      <w:color w:val="auto"/>
                      <w:kern w:val="0"/>
                      <w:sz w:val="21"/>
                      <w:szCs w:val="21"/>
                      <w:lang w:eastAsia="zh-CN"/>
                    </w:rPr>
                  </w:pPr>
                  <w:r>
                    <w:rPr>
                      <w:rFonts w:hint="eastAsia" w:eastAsia="宋体"/>
                      <w:color w:val="auto"/>
                      <w:kern w:val="0"/>
                      <w:sz w:val="21"/>
                      <w:szCs w:val="21"/>
                      <w:lang w:val="en-US" w:eastAsia="zh-CN"/>
                    </w:rPr>
                    <w:t>/</w:t>
                  </w:r>
                </w:p>
              </w:tc>
              <w:tc>
                <w:tcPr>
                  <w:tcW w:w="1837" w:type="dxa"/>
                  <w:noWrap w:val="0"/>
                  <w:vAlign w:val="center"/>
                </w:tcPr>
                <w:p w14:paraId="3F3E290A">
                  <w:pPr>
                    <w:autoSpaceDE w:val="0"/>
                    <w:autoSpaceDN w:val="0"/>
                    <w:adjustRightInd w:val="0"/>
                    <w:snapToGrid w:val="0"/>
                    <w:jc w:val="center"/>
                    <w:rPr>
                      <w:rFonts w:hint="eastAsia" w:eastAsia="宋体"/>
                      <w:color w:val="auto"/>
                      <w:kern w:val="0"/>
                      <w:sz w:val="21"/>
                      <w:szCs w:val="21"/>
                      <w:lang w:val="en-US" w:eastAsia="zh-CN"/>
                    </w:rPr>
                  </w:pPr>
                  <w:r>
                    <w:rPr>
                      <w:rFonts w:hint="eastAsia"/>
                      <w:color w:val="auto"/>
                      <w:kern w:val="0"/>
                      <w:sz w:val="21"/>
                      <w:szCs w:val="21"/>
                      <w:lang w:val="en-US" w:eastAsia="zh-CN"/>
                    </w:rPr>
                    <w:t>/</w:t>
                  </w:r>
                </w:p>
              </w:tc>
              <w:tc>
                <w:tcPr>
                  <w:tcW w:w="911" w:type="dxa"/>
                  <w:noWrap w:val="0"/>
                  <w:vAlign w:val="center"/>
                </w:tcPr>
                <w:p w14:paraId="18471061">
                  <w:pPr>
                    <w:autoSpaceDE w:val="0"/>
                    <w:autoSpaceDN w:val="0"/>
                    <w:adjustRightInd w:val="0"/>
                    <w:snapToGrid w:val="0"/>
                    <w:jc w:val="center"/>
                    <w:rPr>
                      <w:rFonts w:hint="eastAsia" w:eastAsia="宋体"/>
                      <w:color w:val="auto"/>
                      <w:kern w:val="0"/>
                      <w:sz w:val="21"/>
                      <w:szCs w:val="21"/>
                      <w:lang w:eastAsia="zh-CN"/>
                    </w:rPr>
                  </w:pPr>
                  <w:r>
                    <w:rPr>
                      <w:rFonts w:hint="eastAsia"/>
                      <w:color w:val="auto"/>
                      <w:kern w:val="0"/>
                      <w:sz w:val="21"/>
                      <w:szCs w:val="21"/>
                      <w:lang w:val="en-US" w:eastAsia="zh-CN"/>
                    </w:rPr>
                    <w:t>/</w:t>
                  </w:r>
                </w:p>
              </w:tc>
              <w:tc>
                <w:tcPr>
                  <w:tcW w:w="665" w:type="dxa"/>
                  <w:noWrap w:val="0"/>
                  <w:vAlign w:val="center"/>
                </w:tcPr>
                <w:p w14:paraId="4C094B6A">
                  <w:pPr>
                    <w:autoSpaceDE w:val="0"/>
                    <w:autoSpaceDN w:val="0"/>
                    <w:adjustRightInd w:val="0"/>
                    <w:snapToGrid w:val="0"/>
                    <w:jc w:val="center"/>
                    <w:rPr>
                      <w:color w:val="auto"/>
                      <w:kern w:val="0"/>
                      <w:sz w:val="21"/>
                      <w:szCs w:val="21"/>
                      <w:lang w:eastAsia="en-US"/>
                    </w:rPr>
                  </w:pPr>
                  <w:r>
                    <w:rPr>
                      <w:color w:val="auto"/>
                      <w:kern w:val="0"/>
                      <w:sz w:val="21"/>
                      <w:szCs w:val="21"/>
                    </w:rPr>
                    <w:t>固态</w:t>
                  </w:r>
                </w:p>
              </w:tc>
              <w:tc>
                <w:tcPr>
                  <w:tcW w:w="788" w:type="dxa"/>
                  <w:noWrap w:val="0"/>
                  <w:vAlign w:val="center"/>
                </w:tcPr>
                <w:p w14:paraId="09ABB05E">
                  <w:pPr>
                    <w:autoSpaceDE w:val="0"/>
                    <w:autoSpaceDN w:val="0"/>
                    <w:adjustRightInd w:val="0"/>
                    <w:snapToGrid w:val="0"/>
                    <w:jc w:val="center"/>
                    <w:rPr>
                      <w:color w:val="auto"/>
                      <w:kern w:val="0"/>
                      <w:sz w:val="21"/>
                      <w:szCs w:val="21"/>
                      <w:lang w:eastAsia="en-US"/>
                    </w:rPr>
                  </w:pPr>
                  <w:r>
                    <w:rPr>
                      <w:color w:val="auto"/>
                      <w:kern w:val="0"/>
                      <w:sz w:val="21"/>
                      <w:szCs w:val="21"/>
                    </w:rPr>
                    <w:t>/</w:t>
                  </w:r>
                </w:p>
              </w:tc>
              <w:tc>
                <w:tcPr>
                  <w:tcW w:w="619" w:type="dxa"/>
                  <w:noWrap w:val="0"/>
                  <w:vAlign w:val="center"/>
                </w:tcPr>
                <w:p w14:paraId="64734AEF">
                  <w:pPr>
                    <w:autoSpaceDE w:val="0"/>
                    <w:autoSpaceDN w:val="0"/>
                    <w:adjustRightInd w:val="0"/>
                    <w:snapToGrid w:val="0"/>
                    <w:jc w:val="center"/>
                    <w:rPr>
                      <w:rFonts w:hint="default" w:eastAsia="宋体"/>
                      <w:color w:val="auto"/>
                      <w:kern w:val="0"/>
                      <w:sz w:val="21"/>
                      <w:szCs w:val="21"/>
                      <w:lang w:val="en-US" w:eastAsia="zh-CN"/>
                    </w:rPr>
                  </w:pPr>
                  <w:r>
                    <w:rPr>
                      <w:rFonts w:hint="eastAsia"/>
                      <w:color w:val="auto"/>
                      <w:kern w:val="0"/>
                      <w:sz w:val="21"/>
                      <w:szCs w:val="21"/>
                      <w:lang w:val="en-US" w:eastAsia="zh-CN"/>
                    </w:rPr>
                    <w:t>2.4</w:t>
                  </w:r>
                </w:p>
              </w:tc>
              <w:tc>
                <w:tcPr>
                  <w:tcW w:w="935" w:type="dxa"/>
                  <w:noWrap w:val="0"/>
                  <w:vAlign w:val="center"/>
                </w:tcPr>
                <w:p w14:paraId="062CB98B">
                  <w:pPr>
                    <w:autoSpaceDE w:val="0"/>
                    <w:autoSpaceDN w:val="0"/>
                    <w:adjustRightInd w:val="0"/>
                    <w:snapToGrid w:val="0"/>
                    <w:jc w:val="center"/>
                    <w:rPr>
                      <w:rFonts w:hint="default" w:eastAsia="宋体"/>
                      <w:color w:val="auto"/>
                      <w:kern w:val="0"/>
                      <w:sz w:val="21"/>
                      <w:szCs w:val="21"/>
                      <w:lang w:val="en-US" w:eastAsia="zh-CN"/>
                    </w:rPr>
                  </w:pPr>
                  <w:r>
                    <w:rPr>
                      <w:color w:val="auto"/>
                      <w:kern w:val="0"/>
                      <w:sz w:val="21"/>
                      <w:szCs w:val="21"/>
                      <w:lang w:eastAsia="en-US"/>
                    </w:rPr>
                    <w:t>委托环卫部门</w:t>
                  </w:r>
                  <w:r>
                    <w:rPr>
                      <w:rFonts w:hint="eastAsia"/>
                      <w:color w:val="auto"/>
                      <w:kern w:val="0"/>
                      <w:sz w:val="21"/>
                      <w:szCs w:val="21"/>
                      <w:lang w:val="en-US" w:eastAsia="zh-CN"/>
                    </w:rPr>
                    <w:t>统一清运处置</w:t>
                  </w:r>
                </w:p>
              </w:tc>
            </w:tr>
            <w:tr w14:paraId="7A043CB3">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794" w:hRule="exact"/>
                <w:jc w:val="center"/>
              </w:trPr>
              <w:tc>
                <w:tcPr>
                  <w:tcW w:w="388" w:type="dxa"/>
                  <w:noWrap w:val="0"/>
                  <w:vAlign w:val="center"/>
                </w:tcPr>
                <w:p w14:paraId="30D44753">
                  <w:pPr>
                    <w:autoSpaceDE w:val="0"/>
                    <w:autoSpaceDN w:val="0"/>
                    <w:adjustRightInd w:val="0"/>
                    <w:snapToGrid w:val="0"/>
                    <w:jc w:val="center"/>
                    <w:rPr>
                      <w:rFonts w:hint="default"/>
                      <w:color w:val="auto"/>
                      <w:kern w:val="0"/>
                      <w:sz w:val="21"/>
                      <w:szCs w:val="21"/>
                      <w:lang w:val="en-US" w:eastAsia="zh-CN"/>
                    </w:rPr>
                  </w:pPr>
                  <w:r>
                    <w:rPr>
                      <w:rFonts w:hint="eastAsia"/>
                      <w:color w:val="auto"/>
                      <w:kern w:val="0"/>
                      <w:sz w:val="21"/>
                      <w:szCs w:val="21"/>
                      <w:lang w:val="en-US" w:eastAsia="zh-CN"/>
                    </w:rPr>
                    <w:t>2</w:t>
                  </w:r>
                </w:p>
              </w:tc>
              <w:tc>
                <w:tcPr>
                  <w:tcW w:w="1006" w:type="dxa"/>
                  <w:noWrap w:val="0"/>
                  <w:vAlign w:val="center"/>
                </w:tcPr>
                <w:p w14:paraId="5C0128B8">
                  <w:pPr>
                    <w:autoSpaceDE w:val="0"/>
                    <w:autoSpaceDN w:val="0"/>
                    <w:adjustRightInd w:val="0"/>
                    <w:snapToGrid w:val="0"/>
                    <w:jc w:val="center"/>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预处理池污泥</w:t>
                  </w:r>
                </w:p>
              </w:tc>
              <w:tc>
                <w:tcPr>
                  <w:tcW w:w="886" w:type="dxa"/>
                  <w:noWrap w:val="0"/>
                  <w:vAlign w:val="center"/>
                </w:tcPr>
                <w:p w14:paraId="784AE2BC">
                  <w:pPr>
                    <w:autoSpaceDE w:val="0"/>
                    <w:autoSpaceDN w:val="0"/>
                    <w:adjustRightInd w:val="0"/>
                    <w:snapToGrid w:val="0"/>
                    <w:jc w:val="center"/>
                    <w:rPr>
                      <w:rFonts w:hint="default" w:eastAsia="宋体"/>
                      <w:color w:val="auto"/>
                      <w:kern w:val="0"/>
                      <w:sz w:val="21"/>
                      <w:szCs w:val="21"/>
                      <w:lang w:val="en-US" w:eastAsia="zh-CN"/>
                    </w:rPr>
                  </w:pPr>
                  <w:r>
                    <w:rPr>
                      <w:rFonts w:hint="eastAsia"/>
                      <w:color w:val="auto"/>
                      <w:kern w:val="0"/>
                      <w:sz w:val="21"/>
                      <w:szCs w:val="21"/>
                      <w:lang w:val="en-US" w:eastAsia="zh-CN"/>
                    </w:rPr>
                    <w:t>/</w:t>
                  </w:r>
                </w:p>
              </w:tc>
              <w:tc>
                <w:tcPr>
                  <w:tcW w:w="1837" w:type="dxa"/>
                  <w:noWrap w:val="0"/>
                  <w:vAlign w:val="center"/>
                </w:tcPr>
                <w:p w14:paraId="33FE54B1">
                  <w:pPr>
                    <w:autoSpaceDE w:val="0"/>
                    <w:autoSpaceDN w:val="0"/>
                    <w:adjustRightInd w:val="0"/>
                    <w:snapToGrid w:val="0"/>
                    <w:jc w:val="center"/>
                    <w:rPr>
                      <w:rFonts w:hint="default"/>
                      <w:color w:val="auto"/>
                      <w:kern w:val="0"/>
                      <w:sz w:val="21"/>
                      <w:szCs w:val="21"/>
                      <w:lang w:val="en-US" w:eastAsia="zh-CN"/>
                    </w:rPr>
                  </w:pPr>
                  <w:r>
                    <w:rPr>
                      <w:rFonts w:hint="eastAsia"/>
                      <w:color w:val="auto"/>
                      <w:kern w:val="0"/>
                      <w:sz w:val="21"/>
                      <w:szCs w:val="21"/>
                      <w:lang w:val="en-US" w:eastAsia="zh-CN"/>
                    </w:rPr>
                    <w:t>/</w:t>
                  </w:r>
                </w:p>
              </w:tc>
              <w:tc>
                <w:tcPr>
                  <w:tcW w:w="911" w:type="dxa"/>
                  <w:noWrap w:val="0"/>
                  <w:vAlign w:val="center"/>
                </w:tcPr>
                <w:p w14:paraId="4F39CB25">
                  <w:pPr>
                    <w:autoSpaceDE w:val="0"/>
                    <w:autoSpaceDN w:val="0"/>
                    <w:adjustRightInd w:val="0"/>
                    <w:snapToGrid w:val="0"/>
                    <w:jc w:val="center"/>
                    <w:rPr>
                      <w:rFonts w:hint="default"/>
                      <w:color w:val="auto"/>
                      <w:kern w:val="0"/>
                      <w:sz w:val="21"/>
                      <w:szCs w:val="21"/>
                      <w:lang w:val="en-US" w:eastAsia="zh-CN"/>
                    </w:rPr>
                  </w:pPr>
                  <w:r>
                    <w:rPr>
                      <w:rFonts w:hint="eastAsia"/>
                      <w:color w:val="auto"/>
                      <w:kern w:val="0"/>
                      <w:sz w:val="21"/>
                      <w:szCs w:val="21"/>
                      <w:lang w:val="en-US" w:eastAsia="zh-CN"/>
                    </w:rPr>
                    <w:t>/</w:t>
                  </w:r>
                </w:p>
              </w:tc>
              <w:tc>
                <w:tcPr>
                  <w:tcW w:w="665" w:type="dxa"/>
                  <w:noWrap w:val="0"/>
                  <w:vAlign w:val="center"/>
                </w:tcPr>
                <w:p w14:paraId="69A0B35E">
                  <w:pPr>
                    <w:autoSpaceDE w:val="0"/>
                    <w:autoSpaceDN w:val="0"/>
                    <w:adjustRightInd w:val="0"/>
                    <w:snapToGrid w:val="0"/>
                    <w:jc w:val="center"/>
                    <w:rPr>
                      <w:rFonts w:hint="eastAsia" w:eastAsia="宋体"/>
                      <w:color w:val="auto"/>
                      <w:kern w:val="0"/>
                      <w:sz w:val="21"/>
                      <w:szCs w:val="21"/>
                      <w:lang w:val="en-US" w:eastAsia="zh-CN"/>
                    </w:rPr>
                  </w:pPr>
                  <w:r>
                    <w:rPr>
                      <w:rFonts w:hint="eastAsia"/>
                      <w:color w:val="auto"/>
                      <w:kern w:val="0"/>
                      <w:sz w:val="21"/>
                      <w:szCs w:val="21"/>
                      <w:lang w:val="en-US" w:eastAsia="zh-CN"/>
                    </w:rPr>
                    <w:t>固态</w:t>
                  </w:r>
                </w:p>
              </w:tc>
              <w:tc>
                <w:tcPr>
                  <w:tcW w:w="788" w:type="dxa"/>
                  <w:noWrap w:val="0"/>
                  <w:vAlign w:val="center"/>
                </w:tcPr>
                <w:p w14:paraId="66F5A3D5">
                  <w:pPr>
                    <w:autoSpaceDE w:val="0"/>
                    <w:autoSpaceDN w:val="0"/>
                    <w:adjustRightInd w:val="0"/>
                    <w:snapToGrid w:val="0"/>
                    <w:jc w:val="center"/>
                    <w:rPr>
                      <w:rFonts w:hint="eastAsia" w:eastAsia="宋体"/>
                      <w:color w:val="auto"/>
                      <w:kern w:val="0"/>
                      <w:sz w:val="21"/>
                      <w:szCs w:val="21"/>
                      <w:lang w:val="en-US" w:eastAsia="zh-CN"/>
                    </w:rPr>
                  </w:pPr>
                  <w:r>
                    <w:rPr>
                      <w:rFonts w:hint="eastAsia"/>
                      <w:color w:val="auto"/>
                      <w:kern w:val="0"/>
                      <w:sz w:val="21"/>
                      <w:szCs w:val="21"/>
                      <w:lang w:val="en-US" w:eastAsia="zh-CN"/>
                    </w:rPr>
                    <w:t>/</w:t>
                  </w:r>
                </w:p>
              </w:tc>
              <w:tc>
                <w:tcPr>
                  <w:tcW w:w="619" w:type="dxa"/>
                  <w:noWrap w:val="0"/>
                  <w:vAlign w:val="center"/>
                </w:tcPr>
                <w:p w14:paraId="139C43E3">
                  <w:pPr>
                    <w:autoSpaceDE w:val="0"/>
                    <w:autoSpaceDN w:val="0"/>
                    <w:adjustRightInd w:val="0"/>
                    <w:snapToGrid w:val="0"/>
                    <w:jc w:val="center"/>
                    <w:rPr>
                      <w:rFonts w:hint="default"/>
                      <w:color w:val="auto"/>
                      <w:kern w:val="0"/>
                      <w:sz w:val="21"/>
                      <w:szCs w:val="21"/>
                      <w:lang w:val="en-US" w:eastAsia="zh-CN"/>
                    </w:rPr>
                  </w:pPr>
                  <w:r>
                    <w:rPr>
                      <w:rFonts w:hint="eastAsia"/>
                      <w:color w:val="auto"/>
                      <w:kern w:val="0"/>
                      <w:sz w:val="21"/>
                      <w:szCs w:val="21"/>
                      <w:lang w:val="en-US" w:eastAsia="zh-CN"/>
                    </w:rPr>
                    <w:t>0.6</w:t>
                  </w:r>
                </w:p>
              </w:tc>
              <w:tc>
                <w:tcPr>
                  <w:tcW w:w="935" w:type="dxa"/>
                  <w:noWrap w:val="0"/>
                  <w:vAlign w:val="center"/>
                </w:tcPr>
                <w:p w14:paraId="2E349E30">
                  <w:pPr>
                    <w:autoSpaceDE w:val="0"/>
                    <w:autoSpaceDN w:val="0"/>
                    <w:adjustRightInd w:val="0"/>
                    <w:snapToGrid w:val="0"/>
                    <w:jc w:val="center"/>
                    <w:rPr>
                      <w:rFonts w:hint="default" w:eastAsia="宋体"/>
                      <w:color w:val="auto"/>
                      <w:kern w:val="0"/>
                      <w:sz w:val="21"/>
                      <w:szCs w:val="21"/>
                      <w:lang w:val="en-US" w:eastAsia="zh-CN"/>
                    </w:rPr>
                  </w:pPr>
                  <w:r>
                    <w:rPr>
                      <w:rFonts w:hint="eastAsia"/>
                      <w:color w:val="auto"/>
                      <w:kern w:val="0"/>
                      <w:sz w:val="21"/>
                      <w:szCs w:val="21"/>
                      <w:lang w:val="en-US" w:eastAsia="zh-CN"/>
                    </w:rPr>
                    <w:t>委托有能力的单位转运处置</w:t>
                  </w:r>
                </w:p>
              </w:tc>
            </w:tr>
            <w:tr w14:paraId="248DFF60">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794" w:hRule="exact"/>
                <w:jc w:val="center"/>
              </w:trPr>
              <w:tc>
                <w:tcPr>
                  <w:tcW w:w="388" w:type="dxa"/>
                  <w:noWrap w:val="0"/>
                  <w:vAlign w:val="center"/>
                </w:tcPr>
                <w:p w14:paraId="3670FF32">
                  <w:pPr>
                    <w:autoSpaceDE w:val="0"/>
                    <w:autoSpaceDN w:val="0"/>
                    <w:adjustRightInd w:val="0"/>
                    <w:snapToGrid w:val="0"/>
                    <w:jc w:val="center"/>
                    <w:rPr>
                      <w:rFonts w:hint="default"/>
                      <w:color w:val="auto"/>
                      <w:kern w:val="0"/>
                      <w:sz w:val="21"/>
                      <w:szCs w:val="21"/>
                      <w:lang w:val="en-US" w:eastAsia="zh-CN"/>
                    </w:rPr>
                  </w:pPr>
                  <w:r>
                    <w:rPr>
                      <w:rFonts w:hint="eastAsia"/>
                      <w:color w:val="auto"/>
                      <w:kern w:val="0"/>
                      <w:sz w:val="21"/>
                      <w:szCs w:val="21"/>
                      <w:lang w:val="en-US" w:eastAsia="zh-CN"/>
                    </w:rPr>
                    <w:t>3</w:t>
                  </w:r>
                </w:p>
              </w:tc>
              <w:tc>
                <w:tcPr>
                  <w:tcW w:w="1006" w:type="dxa"/>
                  <w:noWrap w:val="0"/>
                  <w:vAlign w:val="center"/>
                </w:tcPr>
                <w:p w14:paraId="30B5CF9C">
                  <w:pPr>
                    <w:autoSpaceDE w:val="0"/>
                    <w:autoSpaceDN w:val="0"/>
                    <w:adjustRightInd w:val="0"/>
                    <w:snapToGrid w:val="0"/>
                    <w:jc w:val="center"/>
                    <w:rPr>
                      <w:rFonts w:hint="eastAsia"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除尘器收集粉尘</w:t>
                  </w:r>
                </w:p>
              </w:tc>
              <w:tc>
                <w:tcPr>
                  <w:tcW w:w="886" w:type="dxa"/>
                  <w:vMerge w:val="restart"/>
                  <w:noWrap w:val="0"/>
                  <w:vAlign w:val="center"/>
                </w:tcPr>
                <w:p w14:paraId="53BAC417">
                  <w:pPr>
                    <w:autoSpaceDE w:val="0"/>
                    <w:autoSpaceDN w:val="0"/>
                    <w:adjustRightInd w:val="0"/>
                    <w:snapToGrid w:val="0"/>
                    <w:jc w:val="center"/>
                    <w:rPr>
                      <w:color w:val="auto"/>
                      <w:kern w:val="0"/>
                      <w:sz w:val="21"/>
                      <w:szCs w:val="21"/>
                    </w:rPr>
                  </w:pPr>
                  <w:r>
                    <w:rPr>
                      <w:color w:val="auto"/>
                      <w:kern w:val="0"/>
                      <w:sz w:val="21"/>
                      <w:szCs w:val="21"/>
                    </w:rPr>
                    <w:t>一般固废</w:t>
                  </w:r>
                </w:p>
              </w:tc>
              <w:tc>
                <w:tcPr>
                  <w:tcW w:w="1837" w:type="dxa"/>
                  <w:noWrap w:val="0"/>
                  <w:vAlign w:val="center"/>
                </w:tcPr>
                <w:p w14:paraId="6C2493C3">
                  <w:pPr>
                    <w:autoSpaceDE w:val="0"/>
                    <w:autoSpaceDN w:val="0"/>
                    <w:adjustRightInd w:val="0"/>
                    <w:snapToGrid w:val="0"/>
                    <w:jc w:val="center"/>
                    <w:rPr>
                      <w:rFonts w:hint="eastAsia"/>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SW17</w:t>
                  </w:r>
                  <w:r>
                    <w:rPr>
                      <w:rFonts w:hint="eastAsia" w:ascii="Times New Roman" w:hAnsi="Times New Roman" w:eastAsia="宋体" w:cs="Times New Roman"/>
                      <w:color w:val="auto"/>
                      <w:kern w:val="0"/>
                      <w:sz w:val="21"/>
                      <w:szCs w:val="21"/>
                      <w:lang w:val="en-US" w:eastAsia="zh-CN"/>
                    </w:rPr>
                    <w:t xml:space="preserve"> </w:t>
                  </w:r>
                  <w:r>
                    <w:rPr>
                      <w:rFonts w:hint="default" w:ascii="Times New Roman" w:hAnsi="Times New Roman" w:eastAsia="宋体" w:cs="Times New Roman"/>
                      <w:color w:val="auto"/>
                      <w:kern w:val="0"/>
                      <w:sz w:val="21"/>
                      <w:szCs w:val="21"/>
                      <w:lang w:val="en-US" w:eastAsia="zh-CN"/>
                    </w:rPr>
                    <w:t>900-0</w:t>
                  </w:r>
                  <w:r>
                    <w:rPr>
                      <w:rFonts w:hint="eastAsia" w:ascii="Times New Roman" w:hAnsi="Times New Roman" w:eastAsia="宋体" w:cs="Times New Roman"/>
                      <w:color w:val="auto"/>
                      <w:kern w:val="0"/>
                      <w:sz w:val="21"/>
                      <w:szCs w:val="21"/>
                      <w:lang w:val="en-US" w:eastAsia="zh-CN"/>
                    </w:rPr>
                    <w:t>1</w:t>
                  </w:r>
                  <w:r>
                    <w:rPr>
                      <w:rFonts w:hint="default" w:ascii="Times New Roman" w:hAnsi="Times New Roman" w:eastAsia="宋体" w:cs="Times New Roman"/>
                      <w:color w:val="auto"/>
                      <w:kern w:val="0"/>
                      <w:sz w:val="21"/>
                      <w:szCs w:val="21"/>
                      <w:lang w:val="en-US" w:eastAsia="zh-CN"/>
                    </w:rPr>
                    <w:t>2-S17</w:t>
                  </w:r>
                </w:p>
              </w:tc>
              <w:tc>
                <w:tcPr>
                  <w:tcW w:w="911" w:type="dxa"/>
                  <w:noWrap w:val="0"/>
                  <w:vAlign w:val="center"/>
                </w:tcPr>
                <w:p w14:paraId="771BA5FF">
                  <w:pPr>
                    <w:autoSpaceDE w:val="0"/>
                    <w:autoSpaceDN w:val="0"/>
                    <w:adjustRightInd w:val="0"/>
                    <w:snapToGrid w:val="0"/>
                    <w:jc w:val="center"/>
                    <w:rPr>
                      <w:rFonts w:hint="eastAsia"/>
                      <w:color w:val="auto"/>
                      <w:kern w:val="0"/>
                      <w:sz w:val="21"/>
                      <w:szCs w:val="21"/>
                      <w:lang w:val="en-US" w:eastAsia="zh-CN"/>
                    </w:rPr>
                  </w:pPr>
                  <w:r>
                    <w:rPr>
                      <w:rFonts w:hint="eastAsia"/>
                      <w:color w:val="auto"/>
                      <w:kern w:val="0"/>
                      <w:sz w:val="21"/>
                      <w:szCs w:val="21"/>
                      <w:lang w:val="en-US" w:eastAsia="zh-CN"/>
                    </w:rPr>
                    <w:t>/</w:t>
                  </w:r>
                </w:p>
              </w:tc>
              <w:tc>
                <w:tcPr>
                  <w:tcW w:w="665" w:type="dxa"/>
                  <w:noWrap w:val="0"/>
                  <w:vAlign w:val="center"/>
                </w:tcPr>
                <w:p w14:paraId="46BD77DC">
                  <w:pPr>
                    <w:autoSpaceDE w:val="0"/>
                    <w:autoSpaceDN w:val="0"/>
                    <w:adjustRightInd w:val="0"/>
                    <w:snapToGrid w:val="0"/>
                    <w:jc w:val="center"/>
                    <w:rPr>
                      <w:rFonts w:hint="eastAsia"/>
                      <w:color w:val="auto"/>
                      <w:kern w:val="0"/>
                      <w:sz w:val="21"/>
                      <w:szCs w:val="21"/>
                      <w:lang w:val="en-US" w:eastAsia="zh-CN"/>
                    </w:rPr>
                  </w:pPr>
                  <w:r>
                    <w:rPr>
                      <w:rFonts w:hint="eastAsia"/>
                      <w:color w:val="auto"/>
                      <w:kern w:val="0"/>
                      <w:sz w:val="21"/>
                      <w:szCs w:val="21"/>
                      <w:lang w:val="en-US" w:eastAsia="zh-CN"/>
                    </w:rPr>
                    <w:t>固态</w:t>
                  </w:r>
                </w:p>
              </w:tc>
              <w:tc>
                <w:tcPr>
                  <w:tcW w:w="788" w:type="dxa"/>
                  <w:noWrap w:val="0"/>
                  <w:vAlign w:val="center"/>
                </w:tcPr>
                <w:p w14:paraId="0A47CBAF">
                  <w:pPr>
                    <w:autoSpaceDE w:val="0"/>
                    <w:autoSpaceDN w:val="0"/>
                    <w:adjustRightInd w:val="0"/>
                    <w:snapToGrid w:val="0"/>
                    <w:jc w:val="center"/>
                    <w:rPr>
                      <w:rFonts w:hint="eastAsia"/>
                      <w:color w:val="auto"/>
                      <w:kern w:val="0"/>
                      <w:sz w:val="21"/>
                      <w:szCs w:val="21"/>
                      <w:lang w:val="en-US" w:eastAsia="zh-CN"/>
                    </w:rPr>
                  </w:pPr>
                  <w:r>
                    <w:rPr>
                      <w:rFonts w:hint="eastAsia"/>
                      <w:color w:val="auto"/>
                      <w:kern w:val="0"/>
                      <w:sz w:val="21"/>
                      <w:szCs w:val="21"/>
                      <w:lang w:val="en-US" w:eastAsia="zh-CN"/>
                    </w:rPr>
                    <w:t>/</w:t>
                  </w:r>
                </w:p>
              </w:tc>
              <w:tc>
                <w:tcPr>
                  <w:tcW w:w="619" w:type="dxa"/>
                  <w:noWrap w:val="0"/>
                  <w:vAlign w:val="center"/>
                </w:tcPr>
                <w:p w14:paraId="776B0BDC">
                  <w:pPr>
                    <w:tabs>
                      <w:tab w:val="left" w:pos="239"/>
                    </w:tabs>
                    <w:autoSpaceDE w:val="0"/>
                    <w:autoSpaceDN w:val="0"/>
                    <w:adjustRightInd w:val="0"/>
                    <w:snapToGrid w:val="0"/>
                    <w:jc w:val="center"/>
                    <w:rPr>
                      <w:rFonts w:hint="default"/>
                      <w:color w:val="auto"/>
                      <w:kern w:val="0"/>
                      <w:sz w:val="21"/>
                      <w:szCs w:val="21"/>
                      <w:lang w:val="en-US" w:eastAsia="zh-CN"/>
                    </w:rPr>
                  </w:pPr>
                  <w:r>
                    <w:rPr>
                      <w:rFonts w:hint="eastAsia"/>
                      <w:color w:val="auto"/>
                      <w:kern w:val="0"/>
                      <w:sz w:val="21"/>
                      <w:szCs w:val="21"/>
                      <w:lang w:val="en-US" w:eastAsia="zh-CN"/>
                    </w:rPr>
                    <w:t>0.133</w:t>
                  </w:r>
                </w:p>
              </w:tc>
              <w:tc>
                <w:tcPr>
                  <w:tcW w:w="935" w:type="dxa"/>
                  <w:vMerge w:val="restart"/>
                  <w:noWrap w:val="0"/>
                  <w:vAlign w:val="center"/>
                </w:tcPr>
                <w:p w14:paraId="60CE698A">
                  <w:pPr>
                    <w:autoSpaceDE w:val="0"/>
                    <w:autoSpaceDN w:val="0"/>
                    <w:adjustRightInd w:val="0"/>
                    <w:snapToGrid w:val="0"/>
                    <w:jc w:val="center"/>
                    <w:rPr>
                      <w:rFonts w:hint="eastAsia"/>
                      <w:color w:val="auto"/>
                      <w:kern w:val="0"/>
                      <w:sz w:val="21"/>
                      <w:szCs w:val="21"/>
                      <w:lang w:val="en-US" w:eastAsia="zh-CN"/>
                    </w:rPr>
                  </w:pPr>
                  <w:r>
                    <w:rPr>
                      <w:rFonts w:hint="default" w:ascii="Times New Roman" w:hAnsi="Times New Roman" w:eastAsia="宋体" w:cs="Times New Roman"/>
                      <w:color w:val="auto"/>
                      <w:kern w:val="0"/>
                      <w:sz w:val="21"/>
                      <w:szCs w:val="21"/>
                      <w:lang w:eastAsia="en-US"/>
                    </w:rPr>
                    <w:t>外售综合利用</w:t>
                  </w:r>
                </w:p>
              </w:tc>
            </w:tr>
            <w:tr w14:paraId="6A1E2991">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794" w:hRule="exact"/>
                <w:jc w:val="center"/>
              </w:trPr>
              <w:tc>
                <w:tcPr>
                  <w:tcW w:w="388" w:type="dxa"/>
                  <w:noWrap w:val="0"/>
                  <w:vAlign w:val="center"/>
                </w:tcPr>
                <w:p w14:paraId="3AE99B61">
                  <w:pPr>
                    <w:autoSpaceDE w:val="0"/>
                    <w:autoSpaceDN w:val="0"/>
                    <w:adjustRightInd w:val="0"/>
                    <w:snapToGrid w:val="0"/>
                    <w:jc w:val="center"/>
                    <w:rPr>
                      <w:rFonts w:hint="default"/>
                      <w:color w:val="auto"/>
                      <w:kern w:val="0"/>
                      <w:sz w:val="21"/>
                      <w:szCs w:val="21"/>
                      <w:lang w:val="en-US" w:eastAsia="zh-CN"/>
                    </w:rPr>
                  </w:pPr>
                  <w:r>
                    <w:rPr>
                      <w:rFonts w:hint="eastAsia"/>
                      <w:color w:val="auto"/>
                      <w:kern w:val="0"/>
                      <w:sz w:val="21"/>
                      <w:szCs w:val="21"/>
                      <w:lang w:val="en-US" w:eastAsia="zh-CN"/>
                    </w:rPr>
                    <w:t>4</w:t>
                  </w:r>
                </w:p>
              </w:tc>
              <w:tc>
                <w:tcPr>
                  <w:tcW w:w="1006" w:type="dxa"/>
                  <w:noWrap w:val="0"/>
                  <w:vAlign w:val="center"/>
                </w:tcPr>
                <w:p w14:paraId="4EC12C2A">
                  <w:pPr>
                    <w:autoSpaceDE w:val="0"/>
                    <w:autoSpaceDN w:val="0"/>
                    <w:adjustRightInd w:val="0"/>
                    <w:snapToGrid w:val="0"/>
                    <w:jc w:val="center"/>
                    <w:rPr>
                      <w:rFonts w:hint="default" w:ascii="Times New Roman" w:hAnsi="Times New Roman" w:eastAsia="宋体" w:cs="Times New Roman"/>
                      <w:color w:val="auto"/>
                      <w:kern w:val="0"/>
                      <w:sz w:val="21"/>
                      <w:szCs w:val="21"/>
                      <w:lang w:val="en-US" w:eastAsia="zh-CN"/>
                    </w:rPr>
                  </w:pPr>
                  <w:r>
                    <w:rPr>
                      <w:rFonts w:hint="eastAsia" w:cs="Times New Roman"/>
                      <w:color w:val="auto"/>
                      <w:kern w:val="0"/>
                      <w:sz w:val="21"/>
                      <w:szCs w:val="21"/>
                      <w:lang w:val="en-US" w:eastAsia="zh-CN"/>
                    </w:rPr>
                    <w:t>废浆料</w:t>
                  </w:r>
                </w:p>
              </w:tc>
              <w:tc>
                <w:tcPr>
                  <w:tcW w:w="886" w:type="dxa"/>
                  <w:vMerge w:val="continue"/>
                  <w:noWrap w:val="0"/>
                  <w:vAlign w:val="center"/>
                </w:tcPr>
                <w:p w14:paraId="59B39F87">
                  <w:pPr>
                    <w:autoSpaceDE w:val="0"/>
                    <w:autoSpaceDN w:val="0"/>
                    <w:adjustRightInd w:val="0"/>
                    <w:snapToGrid w:val="0"/>
                    <w:jc w:val="center"/>
                    <w:rPr>
                      <w:color w:val="auto"/>
                      <w:kern w:val="0"/>
                      <w:sz w:val="21"/>
                      <w:szCs w:val="21"/>
                    </w:rPr>
                  </w:pPr>
                </w:p>
              </w:tc>
              <w:tc>
                <w:tcPr>
                  <w:tcW w:w="1837" w:type="dxa"/>
                  <w:noWrap w:val="0"/>
                  <w:vAlign w:val="center"/>
                </w:tcPr>
                <w:p w14:paraId="47F91344">
                  <w:pPr>
                    <w:autoSpaceDE w:val="0"/>
                    <w:autoSpaceDN w:val="0"/>
                    <w:adjustRightInd w:val="0"/>
                    <w:snapToGrid w:val="0"/>
                    <w:jc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SW17</w:t>
                  </w:r>
                  <w:r>
                    <w:rPr>
                      <w:rFonts w:hint="eastAsia" w:ascii="Times New Roman" w:hAnsi="Times New Roman" w:eastAsia="宋体" w:cs="Times New Roman"/>
                      <w:color w:val="auto"/>
                      <w:kern w:val="0"/>
                      <w:sz w:val="21"/>
                      <w:szCs w:val="21"/>
                      <w:lang w:val="en-US" w:eastAsia="zh-CN"/>
                    </w:rPr>
                    <w:t xml:space="preserve"> </w:t>
                  </w:r>
                  <w:r>
                    <w:rPr>
                      <w:rFonts w:hint="default" w:ascii="Times New Roman" w:hAnsi="Times New Roman" w:eastAsia="宋体" w:cs="Times New Roman"/>
                      <w:color w:val="auto"/>
                      <w:kern w:val="0"/>
                      <w:sz w:val="21"/>
                      <w:szCs w:val="21"/>
                      <w:lang w:val="en-US" w:eastAsia="zh-CN"/>
                    </w:rPr>
                    <w:t>900-0</w:t>
                  </w:r>
                  <w:r>
                    <w:rPr>
                      <w:rFonts w:hint="eastAsia" w:ascii="Times New Roman" w:hAnsi="Times New Roman" w:eastAsia="宋体" w:cs="Times New Roman"/>
                      <w:color w:val="auto"/>
                      <w:kern w:val="0"/>
                      <w:sz w:val="21"/>
                      <w:szCs w:val="21"/>
                      <w:lang w:val="en-US" w:eastAsia="zh-CN"/>
                    </w:rPr>
                    <w:t>1</w:t>
                  </w:r>
                  <w:r>
                    <w:rPr>
                      <w:rFonts w:hint="default" w:ascii="Times New Roman" w:hAnsi="Times New Roman" w:eastAsia="宋体" w:cs="Times New Roman"/>
                      <w:color w:val="auto"/>
                      <w:kern w:val="0"/>
                      <w:sz w:val="21"/>
                      <w:szCs w:val="21"/>
                      <w:lang w:val="en-US" w:eastAsia="zh-CN"/>
                    </w:rPr>
                    <w:t>2-S17</w:t>
                  </w:r>
                </w:p>
              </w:tc>
              <w:tc>
                <w:tcPr>
                  <w:tcW w:w="911" w:type="dxa"/>
                  <w:noWrap w:val="0"/>
                  <w:vAlign w:val="center"/>
                </w:tcPr>
                <w:p w14:paraId="17F31219">
                  <w:pPr>
                    <w:autoSpaceDE w:val="0"/>
                    <w:autoSpaceDN w:val="0"/>
                    <w:adjustRightInd w:val="0"/>
                    <w:snapToGrid w:val="0"/>
                    <w:jc w:val="center"/>
                    <w:rPr>
                      <w:rFonts w:hint="eastAsia"/>
                      <w:color w:val="auto"/>
                      <w:kern w:val="0"/>
                      <w:sz w:val="21"/>
                      <w:szCs w:val="21"/>
                      <w:lang w:val="en-US" w:eastAsia="zh-CN"/>
                    </w:rPr>
                  </w:pPr>
                  <w:r>
                    <w:rPr>
                      <w:rFonts w:hint="eastAsia"/>
                      <w:color w:val="auto"/>
                      <w:kern w:val="0"/>
                      <w:sz w:val="21"/>
                      <w:szCs w:val="21"/>
                      <w:lang w:val="en-US" w:eastAsia="zh-CN"/>
                    </w:rPr>
                    <w:t>/</w:t>
                  </w:r>
                </w:p>
              </w:tc>
              <w:tc>
                <w:tcPr>
                  <w:tcW w:w="665" w:type="dxa"/>
                  <w:noWrap w:val="0"/>
                  <w:vAlign w:val="center"/>
                </w:tcPr>
                <w:p w14:paraId="105FE948">
                  <w:pPr>
                    <w:autoSpaceDE w:val="0"/>
                    <w:autoSpaceDN w:val="0"/>
                    <w:adjustRightInd w:val="0"/>
                    <w:snapToGrid w:val="0"/>
                    <w:jc w:val="center"/>
                    <w:rPr>
                      <w:rFonts w:hint="default"/>
                      <w:color w:val="auto"/>
                      <w:kern w:val="0"/>
                      <w:sz w:val="21"/>
                      <w:szCs w:val="21"/>
                      <w:lang w:val="en-US" w:eastAsia="zh-CN"/>
                    </w:rPr>
                  </w:pPr>
                  <w:r>
                    <w:rPr>
                      <w:rFonts w:hint="eastAsia"/>
                      <w:color w:val="auto"/>
                      <w:kern w:val="0"/>
                      <w:sz w:val="21"/>
                      <w:szCs w:val="21"/>
                      <w:lang w:val="en-US" w:eastAsia="zh-CN"/>
                    </w:rPr>
                    <w:t>液态</w:t>
                  </w:r>
                </w:p>
              </w:tc>
              <w:tc>
                <w:tcPr>
                  <w:tcW w:w="788" w:type="dxa"/>
                  <w:noWrap w:val="0"/>
                  <w:vAlign w:val="center"/>
                </w:tcPr>
                <w:p w14:paraId="1F3E3E54">
                  <w:pPr>
                    <w:autoSpaceDE w:val="0"/>
                    <w:autoSpaceDN w:val="0"/>
                    <w:adjustRightInd w:val="0"/>
                    <w:snapToGrid w:val="0"/>
                    <w:jc w:val="center"/>
                    <w:rPr>
                      <w:rFonts w:hint="default"/>
                      <w:color w:val="auto"/>
                      <w:kern w:val="0"/>
                      <w:sz w:val="21"/>
                      <w:szCs w:val="21"/>
                      <w:lang w:val="en-US" w:eastAsia="zh-CN"/>
                    </w:rPr>
                  </w:pPr>
                  <w:r>
                    <w:rPr>
                      <w:rFonts w:hint="eastAsia"/>
                      <w:color w:val="auto"/>
                      <w:kern w:val="0"/>
                      <w:sz w:val="21"/>
                      <w:szCs w:val="21"/>
                      <w:lang w:val="en-US" w:eastAsia="zh-CN"/>
                    </w:rPr>
                    <w:t>/</w:t>
                  </w:r>
                </w:p>
              </w:tc>
              <w:tc>
                <w:tcPr>
                  <w:tcW w:w="619" w:type="dxa"/>
                  <w:noWrap w:val="0"/>
                  <w:vAlign w:val="center"/>
                </w:tcPr>
                <w:p w14:paraId="020F567F">
                  <w:pPr>
                    <w:tabs>
                      <w:tab w:val="left" w:pos="239"/>
                    </w:tabs>
                    <w:autoSpaceDE w:val="0"/>
                    <w:autoSpaceDN w:val="0"/>
                    <w:adjustRightInd w:val="0"/>
                    <w:snapToGrid w:val="0"/>
                    <w:jc w:val="center"/>
                    <w:rPr>
                      <w:rFonts w:hint="default"/>
                      <w:color w:val="auto"/>
                      <w:kern w:val="0"/>
                      <w:sz w:val="21"/>
                      <w:szCs w:val="21"/>
                      <w:lang w:val="en-US" w:eastAsia="zh-CN"/>
                    </w:rPr>
                  </w:pPr>
                  <w:r>
                    <w:rPr>
                      <w:rFonts w:hint="eastAsia"/>
                      <w:color w:val="auto"/>
                      <w:kern w:val="0"/>
                      <w:sz w:val="21"/>
                      <w:szCs w:val="21"/>
                      <w:lang w:val="en-US" w:eastAsia="zh-CN"/>
                    </w:rPr>
                    <w:t>0.2</w:t>
                  </w:r>
                </w:p>
              </w:tc>
              <w:tc>
                <w:tcPr>
                  <w:tcW w:w="935" w:type="dxa"/>
                  <w:vMerge w:val="continue"/>
                  <w:noWrap w:val="0"/>
                  <w:vAlign w:val="center"/>
                </w:tcPr>
                <w:p w14:paraId="25A3D90F">
                  <w:pPr>
                    <w:autoSpaceDE w:val="0"/>
                    <w:autoSpaceDN w:val="0"/>
                    <w:adjustRightInd w:val="0"/>
                    <w:snapToGrid w:val="0"/>
                    <w:jc w:val="center"/>
                    <w:rPr>
                      <w:rFonts w:hint="default" w:ascii="Times New Roman" w:hAnsi="Times New Roman" w:eastAsia="宋体" w:cs="Times New Roman"/>
                      <w:color w:val="auto"/>
                      <w:kern w:val="0"/>
                      <w:sz w:val="21"/>
                      <w:szCs w:val="21"/>
                      <w:lang w:eastAsia="en-US"/>
                    </w:rPr>
                  </w:pPr>
                </w:p>
              </w:tc>
            </w:tr>
            <w:tr w14:paraId="4B4275BA">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770" w:hRule="exact"/>
                <w:jc w:val="center"/>
              </w:trPr>
              <w:tc>
                <w:tcPr>
                  <w:tcW w:w="388" w:type="dxa"/>
                  <w:shd w:val="clear" w:color="auto" w:fill="auto"/>
                  <w:noWrap w:val="0"/>
                  <w:vAlign w:val="center"/>
                </w:tcPr>
                <w:p w14:paraId="50CB0914">
                  <w:pPr>
                    <w:autoSpaceDE w:val="0"/>
                    <w:autoSpaceDN w:val="0"/>
                    <w:adjustRightInd w:val="0"/>
                    <w:snapToGrid w:val="0"/>
                    <w:jc w:val="center"/>
                    <w:rPr>
                      <w:rFonts w:hint="default"/>
                      <w:color w:val="auto"/>
                      <w:kern w:val="0"/>
                      <w:sz w:val="21"/>
                      <w:szCs w:val="21"/>
                      <w:lang w:val="en-US" w:eastAsia="zh-CN"/>
                    </w:rPr>
                  </w:pPr>
                  <w:r>
                    <w:rPr>
                      <w:rFonts w:hint="eastAsia"/>
                      <w:color w:val="auto"/>
                      <w:kern w:val="0"/>
                      <w:sz w:val="21"/>
                      <w:szCs w:val="21"/>
                      <w:lang w:val="en-US" w:eastAsia="zh-CN"/>
                    </w:rPr>
                    <w:t>5</w:t>
                  </w:r>
                </w:p>
              </w:tc>
              <w:tc>
                <w:tcPr>
                  <w:tcW w:w="1006" w:type="dxa"/>
                  <w:shd w:val="clear" w:color="auto" w:fill="auto"/>
                  <w:noWrap w:val="0"/>
                  <w:vAlign w:val="center"/>
                </w:tcPr>
                <w:p w14:paraId="699BF54F">
                  <w:pPr>
                    <w:autoSpaceDE w:val="0"/>
                    <w:autoSpaceDN w:val="0"/>
                    <w:adjustRightInd w:val="0"/>
                    <w:snapToGrid w:val="0"/>
                    <w:jc w:val="center"/>
                    <w:rPr>
                      <w:rFonts w:hint="default" w:eastAsia="宋体"/>
                      <w:color w:val="auto"/>
                      <w:kern w:val="0"/>
                      <w:sz w:val="21"/>
                      <w:szCs w:val="21"/>
                      <w:lang w:val="en-US" w:eastAsia="zh-CN"/>
                    </w:rPr>
                  </w:pPr>
                  <w:r>
                    <w:rPr>
                      <w:rFonts w:hint="eastAsia"/>
                      <w:color w:val="auto"/>
                      <w:kern w:val="0"/>
                      <w:sz w:val="21"/>
                      <w:szCs w:val="21"/>
                      <w:lang w:val="en-US" w:eastAsia="zh-CN"/>
                    </w:rPr>
                    <w:t>废包装材料</w:t>
                  </w:r>
                </w:p>
              </w:tc>
              <w:tc>
                <w:tcPr>
                  <w:tcW w:w="886" w:type="dxa"/>
                  <w:vMerge w:val="continue"/>
                  <w:shd w:val="clear" w:color="auto" w:fill="auto"/>
                  <w:noWrap w:val="0"/>
                  <w:vAlign w:val="center"/>
                </w:tcPr>
                <w:p w14:paraId="143F28BC">
                  <w:pPr>
                    <w:autoSpaceDE w:val="0"/>
                    <w:autoSpaceDN w:val="0"/>
                    <w:adjustRightInd w:val="0"/>
                    <w:snapToGrid w:val="0"/>
                    <w:jc w:val="center"/>
                    <w:rPr>
                      <w:color w:val="auto"/>
                      <w:kern w:val="0"/>
                      <w:sz w:val="21"/>
                      <w:szCs w:val="21"/>
                    </w:rPr>
                  </w:pPr>
                </w:p>
              </w:tc>
              <w:tc>
                <w:tcPr>
                  <w:tcW w:w="1837" w:type="dxa"/>
                  <w:shd w:val="clear" w:color="auto" w:fill="auto"/>
                  <w:noWrap w:val="0"/>
                  <w:vAlign w:val="center"/>
                </w:tcPr>
                <w:p w14:paraId="7A0BBDC9">
                  <w:pPr>
                    <w:autoSpaceDE w:val="0"/>
                    <w:autoSpaceDN w:val="0"/>
                    <w:adjustRightInd w:val="0"/>
                    <w:snapToGrid w:val="0"/>
                    <w:jc w:val="center"/>
                    <w:rPr>
                      <w:rFonts w:hint="eastAsia"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SW17</w:t>
                  </w:r>
                  <w:r>
                    <w:rPr>
                      <w:rFonts w:hint="eastAsia" w:ascii="Times New Roman" w:hAnsi="Times New Roman" w:eastAsia="宋体" w:cs="Times New Roman"/>
                      <w:color w:val="auto"/>
                      <w:kern w:val="0"/>
                      <w:sz w:val="21"/>
                      <w:szCs w:val="21"/>
                      <w:lang w:val="en-US" w:eastAsia="zh-CN"/>
                    </w:rPr>
                    <w:t xml:space="preserve"> </w:t>
                  </w:r>
                  <w:r>
                    <w:rPr>
                      <w:rFonts w:hint="default" w:ascii="Times New Roman" w:hAnsi="Times New Roman" w:eastAsia="宋体" w:cs="Times New Roman"/>
                      <w:color w:val="auto"/>
                      <w:kern w:val="0"/>
                      <w:sz w:val="21"/>
                      <w:szCs w:val="21"/>
                      <w:lang w:val="en-US" w:eastAsia="zh-CN"/>
                    </w:rPr>
                    <w:t>900-0</w:t>
                  </w:r>
                  <w:r>
                    <w:rPr>
                      <w:rFonts w:hint="eastAsia" w:ascii="Times New Roman" w:hAnsi="Times New Roman" w:eastAsia="宋体" w:cs="Times New Roman"/>
                      <w:color w:val="auto"/>
                      <w:kern w:val="0"/>
                      <w:sz w:val="21"/>
                      <w:szCs w:val="21"/>
                      <w:lang w:val="en-US" w:eastAsia="zh-CN"/>
                    </w:rPr>
                    <w:t>1</w:t>
                  </w:r>
                  <w:r>
                    <w:rPr>
                      <w:rFonts w:hint="default" w:ascii="Times New Roman" w:hAnsi="Times New Roman" w:eastAsia="宋体" w:cs="Times New Roman"/>
                      <w:color w:val="auto"/>
                      <w:kern w:val="0"/>
                      <w:sz w:val="21"/>
                      <w:szCs w:val="21"/>
                      <w:lang w:val="en-US" w:eastAsia="zh-CN"/>
                    </w:rPr>
                    <w:t>2-S17</w:t>
                  </w:r>
                </w:p>
              </w:tc>
              <w:tc>
                <w:tcPr>
                  <w:tcW w:w="911" w:type="dxa"/>
                  <w:shd w:val="clear" w:color="auto" w:fill="auto"/>
                  <w:noWrap w:val="0"/>
                  <w:vAlign w:val="center"/>
                </w:tcPr>
                <w:p w14:paraId="14E4F47F">
                  <w:pPr>
                    <w:autoSpaceDE w:val="0"/>
                    <w:autoSpaceDN w:val="0"/>
                    <w:adjustRightInd w:val="0"/>
                    <w:snapToGrid w:val="0"/>
                    <w:jc w:val="center"/>
                    <w:rPr>
                      <w:rFonts w:hint="default" w:eastAsia="宋体"/>
                      <w:color w:val="auto"/>
                      <w:kern w:val="0"/>
                      <w:sz w:val="21"/>
                      <w:szCs w:val="21"/>
                      <w:lang w:val="en-US" w:eastAsia="zh-CN"/>
                    </w:rPr>
                  </w:pPr>
                  <w:r>
                    <w:rPr>
                      <w:rFonts w:hint="eastAsia"/>
                      <w:color w:val="auto"/>
                      <w:kern w:val="0"/>
                      <w:sz w:val="21"/>
                      <w:szCs w:val="21"/>
                      <w:lang w:val="en-US" w:eastAsia="zh-CN"/>
                    </w:rPr>
                    <w:t>/</w:t>
                  </w:r>
                </w:p>
              </w:tc>
              <w:tc>
                <w:tcPr>
                  <w:tcW w:w="665" w:type="dxa"/>
                  <w:shd w:val="clear" w:color="auto" w:fill="auto"/>
                  <w:noWrap w:val="0"/>
                  <w:vAlign w:val="center"/>
                </w:tcPr>
                <w:p w14:paraId="77BE0DA0">
                  <w:pPr>
                    <w:autoSpaceDE w:val="0"/>
                    <w:autoSpaceDN w:val="0"/>
                    <w:adjustRightInd w:val="0"/>
                    <w:snapToGrid w:val="0"/>
                    <w:jc w:val="center"/>
                    <w:rPr>
                      <w:rFonts w:hint="default" w:eastAsia="宋体"/>
                      <w:color w:val="auto"/>
                      <w:kern w:val="0"/>
                      <w:sz w:val="21"/>
                      <w:szCs w:val="21"/>
                      <w:lang w:val="en-US" w:eastAsia="zh-CN"/>
                    </w:rPr>
                  </w:pPr>
                  <w:r>
                    <w:rPr>
                      <w:rFonts w:hint="eastAsia"/>
                      <w:color w:val="auto"/>
                      <w:kern w:val="0"/>
                      <w:sz w:val="21"/>
                      <w:szCs w:val="21"/>
                      <w:lang w:val="en-US" w:eastAsia="zh-CN"/>
                    </w:rPr>
                    <w:t>固态</w:t>
                  </w:r>
                </w:p>
              </w:tc>
              <w:tc>
                <w:tcPr>
                  <w:tcW w:w="788" w:type="dxa"/>
                  <w:shd w:val="clear" w:color="auto" w:fill="auto"/>
                  <w:noWrap w:val="0"/>
                  <w:vAlign w:val="center"/>
                </w:tcPr>
                <w:p w14:paraId="20EC9DD2">
                  <w:pPr>
                    <w:autoSpaceDE w:val="0"/>
                    <w:autoSpaceDN w:val="0"/>
                    <w:adjustRightInd w:val="0"/>
                    <w:snapToGrid w:val="0"/>
                    <w:jc w:val="center"/>
                    <w:rPr>
                      <w:rFonts w:hint="default" w:eastAsia="宋体"/>
                      <w:color w:val="auto"/>
                      <w:kern w:val="0"/>
                      <w:sz w:val="21"/>
                      <w:szCs w:val="21"/>
                      <w:lang w:val="en-US" w:eastAsia="zh-CN"/>
                    </w:rPr>
                  </w:pPr>
                  <w:r>
                    <w:rPr>
                      <w:rFonts w:hint="eastAsia"/>
                      <w:color w:val="auto"/>
                      <w:kern w:val="0"/>
                      <w:sz w:val="21"/>
                      <w:szCs w:val="21"/>
                      <w:lang w:val="en-US" w:eastAsia="zh-CN"/>
                    </w:rPr>
                    <w:t>/</w:t>
                  </w:r>
                </w:p>
              </w:tc>
              <w:tc>
                <w:tcPr>
                  <w:tcW w:w="619" w:type="dxa"/>
                  <w:shd w:val="clear" w:color="auto" w:fill="auto"/>
                  <w:noWrap w:val="0"/>
                  <w:vAlign w:val="center"/>
                </w:tcPr>
                <w:p w14:paraId="2CA263E0">
                  <w:pPr>
                    <w:tabs>
                      <w:tab w:val="left" w:pos="239"/>
                    </w:tabs>
                    <w:autoSpaceDE w:val="0"/>
                    <w:autoSpaceDN w:val="0"/>
                    <w:adjustRightInd w:val="0"/>
                    <w:snapToGrid w:val="0"/>
                    <w:jc w:val="center"/>
                    <w:rPr>
                      <w:rFonts w:hint="default"/>
                      <w:color w:val="auto"/>
                      <w:kern w:val="0"/>
                      <w:sz w:val="21"/>
                      <w:szCs w:val="21"/>
                      <w:lang w:val="en-US" w:eastAsia="zh-CN"/>
                    </w:rPr>
                  </w:pPr>
                  <w:r>
                    <w:rPr>
                      <w:rFonts w:hint="eastAsia"/>
                      <w:color w:val="auto"/>
                      <w:kern w:val="0"/>
                      <w:sz w:val="21"/>
                      <w:szCs w:val="21"/>
                      <w:lang w:val="en-US" w:eastAsia="zh-CN"/>
                    </w:rPr>
                    <w:t>0.2</w:t>
                  </w:r>
                </w:p>
              </w:tc>
              <w:tc>
                <w:tcPr>
                  <w:tcW w:w="935" w:type="dxa"/>
                  <w:noWrap w:val="0"/>
                  <w:vAlign w:val="center"/>
                </w:tcPr>
                <w:p w14:paraId="1BC3F01E">
                  <w:pPr>
                    <w:autoSpaceDE w:val="0"/>
                    <w:autoSpaceDN w:val="0"/>
                    <w:adjustRightInd w:val="0"/>
                    <w:snapToGrid w:val="0"/>
                    <w:jc w:val="center"/>
                    <w:rPr>
                      <w:rFonts w:hint="eastAsia"/>
                      <w:color w:val="auto"/>
                      <w:kern w:val="0"/>
                      <w:sz w:val="21"/>
                      <w:szCs w:val="21"/>
                      <w:lang w:val="en-US" w:eastAsia="zh-CN"/>
                    </w:rPr>
                  </w:pPr>
                  <w:r>
                    <w:rPr>
                      <w:rFonts w:hint="default" w:ascii="Times New Roman" w:hAnsi="Times New Roman" w:eastAsia="宋体" w:cs="Times New Roman"/>
                      <w:color w:val="auto"/>
                      <w:kern w:val="0"/>
                      <w:sz w:val="21"/>
                      <w:szCs w:val="21"/>
                      <w:lang w:eastAsia="en-US"/>
                    </w:rPr>
                    <w:t>外售综合利用</w:t>
                  </w:r>
                </w:p>
              </w:tc>
            </w:tr>
            <w:tr w14:paraId="3D5D17FF">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770" w:hRule="exact"/>
                <w:jc w:val="center"/>
              </w:trPr>
              <w:tc>
                <w:tcPr>
                  <w:tcW w:w="388" w:type="dxa"/>
                  <w:shd w:val="clear" w:color="auto" w:fill="auto"/>
                  <w:noWrap w:val="0"/>
                  <w:vAlign w:val="center"/>
                </w:tcPr>
                <w:p w14:paraId="29DD0CF6">
                  <w:pPr>
                    <w:autoSpaceDE w:val="0"/>
                    <w:autoSpaceDN w:val="0"/>
                    <w:adjustRightInd w:val="0"/>
                    <w:snapToGrid w:val="0"/>
                    <w:jc w:val="center"/>
                    <w:rPr>
                      <w:rFonts w:hint="default"/>
                      <w:color w:val="auto"/>
                      <w:kern w:val="0"/>
                      <w:sz w:val="21"/>
                      <w:szCs w:val="21"/>
                      <w:lang w:val="en-US" w:eastAsia="zh-CN"/>
                    </w:rPr>
                  </w:pPr>
                  <w:r>
                    <w:rPr>
                      <w:rFonts w:hint="eastAsia"/>
                      <w:color w:val="auto"/>
                      <w:kern w:val="0"/>
                      <w:sz w:val="21"/>
                      <w:szCs w:val="21"/>
                      <w:lang w:val="en-US" w:eastAsia="zh-CN"/>
                    </w:rPr>
                    <w:t>6</w:t>
                  </w:r>
                </w:p>
              </w:tc>
              <w:tc>
                <w:tcPr>
                  <w:tcW w:w="1006" w:type="dxa"/>
                  <w:shd w:val="clear" w:color="auto" w:fill="auto"/>
                  <w:noWrap w:val="0"/>
                  <w:vAlign w:val="center"/>
                </w:tcPr>
                <w:p w14:paraId="003B24F0">
                  <w:pPr>
                    <w:autoSpaceDE w:val="0"/>
                    <w:autoSpaceDN w:val="0"/>
                    <w:adjustRightInd w:val="0"/>
                    <w:snapToGrid w:val="0"/>
                    <w:jc w:val="center"/>
                    <w:rPr>
                      <w:rFonts w:hint="default" w:eastAsia="宋体"/>
                      <w:color w:val="auto"/>
                      <w:kern w:val="0"/>
                      <w:sz w:val="21"/>
                      <w:szCs w:val="21"/>
                      <w:lang w:val="en-US" w:eastAsia="zh-CN"/>
                    </w:rPr>
                  </w:pPr>
                  <w:r>
                    <w:rPr>
                      <w:rFonts w:hint="eastAsia"/>
                      <w:color w:val="auto"/>
                      <w:kern w:val="0"/>
                      <w:sz w:val="21"/>
                      <w:szCs w:val="21"/>
                      <w:lang w:val="en-US" w:eastAsia="zh-CN"/>
                    </w:rPr>
                    <w:t>NMP回收液</w:t>
                  </w:r>
                </w:p>
              </w:tc>
              <w:tc>
                <w:tcPr>
                  <w:tcW w:w="886" w:type="dxa"/>
                  <w:vMerge w:val="continue"/>
                  <w:shd w:val="clear" w:color="auto" w:fill="auto"/>
                  <w:noWrap w:val="0"/>
                  <w:vAlign w:val="center"/>
                </w:tcPr>
                <w:p w14:paraId="488F46B3">
                  <w:pPr>
                    <w:autoSpaceDE w:val="0"/>
                    <w:autoSpaceDN w:val="0"/>
                    <w:adjustRightInd w:val="0"/>
                    <w:snapToGrid w:val="0"/>
                    <w:jc w:val="center"/>
                    <w:rPr>
                      <w:color w:val="auto"/>
                      <w:kern w:val="0"/>
                      <w:sz w:val="21"/>
                      <w:szCs w:val="21"/>
                    </w:rPr>
                  </w:pPr>
                </w:p>
              </w:tc>
              <w:tc>
                <w:tcPr>
                  <w:tcW w:w="1837" w:type="dxa"/>
                  <w:shd w:val="clear" w:color="auto" w:fill="auto"/>
                  <w:noWrap w:val="0"/>
                  <w:vAlign w:val="center"/>
                </w:tcPr>
                <w:p w14:paraId="23CF269C">
                  <w:pPr>
                    <w:autoSpaceDE w:val="0"/>
                    <w:autoSpaceDN w:val="0"/>
                    <w:adjustRightInd w:val="0"/>
                    <w:snapToGrid w:val="0"/>
                    <w:jc w:val="center"/>
                    <w:rPr>
                      <w:rFonts w:hint="eastAsia"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SW17</w:t>
                  </w:r>
                  <w:r>
                    <w:rPr>
                      <w:rFonts w:hint="eastAsia" w:ascii="Times New Roman" w:hAnsi="Times New Roman" w:eastAsia="宋体" w:cs="Times New Roman"/>
                      <w:color w:val="auto"/>
                      <w:kern w:val="0"/>
                      <w:sz w:val="21"/>
                      <w:szCs w:val="21"/>
                      <w:lang w:val="en-US" w:eastAsia="zh-CN"/>
                    </w:rPr>
                    <w:t xml:space="preserve"> </w:t>
                  </w:r>
                  <w:r>
                    <w:rPr>
                      <w:rFonts w:hint="default" w:ascii="Times New Roman" w:hAnsi="Times New Roman" w:eastAsia="宋体" w:cs="Times New Roman"/>
                      <w:color w:val="auto"/>
                      <w:kern w:val="0"/>
                      <w:sz w:val="21"/>
                      <w:szCs w:val="21"/>
                      <w:lang w:val="en-US" w:eastAsia="zh-CN"/>
                    </w:rPr>
                    <w:t>900-0</w:t>
                  </w:r>
                  <w:r>
                    <w:rPr>
                      <w:rFonts w:hint="eastAsia" w:ascii="Times New Roman" w:hAnsi="Times New Roman" w:eastAsia="宋体" w:cs="Times New Roman"/>
                      <w:color w:val="auto"/>
                      <w:kern w:val="0"/>
                      <w:sz w:val="21"/>
                      <w:szCs w:val="21"/>
                      <w:lang w:val="en-US" w:eastAsia="zh-CN"/>
                    </w:rPr>
                    <w:t>1</w:t>
                  </w:r>
                  <w:r>
                    <w:rPr>
                      <w:rFonts w:hint="default" w:ascii="Times New Roman" w:hAnsi="Times New Roman" w:eastAsia="宋体" w:cs="Times New Roman"/>
                      <w:color w:val="auto"/>
                      <w:kern w:val="0"/>
                      <w:sz w:val="21"/>
                      <w:szCs w:val="21"/>
                      <w:lang w:val="en-US" w:eastAsia="zh-CN"/>
                    </w:rPr>
                    <w:t>2-S17</w:t>
                  </w:r>
                </w:p>
              </w:tc>
              <w:tc>
                <w:tcPr>
                  <w:tcW w:w="911" w:type="dxa"/>
                  <w:shd w:val="clear" w:color="auto" w:fill="auto"/>
                  <w:noWrap w:val="0"/>
                  <w:vAlign w:val="center"/>
                </w:tcPr>
                <w:p w14:paraId="00AA6DA8">
                  <w:pPr>
                    <w:autoSpaceDE w:val="0"/>
                    <w:autoSpaceDN w:val="0"/>
                    <w:adjustRightInd w:val="0"/>
                    <w:snapToGrid w:val="0"/>
                    <w:jc w:val="center"/>
                    <w:rPr>
                      <w:color w:val="auto"/>
                      <w:kern w:val="0"/>
                      <w:sz w:val="21"/>
                      <w:szCs w:val="21"/>
                    </w:rPr>
                  </w:pPr>
                  <w:r>
                    <w:rPr>
                      <w:rFonts w:hint="eastAsia"/>
                      <w:color w:val="auto"/>
                      <w:kern w:val="0"/>
                      <w:sz w:val="21"/>
                      <w:szCs w:val="21"/>
                      <w:lang w:val="en-US" w:eastAsia="zh-CN"/>
                    </w:rPr>
                    <w:t>/</w:t>
                  </w:r>
                </w:p>
              </w:tc>
              <w:tc>
                <w:tcPr>
                  <w:tcW w:w="665" w:type="dxa"/>
                  <w:shd w:val="clear" w:color="auto" w:fill="auto"/>
                  <w:noWrap w:val="0"/>
                  <w:vAlign w:val="center"/>
                </w:tcPr>
                <w:p w14:paraId="256938EE">
                  <w:pPr>
                    <w:autoSpaceDE w:val="0"/>
                    <w:autoSpaceDN w:val="0"/>
                    <w:adjustRightInd w:val="0"/>
                    <w:snapToGrid w:val="0"/>
                    <w:jc w:val="center"/>
                    <w:rPr>
                      <w:color w:val="auto"/>
                      <w:kern w:val="0"/>
                      <w:sz w:val="21"/>
                      <w:szCs w:val="21"/>
                    </w:rPr>
                  </w:pPr>
                  <w:r>
                    <w:rPr>
                      <w:rFonts w:hint="eastAsia"/>
                      <w:color w:val="auto"/>
                      <w:kern w:val="0"/>
                      <w:sz w:val="21"/>
                      <w:szCs w:val="21"/>
                      <w:lang w:val="en-US" w:eastAsia="zh-CN"/>
                    </w:rPr>
                    <w:t>液态</w:t>
                  </w:r>
                </w:p>
              </w:tc>
              <w:tc>
                <w:tcPr>
                  <w:tcW w:w="788" w:type="dxa"/>
                  <w:shd w:val="clear" w:color="auto" w:fill="auto"/>
                  <w:noWrap w:val="0"/>
                  <w:vAlign w:val="center"/>
                </w:tcPr>
                <w:p w14:paraId="1268EA07">
                  <w:pPr>
                    <w:autoSpaceDE w:val="0"/>
                    <w:autoSpaceDN w:val="0"/>
                    <w:adjustRightInd w:val="0"/>
                    <w:snapToGrid w:val="0"/>
                    <w:jc w:val="center"/>
                    <w:rPr>
                      <w:rFonts w:hint="eastAsia"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w:t>
                  </w:r>
                </w:p>
              </w:tc>
              <w:tc>
                <w:tcPr>
                  <w:tcW w:w="619" w:type="dxa"/>
                  <w:shd w:val="clear" w:color="auto" w:fill="auto"/>
                  <w:noWrap w:val="0"/>
                  <w:vAlign w:val="center"/>
                </w:tcPr>
                <w:p w14:paraId="08D01BBB">
                  <w:pPr>
                    <w:autoSpaceDE w:val="0"/>
                    <w:autoSpaceDN w:val="0"/>
                    <w:adjustRightInd w:val="0"/>
                    <w:snapToGrid w:val="0"/>
                    <w:jc w:val="center"/>
                    <w:rPr>
                      <w:rFonts w:hint="default" w:ascii="Times New Roman" w:hAnsi="Times New Roman" w:eastAsia="宋体" w:cs="Times New Roman"/>
                      <w:color w:val="auto"/>
                      <w:kern w:val="0"/>
                      <w:sz w:val="21"/>
                      <w:szCs w:val="21"/>
                      <w:lang w:val="en-US" w:eastAsia="zh-CN"/>
                    </w:rPr>
                  </w:pPr>
                  <w:r>
                    <w:rPr>
                      <w:rFonts w:hint="eastAsia" w:cs="Times New Roman"/>
                      <w:color w:val="auto"/>
                      <w:kern w:val="0"/>
                      <w:sz w:val="21"/>
                      <w:szCs w:val="21"/>
                      <w:lang w:val="en-US" w:eastAsia="zh-CN"/>
                    </w:rPr>
                    <w:t>1526.64</w:t>
                  </w:r>
                </w:p>
              </w:tc>
              <w:tc>
                <w:tcPr>
                  <w:tcW w:w="935" w:type="dxa"/>
                  <w:noWrap w:val="0"/>
                  <w:vAlign w:val="center"/>
                </w:tcPr>
                <w:p w14:paraId="1BF3F6DF">
                  <w:pPr>
                    <w:autoSpaceDE w:val="0"/>
                    <w:autoSpaceDN w:val="0"/>
                    <w:adjustRightInd w:val="0"/>
                    <w:snapToGrid w:val="0"/>
                    <w:jc w:val="center"/>
                    <w:rPr>
                      <w:rFonts w:hint="default"/>
                      <w:color w:val="auto"/>
                      <w:kern w:val="0"/>
                      <w:sz w:val="21"/>
                      <w:szCs w:val="21"/>
                      <w:lang w:val="en-US" w:eastAsia="zh-CN"/>
                    </w:rPr>
                  </w:pPr>
                  <w:r>
                    <w:rPr>
                      <w:rFonts w:hint="eastAsia"/>
                      <w:color w:val="auto"/>
                      <w:kern w:val="0"/>
                      <w:sz w:val="21"/>
                      <w:szCs w:val="21"/>
                      <w:lang w:val="en-US" w:eastAsia="zh-CN"/>
                    </w:rPr>
                    <w:t>原料厂家回收</w:t>
                  </w:r>
                </w:p>
              </w:tc>
            </w:tr>
            <w:tr w14:paraId="1EC4B136">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981" w:hRule="exact"/>
                <w:jc w:val="center"/>
              </w:trPr>
              <w:tc>
                <w:tcPr>
                  <w:tcW w:w="388" w:type="dxa"/>
                  <w:noWrap w:val="0"/>
                  <w:vAlign w:val="center"/>
                </w:tcPr>
                <w:p w14:paraId="15E6A074">
                  <w:pPr>
                    <w:autoSpaceDE w:val="0"/>
                    <w:autoSpaceDN w:val="0"/>
                    <w:adjustRightInd w:val="0"/>
                    <w:snapToGrid w:val="0"/>
                    <w:jc w:val="center"/>
                    <w:rPr>
                      <w:rFonts w:hint="default"/>
                      <w:color w:val="auto"/>
                      <w:kern w:val="0"/>
                      <w:sz w:val="21"/>
                      <w:szCs w:val="21"/>
                      <w:lang w:val="en-US" w:eastAsia="zh-CN"/>
                    </w:rPr>
                  </w:pPr>
                  <w:r>
                    <w:rPr>
                      <w:rFonts w:hint="eastAsia"/>
                      <w:color w:val="auto"/>
                      <w:kern w:val="0"/>
                      <w:sz w:val="21"/>
                      <w:szCs w:val="21"/>
                      <w:lang w:val="en-US" w:eastAsia="zh-CN"/>
                    </w:rPr>
                    <w:t>7</w:t>
                  </w:r>
                </w:p>
              </w:tc>
              <w:tc>
                <w:tcPr>
                  <w:tcW w:w="1006" w:type="dxa"/>
                  <w:noWrap w:val="0"/>
                  <w:vAlign w:val="center"/>
                </w:tcPr>
                <w:p w14:paraId="350F5CA6">
                  <w:pPr>
                    <w:autoSpaceDE w:val="0"/>
                    <w:autoSpaceDN w:val="0"/>
                    <w:adjustRightInd w:val="0"/>
                    <w:snapToGrid w:val="0"/>
                    <w:jc w:val="center"/>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废NMP包装桶</w:t>
                  </w:r>
                </w:p>
              </w:tc>
              <w:tc>
                <w:tcPr>
                  <w:tcW w:w="886" w:type="dxa"/>
                  <w:vMerge w:val="continue"/>
                  <w:noWrap w:val="0"/>
                  <w:vAlign w:val="center"/>
                </w:tcPr>
                <w:p w14:paraId="09C5AF83">
                  <w:pPr>
                    <w:autoSpaceDE w:val="0"/>
                    <w:autoSpaceDN w:val="0"/>
                    <w:adjustRightInd w:val="0"/>
                    <w:snapToGrid w:val="0"/>
                    <w:jc w:val="center"/>
                    <w:rPr>
                      <w:color w:val="auto"/>
                      <w:kern w:val="0"/>
                      <w:sz w:val="21"/>
                      <w:szCs w:val="21"/>
                    </w:rPr>
                  </w:pPr>
                </w:p>
              </w:tc>
              <w:tc>
                <w:tcPr>
                  <w:tcW w:w="1837" w:type="dxa"/>
                  <w:noWrap w:val="0"/>
                  <w:vAlign w:val="center"/>
                </w:tcPr>
                <w:p w14:paraId="6FC5A7A9">
                  <w:pPr>
                    <w:autoSpaceDE w:val="0"/>
                    <w:autoSpaceDN w:val="0"/>
                    <w:adjustRightInd w:val="0"/>
                    <w:snapToGrid w:val="0"/>
                    <w:jc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SW17</w:t>
                  </w:r>
                  <w:r>
                    <w:rPr>
                      <w:rFonts w:hint="eastAsia" w:ascii="Times New Roman" w:hAnsi="Times New Roman" w:eastAsia="宋体" w:cs="Times New Roman"/>
                      <w:color w:val="auto"/>
                      <w:kern w:val="0"/>
                      <w:sz w:val="21"/>
                      <w:szCs w:val="21"/>
                      <w:lang w:val="en-US" w:eastAsia="zh-CN"/>
                    </w:rPr>
                    <w:t xml:space="preserve"> 900-099-S17</w:t>
                  </w:r>
                </w:p>
              </w:tc>
              <w:tc>
                <w:tcPr>
                  <w:tcW w:w="911" w:type="dxa"/>
                  <w:noWrap w:val="0"/>
                  <w:vAlign w:val="center"/>
                </w:tcPr>
                <w:p w14:paraId="2F36A2ED">
                  <w:pPr>
                    <w:autoSpaceDE w:val="0"/>
                    <w:autoSpaceDN w:val="0"/>
                    <w:adjustRightInd w:val="0"/>
                    <w:snapToGrid w:val="0"/>
                    <w:jc w:val="center"/>
                    <w:rPr>
                      <w:rFonts w:hint="eastAsia" w:ascii="Times New Roman" w:hAnsi="Times New Roman" w:eastAsia="宋体" w:cs="Times New Roman"/>
                      <w:color w:val="auto"/>
                      <w:kern w:val="0"/>
                      <w:sz w:val="21"/>
                      <w:szCs w:val="21"/>
                      <w:lang w:val="en-US" w:eastAsia="zh-CN"/>
                    </w:rPr>
                  </w:pPr>
                  <w:r>
                    <w:rPr>
                      <w:rFonts w:hint="eastAsia"/>
                      <w:color w:val="auto"/>
                      <w:kern w:val="0"/>
                      <w:sz w:val="21"/>
                      <w:szCs w:val="21"/>
                      <w:lang w:val="en-US" w:eastAsia="zh-CN"/>
                    </w:rPr>
                    <w:t>/</w:t>
                  </w:r>
                </w:p>
              </w:tc>
              <w:tc>
                <w:tcPr>
                  <w:tcW w:w="665" w:type="dxa"/>
                  <w:noWrap w:val="0"/>
                  <w:vAlign w:val="center"/>
                </w:tcPr>
                <w:p w14:paraId="2DB27937">
                  <w:pPr>
                    <w:autoSpaceDE w:val="0"/>
                    <w:autoSpaceDN w:val="0"/>
                    <w:adjustRightInd w:val="0"/>
                    <w:snapToGrid w:val="0"/>
                    <w:jc w:val="center"/>
                    <w:rPr>
                      <w:rFonts w:hint="eastAsia"/>
                      <w:color w:val="auto"/>
                      <w:kern w:val="0"/>
                      <w:sz w:val="21"/>
                      <w:szCs w:val="21"/>
                      <w:lang w:val="en-US" w:eastAsia="zh-CN"/>
                    </w:rPr>
                  </w:pPr>
                  <w:r>
                    <w:rPr>
                      <w:rFonts w:hint="eastAsia"/>
                      <w:color w:val="auto"/>
                      <w:kern w:val="0"/>
                      <w:sz w:val="21"/>
                      <w:szCs w:val="21"/>
                      <w:lang w:val="en-US" w:eastAsia="zh-CN"/>
                    </w:rPr>
                    <w:t>固态</w:t>
                  </w:r>
                </w:p>
              </w:tc>
              <w:tc>
                <w:tcPr>
                  <w:tcW w:w="788" w:type="dxa"/>
                  <w:noWrap w:val="0"/>
                  <w:vAlign w:val="center"/>
                </w:tcPr>
                <w:p w14:paraId="63FDC308">
                  <w:pPr>
                    <w:autoSpaceDE w:val="0"/>
                    <w:autoSpaceDN w:val="0"/>
                    <w:adjustRightInd w:val="0"/>
                    <w:snapToGrid w:val="0"/>
                    <w:jc w:val="center"/>
                    <w:rPr>
                      <w:rFonts w:hint="default"/>
                      <w:color w:val="auto"/>
                      <w:kern w:val="0"/>
                      <w:sz w:val="21"/>
                      <w:szCs w:val="21"/>
                      <w:lang w:val="en-US" w:eastAsia="zh-CN"/>
                    </w:rPr>
                  </w:pPr>
                  <w:r>
                    <w:rPr>
                      <w:rFonts w:hint="eastAsia"/>
                      <w:color w:val="auto"/>
                      <w:kern w:val="0"/>
                      <w:sz w:val="21"/>
                      <w:szCs w:val="21"/>
                      <w:lang w:val="en-US" w:eastAsia="zh-CN"/>
                    </w:rPr>
                    <w:t>/</w:t>
                  </w:r>
                </w:p>
              </w:tc>
              <w:tc>
                <w:tcPr>
                  <w:tcW w:w="619" w:type="dxa"/>
                  <w:noWrap w:val="0"/>
                  <w:vAlign w:val="center"/>
                </w:tcPr>
                <w:p w14:paraId="59C673BB">
                  <w:pPr>
                    <w:tabs>
                      <w:tab w:val="left" w:pos="239"/>
                    </w:tabs>
                    <w:autoSpaceDE w:val="0"/>
                    <w:autoSpaceDN w:val="0"/>
                    <w:adjustRightInd w:val="0"/>
                    <w:snapToGrid w:val="0"/>
                    <w:jc w:val="center"/>
                    <w:rPr>
                      <w:rFonts w:hint="default"/>
                      <w:color w:val="auto"/>
                      <w:kern w:val="0"/>
                      <w:sz w:val="21"/>
                      <w:szCs w:val="21"/>
                      <w:shd w:val="clear" w:fill="FFFF00"/>
                      <w:lang w:val="en-US" w:eastAsia="zh-CN"/>
                    </w:rPr>
                  </w:pPr>
                  <w:r>
                    <w:rPr>
                      <w:rFonts w:hint="eastAsia"/>
                      <w:color w:val="auto"/>
                      <w:kern w:val="0"/>
                      <w:sz w:val="21"/>
                      <w:szCs w:val="21"/>
                      <w:shd w:val="clear"/>
                      <w:lang w:val="en-US" w:eastAsia="zh-CN"/>
                    </w:rPr>
                    <w:t>3</w:t>
                  </w:r>
                </w:p>
              </w:tc>
              <w:tc>
                <w:tcPr>
                  <w:tcW w:w="935" w:type="dxa"/>
                  <w:noWrap w:val="0"/>
                  <w:vAlign w:val="center"/>
                </w:tcPr>
                <w:p w14:paraId="30DAB51A">
                  <w:pPr>
                    <w:autoSpaceDE w:val="0"/>
                    <w:autoSpaceDN w:val="0"/>
                    <w:adjustRightInd w:val="0"/>
                    <w:snapToGrid w:val="0"/>
                    <w:jc w:val="center"/>
                    <w:rPr>
                      <w:rFonts w:hint="default"/>
                      <w:color w:val="auto"/>
                      <w:kern w:val="0"/>
                      <w:sz w:val="21"/>
                      <w:szCs w:val="21"/>
                      <w:lang w:val="en-US" w:eastAsia="zh-CN"/>
                    </w:rPr>
                  </w:pPr>
                  <w:r>
                    <w:rPr>
                      <w:rFonts w:hint="eastAsia"/>
                      <w:color w:val="auto"/>
                      <w:kern w:val="0"/>
                      <w:sz w:val="21"/>
                      <w:szCs w:val="21"/>
                      <w:lang w:val="en-US" w:eastAsia="zh-CN"/>
                    </w:rPr>
                    <w:t>原料厂家回收</w:t>
                  </w:r>
                </w:p>
              </w:tc>
            </w:tr>
            <w:tr w14:paraId="280E942F">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839" w:hRule="exact"/>
                <w:jc w:val="center"/>
              </w:trPr>
              <w:tc>
                <w:tcPr>
                  <w:tcW w:w="388" w:type="dxa"/>
                  <w:noWrap w:val="0"/>
                  <w:vAlign w:val="center"/>
                </w:tcPr>
                <w:p w14:paraId="1C0774EB">
                  <w:pPr>
                    <w:autoSpaceDE w:val="0"/>
                    <w:autoSpaceDN w:val="0"/>
                    <w:adjustRightInd w:val="0"/>
                    <w:snapToGrid w:val="0"/>
                    <w:jc w:val="center"/>
                    <w:rPr>
                      <w:rFonts w:hint="default"/>
                      <w:color w:val="auto"/>
                      <w:kern w:val="0"/>
                      <w:sz w:val="21"/>
                      <w:szCs w:val="21"/>
                      <w:lang w:val="en-US" w:eastAsia="zh-CN"/>
                    </w:rPr>
                  </w:pPr>
                  <w:r>
                    <w:rPr>
                      <w:rFonts w:hint="eastAsia"/>
                      <w:color w:val="auto"/>
                      <w:kern w:val="0"/>
                      <w:sz w:val="21"/>
                      <w:szCs w:val="21"/>
                      <w:lang w:val="en-US" w:eastAsia="zh-CN"/>
                    </w:rPr>
                    <w:t>8</w:t>
                  </w:r>
                </w:p>
              </w:tc>
              <w:tc>
                <w:tcPr>
                  <w:tcW w:w="1006" w:type="dxa"/>
                  <w:noWrap w:val="0"/>
                  <w:vAlign w:val="center"/>
                </w:tcPr>
                <w:p w14:paraId="1FA131D7">
                  <w:pPr>
                    <w:autoSpaceDE w:val="0"/>
                    <w:autoSpaceDN w:val="0"/>
                    <w:adjustRightInd w:val="0"/>
                    <w:snapToGrid w:val="0"/>
                    <w:jc w:val="center"/>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纯水制备废过滤材料</w:t>
                  </w:r>
                </w:p>
              </w:tc>
              <w:tc>
                <w:tcPr>
                  <w:tcW w:w="886" w:type="dxa"/>
                  <w:vMerge w:val="continue"/>
                  <w:noWrap w:val="0"/>
                  <w:vAlign w:val="center"/>
                </w:tcPr>
                <w:p w14:paraId="078DE9CF">
                  <w:pPr>
                    <w:autoSpaceDE w:val="0"/>
                    <w:autoSpaceDN w:val="0"/>
                    <w:adjustRightInd w:val="0"/>
                    <w:snapToGrid w:val="0"/>
                    <w:jc w:val="center"/>
                    <w:rPr>
                      <w:color w:val="auto"/>
                      <w:kern w:val="0"/>
                      <w:sz w:val="21"/>
                      <w:szCs w:val="21"/>
                    </w:rPr>
                  </w:pPr>
                </w:p>
              </w:tc>
              <w:tc>
                <w:tcPr>
                  <w:tcW w:w="1837" w:type="dxa"/>
                  <w:noWrap w:val="0"/>
                  <w:vAlign w:val="center"/>
                </w:tcPr>
                <w:p w14:paraId="47F69157">
                  <w:pPr>
                    <w:autoSpaceDE w:val="0"/>
                    <w:autoSpaceDN w:val="0"/>
                    <w:adjustRightInd w:val="0"/>
                    <w:snapToGrid w:val="0"/>
                    <w:jc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SW59</w:t>
                  </w:r>
                  <w:r>
                    <w:rPr>
                      <w:rFonts w:hint="eastAsia" w:ascii="Times New Roman" w:hAnsi="Times New Roman" w:eastAsia="宋体" w:cs="Times New Roman"/>
                      <w:color w:val="auto"/>
                      <w:kern w:val="0"/>
                      <w:sz w:val="21"/>
                      <w:szCs w:val="21"/>
                      <w:lang w:val="en-US" w:eastAsia="zh-CN"/>
                    </w:rPr>
                    <w:t xml:space="preserve"> </w:t>
                  </w:r>
                  <w:r>
                    <w:rPr>
                      <w:rFonts w:hint="default" w:ascii="Times New Roman" w:hAnsi="Times New Roman" w:eastAsia="宋体" w:cs="Times New Roman"/>
                      <w:color w:val="auto"/>
                      <w:kern w:val="0"/>
                      <w:sz w:val="21"/>
                      <w:szCs w:val="21"/>
                      <w:lang w:val="en-US" w:eastAsia="zh-CN"/>
                    </w:rPr>
                    <w:t>900-00</w:t>
                  </w:r>
                  <w:r>
                    <w:rPr>
                      <w:rFonts w:hint="eastAsia" w:ascii="Times New Roman" w:hAnsi="Times New Roman" w:eastAsia="宋体" w:cs="Times New Roman"/>
                      <w:color w:val="auto"/>
                      <w:kern w:val="0"/>
                      <w:sz w:val="21"/>
                      <w:szCs w:val="21"/>
                      <w:lang w:val="en-US" w:eastAsia="zh-CN"/>
                    </w:rPr>
                    <w:t>9</w:t>
                  </w:r>
                  <w:r>
                    <w:rPr>
                      <w:rFonts w:hint="default" w:ascii="Times New Roman" w:hAnsi="Times New Roman" w:eastAsia="宋体" w:cs="Times New Roman"/>
                      <w:color w:val="auto"/>
                      <w:kern w:val="0"/>
                      <w:sz w:val="21"/>
                      <w:szCs w:val="21"/>
                      <w:lang w:val="en-US" w:eastAsia="zh-CN"/>
                    </w:rPr>
                    <w:t>-S59</w:t>
                  </w:r>
                </w:p>
              </w:tc>
              <w:tc>
                <w:tcPr>
                  <w:tcW w:w="911" w:type="dxa"/>
                  <w:noWrap w:val="0"/>
                  <w:vAlign w:val="center"/>
                </w:tcPr>
                <w:p w14:paraId="7373592D">
                  <w:pPr>
                    <w:autoSpaceDE w:val="0"/>
                    <w:autoSpaceDN w:val="0"/>
                    <w:adjustRightInd w:val="0"/>
                    <w:snapToGrid w:val="0"/>
                    <w:jc w:val="center"/>
                    <w:rPr>
                      <w:rFonts w:hint="default"/>
                      <w:color w:val="auto"/>
                      <w:kern w:val="0"/>
                      <w:sz w:val="21"/>
                      <w:szCs w:val="21"/>
                      <w:lang w:val="en-US" w:eastAsia="zh-CN"/>
                    </w:rPr>
                  </w:pPr>
                  <w:r>
                    <w:rPr>
                      <w:rFonts w:hint="eastAsia"/>
                      <w:color w:val="auto"/>
                      <w:kern w:val="0"/>
                      <w:sz w:val="21"/>
                      <w:szCs w:val="21"/>
                      <w:lang w:val="en-US" w:eastAsia="zh-CN"/>
                    </w:rPr>
                    <w:t>/</w:t>
                  </w:r>
                </w:p>
              </w:tc>
              <w:tc>
                <w:tcPr>
                  <w:tcW w:w="665" w:type="dxa"/>
                  <w:noWrap w:val="0"/>
                  <w:vAlign w:val="center"/>
                </w:tcPr>
                <w:p w14:paraId="02AC7524">
                  <w:pPr>
                    <w:autoSpaceDE w:val="0"/>
                    <w:autoSpaceDN w:val="0"/>
                    <w:adjustRightInd w:val="0"/>
                    <w:snapToGrid w:val="0"/>
                    <w:jc w:val="center"/>
                    <w:rPr>
                      <w:rFonts w:hint="eastAsia"/>
                      <w:color w:val="auto"/>
                      <w:kern w:val="0"/>
                      <w:sz w:val="21"/>
                      <w:szCs w:val="21"/>
                      <w:lang w:val="en-US" w:eastAsia="zh-CN"/>
                    </w:rPr>
                  </w:pPr>
                  <w:r>
                    <w:rPr>
                      <w:rFonts w:hint="eastAsia"/>
                      <w:color w:val="auto"/>
                      <w:kern w:val="0"/>
                      <w:sz w:val="21"/>
                      <w:szCs w:val="21"/>
                      <w:lang w:val="en-US" w:eastAsia="zh-CN"/>
                    </w:rPr>
                    <w:t>固态</w:t>
                  </w:r>
                </w:p>
              </w:tc>
              <w:tc>
                <w:tcPr>
                  <w:tcW w:w="788" w:type="dxa"/>
                  <w:noWrap w:val="0"/>
                  <w:vAlign w:val="center"/>
                </w:tcPr>
                <w:p w14:paraId="2D9FAD31">
                  <w:pPr>
                    <w:autoSpaceDE w:val="0"/>
                    <w:autoSpaceDN w:val="0"/>
                    <w:adjustRightInd w:val="0"/>
                    <w:snapToGrid w:val="0"/>
                    <w:jc w:val="center"/>
                    <w:rPr>
                      <w:rFonts w:hint="eastAsia"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w:t>
                  </w:r>
                </w:p>
              </w:tc>
              <w:tc>
                <w:tcPr>
                  <w:tcW w:w="619" w:type="dxa"/>
                  <w:noWrap w:val="0"/>
                  <w:vAlign w:val="center"/>
                </w:tcPr>
                <w:p w14:paraId="28143173">
                  <w:pPr>
                    <w:autoSpaceDE w:val="0"/>
                    <w:autoSpaceDN w:val="0"/>
                    <w:adjustRightInd w:val="0"/>
                    <w:snapToGrid w:val="0"/>
                    <w:jc w:val="center"/>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0.2</w:t>
                  </w:r>
                </w:p>
              </w:tc>
              <w:tc>
                <w:tcPr>
                  <w:tcW w:w="935" w:type="dxa"/>
                  <w:noWrap w:val="0"/>
                  <w:vAlign w:val="center"/>
                </w:tcPr>
                <w:p w14:paraId="10128759">
                  <w:pPr>
                    <w:autoSpaceDE w:val="0"/>
                    <w:autoSpaceDN w:val="0"/>
                    <w:adjustRightInd w:val="0"/>
                    <w:snapToGrid w:val="0"/>
                    <w:jc w:val="center"/>
                    <w:rPr>
                      <w:rFonts w:hint="eastAsia"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定期交厂家回收</w:t>
                  </w:r>
                </w:p>
              </w:tc>
            </w:tr>
            <w:tr w14:paraId="0481C2EE">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770" w:hRule="exact"/>
                <w:jc w:val="center"/>
              </w:trPr>
              <w:tc>
                <w:tcPr>
                  <w:tcW w:w="388" w:type="dxa"/>
                  <w:noWrap w:val="0"/>
                  <w:vAlign w:val="center"/>
                </w:tcPr>
                <w:p w14:paraId="233C0C8B">
                  <w:pPr>
                    <w:autoSpaceDE w:val="0"/>
                    <w:autoSpaceDN w:val="0"/>
                    <w:adjustRightInd w:val="0"/>
                    <w:snapToGrid w:val="0"/>
                    <w:jc w:val="center"/>
                    <w:rPr>
                      <w:rFonts w:hint="default"/>
                      <w:color w:val="auto"/>
                      <w:kern w:val="0"/>
                      <w:sz w:val="21"/>
                      <w:szCs w:val="21"/>
                      <w:lang w:val="en-US" w:eastAsia="zh-CN"/>
                    </w:rPr>
                  </w:pPr>
                  <w:r>
                    <w:rPr>
                      <w:rFonts w:hint="eastAsia"/>
                      <w:color w:val="auto"/>
                      <w:kern w:val="0"/>
                      <w:sz w:val="21"/>
                      <w:szCs w:val="21"/>
                      <w:lang w:val="en-US" w:eastAsia="zh-CN"/>
                    </w:rPr>
                    <w:t>9</w:t>
                  </w:r>
                </w:p>
              </w:tc>
              <w:tc>
                <w:tcPr>
                  <w:tcW w:w="1006" w:type="dxa"/>
                  <w:noWrap w:val="0"/>
                  <w:vAlign w:val="center"/>
                </w:tcPr>
                <w:p w14:paraId="59BEF28A">
                  <w:pPr>
                    <w:autoSpaceDE w:val="0"/>
                    <w:autoSpaceDN w:val="0"/>
                    <w:adjustRightInd w:val="0"/>
                    <w:snapToGrid w:val="0"/>
                    <w:jc w:val="center"/>
                    <w:rPr>
                      <w:rFonts w:hint="default"/>
                      <w:color w:val="auto"/>
                      <w:kern w:val="0"/>
                      <w:sz w:val="21"/>
                      <w:szCs w:val="21"/>
                      <w:lang w:val="en-US" w:eastAsia="zh-CN"/>
                    </w:rPr>
                  </w:pPr>
                  <w:r>
                    <w:rPr>
                      <w:rFonts w:hint="eastAsia"/>
                      <w:color w:val="auto"/>
                      <w:kern w:val="0"/>
                      <w:sz w:val="21"/>
                      <w:szCs w:val="21"/>
                      <w:lang w:val="en-US" w:eastAsia="zh-CN"/>
                    </w:rPr>
                    <w:t>废分子筛</w:t>
                  </w:r>
                </w:p>
              </w:tc>
              <w:tc>
                <w:tcPr>
                  <w:tcW w:w="886" w:type="dxa"/>
                  <w:vMerge w:val="continue"/>
                  <w:noWrap w:val="0"/>
                  <w:vAlign w:val="center"/>
                </w:tcPr>
                <w:p w14:paraId="1AD5ADF8">
                  <w:pPr>
                    <w:autoSpaceDE w:val="0"/>
                    <w:autoSpaceDN w:val="0"/>
                    <w:adjustRightInd w:val="0"/>
                    <w:snapToGrid w:val="0"/>
                    <w:jc w:val="center"/>
                    <w:rPr>
                      <w:color w:val="auto"/>
                      <w:kern w:val="0"/>
                      <w:sz w:val="21"/>
                      <w:szCs w:val="21"/>
                    </w:rPr>
                  </w:pPr>
                </w:p>
              </w:tc>
              <w:tc>
                <w:tcPr>
                  <w:tcW w:w="1837" w:type="dxa"/>
                  <w:noWrap w:val="0"/>
                  <w:vAlign w:val="center"/>
                </w:tcPr>
                <w:p w14:paraId="5EA5AF42">
                  <w:pPr>
                    <w:autoSpaceDE w:val="0"/>
                    <w:autoSpaceDN w:val="0"/>
                    <w:adjustRightInd w:val="0"/>
                    <w:snapToGrid w:val="0"/>
                    <w:jc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SW59</w:t>
                  </w:r>
                  <w:r>
                    <w:rPr>
                      <w:rFonts w:hint="eastAsia" w:ascii="Times New Roman" w:hAnsi="Times New Roman" w:eastAsia="宋体" w:cs="Times New Roman"/>
                      <w:color w:val="auto"/>
                      <w:kern w:val="0"/>
                      <w:sz w:val="21"/>
                      <w:szCs w:val="21"/>
                      <w:lang w:val="en-US" w:eastAsia="zh-CN"/>
                    </w:rPr>
                    <w:t xml:space="preserve"> </w:t>
                  </w:r>
                  <w:r>
                    <w:rPr>
                      <w:rFonts w:hint="default" w:ascii="Times New Roman" w:hAnsi="Times New Roman" w:eastAsia="宋体" w:cs="Times New Roman"/>
                      <w:color w:val="auto"/>
                      <w:kern w:val="0"/>
                      <w:sz w:val="21"/>
                      <w:szCs w:val="21"/>
                      <w:lang w:val="en-US" w:eastAsia="zh-CN"/>
                    </w:rPr>
                    <w:t>900-00</w:t>
                  </w:r>
                  <w:r>
                    <w:rPr>
                      <w:rFonts w:hint="eastAsia" w:ascii="Times New Roman" w:hAnsi="Times New Roman" w:eastAsia="宋体" w:cs="Times New Roman"/>
                      <w:color w:val="auto"/>
                      <w:kern w:val="0"/>
                      <w:sz w:val="21"/>
                      <w:szCs w:val="21"/>
                      <w:lang w:val="en-US" w:eastAsia="zh-CN"/>
                    </w:rPr>
                    <w:t>5</w:t>
                  </w:r>
                  <w:r>
                    <w:rPr>
                      <w:rFonts w:hint="default" w:ascii="Times New Roman" w:hAnsi="Times New Roman" w:eastAsia="宋体" w:cs="Times New Roman"/>
                      <w:color w:val="auto"/>
                      <w:kern w:val="0"/>
                      <w:sz w:val="21"/>
                      <w:szCs w:val="21"/>
                      <w:lang w:val="en-US" w:eastAsia="zh-CN"/>
                    </w:rPr>
                    <w:t>-S59</w:t>
                  </w:r>
                </w:p>
              </w:tc>
              <w:tc>
                <w:tcPr>
                  <w:tcW w:w="911" w:type="dxa"/>
                  <w:noWrap w:val="0"/>
                  <w:vAlign w:val="center"/>
                </w:tcPr>
                <w:p w14:paraId="6DE2FD0F">
                  <w:pPr>
                    <w:autoSpaceDE w:val="0"/>
                    <w:autoSpaceDN w:val="0"/>
                    <w:adjustRightInd w:val="0"/>
                    <w:snapToGrid w:val="0"/>
                    <w:jc w:val="center"/>
                    <w:rPr>
                      <w:rFonts w:hint="eastAsia"/>
                      <w:color w:val="auto"/>
                      <w:kern w:val="0"/>
                      <w:sz w:val="21"/>
                      <w:szCs w:val="21"/>
                      <w:lang w:val="en-US" w:eastAsia="zh-CN"/>
                    </w:rPr>
                  </w:pPr>
                  <w:r>
                    <w:rPr>
                      <w:rFonts w:hint="eastAsia"/>
                      <w:color w:val="auto"/>
                      <w:kern w:val="0"/>
                      <w:sz w:val="21"/>
                      <w:szCs w:val="21"/>
                      <w:lang w:val="en-US" w:eastAsia="zh-CN"/>
                    </w:rPr>
                    <w:t>/</w:t>
                  </w:r>
                </w:p>
              </w:tc>
              <w:tc>
                <w:tcPr>
                  <w:tcW w:w="665" w:type="dxa"/>
                  <w:noWrap w:val="0"/>
                  <w:vAlign w:val="center"/>
                </w:tcPr>
                <w:p w14:paraId="46AE30A5">
                  <w:pPr>
                    <w:autoSpaceDE w:val="0"/>
                    <w:autoSpaceDN w:val="0"/>
                    <w:adjustRightInd w:val="0"/>
                    <w:snapToGrid w:val="0"/>
                    <w:jc w:val="center"/>
                    <w:rPr>
                      <w:rFonts w:hint="eastAsia"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固态</w:t>
                  </w:r>
                </w:p>
              </w:tc>
              <w:tc>
                <w:tcPr>
                  <w:tcW w:w="788" w:type="dxa"/>
                  <w:noWrap w:val="0"/>
                  <w:vAlign w:val="center"/>
                </w:tcPr>
                <w:p w14:paraId="0BB7FB13">
                  <w:pPr>
                    <w:autoSpaceDE w:val="0"/>
                    <w:autoSpaceDN w:val="0"/>
                    <w:adjustRightInd w:val="0"/>
                    <w:snapToGrid w:val="0"/>
                    <w:jc w:val="center"/>
                    <w:rPr>
                      <w:rFonts w:hint="eastAsia"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w:t>
                  </w:r>
                </w:p>
              </w:tc>
              <w:tc>
                <w:tcPr>
                  <w:tcW w:w="619" w:type="dxa"/>
                  <w:noWrap w:val="0"/>
                  <w:vAlign w:val="center"/>
                </w:tcPr>
                <w:p w14:paraId="7A0929E9">
                  <w:pPr>
                    <w:autoSpaceDE w:val="0"/>
                    <w:autoSpaceDN w:val="0"/>
                    <w:adjustRightInd w:val="0"/>
                    <w:snapToGrid w:val="0"/>
                    <w:jc w:val="center"/>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0.2</w:t>
                  </w:r>
                </w:p>
              </w:tc>
              <w:tc>
                <w:tcPr>
                  <w:tcW w:w="935" w:type="dxa"/>
                  <w:noWrap w:val="0"/>
                  <w:vAlign w:val="center"/>
                </w:tcPr>
                <w:p w14:paraId="26A735F1">
                  <w:pPr>
                    <w:autoSpaceDE w:val="0"/>
                    <w:autoSpaceDN w:val="0"/>
                    <w:adjustRightInd w:val="0"/>
                    <w:snapToGrid w:val="0"/>
                    <w:jc w:val="center"/>
                    <w:rPr>
                      <w:rFonts w:hint="eastAsia"/>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定期交厂家回收</w:t>
                  </w:r>
                </w:p>
              </w:tc>
            </w:tr>
            <w:tr w14:paraId="72F7F09D">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525" w:hRule="exact"/>
                <w:jc w:val="center"/>
              </w:trPr>
              <w:tc>
                <w:tcPr>
                  <w:tcW w:w="388" w:type="dxa"/>
                  <w:noWrap w:val="0"/>
                  <w:vAlign w:val="center"/>
                </w:tcPr>
                <w:p w14:paraId="50A307C1">
                  <w:pPr>
                    <w:autoSpaceDE w:val="0"/>
                    <w:autoSpaceDN w:val="0"/>
                    <w:adjustRightInd w:val="0"/>
                    <w:snapToGrid w:val="0"/>
                    <w:jc w:val="center"/>
                    <w:rPr>
                      <w:rFonts w:hint="default"/>
                      <w:color w:val="auto"/>
                      <w:kern w:val="0"/>
                      <w:sz w:val="21"/>
                      <w:szCs w:val="21"/>
                      <w:lang w:val="en-US" w:eastAsia="zh-CN"/>
                    </w:rPr>
                  </w:pPr>
                  <w:r>
                    <w:rPr>
                      <w:rFonts w:hint="eastAsia"/>
                      <w:color w:val="auto"/>
                      <w:kern w:val="0"/>
                      <w:sz w:val="21"/>
                      <w:szCs w:val="21"/>
                      <w:lang w:val="en-US" w:eastAsia="zh-CN"/>
                    </w:rPr>
                    <w:t>10</w:t>
                  </w:r>
                </w:p>
              </w:tc>
              <w:tc>
                <w:tcPr>
                  <w:tcW w:w="1006" w:type="dxa"/>
                  <w:noWrap w:val="0"/>
                  <w:vAlign w:val="center"/>
                </w:tcPr>
                <w:p w14:paraId="6542C352">
                  <w:pPr>
                    <w:autoSpaceDE w:val="0"/>
                    <w:autoSpaceDN w:val="0"/>
                    <w:adjustRightInd w:val="0"/>
                    <w:snapToGrid w:val="0"/>
                    <w:jc w:val="center"/>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不合格品</w:t>
                  </w:r>
                </w:p>
              </w:tc>
              <w:tc>
                <w:tcPr>
                  <w:tcW w:w="886" w:type="dxa"/>
                  <w:vMerge w:val="continue"/>
                  <w:noWrap w:val="0"/>
                  <w:vAlign w:val="center"/>
                </w:tcPr>
                <w:p w14:paraId="7A2D9C6C">
                  <w:pPr>
                    <w:autoSpaceDE w:val="0"/>
                    <w:autoSpaceDN w:val="0"/>
                    <w:adjustRightInd w:val="0"/>
                    <w:snapToGrid w:val="0"/>
                    <w:jc w:val="center"/>
                    <w:rPr>
                      <w:color w:val="auto"/>
                      <w:kern w:val="0"/>
                      <w:sz w:val="21"/>
                      <w:szCs w:val="21"/>
                    </w:rPr>
                  </w:pPr>
                </w:p>
              </w:tc>
              <w:tc>
                <w:tcPr>
                  <w:tcW w:w="1837" w:type="dxa"/>
                  <w:noWrap w:val="0"/>
                  <w:vAlign w:val="center"/>
                </w:tcPr>
                <w:p w14:paraId="7A62796B">
                  <w:pPr>
                    <w:autoSpaceDE w:val="0"/>
                    <w:autoSpaceDN w:val="0"/>
                    <w:adjustRightInd w:val="0"/>
                    <w:snapToGrid w:val="0"/>
                    <w:jc w:val="center"/>
                    <w:rPr>
                      <w:rFonts w:hint="eastAsia"/>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SW17</w:t>
                  </w:r>
                  <w:r>
                    <w:rPr>
                      <w:rFonts w:hint="eastAsia" w:ascii="Times New Roman" w:hAnsi="Times New Roman" w:eastAsia="宋体" w:cs="Times New Roman"/>
                      <w:color w:val="auto"/>
                      <w:kern w:val="0"/>
                      <w:sz w:val="21"/>
                      <w:szCs w:val="21"/>
                      <w:lang w:val="en-US" w:eastAsia="zh-CN"/>
                    </w:rPr>
                    <w:t xml:space="preserve"> </w:t>
                  </w:r>
                  <w:r>
                    <w:rPr>
                      <w:rFonts w:hint="default" w:ascii="Times New Roman" w:hAnsi="Times New Roman" w:eastAsia="宋体" w:cs="Times New Roman"/>
                      <w:color w:val="auto"/>
                      <w:kern w:val="0"/>
                      <w:sz w:val="21"/>
                      <w:szCs w:val="21"/>
                      <w:lang w:val="en-US" w:eastAsia="zh-CN"/>
                    </w:rPr>
                    <w:t>900-0</w:t>
                  </w:r>
                  <w:r>
                    <w:rPr>
                      <w:rFonts w:hint="eastAsia" w:ascii="Times New Roman" w:hAnsi="Times New Roman" w:eastAsia="宋体" w:cs="Times New Roman"/>
                      <w:color w:val="auto"/>
                      <w:kern w:val="0"/>
                      <w:sz w:val="21"/>
                      <w:szCs w:val="21"/>
                      <w:lang w:val="en-US" w:eastAsia="zh-CN"/>
                    </w:rPr>
                    <w:t>1</w:t>
                  </w:r>
                  <w:r>
                    <w:rPr>
                      <w:rFonts w:hint="default" w:ascii="Times New Roman" w:hAnsi="Times New Roman" w:eastAsia="宋体" w:cs="Times New Roman"/>
                      <w:color w:val="auto"/>
                      <w:kern w:val="0"/>
                      <w:sz w:val="21"/>
                      <w:szCs w:val="21"/>
                      <w:lang w:val="en-US" w:eastAsia="zh-CN"/>
                    </w:rPr>
                    <w:t>2-S17</w:t>
                  </w:r>
                </w:p>
              </w:tc>
              <w:tc>
                <w:tcPr>
                  <w:tcW w:w="911" w:type="dxa"/>
                  <w:noWrap w:val="0"/>
                  <w:vAlign w:val="center"/>
                </w:tcPr>
                <w:p w14:paraId="2F883508">
                  <w:pPr>
                    <w:autoSpaceDE w:val="0"/>
                    <w:autoSpaceDN w:val="0"/>
                    <w:adjustRightInd w:val="0"/>
                    <w:snapToGrid w:val="0"/>
                    <w:jc w:val="center"/>
                    <w:rPr>
                      <w:color w:val="auto"/>
                      <w:kern w:val="0"/>
                      <w:sz w:val="21"/>
                      <w:szCs w:val="21"/>
                    </w:rPr>
                  </w:pPr>
                  <w:r>
                    <w:rPr>
                      <w:rFonts w:hint="eastAsia"/>
                      <w:color w:val="auto"/>
                      <w:kern w:val="0"/>
                      <w:sz w:val="21"/>
                      <w:szCs w:val="21"/>
                      <w:lang w:val="en-US" w:eastAsia="zh-CN"/>
                    </w:rPr>
                    <w:t>/</w:t>
                  </w:r>
                </w:p>
              </w:tc>
              <w:tc>
                <w:tcPr>
                  <w:tcW w:w="665" w:type="dxa"/>
                  <w:noWrap w:val="0"/>
                  <w:vAlign w:val="center"/>
                </w:tcPr>
                <w:p w14:paraId="558EB62D">
                  <w:pPr>
                    <w:autoSpaceDE w:val="0"/>
                    <w:autoSpaceDN w:val="0"/>
                    <w:adjustRightInd w:val="0"/>
                    <w:snapToGrid w:val="0"/>
                    <w:jc w:val="center"/>
                    <w:rPr>
                      <w:color w:val="auto"/>
                      <w:kern w:val="0"/>
                      <w:sz w:val="21"/>
                      <w:szCs w:val="21"/>
                    </w:rPr>
                  </w:pPr>
                  <w:r>
                    <w:rPr>
                      <w:rFonts w:hint="eastAsia"/>
                      <w:color w:val="auto"/>
                      <w:kern w:val="0"/>
                      <w:sz w:val="21"/>
                      <w:szCs w:val="21"/>
                      <w:lang w:val="en-US" w:eastAsia="zh-CN"/>
                    </w:rPr>
                    <w:t>固态</w:t>
                  </w:r>
                </w:p>
              </w:tc>
              <w:tc>
                <w:tcPr>
                  <w:tcW w:w="788" w:type="dxa"/>
                  <w:noWrap w:val="0"/>
                  <w:vAlign w:val="center"/>
                </w:tcPr>
                <w:p w14:paraId="3424EBDC">
                  <w:pPr>
                    <w:autoSpaceDE w:val="0"/>
                    <w:autoSpaceDN w:val="0"/>
                    <w:adjustRightInd w:val="0"/>
                    <w:snapToGrid w:val="0"/>
                    <w:jc w:val="center"/>
                    <w:rPr>
                      <w:color w:val="auto"/>
                      <w:kern w:val="0"/>
                      <w:sz w:val="21"/>
                      <w:szCs w:val="21"/>
                    </w:rPr>
                  </w:pPr>
                  <w:r>
                    <w:rPr>
                      <w:rFonts w:hint="eastAsia" w:ascii="Times New Roman" w:hAnsi="Times New Roman" w:eastAsia="宋体" w:cs="Times New Roman"/>
                      <w:color w:val="auto"/>
                      <w:kern w:val="0"/>
                      <w:sz w:val="21"/>
                      <w:szCs w:val="21"/>
                      <w:lang w:val="en-US" w:eastAsia="zh-CN"/>
                    </w:rPr>
                    <w:t>/</w:t>
                  </w:r>
                </w:p>
              </w:tc>
              <w:tc>
                <w:tcPr>
                  <w:tcW w:w="619" w:type="dxa"/>
                  <w:noWrap w:val="0"/>
                  <w:vAlign w:val="center"/>
                </w:tcPr>
                <w:p w14:paraId="0AC54276">
                  <w:pPr>
                    <w:autoSpaceDE w:val="0"/>
                    <w:autoSpaceDN w:val="0"/>
                    <w:adjustRightInd w:val="0"/>
                    <w:snapToGrid w:val="0"/>
                    <w:jc w:val="center"/>
                    <w:rPr>
                      <w:rFonts w:hint="default"/>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0.</w:t>
                  </w:r>
                  <w:r>
                    <w:rPr>
                      <w:rFonts w:hint="eastAsia" w:cs="Times New Roman"/>
                      <w:color w:val="auto"/>
                      <w:kern w:val="0"/>
                      <w:sz w:val="21"/>
                      <w:szCs w:val="21"/>
                      <w:lang w:val="en-US" w:eastAsia="zh-CN"/>
                    </w:rPr>
                    <w:t>7</w:t>
                  </w:r>
                </w:p>
              </w:tc>
              <w:tc>
                <w:tcPr>
                  <w:tcW w:w="935" w:type="dxa"/>
                  <w:noWrap w:val="0"/>
                  <w:vAlign w:val="center"/>
                </w:tcPr>
                <w:p w14:paraId="0134E319">
                  <w:pPr>
                    <w:autoSpaceDE w:val="0"/>
                    <w:autoSpaceDN w:val="0"/>
                    <w:adjustRightInd w:val="0"/>
                    <w:snapToGrid w:val="0"/>
                    <w:jc w:val="center"/>
                    <w:rPr>
                      <w:rFonts w:hint="eastAsia"/>
                      <w:color w:val="auto"/>
                      <w:kern w:val="0"/>
                      <w:sz w:val="21"/>
                      <w:szCs w:val="21"/>
                      <w:lang w:val="en-US" w:eastAsia="zh-CN"/>
                    </w:rPr>
                  </w:pPr>
                  <w:r>
                    <w:rPr>
                      <w:rFonts w:hint="default" w:ascii="Times New Roman" w:hAnsi="Times New Roman" w:eastAsia="宋体" w:cs="Times New Roman"/>
                      <w:color w:val="auto"/>
                      <w:kern w:val="0"/>
                      <w:sz w:val="21"/>
                      <w:szCs w:val="21"/>
                      <w:lang w:eastAsia="en-US"/>
                    </w:rPr>
                    <w:t>外售综合利用</w:t>
                  </w:r>
                </w:p>
              </w:tc>
            </w:tr>
            <w:tr w14:paraId="11683FEB">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546" w:hRule="exact"/>
                <w:jc w:val="center"/>
              </w:trPr>
              <w:tc>
                <w:tcPr>
                  <w:tcW w:w="388" w:type="dxa"/>
                  <w:noWrap w:val="0"/>
                  <w:vAlign w:val="center"/>
                </w:tcPr>
                <w:p w14:paraId="2B66A195">
                  <w:pPr>
                    <w:autoSpaceDE w:val="0"/>
                    <w:autoSpaceDN w:val="0"/>
                    <w:adjustRightInd w:val="0"/>
                    <w:snapToGrid w:val="0"/>
                    <w:jc w:val="center"/>
                    <w:rPr>
                      <w:rFonts w:hint="default"/>
                      <w:color w:val="auto"/>
                      <w:kern w:val="0"/>
                      <w:sz w:val="21"/>
                      <w:szCs w:val="21"/>
                      <w:lang w:val="en-US" w:eastAsia="zh-CN"/>
                    </w:rPr>
                  </w:pPr>
                  <w:r>
                    <w:rPr>
                      <w:rFonts w:hint="eastAsia"/>
                      <w:color w:val="auto"/>
                      <w:kern w:val="0"/>
                      <w:sz w:val="21"/>
                      <w:szCs w:val="21"/>
                      <w:lang w:val="en-US" w:eastAsia="zh-CN"/>
                    </w:rPr>
                    <w:t>11</w:t>
                  </w:r>
                </w:p>
              </w:tc>
              <w:tc>
                <w:tcPr>
                  <w:tcW w:w="1006" w:type="dxa"/>
                  <w:noWrap w:val="0"/>
                  <w:vAlign w:val="center"/>
                </w:tcPr>
                <w:p w14:paraId="6CBF0C2B">
                  <w:pPr>
                    <w:autoSpaceDE w:val="0"/>
                    <w:autoSpaceDN w:val="0"/>
                    <w:adjustRightInd w:val="0"/>
                    <w:snapToGrid w:val="0"/>
                    <w:jc w:val="center"/>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废隔膜、废极片</w:t>
                  </w:r>
                </w:p>
              </w:tc>
              <w:tc>
                <w:tcPr>
                  <w:tcW w:w="886" w:type="dxa"/>
                  <w:vMerge w:val="continue"/>
                  <w:noWrap w:val="0"/>
                  <w:vAlign w:val="center"/>
                </w:tcPr>
                <w:p w14:paraId="5F67FF16">
                  <w:pPr>
                    <w:autoSpaceDE w:val="0"/>
                    <w:autoSpaceDN w:val="0"/>
                    <w:adjustRightInd w:val="0"/>
                    <w:snapToGrid w:val="0"/>
                    <w:jc w:val="center"/>
                    <w:rPr>
                      <w:color w:val="auto"/>
                      <w:kern w:val="0"/>
                      <w:sz w:val="21"/>
                      <w:szCs w:val="21"/>
                    </w:rPr>
                  </w:pPr>
                </w:p>
              </w:tc>
              <w:tc>
                <w:tcPr>
                  <w:tcW w:w="1837" w:type="dxa"/>
                  <w:noWrap w:val="0"/>
                  <w:vAlign w:val="center"/>
                </w:tcPr>
                <w:p w14:paraId="58A32A2D">
                  <w:pPr>
                    <w:autoSpaceDE w:val="0"/>
                    <w:autoSpaceDN w:val="0"/>
                    <w:adjustRightInd w:val="0"/>
                    <w:snapToGrid w:val="0"/>
                    <w:jc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SW17</w:t>
                  </w:r>
                  <w:r>
                    <w:rPr>
                      <w:rFonts w:hint="eastAsia" w:ascii="Times New Roman" w:hAnsi="Times New Roman" w:eastAsia="宋体" w:cs="Times New Roman"/>
                      <w:color w:val="auto"/>
                      <w:kern w:val="0"/>
                      <w:sz w:val="21"/>
                      <w:szCs w:val="21"/>
                      <w:lang w:val="en-US" w:eastAsia="zh-CN"/>
                    </w:rPr>
                    <w:t xml:space="preserve"> </w:t>
                  </w:r>
                  <w:r>
                    <w:rPr>
                      <w:rFonts w:hint="default" w:ascii="Times New Roman" w:hAnsi="Times New Roman" w:eastAsia="宋体" w:cs="Times New Roman"/>
                      <w:color w:val="auto"/>
                      <w:kern w:val="0"/>
                      <w:sz w:val="21"/>
                      <w:szCs w:val="21"/>
                      <w:lang w:val="en-US" w:eastAsia="zh-CN"/>
                    </w:rPr>
                    <w:t>900-0</w:t>
                  </w:r>
                  <w:r>
                    <w:rPr>
                      <w:rFonts w:hint="eastAsia" w:ascii="Times New Roman" w:hAnsi="Times New Roman" w:eastAsia="宋体" w:cs="Times New Roman"/>
                      <w:color w:val="auto"/>
                      <w:kern w:val="0"/>
                      <w:sz w:val="21"/>
                      <w:szCs w:val="21"/>
                      <w:lang w:val="en-US" w:eastAsia="zh-CN"/>
                    </w:rPr>
                    <w:t>1</w:t>
                  </w:r>
                  <w:r>
                    <w:rPr>
                      <w:rFonts w:hint="default" w:ascii="Times New Roman" w:hAnsi="Times New Roman" w:eastAsia="宋体" w:cs="Times New Roman"/>
                      <w:color w:val="auto"/>
                      <w:kern w:val="0"/>
                      <w:sz w:val="21"/>
                      <w:szCs w:val="21"/>
                      <w:lang w:val="en-US" w:eastAsia="zh-CN"/>
                    </w:rPr>
                    <w:t>2-S17</w:t>
                  </w:r>
                </w:p>
              </w:tc>
              <w:tc>
                <w:tcPr>
                  <w:tcW w:w="911" w:type="dxa"/>
                  <w:noWrap w:val="0"/>
                  <w:vAlign w:val="center"/>
                </w:tcPr>
                <w:p w14:paraId="7332D706">
                  <w:pPr>
                    <w:autoSpaceDE w:val="0"/>
                    <w:autoSpaceDN w:val="0"/>
                    <w:adjustRightInd w:val="0"/>
                    <w:snapToGrid w:val="0"/>
                    <w:jc w:val="center"/>
                    <w:rPr>
                      <w:rFonts w:hint="default"/>
                      <w:color w:val="auto"/>
                      <w:kern w:val="0"/>
                      <w:sz w:val="21"/>
                      <w:szCs w:val="21"/>
                      <w:lang w:val="en-US" w:eastAsia="zh-CN"/>
                    </w:rPr>
                  </w:pPr>
                  <w:r>
                    <w:rPr>
                      <w:rFonts w:hint="eastAsia"/>
                      <w:color w:val="auto"/>
                      <w:kern w:val="0"/>
                      <w:sz w:val="21"/>
                      <w:szCs w:val="21"/>
                      <w:lang w:val="en-US" w:eastAsia="zh-CN"/>
                    </w:rPr>
                    <w:t>/</w:t>
                  </w:r>
                </w:p>
              </w:tc>
              <w:tc>
                <w:tcPr>
                  <w:tcW w:w="665" w:type="dxa"/>
                  <w:noWrap w:val="0"/>
                  <w:vAlign w:val="center"/>
                </w:tcPr>
                <w:p w14:paraId="33905AB9">
                  <w:pPr>
                    <w:autoSpaceDE w:val="0"/>
                    <w:autoSpaceDN w:val="0"/>
                    <w:adjustRightInd w:val="0"/>
                    <w:snapToGrid w:val="0"/>
                    <w:jc w:val="center"/>
                    <w:rPr>
                      <w:rFonts w:hint="eastAsia"/>
                      <w:color w:val="auto"/>
                      <w:kern w:val="0"/>
                      <w:sz w:val="21"/>
                      <w:szCs w:val="21"/>
                      <w:lang w:val="en-US" w:eastAsia="zh-CN"/>
                    </w:rPr>
                  </w:pPr>
                  <w:r>
                    <w:rPr>
                      <w:rFonts w:hint="eastAsia"/>
                      <w:color w:val="auto"/>
                      <w:kern w:val="0"/>
                      <w:sz w:val="21"/>
                      <w:szCs w:val="21"/>
                      <w:lang w:val="en-US" w:eastAsia="zh-CN"/>
                    </w:rPr>
                    <w:t>固态</w:t>
                  </w:r>
                </w:p>
              </w:tc>
              <w:tc>
                <w:tcPr>
                  <w:tcW w:w="788" w:type="dxa"/>
                  <w:noWrap w:val="0"/>
                  <w:vAlign w:val="center"/>
                </w:tcPr>
                <w:p w14:paraId="234902F1">
                  <w:pPr>
                    <w:autoSpaceDE w:val="0"/>
                    <w:autoSpaceDN w:val="0"/>
                    <w:adjustRightInd w:val="0"/>
                    <w:snapToGrid w:val="0"/>
                    <w:jc w:val="center"/>
                    <w:rPr>
                      <w:rFonts w:hint="eastAsia"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w:t>
                  </w:r>
                </w:p>
              </w:tc>
              <w:tc>
                <w:tcPr>
                  <w:tcW w:w="619" w:type="dxa"/>
                  <w:noWrap w:val="0"/>
                  <w:vAlign w:val="center"/>
                </w:tcPr>
                <w:p w14:paraId="320A4E85">
                  <w:pPr>
                    <w:autoSpaceDE w:val="0"/>
                    <w:autoSpaceDN w:val="0"/>
                    <w:adjustRightInd w:val="0"/>
                    <w:snapToGrid w:val="0"/>
                    <w:jc w:val="center"/>
                    <w:rPr>
                      <w:rFonts w:hint="default" w:ascii="Times New Roman" w:hAnsi="Times New Roman" w:eastAsia="宋体" w:cs="Times New Roman"/>
                      <w:color w:val="auto"/>
                      <w:kern w:val="0"/>
                      <w:sz w:val="21"/>
                      <w:szCs w:val="21"/>
                      <w:lang w:val="en-US" w:eastAsia="zh-CN"/>
                    </w:rPr>
                  </w:pPr>
                  <w:r>
                    <w:rPr>
                      <w:rFonts w:hint="eastAsia" w:cs="Times New Roman"/>
                      <w:color w:val="auto"/>
                      <w:kern w:val="0"/>
                      <w:sz w:val="21"/>
                      <w:szCs w:val="21"/>
                      <w:lang w:val="en-US" w:eastAsia="zh-CN"/>
                    </w:rPr>
                    <w:t>0.565</w:t>
                  </w:r>
                </w:p>
              </w:tc>
              <w:tc>
                <w:tcPr>
                  <w:tcW w:w="935" w:type="dxa"/>
                  <w:noWrap w:val="0"/>
                  <w:vAlign w:val="center"/>
                </w:tcPr>
                <w:p w14:paraId="7573CF1A">
                  <w:pPr>
                    <w:autoSpaceDE w:val="0"/>
                    <w:autoSpaceDN w:val="0"/>
                    <w:adjustRightInd w:val="0"/>
                    <w:snapToGrid w:val="0"/>
                    <w:jc w:val="center"/>
                    <w:rPr>
                      <w:rFonts w:hint="default" w:ascii="Times New Roman" w:hAnsi="Times New Roman" w:eastAsia="宋体" w:cs="Times New Roman"/>
                      <w:color w:val="auto"/>
                      <w:kern w:val="0"/>
                      <w:sz w:val="21"/>
                      <w:szCs w:val="21"/>
                      <w:lang w:eastAsia="en-US"/>
                    </w:rPr>
                  </w:pPr>
                  <w:r>
                    <w:rPr>
                      <w:rFonts w:hint="default" w:ascii="Times New Roman" w:hAnsi="Times New Roman" w:eastAsia="宋体" w:cs="Times New Roman"/>
                      <w:color w:val="auto"/>
                      <w:kern w:val="0"/>
                      <w:sz w:val="21"/>
                      <w:szCs w:val="21"/>
                      <w:lang w:eastAsia="en-US"/>
                    </w:rPr>
                    <w:t>外售综合利用</w:t>
                  </w:r>
                </w:p>
              </w:tc>
            </w:tr>
            <w:tr w14:paraId="209DCA1C">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525" w:hRule="exact"/>
                <w:jc w:val="center"/>
              </w:trPr>
              <w:tc>
                <w:tcPr>
                  <w:tcW w:w="388" w:type="dxa"/>
                  <w:noWrap w:val="0"/>
                  <w:vAlign w:val="center"/>
                </w:tcPr>
                <w:p w14:paraId="7CE57D54">
                  <w:pPr>
                    <w:autoSpaceDE w:val="0"/>
                    <w:autoSpaceDN w:val="0"/>
                    <w:adjustRightInd w:val="0"/>
                    <w:snapToGrid w:val="0"/>
                    <w:jc w:val="center"/>
                    <w:rPr>
                      <w:rFonts w:hint="default"/>
                      <w:color w:val="auto"/>
                      <w:kern w:val="0"/>
                      <w:sz w:val="21"/>
                      <w:szCs w:val="21"/>
                      <w:lang w:val="en-US" w:eastAsia="zh-CN"/>
                    </w:rPr>
                  </w:pPr>
                  <w:r>
                    <w:rPr>
                      <w:rFonts w:hint="eastAsia"/>
                      <w:color w:val="auto"/>
                      <w:kern w:val="0"/>
                      <w:sz w:val="21"/>
                      <w:szCs w:val="21"/>
                      <w:lang w:val="en-US" w:eastAsia="zh-CN"/>
                    </w:rPr>
                    <w:t>12</w:t>
                  </w:r>
                </w:p>
              </w:tc>
              <w:tc>
                <w:tcPr>
                  <w:tcW w:w="1006" w:type="dxa"/>
                  <w:noWrap w:val="0"/>
                  <w:vAlign w:val="center"/>
                </w:tcPr>
                <w:p w14:paraId="66A37511">
                  <w:pPr>
                    <w:autoSpaceDE w:val="0"/>
                    <w:autoSpaceDN w:val="0"/>
                    <w:adjustRightInd w:val="0"/>
                    <w:snapToGrid w:val="0"/>
                    <w:jc w:val="center"/>
                    <w:rPr>
                      <w:rFonts w:hint="eastAsia"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沾染浆料的废手套</w:t>
                  </w:r>
                </w:p>
              </w:tc>
              <w:tc>
                <w:tcPr>
                  <w:tcW w:w="886" w:type="dxa"/>
                  <w:vMerge w:val="continue"/>
                  <w:noWrap w:val="0"/>
                  <w:vAlign w:val="center"/>
                </w:tcPr>
                <w:p w14:paraId="6F613849">
                  <w:pPr>
                    <w:autoSpaceDE w:val="0"/>
                    <w:autoSpaceDN w:val="0"/>
                    <w:adjustRightInd w:val="0"/>
                    <w:snapToGrid w:val="0"/>
                    <w:jc w:val="center"/>
                    <w:rPr>
                      <w:color w:val="auto"/>
                      <w:kern w:val="0"/>
                      <w:sz w:val="21"/>
                      <w:szCs w:val="21"/>
                    </w:rPr>
                  </w:pPr>
                </w:p>
              </w:tc>
              <w:tc>
                <w:tcPr>
                  <w:tcW w:w="1837" w:type="dxa"/>
                  <w:noWrap w:val="0"/>
                  <w:vAlign w:val="center"/>
                </w:tcPr>
                <w:p w14:paraId="74C81A60">
                  <w:pPr>
                    <w:autoSpaceDE w:val="0"/>
                    <w:autoSpaceDN w:val="0"/>
                    <w:adjustRightInd w:val="0"/>
                    <w:snapToGrid w:val="0"/>
                    <w:jc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SW17</w:t>
                  </w:r>
                  <w:r>
                    <w:rPr>
                      <w:rFonts w:hint="eastAsia" w:ascii="Times New Roman" w:hAnsi="Times New Roman" w:eastAsia="宋体" w:cs="Times New Roman"/>
                      <w:color w:val="auto"/>
                      <w:kern w:val="0"/>
                      <w:sz w:val="21"/>
                      <w:szCs w:val="21"/>
                      <w:lang w:val="en-US" w:eastAsia="zh-CN"/>
                    </w:rPr>
                    <w:t xml:space="preserve"> </w:t>
                  </w:r>
                  <w:r>
                    <w:rPr>
                      <w:rFonts w:hint="default" w:ascii="Times New Roman" w:hAnsi="Times New Roman" w:eastAsia="宋体" w:cs="Times New Roman"/>
                      <w:color w:val="auto"/>
                      <w:kern w:val="0"/>
                      <w:sz w:val="21"/>
                      <w:szCs w:val="21"/>
                      <w:lang w:val="en-US" w:eastAsia="zh-CN"/>
                    </w:rPr>
                    <w:t>900-0</w:t>
                  </w:r>
                  <w:r>
                    <w:rPr>
                      <w:rFonts w:hint="eastAsia" w:cs="Times New Roman"/>
                      <w:color w:val="auto"/>
                      <w:kern w:val="0"/>
                      <w:sz w:val="21"/>
                      <w:szCs w:val="21"/>
                      <w:lang w:val="en-US" w:eastAsia="zh-CN"/>
                    </w:rPr>
                    <w:t>99</w:t>
                  </w:r>
                  <w:r>
                    <w:rPr>
                      <w:rFonts w:hint="default" w:ascii="Times New Roman" w:hAnsi="Times New Roman" w:eastAsia="宋体" w:cs="Times New Roman"/>
                      <w:color w:val="auto"/>
                      <w:kern w:val="0"/>
                      <w:sz w:val="21"/>
                      <w:szCs w:val="21"/>
                      <w:lang w:val="en-US" w:eastAsia="zh-CN"/>
                    </w:rPr>
                    <w:t>-S17</w:t>
                  </w:r>
                </w:p>
              </w:tc>
              <w:tc>
                <w:tcPr>
                  <w:tcW w:w="911" w:type="dxa"/>
                  <w:noWrap w:val="0"/>
                  <w:vAlign w:val="center"/>
                </w:tcPr>
                <w:p w14:paraId="2D68806A">
                  <w:pPr>
                    <w:autoSpaceDE w:val="0"/>
                    <w:autoSpaceDN w:val="0"/>
                    <w:adjustRightInd w:val="0"/>
                    <w:snapToGrid w:val="0"/>
                    <w:jc w:val="center"/>
                    <w:rPr>
                      <w:rFonts w:hint="eastAsia"/>
                      <w:color w:val="auto"/>
                      <w:kern w:val="0"/>
                      <w:sz w:val="21"/>
                      <w:szCs w:val="21"/>
                      <w:lang w:val="en-US" w:eastAsia="zh-CN"/>
                    </w:rPr>
                  </w:pPr>
                  <w:r>
                    <w:rPr>
                      <w:rFonts w:hint="eastAsia"/>
                      <w:color w:val="auto"/>
                      <w:kern w:val="0"/>
                      <w:sz w:val="21"/>
                      <w:szCs w:val="21"/>
                      <w:lang w:val="en-US" w:eastAsia="zh-CN"/>
                    </w:rPr>
                    <w:t>/</w:t>
                  </w:r>
                </w:p>
              </w:tc>
              <w:tc>
                <w:tcPr>
                  <w:tcW w:w="665" w:type="dxa"/>
                  <w:noWrap w:val="0"/>
                  <w:vAlign w:val="center"/>
                </w:tcPr>
                <w:p w14:paraId="1473816B">
                  <w:pPr>
                    <w:autoSpaceDE w:val="0"/>
                    <w:autoSpaceDN w:val="0"/>
                    <w:adjustRightInd w:val="0"/>
                    <w:snapToGrid w:val="0"/>
                    <w:jc w:val="center"/>
                    <w:rPr>
                      <w:rFonts w:hint="eastAsia"/>
                      <w:color w:val="auto"/>
                      <w:kern w:val="0"/>
                      <w:sz w:val="21"/>
                      <w:szCs w:val="21"/>
                      <w:lang w:val="en-US" w:eastAsia="zh-CN"/>
                    </w:rPr>
                  </w:pPr>
                  <w:r>
                    <w:rPr>
                      <w:rFonts w:hint="eastAsia"/>
                      <w:color w:val="auto"/>
                      <w:kern w:val="0"/>
                      <w:sz w:val="21"/>
                      <w:szCs w:val="21"/>
                      <w:lang w:val="en-US" w:eastAsia="zh-CN"/>
                    </w:rPr>
                    <w:t>固态</w:t>
                  </w:r>
                </w:p>
              </w:tc>
              <w:tc>
                <w:tcPr>
                  <w:tcW w:w="788" w:type="dxa"/>
                  <w:noWrap w:val="0"/>
                  <w:vAlign w:val="center"/>
                </w:tcPr>
                <w:p w14:paraId="744475AB">
                  <w:pPr>
                    <w:autoSpaceDE w:val="0"/>
                    <w:autoSpaceDN w:val="0"/>
                    <w:adjustRightInd w:val="0"/>
                    <w:snapToGrid w:val="0"/>
                    <w:jc w:val="center"/>
                    <w:rPr>
                      <w:rFonts w:hint="eastAsia"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w:t>
                  </w:r>
                </w:p>
              </w:tc>
              <w:tc>
                <w:tcPr>
                  <w:tcW w:w="619" w:type="dxa"/>
                  <w:noWrap w:val="0"/>
                  <w:vAlign w:val="center"/>
                </w:tcPr>
                <w:p w14:paraId="23FF1F30">
                  <w:pPr>
                    <w:autoSpaceDE w:val="0"/>
                    <w:autoSpaceDN w:val="0"/>
                    <w:adjustRightInd w:val="0"/>
                    <w:snapToGrid w:val="0"/>
                    <w:jc w:val="center"/>
                    <w:rPr>
                      <w:rFonts w:hint="default" w:ascii="Times New Roman" w:hAnsi="Times New Roman" w:eastAsia="宋体" w:cs="Times New Roman"/>
                      <w:color w:val="auto"/>
                      <w:kern w:val="0"/>
                      <w:sz w:val="21"/>
                      <w:szCs w:val="21"/>
                      <w:lang w:val="en-US" w:eastAsia="zh-CN"/>
                    </w:rPr>
                  </w:pPr>
                  <w:r>
                    <w:rPr>
                      <w:rFonts w:hint="eastAsia" w:cs="Times New Roman"/>
                      <w:color w:val="auto"/>
                      <w:kern w:val="0"/>
                      <w:sz w:val="21"/>
                      <w:szCs w:val="21"/>
                      <w:lang w:val="en-US" w:eastAsia="zh-CN"/>
                    </w:rPr>
                    <w:t>1</w:t>
                  </w:r>
                </w:p>
              </w:tc>
              <w:tc>
                <w:tcPr>
                  <w:tcW w:w="935" w:type="dxa"/>
                  <w:noWrap w:val="0"/>
                  <w:vAlign w:val="center"/>
                </w:tcPr>
                <w:p w14:paraId="6644B7A7">
                  <w:pPr>
                    <w:autoSpaceDE w:val="0"/>
                    <w:autoSpaceDN w:val="0"/>
                    <w:adjustRightInd w:val="0"/>
                    <w:snapToGrid w:val="0"/>
                    <w:jc w:val="center"/>
                    <w:rPr>
                      <w:rFonts w:hint="default" w:ascii="Times New Roman" w:hAnsi="Times New Roman" w:eastAsia="宋体" w:cs="Times New Roman"/>
                      <w:color w:val="auto"/>
                      <w:kern w:val="0"/>
                      <w:sz w:val="21"/>
                      <w:szCs w:val="21"/>
                      <w:lang w:eastAsia="en-US"/>
                    </w:rPr>
                  </w:pPr>
                  <w:r>
                    <w:rPr>
                      <w:rFonts w:hint="default" w:ascii="Times New Roman" w:hAnsi="Times New Roman" w:eastAsia="宋体" w:cs="Times New Roman"/>
                      <w:color w:val="auto"/>
                      <w:kern w:val="0"/>
                      <w:sz w:val="21"/>
                      <w:szCs w:val="21"/>
                      <w:lang w:eastAsia="en-US"/>
                    </w:rPr>
                    <w:t>外售综合利用</w:t>
                  </w:r>
                </w:p>
              </w:tc>
            </w:tr>
            <w:tr w14:paraId="178F2B85">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525" w:hRule="exact"/>
                <w:jc w:val="center"/>
              </w:trPr>
              <w:tc>
                <w:tcPr>
                  <w:tcW w:w="388" w:type="dxa"/>
                  <w:noWrap w:val="0"/>
                  <w:vAlign w:val="center"/>
                </w:tcPr>
                <w:p w14:paraId="72934FE4">
                  <w:pPr>
                    <w:autoSpaceDE w:val="0"/>
                    <w:autoSpaceDN w:val="0"/>
                    <w:adjustRightInd w:val="0"/>
                    <w:snapToGrid w:val="0"/>
                    <w:jc w:val="center"/>
                    <w:rPr>
                      <w:rFonts w:hint="default"/>
                      <w:color w:val="auto"/>
                      <w:kern w:val="0"/>
                      <w:sz w:val="21"/>
                      <w:szCs w:val="21"/>
                      <w:lang w:val="en-US" w:eastAsia="zh-CN"/>
                    </w:rPr>
                  </w:pPr>
                  <w:r>
                    <w:rPr>
                      <w:rFonts w:hint="eastAsia"/>
                      <w:color w:val="auto"/>
                      <w:kern w:val="0"/>
                      <w:sz w:val="21"/>
                      <w:szCs w:val="21"/>
                      <w:lang w:val="en-US" w:eastAsia="zh-CN"/>
                    </w:rPr>
                    <w:t>13</w:t>
                  </w:r>
                </w:p>
              </w:tc>
              <w:tc>
                <w:tcPr>
                  <w:tcW w:w="1006" w:type="dxa"/>
                  <w:noWrap w:val="0"/>
                  <w:vAlign w:val="center"/>
                </w:tcPr>
                <w:p w14:paraId="4DACCD04">
                  <w:pPr>
                    <w:autoSpaceDE w:val="0"/>
                    <w:autoSpaceDN w:val="0"/>
                    <w:adjustRightInd w:val="0"/>
                    <w:snapToGrid w:val="0"/>
                    <w:jc w:val="center"/>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废边角料</w:t>
                  </w:r>
                </w:p>
              </w:tc>
              <w:tc>
                <w:tcPr>
                  <w:tcW w:w="886" w:type="dxa"/>
                  <w:vMerge w:val="continue"/>
                  <w:noWrap w:val="0"/>
                  <w:vAlign w:val="center"/>
                </w:tcPr>
                <w:p w14:paraId="24197F85">
                  <w:pPr>
                    <w:autoSpaceDE w:val="0"/>
                    <w:autoSpaceDN w:val="0"/>
                    <w:adjustRightInd w:val="0"/>
                    <w:snapToGrid w:val="0"/>
                    <w:jc w:val="center"/>
                    <w:rPr>
                      <w:color w:val="auto"/>
                      <w:kern w:val="0"/>
                      <w:sz w:val="21"/>
                      <w:szCs w:val="21"/>
                    </w:rPr>
                  </w:pPr>
                </w:p>
              </w:tc>
              <w:tc>
                <w:tcPr>
                  <w:tcW w:w="1837" w:type="dxa"/>
                  <w:noWrap w:val="0"/>
                  <w:vAlign w:val="center"/>
                </w:tcPr>
                <w:p w14:paraId="055BB8B5">
                  <w:pPr>
                    <w:autoSpaceDE w:val="0"/>
                    <w:autoSpaceDN w:val="0"/>
                    <w:adjustRightInd w:val="0"/>
                    <w:snapToGrid w:val="0"/>
                    <w:jc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SW17</w:t>
                  </w:r>
                  <w:r>
                    <w:rPr>
                      <w:rFonts w:hint="eastAsia" w:ascii="Times New Roman" w:hAnsi="Times New Roman" w:eastAsia="宋体" w:cs="Times New Roman"/>
                      <w:color w:val="auto"/>
                      <w:kern w:val="0"/>
                      <w:sz w:val="21"/>
                      <w:szCs w:val="21"/>
                      <w:lang w:val="en-US" w:eastAsia="zh-CN"/>
                    </w:rPr>
                    <w:t xml:space="preserve"> </w:t>
                  </w:r>
                  <w:r>
                    <w:rPr>
                      <w:rFonts w:hint="default" w:ascii="Times New Roman" w:hAnsi="Times New Roman" w:eastAsia="宋体" w:cs="Times New Roman"/>
                      <w:color w:val="auto"/>
                      <w:kern w:val="0"/>
                      <w:sz w:val="21"/>
                      <w:szCs w:val="21"/>
                      <w:lang w:val="en-US" w:eastAsia="zh-CN"/>
                    </w:rPr>
                    <w:t>900-0</w:t>
                  </w:r>
                  <w:r>
                    <w:rPr>
                      <w:rFonts w:hint="eastAsia" w:ascii="Times New Roman" w:hAnsi="Times New Roman" w:eastAsia="宋体" w:cs="Times New Roman"/>
                      <w:color w:val="auto"/>
                      <w:kern w:val="0"/>
                      <w:sz w:val="21"/>
                      <w:szCs w:val="21"/>
                      <w:lang w:val="en-US" w:eastAsia="zh-CN"/>
                    </w:rPr>
                    <w:t>1</w:t>
                  </w:r>
                  <w:r>
                    <w:rPr>
                      <w:rFonts w:hint="default" w:ascii="Times New Roman" w:hAnsi="Times New Roman" w:eastAsia="宋体" w:cs="Times New Roman"/>
                      <w:color w:val="auto"/>
                      <w:kern w:val="0"/>
                      <w:sz w:val="21"/>
                      <w:szCs w:val="21"/>
                      <w:lang w:val="en-US" w:eastAsia="zh-CN"/>
                    </w:rPr>
                    <w:t>2-S17</w:t>
                  </w:r>
                </w:p>
              </w:tc>
              <w:tc>
                <w:tcPr>
                  <w:tcW w:w="911" w:type="dxa"/>
                  <w:noWrap w:val="0"/>
                  <w:vAlign w:val="center"/>
                </w:tcPr>
                <w:p w14:paraId="5C60FE68">
                  <w:pPr>
                    <w:autoSpaceDE w:val="0"/>
                    <w:autoSpaceDN w:val="0"/>
                    <w:adjustRightInd w:val="0"/>
                    <w:snapToGrid w:val="0"/>
                    <w:jc w:val="center"/>
                    <w:rPr>
                      <w:rFonts w:hint="eastAsia"/>
                      <w:color w:val="auto"/>
                      <w:kern w:val="0"/>
                      <w:sz w:val="21"/>
                      <w:szCs w:val="21"/>
                      <w:lang w:val="en-US" w:eastAsia="zh-CN"/>
                    </w:rPr>
                  </w:pPr>
                  <w:r>
                    <w:rPr>
                      <w:rFonts w:hint="eastAsia"/>
                      <w:color w:val="auto"/>
                      <w:kern w:val="0"/>
                      <w:sz w:val="21"/>
                      <w:szCs w:val="21"/>
                      <w:lang w:val="en-US" w:eastAsia="zh-CN"/>
                    </w:rPr>
                    <w:t>/</w:t>
                  </w:r>
                </w:p>
              </w:tc>
              <w:tc>
                <w:tcPr>
                  <w:tcW w:w="665" w:type="dxa"/>
                  <w:noWrap w:val="0"/>
                  <w:vAlign w:val="center"/>
                </w:tcPr>
                <w:p w14:paraId="236D5A8C">
                  <w:pPr>
                    <w:autoSpaceDE w:val="0"/>
                    <w:autoSpaceDN w:val="0"/>
                    <w:adjustRightInd w:val="0"/>
                    <w:snapToGrid w:val="0"/>
                    <w:jc w:val="center"/>
                    <w:rPr>
                      <w:rFonts w:hint="eastAsia"/>
                      <w:color w:val="auto"/>
                      <w:kern w:val="0"/>
                      <w:sz w:val="21"/>
                      <w:szCs w:val="21"/>
                      <w:lang w:val="en-US" w:eastAsia="zh-CN"/>
                    </w:rPr>
                  </w:pPr>
                  <w:r>
                    <w:rPr>
                      <w:rFonts w:hint="eastAsia"/>
                      <w:color w:val="auto"/>
                      <w:kern w:val="0"/>
                      <w:sz w:val="21"/>
                      <w:szCs w:val="21"/>
                      <w:lang w:val="en-US" w:eastAsia="zh-CN"/>
                    </w:rPr>
                    <w:t>固态</w:t>
                  </w:r>
                </w:p>
              </w:tc>
              <w:tc>
                <w:tcPr>
                  <w:tcW w:w="788" w:type="dxa"/>
                  <w:noWrap w:val="0"/>
                  <w:vAlign w:val="center"/>
                </w:tcPr>
                <w:p w14:paraId="3D018767">
                  <w:pPr>
                    <w:autoSpaceDE w:val="0"/>
                    <w:autoSpaceDN w:val="0"/>
                    <w:adjustRightInd w:val="0"/>
                    <w:snapToGrid w:val="0"/>
                    <w:jc w:val="center"/>
                    <w:rPr>
                      <w:rFonts w:hint="eastAsia"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w:t>
                  </w:r>
                </w:p>
              </w:tc>
              <w:tc>
                <w:tcPr>
                  <w:tcW w:w="619" w:type="dxa"/>
                  <w:noWrap w:val="0"/>
                  <w:vAlign w:val="center"/>
                </w:tcPr>
                <w:p w14:paraId="3F6DA65F">
                  <w:pPr>
                    <w:autoSpaceDE w:val="0"/>
                    <w:autoSpaceDN w:val="0"/>
                    <w:adjustRightInd w:val="0"/>
                    <w:snapToGrid w:val="0"/>
                    <w:jc w:val="center"/>
                    <w:rPr>
                      <w:rFonts w:hint="default" w:ascii="Times New Roman" w:hAnsi="Times New Roman" w:eastAsia="宋体" w:cs="Times New Roman"/>
                      <w:color w:val="auto"/>
                      <w:kern w:val="0"/>
                      <w:sz w:val="21"/>
                      <w:szCs w:val="21"/>
                      <w:lang w:val="en-US" w:eastAsia="zh-CN"/>
                    </w:rPr>
                  </w:pPr>
                  <w:r>
                    <w:rPr>
                      <w:rFonts w:hint="eastAsia" w:cs="Times New Roman"/>
                      <w:color w:val="auto"/>
                      <w:kern w:val="0"/>
                      <w:sz w:val="21"/>
                      <w:szCs w:val="21"/>
                      <w:lang w:val="en-US" w:eastAsia="zh-CN"/>
                    </w:rPr>
                    <w:t>0.2</w:t>
                  </w:r>
                </w:p>
              </w:tc>
              <w:tc>
                <w:tcPr>
                  <w:tcW w:w="935" w:type="dxa"/>
                  <w:noWrap w:val="0"/>
                  <w:vAlign w:val="center"/>
                </w:tcPr>
                <w:p w14:paraId="28E001E4">
                  <w:pPr>
                    <w:autoSpaceDE w:val="0"/>
                    <w:autoSpaceDN w:val="0"/>
                    <w:adjustRightInd w:val="0"/>
                    <w:snapToGrid w:val="0"/>
                    <w:jc w:val="center"/>
                    <w:rPr>
                      <w:rFonts w:hint="default" w:ascii="Times New Roman" w:hAnsi="Times New Roman" w:eastAsia="宋体" w:cs="Times New Roman"/>
                      <w:color w:val="auto"/>
                      <w:kern w:val="0"/>
                      <w:sz w:val="21"/>
                      <w:szCs w:val="21"/>
                      <w:lang w:eastAsia="en-US"/>
                    </w:rPr>
                  </w:pPr>
                  <w:r>
                    <w:rPr>
                      <w:rFonts w:hint="default" w:ascii="Times New Roman" w:hAnsi="Times New Roman" w:eastAsia="宋体" w:cs="Times New Roman"/>
                      <w:color w:val="auto"/>
                      <w:kern w:val="0"/>
                      <w:sz w:val="21"/>
                      <w:szCs w:val="21"/>
                      <w:lang w:eastAsia="en-US"/>
                    </w:rPr>
                    <w:t>外售综合利用</w:t>
                  </w:r>
                </w:p>
              </w:tc>
            </w:tr>
            <w:tr w14:paraId="46AD9CBA">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736" w:hRule="exact"/>
                <w:jc w:val="center"/>
              </w:trPr>
              <w:tc>
                <w:tcPr>
                  <w:tcW w:w="388" w:type="dxa"/>
                  <w:noWrap w:val="0"/>
                  <w:vAlign w:val="center"/>
                </w:tcPr>
                <w:p w14:paraId="38EA16C1">
                  <w:pPr>
                    <w:autoSpaceDE w:val="0"/>
                    <w:autoSpaceDN w:val="0"/>
                    <w:adjustRightInd w:val="0"/>
                    <w:snapToGrid w:val="0"/>
                    <w:jc w:val="center"/>
                    <w:rPr>
                      <w:rFonts w:hint="default" w:eastAsia="宋体"/>
                      <w:color w:val="auto"/>
                      <w:kern w:val="0"/>
                      <w:sz w:val="21"/>
                      <w:szCs w:val="21"/>
                      <w:lang w:val="en-US" w:eastAsia="zh-CN"/>
                    </w:rPr>
                  </w:pPr>
                  <w:r>
                    <w:rPr>
                      <w:rFonts w:hint="eastAsia"/>
                      <w:color w:val="auto"/>
                      <w:kern w:val="0"/>
                      <w:sz w:val="21"/>
                      <w:szCs w:val="21"/>
                      <w:lang w:val="en-US" w:eastAsia="zh-CN"/>
                    </w:rPr>
                    <w:t>14</w:t>
                  </w:r>
                </w:p>
              </w:tc>
              <w:tc>
                <w:tcPr>
                  <w:tcW w:w="1006" w:type="dxa"/>
                  <w:noWrap w:val="0"/>
                  <w:vAlign w:val="center"/>
                </w:tcPr>
                <w:p w14:paraId="5D33A83D">
                  <w:pPr>
                    <w:autoSpaceDE w:val="0"/>
                    <w:autoSpaceDN w:val="0"/>
                    <w:adjustRightInd w:val="0"/>
                    <w:snapToGrid w:val="0"/>
                    <w:jc w:val="center"/>
                    <w:rPr>
                      <w:rFonts w:hint="eastAsia"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废活性炭</w:t>
                  </w:r>
                </w:p>
              </w:tc>
              <w:tc>
                <w:tcPr>
                  <w:tcW w:w="886" w:type="dxa"/>
                  <w:vMerge w:val="restart"/>
                  <w:noWrap w:val="0"/>
                  <w:vAlign w:val="center"/>
                </w:tcPr>
                <w:p w14:paraId="0B0BD3EF">
                  <w:pPr>
                    <w:autoSpaceDE w:val="0"/>
                    <w:autoSpaceDN w:val="0"/>
                    <w:adjustRightInd w:val="0"/>
                    <w:snapToGrid w:val="0"/>
                    <w:jc w:val="center"/>
                    <w:rPr>
                      <w:rFonts w:ascii="Times New Roman" w:hAnsi="Times New Roman" w:eastAsia="宋体" w:cs="Times New Roman"/>
                      <w:color w:val="auto"/>
                      <w:kern w:val="0"/>
                      <w:sz w:val="21"/>
                      <w:szCs w:val="21"/>
                      <w:highlight w:val="none"/>
                      <w:lang w:val="en-US" w:eastAsia="zh-CN"/>
                    </w:rPr>
                  </w:pPr>
                  <w:r>
                    <w:rPr>
                      <w:rFonts w:ascii="Times New Roman" w:hAnsi="Times New Roman" w:eastAsia="宋体" w:cs="Times New Roman"/>
                      <w:color w:val="auto"/>
                      <w:kern w:val="0"/>
                      <w:sz w:val="21"/>
                      <w:szCs w:val="21"/>
                      <w:highlight w:val="none"/>
                    </w:rPr>
                    <w:t>危险废物</w:t>
                  </w:r>
                </w:p>
              </w:tc>
              <w:tc>
                <w:tcPr>
                  <w:tcW w:w="1837" w:type="dxa"/>
                  <w:noWrap w:val="0"/>
                  <w:vAlign w:val="center"/>
                </w:tcPr>
                <w:p w14:paraId="1EC691A4">
                  <w:pPr>
                    <w:autoSpaceDE w:val="0"/>
                    <w:autoSpaceDN w:val="0"/>
                    <w:adjustRightInd w:val="0"/>
                    <w:snapToGrid w:val="0"/>
                    <w:jc w:val="center"/>
                    <w:rPr>
                      <w:rFonts w:ascii="Times New Roman" w:hAnsi="Times New Roman" w:eastAsia="宋体" w:cs="Times New Roman"/>
                      <w:color w:val="auto"/>
                      <w:kern w:val="0"/>
                      <w:sz w:val="21"/>
                      <w:szCs w:val="21"/>
                      <w:highlight w:val="none"/>
                    </w:rPr>
                  </w:pPr>
                  <w:r>
                    <w:rPr>
                      <w:rFonts w:ascii="Times New Roman" w:hAnsi="Times New Roman" w:eastAsia="宋体" w:cs="Times New Roman"/>
                      <w:color w:val="auto"/>
                      <w:kern w:val="0"/>
                      <w:sz w:val="21"/>
                      <w:szCs w:val="21"/>
                      <w:highlight w:val="none"/>
                    </w:rPr>
                    <w:t>HW49</w:t>
                  </w:r>
                  <w:r>
                    <w:rPr>
                      <w:rFonts w:hint="eastAsia" w:ascii="Times New Roman" w:hAnsi="Times New Roman" w:eastAsia="宋体" w:cs="Times New Roman"/>
                      <w:color w:val="auto"/>
                      <w:kern w:val="0"/>
                      <w:sz w:val="21"/>
                      <w:szCs w:val="21"/>
                      <w:highlight w:val="none"/>
                      <w:lang w:val="en-US" w:eastAsia="zh-CN"/>
                    </w:rPr>
                    <w:t xml:space="preserve"> </w:t>
                  </w:r>
                  <w:r>
                    <w:rPr>
                      <w:rFonts w:ascii="Times New Roman" w:hAnsi="Times New Roman" w:eastAsia="宋体" w:cs="Times New Roman"/>
                      <w:color w:val="auto"/>
                      <w:kern w:val="0"/>
                      <w:sz w:val="21"/>
                      <w:szCs w:val="21"/>
                      <w:highlight w:val="none"/>
                    </w:rPr>
                    <w:t>900-</w:t>
                  </w:r>
                  <w:r>
                    <w:rPr>
                      <w:rFonts w:hint="eastAsia" w:ascii="Times New Roman" w:hAnsi="Times New Roman" w:eastAsia="宋体" w:cs="Times New Roman"/>
                      <w:color w:val="auto"/>
                      <w:kern w:val="0"/>
                      <w:sz w:val="21"/>
                      <w:szCs w:val="21"/>
                      <w:highlight w:val="none"/>
                      <w:lang w:val="en-US" w:eastAsia="zh-CN"/>
                    </w:rPr>
                    <w:t>039</w:t>
                  </w:r>
                  <w:r>
                    <w:rPr>
                      <w:rFonts w:ascii="Times New Roman" w:hAnsi="Times New Roman" w:eastAsia="宋体" w:cs="Times New Roman"/>
                      <w:color w:val="auto"/>
                      <w:kern w:val="0"/>
                      <w:sz w:val="21"/>
                      <w:szCs w:val="21"/>
                      <w:highlight w:val="none"/>
                    </w:rPr>
                    <w:t>-49</w:t>
                  </w:r>
                </w:p>
              </w:tc>
              <w:tc>
                <w:tcPr>
                  <w:tcW w:w="911" w:type="dxa"/>
                  <w:noWrap w:val="0"/>
                  <w:vAlign w:val="center"/>
                </w:tcPr>
                <w:p w14:paraId="47841673">
                  <w:pPr>
                    <w:autoSpaceDE w:val="0"/>
                    <w:autoSpaceDN w:val="0"/>
                    <w:adjustRightInd w:val="0"/>
                    <w:snapToGrid w:val="0"/>
                    <w:jc w:val="center"/>
                    <w:rPr>
                      <w:color w:val="auto"/>
                      <w:kern w:val="0"/>
                      <w:sz w:val="21"/>
                      <w:szCs w:val="21"/>
                    </w:rPr>
                  </w:pPr>
                  <w:r>
                    <w:rPr>
                      <w:color w:val="auto"/>
                      <w:kern w:val="0"/>
                      <w:sz w:val="21"/>
                      <w:szCs w:val="21"/>
                      <w:highlight w:val="none"/>
                    </w:rPr>
                    <w:t>非甲烷总烃</w:t>
                  </w:r>
                </w:p>
              </w:tc>
              <w:tc>
                <w:tcPr>
                  <w:tcW w:w="665" w:type="dxa"/>
                  <w:noWrap w:val="0"/>
                  <w:vAlign w:val="center"/>
                </w:tcPr>
                <w:p w14:paraId="5F4DBF8B">
                  <w:pPr>
                    <w:autoSpaceDE w:val="0"/>
                    <w:autoSpaceDN w:val="0"/>
                    <w:adjustRightInd w:val="0"/>
                    <w:snapToGrid w:val="0"/>
                    <w:jc w:val="center"/>
                    <w:rPr>
                      <w:rFonts w:hint="eastAsia" w:eastAsia="宋体"/>
                      <w:color w:val="auto"/>
                      <w:kern w:val="0"/>
                      <w:sz w:val="21"/>
                      <w:szCs w:val="21"/>
                      <w:lang w:eastAsia="zh-CN"/>
                    </w:rPr>
                  </w:pPr>
                  <w:r>
                    <w:rPr>
                      <w:rFonts w:hint="eastAsia"/>
                      <w:color w:val="auto"/>
                      <w:kern w:val="0"/>
                      <w:sz w:val="21"/>
                      <w:szCs w:val="21"/>
                      <w:lang w:val="en-US" w:eastAsia="zh-CN"/>
                    </w:rPr>
                    <w:t>固态</w:t>
                  </w:r>
                </w:p>
              </w:tc>
              <w:tc>
                <w:tcPr>
                  <w:tcW w:w="788" w:type="dxa"/>
                  <w:shd w:val="clear" w:color="auto" w:fill="auto"/>
                  <w:noWrap w:val="0"/>
                  <w:vAlign w:val="center"/>
                </w:tcPr>
                <w:p w14:paraId="1306C1A2">
                  <w:pPr>
                    <w:autoSpaceDE w:val="0"/>
                    <w:autoSpaceDN w:val="0"/>
                    <w:adjustRightInd w:val="0"/>
                    <w:snapToGrid w:val="0"/>
                    <w:jc w:val="center"/>
                    <w:rPr>
                      <w:color w:val="auto"/>
                      <w:kern w:val="0"/>
                      <w:sz w:val="21"/>
                      <w:szCs w:val="21"/>
                    </w:rPr>
                  </w:pPr>
                  <w:r>
                    <w:rPr>
                      <w:color w:val="auto"/>
                      <w:kern w:val="0"/>
                      <w:sz w:val="21"/>
                      <w:szCs w:val="21"/>
                    </w:rPr>
                    <w:t>T</w:t>
                  </w:r>
                </w:p>
              </w:tc>
              <w:tc>
                <w:tcPr>
                  <w:tcW w:w="619" w:type="dxa"/>
                  <w:shd w:val="clear" w:color="auto" w:fill="auto"/>
                  <w:noWrap w:val="0"/>
                  <w:vAlign w:val="center"/>
                </w:tcPr>
                <w:p w14:paraId="0129C8C6">
                  <w:pPr>
                    <w:autoSpaceDE w:val="0"/>
                    <w:autoSpaceDN w:val="0"/>
                    <w:adjustRightInd w:val="0"/>
                    <w:snapToGrid w:val="0"/>
                    <w:jc w:val="center"/>
                    <w:rPr>
                      <w:rFonts w:hint="default" w:eastAsia="宋体"/>
                      <w:color w:val="auto"/>
                      <w:kern w:val="0"/>
                      <w:sz w:val="21"/>
                      <w:szCs w:val="21"/>
                      <w:lang w:val="en-US" w:eastAsia="zh-CN"/>
                    </w:rPr>
                  </w:pPr>
                  <w:r>
                    <w:rPr>
                      <w:rFonts w:hint="eastAsia"/>
                      <w:color w:val="auto"/>
                      <w:kern w:val="0"/>
                      <w:sz w:val="21"/>
                      <w:szCs w:val="21"/>
                      <w:shd w:val="clear"/>
                      <w:lang w:val="en-US" w:eastAsia="zh-CN"/>
                    </w:rPr>
                    <w:t>14.7642</w:t>
                  </w:r>
                </w:p>
              </w:tc>
              <w:tc>
                <w:tcPr>
                  <w:tcW w:w="935" w:type="dxa"/>
                  <w:vMerge w:val="restart"/>
                  <w:noWrap w:val="0"/>
                  <w:vAlign w:val="center"/>
                </w:tcPr>
                <w:p w14:paraId="14FBFE3F">
                  <w:pPr>
                    <w:autoSpaceDE w:val="0"/>
                    <w:autoSpaceDN w:val="0"/>
                    <w:adjustRightInd w:val="0"/>
                    <w:snapToGrid w:val="0"/>
                    <w:jc w:val="center"/>
                    <w:rPr>
                      <w:rFonts w:hint="default" w:eastAsia="宋体"/>
                      <w:color w:val="auto"/>
                      <w:kern w:val="0"/>
                      <w:sz w:val="21"/>
                      <w:szCs w:val="21"/>
                      <w:lang w:val="en-US" w:eastAsia="zh-CN"/>
                    </w:rPr>
                  </w:pPr>
                  <w:r>
                    <w:rPr>
                      <w:rFonts w:hint="eastAsia"/>
                      <w:color w:val="auto"/>
                      <w:kern w:val="0"/>
                      <w:sz w:val="21"/>
                      <w:szCs w:val="21"/>
                      <w:lang w:val="en-US" w:eastAsia="zh-CN"/>
                    </w:rPr>
                    <w:t>交由有资质单位处理</w:t>
                  </w:r>
                </w:p>
              </w:tc>
            </w:tr>
            <w:tr w14:paraId="355A6572">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896" w:hRule="exact"/>
                <w:jc w:val="center"/>
              </w:trPr>
              <w:tc>
                <w:tcPr>
                  <w:tcW w:w="388" w:type="dxa"/>
                  <w:noWrap w:val="0"/>
                  <w:vAlign w:val="center"/>
                </w:tcPr>
                <w:p w14:paraId="2290B010">
                  <w:pPr>
                    <w:autoSpaceDE w:val="0"/>
                    <w:autoSpaceDN w:val="0"/>
                    <w:adjustRightInd w:val="0"/>
                    <w:snapToGrid w:val="0"/>
                    <w:jc w:val="center"/>
                    <w:rPr>
                      <w:rFonts w:hint="default" w:eastAsia="宋体"/>
                      <w:color w:val="auto"/>
                      <w:kern w:val="0"/>
                      <w:sz w:val="21"/>
                      <w:szCs w:val="21"/>
                      <w:lang w:val="en-US" w:eastAsia="zh-CN"/>
                    </w:rPr>
                  </w:pPr>
                  <w:r>
                    <w:rPr>
                      <w:rFonts w:hint="eastAsia"/>
                      <w:color w:val="auto"/>
                      <w:kern w:val="0"/>
                      <w:sz w:val="21"/>
                      <w:szCs w:val="21"/>
                      <w:lang w:val="en-US" w:eastAsia="zh-CN"/>
                    </w:rPr>
                    <w:t>15</w:t>
                  </w:r>
                </w:p>
              </w:tc>
              <w:tc>
                <w:tcPr>
                  <w:tcW w:w="1006" w:type="dxa"/>
                  <w:noWrap w:val="0"/>
                  <w:vAlign w:val="center"/>
                </w:tcPr>
                <w:p w14:paraId="513AE279">
                  <w:pPr>
                    <w:autoSpaceDE w:val="0"/>
                    <w:autoSpaceDN w:val="0"/>
                    <w:adjustRightInd w:val="0"/>
                    <w:snapToGrid w:val="0"/>
                    <w:jc w:val="center"/>
                    <w:rPr>
                      <w:rFonts w:hint="default" w:eastAsia="宋体"/>
                      <w:color w:val="auto"/>
                      <w:kern w:val="0"/>
                      <w:sz w:val="21"/>
                      <w:szCs w:val="21"/>
                      <w:lang w:val="en-US" w:eastAsia="zh-CN"/>
                    </w:rPr>
                  </w:pPr>
                  <w:r>
                    <w:rPr>
                      <w:rFonts w:hint="eastAsia"/>
                      <w:color w:val="auto"/>
                      <w:kern w:val="0"/>
                      <w:sz w:val="21"/>
                      <w:szCs w:val="21"/>
                      <w:lang w:val="en-US" w:eastAsia="zh-CN"/>
                    </w:rPr>
                    <w:t>废水处理污泥</w:t>
                  </w:r>
                </w:p>
              </w:tc>
              <w:tc>
                <w:tcPr>
                  <w:tcW w:w="886" w:type="dxa"/>
                  <w:vMerge w:val="continue"/>
                  <w:noWrap w:val="0"/>
                  <w:vAlign w:val="center"/>
                </w:tcPr>
                <w:p w14:paraId="0E8EBDC1">
                  <w:pPr>
                    <w:autoSpaceDE w:val="0"/>
                    <w:autoSpaceDN w:val="0"/>
                    <w:adjustRightInd w:val="0"/>
                    <w:snapToGrid w:val="0"/>
                    <w:jc w:val="center"/>
                    <w:rPr>
                      <w:rFonts w:hint="default" w:ascii="Times New Roman" w:hAnsi="Times New Roman" w:eastAsia="宋体" w:cs="Times New Roman"/>
                      <w:color w:val="auto"/>
                      <w:kern w:val="0"/>
                      <w:sz w:val="21"/>
                      <w:szCs w:val="21"/>
                      <w:highlight w:val="none"/>
                      <w:lang w:val="en-US" w:eastAsia="zh-CN"/>
                    </w:rPr>
                  </w:pPr>
                </w:p>
              </w:tc>
              <w:tc>
                <w:tcPr>
                  <w:tcW w:w="1837" w:type="dxa"/>
                  <w:noWrap w:val="0"/>
                  <w:vAlign w:val="center"/>
                </w:tcPr>
                <w:p w14:paraId="2FDAB70F">
                  <w:pPr>
                    <w:autoSpaceDE w:val="0"/>
                    <w:autoSpaceDN w:val="0"/>
                    <w:adjustRightInd w:val="0"/>
                    <w:snapToGrid w:val="0"/>
                    <w:jc w:val="center"/>
                    <w:rPr>
                      <w:rFonts w:ascii="Times New Roman" w:hAnsi="Times New Roman" w:eastAsia="宋体" w:cs="Times New Roman"/>
                      <w:color w:val="auto"/>
                      <w:kern w:val="0"/>
                      <w:sz w:val="21"/>
                      <w:szCs w:val="21"/>
                      <w:highlight w:val="none"/>
                    </w:rPr>
                  </w:pPr>
                  <w:r>
                    <w:rPr>
                      <w:rFonts w:ascii="Times New Roman" w:hAnsi="Times New Roman" w:eastAsia="宋体" w:cs="Times New Roman"/>
                      <w:color w:val="auto"/>
                      <w:kern w:val="0"/>
                      <w:sz w:val="21"/>
                      <w:szCs w:val="21"/>
                      <w:highlight w:val="none"/>
                    </w:rPr>
                    <w:t>HW49</w:t>
                  </w:r>
                  <w:r>
                    <w:rPr>
                      <w:rFonts w:hint="eastAsia" w:ascii="Times New Roman" w:hAnsi="Times New Roman" w:eastAsia="宋体" w:cs="Times New Roman"/>
                      <w:color w:val="auto"/>
                      <w:kern w:val="0"/>
                      <w:sz w:val="21"/>
                      <w:szCs w:val="21"/>
                      <w:highlight w:val="none"/>
                      <w:lang w:val="en-US" w:eastAsia="zh-CN"/>
                    </w:rPr>
                    <w:t xml:space="preserve"> </w:t>
                  </w:r>
                  <w:r>
                    <w:rPr>
                      <w:rFonts w:hint="default" w:ascii="Times New Roman" w:hAnsi="Times New Roman" w:eastAsia="宋体" w:cs="Times New Roman"/>
                      <w:color w:val="auto"/>
                      <w:kern w:val="0"/>
                      <w:sz w:val="21"/>
                      <w:szCs w:val="21"/>
                      <w:highlight w:val="none"/>
                      <w:lang w:val="en-US" w:eastAsia="zh-CN"/>
                    </w:rPr>
                    <w:t>772-006-49</w:t>
                  </w:r>
                </w:p>
              </w:tc>
              <w:tc>
                <w:tcPr>
                  <w:tcW w:w="911" w:type="dxa"/>
                  <w:noWrap w:val="0"/>
                  <w:vAlign w:val="center"/>
                </w:tcPr>
                <w:p w14:paraId="06A4E9E3">
                  <w:pPr>
                    <w:autoSpaceDE w:val="0"/>
                    <w:autoSpaceDN w:val="0"/>
                    <w:adjustRightInd w:val="0"/>
                    <w:snapToGrid w:val="0"/>
                    <w:jc w:val="center"/>
                    <w:rPr>
                      <w:color w:val="auto"/>
                      <w:kern w:val="0"/>
                      <w:sz w:val="21"/>
                      <w:szCs w:val="21"/>
                    </w:rPr>
                  </w:pPr>
                  <w:r>
                    <w:rPr>
                      <w:rFonts w:hint="default" w:ascii="Times New Roman" w:hAnsi="Times New Roman" w:cs="Times New Roman"/>
                      <w:color w:val="auto"/>
                      <w:kern w:val="2"/>
                      <w:sz w:val="21"/>
                      <w:szCs w:val="21"/>
                      <w:highlight w:val="none"/>
                      <w:lang w:val="en-US" w:eastAsia="zh-CN" w:bidi="ar-SA"/>
                    </w:rPr>
                    <w:t>污泥</w:t>
                  </w:r>
                </w:p>
              </w:tc>
              <w:tc>
                <w:tcPr>
                  <w:tcW w:w="665" w:type="dxa"/>
                  <w:noWrap w:val="0"/>
                  <w:vAlign w:val="center"/>
                </w:tcPr>
                <w:p w14:paraId="47A94409">
                  <w:pPr>
                    <w:autoSpaceDE w:val="0"/>
                    <w:autoSpaceDN w:val="0"/>
                    <w:adjustRightInd w:val="0"/>
                    <w:snapToGrid w:val="0"/>
                    <w:jc w:val="center"/>
                    <w:rPr>
                      <w:color w:val="auto"/>
                      <w:kern w:val="0"/>
                      <w:sz w:val="21"/>
                      <w:szCs w:val="21"/>
                    </w:rPr>
                  </w:pPr>
                  <w:r>
                    <w:rPr>
                      <w:color w:val="auto"/>
                      <w:kern w:val="0"/>
                      <w:sz w:val="21"/>
                      <w:szCs w:val="21"/>
                    </w:rPr>
                    <w:t>固态</w:t>
                  </w:r>
                </w:p>
              </w:tc>
              <w:tc>
                <w:tcPr>
                  <w:tcW w:w="788" w:type="dxa"/>
                  <w:noWrap w:val="0"/>
                  <w:vAlign w:val="center"/>
                </w:tcPr>
                <w:p w14:paraId="633E57AB">
                  <w:pPr>
                    <w:autoSpaceDE w:val="0"/>
                    <w:autoSpaceDN w:val="0"/>
                    <w:adjustRightInd w:val="0"/>
                    <w:snapToGrid w:val="0"/>
                    <w:jc w:val="center"/>
                    <w:rPr>
                      <w:color w:val="auto"/>
                      <w:kern w:val="0"/>
                      <w:sz w:val="21"/>
                      <w:szCs w:val="21"/>
                    </w:rPr>
                  </w:pPr>
                  <w:r>
                    <w:rPr>
                      <w:color w:val="auto"/>
                      <w:kern w:val="0"/>
                      <w:sz w:val="21"/>
                      <w:szCs w:val="21"/>
                    </w:rPr>
                    <w:t>T/In</w:t>
                  </w:r>
                </w:p>
              </w:tc>
              <w:tc>
                <w:tcPr>
                  <w:tcW w:w="619" w:type="dxa"/>
                  <w:noWrap w:val="0"/>
                  <w:vAlign w:val="center"/>
                </w:tcPr>
                <w:p w14:paraId="2EDEC240">
                  <w:pPr>
                    <w:autoSpaceDE w:val="0"/>
                    <w:autoSpaceDN w:val="0"/>
                    <w:adjustRightInd w:val="0"/>
                    <w:snapToGrid w:val="0"/>
                    <w:jc w:val="center"/>
                    <w:rPr>
                      <w:rFonts w:hint="default" w:eastAsia="宋体"/>
                      <w:color w:val="auto"/>
                      <w:kern w:val="0"/>
                      <w:sz w:val="21"/>
                      <w:szCs w:val="21"/>
                      <w:lang w:val="en-US" w:eastAsia="zh-CN"/>
                    </w:rPr>
                  </w:pPr>
                  <w:r>
                    <w:rPr>
                      <w:rFonts w:hint="eastAsia"/>
                      <w:color w:val="auto"/>
                      <w:kern w:val="0"/>
                      <w:sz w:val="21"/>
                      <w:szCs w:val="21"/>
                      <w:shd w:val="clear"/>
                      <w:lang w:val="en-US" w:eastAsia="zh-CN"/>
                    </w:rPr>
                    <w:t>0.13</w:t>
                  </w:r>
                </w:p>
              </w:tc>
              <w:tc>
                <w:tcPr>
                  <w:tcW w:w="935" w:type="dxa"/>
                  <w:vMerge w:val="continue"/>
                  <w:noWrap w:val="0"/>
                  <w:vAlign w:val="center"/>
                </w:tcPr>
                <w:p w14:paraId="1275238D">
                  <w:pPr>
                    <w:autoSpaceDE w:val="0"/>
                    <w:autoSpaceDN w:val="0"/>
                    <w:adjustRightInd w:val="0"/>
                    <w:snapToGrid w:val="0"/>
                    <w:jc w:val="center"/>
                    <w:rPr>
                      <w:color w:val="auto"/>
                      <w:kern w:val="0"/>
                      <w:sz w:val="21"/>
                      <w:szCs w:val="21"/>
                    </w:rPr>
                  </w:pPr>
                </w:p>
              </w:tc>
            </w:tr>
            <w:tr w14:paraId="74ADFBA8">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1131" w:hRule="exact"/>
                <w:jc w:val="center"/>
              </w:trPr>
              <w:tc>
                <w:tcPr>
                  <w:tcW w:w="388" w:type="dxa"/>
                  <w:noWrap w:val="0"/>
                  <w:vAlign w:val="center"/>
                </w:tcPr>
                <w:p w14:paraId="595C1793">
                  <w:pPr>
                    <w:autoSpaceDE w:val="0"/>
                    <w:autoSpaceDN w:val="0"/>
                    <w:adjustRightInd w:val="0"/>
                    <w:snapToGrid w:val="0"/>
                    <w:jc w:val="center"/>
                    <w:rPr>
                      <w:rFonts w:hint="default" w:eastAsia="宋体"/>
                      <w:color w:val="auto"/>
                      <w:kern w:val="0"/>
                      <w:sz w:val="21"/>
                      <w:szCs w:val="21"/>
                      <w:lang w:val="en-US" w:eastAsia="zh-CN"/>
                    </w:rPr>
                  </w:pPr>
                  <w:r>
                    <w:rPr>
                      <w:rFonts w:hint="eastAsia"/>
                      <w:color w:val="auto"/>
                      <w:kern w:val="0"/>
                      <w:sz w:val="21"/>
                      <w:szCs w:val="21"/>
                      <w:lang w:val="en-US" w:eastAsia="zh-CN"/>
                    </w:rPr>
                    <w:t>16</w:t>
                  </w:r>
                </w:p>
              </w:tc>
              <w:tc>
                <w:tcPr>
                  <w:tcW w:w="1006" w:type="dxa"/>
                  <w:noWrap w:val="0"/>
                  <w:vAlign w:val="center"/>
                </w:tcPr>
                <w:p w14:paraId="78509564">
                  <w:pPr>
                    <w:autoSpaceDE w:val="0"/>
                    <w:autoSpaceDN w:val="0"/>
                    <w:adjustRightInd w:val="0"/>
                    <w:snapToGrid w:val="0"/>
                    <w:jc w:val="center"/>
                    <w:rPr>
                      <w:rFonts w:hint="eastAsia" w:eastAsia="宋体"/>
                      <w:color w:val="auto"/>
                      <w:kern w:val="0"/>
                      <w:sz w:val="21"/>
                      <w:szCs w:val="21"/>
                      <w:lang w:eastAsia="zh-CN"/>
                    </w:rPr>
                  </w:pPr>
                  <w:r>
                    <w:rPr>
                      <w:rFonts w:hint="eastAsia"/>
                      <w:color w:val="auto"/>
                      <w:kern w:val="0"/>
                      <w:sz w:val="21"/>
                      <w:szCs w:val="21"/>
                      <w:lang w:val="en-US" w:eastAsia="zh-CN"/>
                    </w:rPr>
                    <w:t>废机油</w:t>
                  </w:r>
                </w:p>
              </w:tc>
              <w:tc>
                <w:tcPr>
                  <w:tcW w:w="886" w:type="dxa"/>
                  <w:vMerge w:val="continue"/>
                  <w:noWrap w:val="0"/>
                  <w:vAlign w:val="center"/>
                </w:tcPr>
                <w:p w14:paraId="1D1679BC">
                  <w:pPr>
                    <w:autoSpaceDE w:val="0"/>
                    <w:autoSpaceDN w:val="0"/>
                    <w:adjustRightInd w:val="0"/>
                    <w:snapToGrid w:val="0"/>
                    <w:jc w:val="center"/>
                    <w:rPr>
                      <w:color w:val="auto"/>
                      <w:kern w:val="0"/>
                      <w:sz w:val="21"/>
                      <w:szCs w:val="21"/>
                    </w:rPr>
                  </w:pPr>
                </w:p>
              </w:tc>
              <w:tc>
                <w:tcPr>
                  <w:tcW w:w="1837" w:type="dxa"/>
                  <w:noWrap w:val="0"/>
                  <w:vAlign w:val="center"/>
                </w:tcPr>
                <w:p w14:paraId="39FED3A1">
                  <w:pPr>
                    <w:autoSpaceDE w:val="0"/>
                    <w:autoSpaceDN w:val="0"/>
                    <w:adjustRightInd w:val="0"/>
                    <w:snapToGrid w:val="0"/>
                    <w:jc w:val="center"/>
                    <w:rPr>
                      <w:color w:val="auto"/>
                      <w:sz w:val="21"/>
                      <w:szCs w:val="21"/>
                    </w:rPr>
                  </w:pPr>
                  <w:r>
                    <w:rPr>
                      <w:rFonts w:hint="default" w:ascii="Times New Roman" w:hAnsi="Times New Roman" w:eastAsia="宋体" w:cs="Times New Roman"/>
                      <w:color w:val="auto"/>
                      <w:kern w:val="0"/>
                      <w:sz w:val="21"/>
                      <w:szCs w:val="21"/>
                      <w:highlight w:val="none"/>
                    </w:rPr>
                    <w:t>HW08</w:t>
                  </w:r>
                  <w:r>
                    <w:rPr>
                      <w:rFonts w:hint="eastAsia" w:ascii="Times New Roman" w:hAnsi="Times New Roman" w:eastAsia="宋体" w:cs="Times New Roman"/>
                      <w:color w:val="auto"/>
                      <w:kern w:val="0"/>
                      <w:sz w:val="21"/>
                      <w:szCs w:val="21"/>
                      <w:highlight w:val="none"/>
                      <w:lang w:val="en-US" w:eastAsia="zh-CN"/>
                    </w:rPr>
                    <w:t xml:space="preserve"> </w:t>
                  </w:r>
                  <w:r>
                    <w:rPr>
                      <w:rFonts w:hint="default" w:ascii="Times New Roman" w:hAnsi="Times New Roman" w:eastAsia="宋体" w:cs="Times New Roman"/>
                      <w:color w:val="auto"/>
                      <w:kern w:val="0"/>
                      <w:sz w:val="21"/>
                      <w:szCs w:val="21"/>
                      <w:highlight w:val="none"/>
                    </w:rPr>
                    <w:t>900-2</w:t>
                  </w:r>
                  <w:r>
                    <w:rPr>
                      <w:rFonts w:hint="eastAsia" w:ascii="Times New Roman" w:hAnsi="Times New Roman" w:eastAsia="宋体" w:cs="Times New Roman"/>
                      <w:color w:val="auto"/>
                      <w:kern w:val="0"/>
                      <w:sz w:val="21"/>
                      <w:szCs w:val="21"/>
                      <w:highlight w:val="none"/>
                      <w:lang w:val="en-US" w:eastAsia="zh-CN"/>
                    </w:rPr>
                    <w:t>49</w:t>
                  </w:r>
                  <w:r>
                    <w:rPr>
                      <w:rFonts w:hint="default" w:ascii="Times New Roman" w:hAnsi="Times New Roman" w:eastAsia="宋体" w:cs="Times New Roman"/>
                      <w:color w:val="auto"/>
                      <w:kern w:val="0"/>
                      <w:sz w:val="21"/>
                      <w:szCs w:val="21"/>
                      <w:highlight w:val="none"/>
                    </w:rPr>
                    <w:t>-08</w:t>
                  </w:r>
                </w:p>
              </w:tc>
              <w:tc>
                <w:tcPr>
                  <w:tcW w:w="911" w:type="dxa"/>
                  <w:noWrap w:val="0"/>
                  <w:vAlign w:val="center"/>
                </w:tcPr>
                <w:p w14:paraId="4FE5DC12">
                  <w:pPr>
                    <w:autoSpaceDE w:val="0"/>
                    <w:autoSpaceDN w:val="0"/>
                    <w:adjustRightInd w:val="0"/>
                    <w:snapToGrid w:val="0"/>
                    <w:jc w:val="center"/>
                    <w:rPr>
                      <w:color w:val="auto"/>
                      <w:kern w:val="0"/>
                      <w:sz w:val="21"/>
                      <w:szCs w:val="21"/>
                    </w:rPr>
                  </w:pPr>
                  <w:r>
                    <w:rPr>
                      <w:color w:val="auto"/>
                      <w:kern w:val="0"/>
                      <w:sz w:val="21"/>
                      <w:szCs w:val="21"/>
                    </w:rPr>
                    <w:t>废矿物油</w:t>
                  </w:r>
                </w:p>
              </w:tc>
              <w:tc>
                <w:tcPr>
                  <w:tcW w:w="665" w:type="dxa"/>
                  <w:noWrap w:val="0"/>
                  <w:vAlign w:val="center"/>
                </w:tcPr>
                <w:p w14:paraId="7A2D15A0">
                  <w:pPr>
                    <w:autoSpaceDE w:val="0"/>
                    <w:autoSpaceDN w:val="0"/>
                    <w:adjustRightInd w:val="0"/>
                    <w:snapToGrid w:val="0"/>
                    <w:jc w:val="center"/>
                    <w:rPr>
                      <w:rFonts w:hint="eastAsia" w:eastAsia="宋体"/>
                      <w:color w:val="auto"/>
                      <w:kern w:val="0"/>
                      <w:sz w:val="21"/>
                      <w:szCs w:val="21"/>
                      <w:lang w:eastAsia="zh-CN"/>
                    </w:rPr>
                  </w:pPr>
                  <w:r>
                    <w:rPr>
                      <w:rFonts w:hint="eastAsia"/>
                      <w:color w:val="auto"/>
                      <w:kern w:val="0"/>
                      <w:sz w:val="21"/>
                      <w:szCs w:val="21"/>
                      <w:lang w:val="en-US" w:eastAsia="zh-CN"/>
                    </w:rPr>
                    <w:t>液态</w:t>
                  </w:r>
                </w:p>
              </w:tc>
              <w:tc>
                <w:tcPr>
                  <w:tcW w:w="788" w:type="dxa"/>
                  <w:noWrap w:val="0"/>
                  <w:vAlign w:val="center"/>
                </w:tcPr>
                <w:p w14:paraId="6C2FABB5">
                  <w:pPr>
                    <w:autoSpaceDE w:val="0"/>
                    <w:autoSpaceDN w:val="0"/>
                    <w:adjustRightInd w:val="0"/>
                    <w:snapToGrid w:val="0"/>
                    <w:jc w:val="center"/>
                    <w:rPr>
                      <w:color w:val="auto"/>
                      <w:kern w:val="0"/>
                      <w:sz w:val="21"/>
                      <w:szCs w:val="21"/>
                    </w:rPr>
                  </w:pPr>
                  <w:r>
                    <w:rPr>
                      <w:color w:val="auto"/>
                      <w:kern w:val="0"/>
                      <w:sz w:val="21"/>
                      <w:szCs w:val="21"/>
                    </w:rPr>
                    <w:t>T</w:t>
                  </w:r>
                  <w:r>
                    <w:rPr>
                      <w:rFonts w:hint="eastAsia"/>
                      <w:color w:val="auto"/>
                      <w:kern w:val="0"/>
                      <w:sz w:val="21"/>
                      <w:szCs w:val="21"/>
                      <w:lang w:eastAsia="zh-CN"/>
                    </w:rPr>
                    <w:t>，</w:t>
                  </w:r>
                  <w:r>
                    <w:rPr>
                      <w:color w:val="auto"/>
                      <w:kern w:val="0"/>
                      <w:sz w:val="21"/>
                      <w:szCs w:val="21"/>
                    </w:rPr>
                    <w:t>I</w:t>
                  </w:r>
                </w:p>
              </w:tc>
              <w:tc>
                <w:tcPr>
                  <w:tcW w:w="619" w:type="dxa"/>
                  <w:noWrap w:val="0"/>
                  <w:vAlign w:val="center"/>
                </w:tcPr>
                <w:p w14:paraId="5A8CA40E">
                  <w:pPr>
                    <w:autoSpaceDE w:val="0"/>
                    <w:autoSpaceDN w:val="0"/>
                    <w:adjustRightInd w:val="0"/>
                    <w:snapToGrid w:val="0"/>
                    <w:jc w:val="center"/>
                    <w:rPr>
                      <w:rFonts w:hint="default" w:eastAsia="宋体"/>
                      <w:color w:val="auto"/>
                      <w:kern w:val="0"/>
                      <w:sz w:val="21"/>
                      <w:szCs w:val="21"/>
                      <w:lang w:val="en-US" w:eastAsia="zh-CN"/>
                    </w:rPr>
                  </w:pPr>
                  <w:r>
                    <w:rPr>
                      <w:rFonts w:hint="eastAsia"/>
                      <w:color w:val="auto"/>
                      <w:kern w:val="0"/>
                      <w:sz w:val="21"/>
                      <w:szCs w:val="21"/>
                      <w:lang w:val="en-US" w:eastAsia="zh-CN"/>
                    </w:rPr>
                    <w:t>0.01</w:t>
                  </w:r>
                </w:p>
              </w:tc>
              <w:tc>
                <w:tcPr>
                  <w:tcW w:w="935" w:type="dxa"/>
                  <w:vMerge w:val="continue"/>
                  <w:noWrap w:val="0"/>
                  <w:vAlign w:val="center"/>
                </w:tcPr>
                <w:p w14:paraId="662A2F7F">
                  <w:pPr>
                    <w:autoSpaceDE w:val="0"/>
                    <w:autoSpaceDN w:val="0"/>
                    <w:adjustRightInd w:val="0"/>
                    <w:snapToGrid w:val="0"/>
                    <w:jc w:val="center"/>
                    <w:rPr>
                      <w:color w:val="auto"/>
                      <w:kern w:val="0"/>
                      <w:sz w:val="21"/>
                      <w:szCs w:val="21"/>
                    </w:rPr>
                  </w:pPr>
                </w:p>
              </w:tc>
            </w:tr>
            <w:tr w14:paraId="46EE480D">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1131" w:hRule="exact"/>
                <w:jc w:val="center"/>
              </w:trPr>
              <w:tc>
                <w:tcPr>
                  <w:tcW w:w="388" w:type="dxa"/>
                  <w:noWrap w:val="0"/>
                  <w:vAlign w:val="center"/>
                </w:tcPr>
                <w:p w14:paraId="6BDA7EB4">
                  <w:pPr>
                    <w:autoSpaceDE w:val="0"/>
                    <w:autoSpaceDN w:val="0"/>
                    <w:adjustRightInd w:val="0"/>
                    <w:snapToGrid w:val="0"/>
                    <w:jc w:val="center"/>
                    <w:rPr>
                      <w:rFonts w:hint="default"/>
                      <w:color w:val="auto"/>
                      <w:kern w:val="0"/>
                      <w:sz w:val="21"/>
                      <w:szCs w:val="21"/>
                      <w:lang w:val="en-US" w:eastAsia="zh-CN"/>
                    </w:rPr>
                  </w:pPr>
                  <w:r>
                    <w:rPr>
                      <w:rFonts w:hint="eastAsia"/>
                      <w:color w:val="auto"/>
                      <w:kern w:val="0"/>
                      <w:sz w:val="21"/>
                      <w:szCs w:val="21"/>
                      <w:lang w:val="en-US" w:eastAsia="zh-CN"/>
                    </w:rPr>
                    <w:t>17</w:t>
                  </w:r>
                </w:p>
              </w:tc>
              <w:tc>
                <w:tcPr>
                  <w:tcW w:w="1006" w:type="dxa"/>
                  <w:noWrap w:val="0"/>
                  <w:vAlign w:val="center"/>
                </w:tcPr>
                <w:p w14:paraId="56A709CE">
                  <w:pPr>
                    <w:autoSpaceDE w:val="0"/>
                    <w:autoSpaceDN w:val="0"/>
                    <w:adjustRightInd w:val="0"/>
                    <w:snapToGrid w:val="0"/>
                    <w:jc w:val="center"/>
                    <w:rPr>
                      <w:rFonts w:hint="default"/>
                      <w:color w:val="auto"/>
                      <w:kern w:val="0"/>
                      <w:sz w:val="21"/>
                      <w:szCs w:val="21"/>
                      <w:lang w:val="en-US" w:eastAsia="zh-CN"/>
                    </w:rPr>
                  </w:pPr>
                  <w:r>
                    <w:rPr>
                      <w:rFonts w:hint="eastAsia"/>
                      <w:color w:val="auto"/>
                      <w:kern w:val="0"/>
                      <w:sz w:val="21"/>
                      <w:szCs w:val="21"/>
                      <w:lang w:val="en-US" w:eastAsia="zh-CN"/>
                    </w:rPr>
                    <w:t>含油棉纱手套、抹布</w:t>
                  </w:r>
                </w:p>
              </w:tc>
              <w:tc>
                <w:tcPr>
                  <w:tcW w:w="886" w:type="dxa"/>
                  <w:vMerge w:val="continue"/>
                  <w:noWrap w:val="0"/>
                  <w:vAlign w:val="center"/>
                </w:tcPr>
                <w:p w14:paraId="2C4E4A83">
                  <w:pPr>
                    <w:autoSpaceDE w:val="0"/>
                    <w:autoSpaceDN w:val="0"/>
                    <w:adjustRightInd w:val="0"/>
                    <w:snapToGrid w:val="0"/>
                    <w:jc w:val="center"/>
                    <w:rPr>
                      <w:color w:val="auto"/>
                      <w:kern w:val="0"/>
                      <w:sz w:val="21"/>
                      <w:szCs w:val="21"/>
                    </w:rPr>
                  </w:pPr>
                </w:p>
              </w:tc>
              <w:tc>
                <w:tcPr>
                  <w:tcW w:w="1837" w:type="dxa"/>
                  <w:noWrap w:val="0"/>
                  <w:vAlign w:val="center"/>
                </w:tcPr>
                <w:p w14:paraId="4D00F70D">
                  <w:pPr>
                    <w:autoSpaceDE w:val="0"/>
                    <w:autoSpaceDN w:val="0"/>
                    <w:adjustRightInd w:val="0"/>
                    <w:snapToGrid w:val="0"/>
                    <w:jc w:val="center"/>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lang w:val="en-US" w:eastAsia="zh-CN"/>
                    </w:rPr>
                    <w:t>HW49</w:t>
                  </w:r>
                  <w:r>
                    <w:rPr>
                      <w:rFonts w:hint="eastAsia" w:ascii="Times New Roman" w:hAnsi="Times New Roman" w:eastAsia="宋体" w:cs="Times New Roman"/>
                      <w:color w:val="auto"/>
                      <w:kern w:val="0"/>
                      <w:sz w:val="21"/>
                      <w:szCs w:val="21"/>
                      <w:highlight w:val="none"/>
                      <w:lang w:val="en-US" w:eastAsia="zh-CN"/>
                    </w:rPr>
                    <w:t xml:space="preserve"> </w:t>
                  </w:r>
                  <w:r>
                    <w:rPr>
                      <w:rFonts w:hint="default" w:ascii="Times New Roman" w:hAnsi="Times New Roman" w:eastAsia="宋体" w:cs="Times New Roman"/>
                      <w:color w:val="auto"/>
                      <w:kern w:val="0"/>
                      <w:sz w:val="21"/>
                      <w:szCs w:val="21"/>
                      <w:highlight w:val="none"/>
                      <w:lang w:val="en-US" w:eastAsia="zh-CN"/>
                    </w:rPr>
                    <w:t>900-041-49</w:t>
                  </w:r>
                </w:p>
              </w:tc>
              <w:tc>
                <w:tcPr>
                  <w:tcW w:w="911" w:type="dxa"/>
                  <w:noWrap w:val="0"/>
                  <w:vAlign w:val="center"/>
                </w:tcPr>
                <w:p w14:paraId="0198C9BD">
                  <w:pPr>
                    <w:autoSpaceDE w:val="0"/>
                    <w:autoSpaceDN w:val="0"/>
                    <w:adjustRightInd w:val="0"/>
                    <w:snapToGrid w:val="0"/>
                    <w:jc w:val="center"/>
                    <w:rPr>
                      <w:color w:val="auto"/>
                      <w:kern w:val="0"/>
                      <w:sz w:val="21"/>
                      <w:szCs w:val="21"/>
                    </w:rPr>
                  </w:pPr>
                  <w:r>
                    <w:rPr>
                      <w:color w:val="auto"/>
                      <w:kern w:val="0"/>
                      <w:sz w:val="21"/>
                      <w:szCs w:val="21"/>
                    </w:rPr>
                    <w:t>废矿物油</w:t>
                  </w:r>
                </w:p>
              </w:tc>
              <w:tc>
                <w:tcPr>
                  <w:tcW w:w="665" w:type="dxa"/>
                  <w:noWrap w:val="0"/>
                  <w:vAlign w:val="center"/>
                </w:tcPr>
                <w:p w14:paraId="3A878343">
                  <w:pPr>
                    <w:autoSpaceDE w:val="0"/>
                    <w:autoSpaceDN w:val="0"/>
                    <w:adjustRightInd w:val="0"/>
                    <w:snapToGrid w:val="0"/>
                    <w:jc w:val="center"/>
                    <w:rPr>
                      <w:rFonts w:hint="default"/>
                      <w:color w:val="auto"/>
                      <w:kern w:val="0"/>
                      <w:sz w:val="21"/>
                      <w:szCs w:val="21"/>
                      <w:lang w:val="en-US" w:eastAsia="zh-CN"/>
                    </w:rPr>
                  </w:pPr>
                  <w:r>
                    <w:rPr>
                      <w:rFonts w:hint="eastAsia"/>
                      <w:color w:val="auto"/>
                      <w:kern w:val="0"/>
                      <w:sz w:val="21"/>
                      <w:szCs w:val="21"/>
                      <w:lang w:val="en-US" w:eastAsia="zh-CN"/>
                    </w:rPr>
                    <w:t>固态</w:t>
                  </w:r>
                </w:p>
              </w:tc>
              <w:tc>
                <w:tcPr>
                  <w:tcW w:w="788" w:type="dxa"/>
                  <w:noWrap w:val="0"/>
                  <w:vAlign w:val="center"/>
                </w:tcPr>
                <w:p w14:paraId="7551DA7C">
                  <w:pPr>
                    <w:autoSpaceDE w:val="0"/>
                    <w:autoSpaceDN w:val="0"/>
                    <w:adjustRightInd w:val="0"/>
                    <w:snapToGrid w:val="0"/>
                    <w:jc w:val="center"/>
                    <w:rPr>
                      <w:color w:val="auto"/>
                      <w:kern w:val="0"/>
                      <w:sz w:val="21"/>
                      <w:szCs w:val="21"/>
                    </w:rPr>
                  </w:pPr>
                  <w:r>
                    <w:rPr>
                      <w:color w:val="auto"/>
                      <w:kern w:val="0"/>
                      <w:sz w:val="21"/>
                      <w:szCs w:val="21"/>
                    </w:rPr>
                    <w:t>T/In</w:t>
                  </w:r>
                </w:p>
              </w:tc>
              <w:tc>
                <w:tcPr>
                  <w:tcW w:w="619" w:type="dxa"/>
                  <w:noWrap w:val="0"/>
                  <w:vAlign w:val="center"/>
                </w:tcPr>
                <w:p w14:paraId="3A5949E1">
                  <w:pPr>
                    <w:autoSpaceDE w:val="0"/>
                    <w:autoSpaceDN w:val="0"/>
                    <w:adjustRightInd w:val="0"/>
                    <w:snapToGrid w:val="0"/>
                    <w:jc w:val="center"/>
                    <w:rPr>
                      <w:rFonts w:hint="default"/>
                      <w:color w:val="auto"/>
                      <w:kern w:val="0"/>
                      <w:sz w:val="21"/>
                      <w:szCs w:val="21"/>
                      <w:lang w:val="en-US" w:eastAsia="zh-CN"/>
                    </w:rPr>
                  </w:pPr>
                  <w:r>
                    <w:rPr>
                      <w:rFonts w:hint="eastAsia"/>
                      <w:color w:val="auto"/>
                      <w:kern w:val="0"/>
                      <w:sz w:val="21"/>
                      <w:szCs w:val="21"/>
                      <w:lang w:val="en-US" w:eastAsia="zh-CN"/>
                    </w:rPr>
                    <w:t>0.01</w:t>
                  </w:r>
                </w:p>
              </w:tc>
              <w:tc>
                <w:tcPr>
                  <w:tcW w:w="935" w:type="dxa"/>
                  <w:vMerge w:val="continue"/>
                  <w:noWrap w:val="0"/>
                  <w:vAlign w:val="center"/>
                </w:tcPr>
                <w:p w14:paraId="1457C9C3">
                  <w:pPr>
                    <w:autoSpaceDE w:val="0"/>
                    <w:autoSpaceDN w:val="0"/>
                    <w:adjustRightInd w:val="0"/>
                    <w:snapToGrid w:val="0"/>
                    <w:jc w:val="center"/>
                    <w:rPr>
                      <w:color w:val="auto"/>
                      <w:kern w:val="0"/>
                      <w:sz w:val="21"/>
                      <w:szCs w:val="21"/>
                    </w:rPr>
                  </w:pPr>
                </w:p>
              </w:tc>
            </w:tr>
            <w:tr w14:paraId="2DD89CB9">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1131" w:hRule="exact"/>
                <w:jc w:val="center"/>
              </w:trPr>
              <w:tc>
                <w:tcPr>
                  <w:tcW w:w="388" w:type="dxa"/>
                  <w:noWrap w:val="0"/>
                  <w:vAlign w:val="center"/>
                </w:tcPr>
                <w:p w14:paraId="5574D942">
                  <w:pPr>
                    <w:autoSpaceDE w:val="0"/>
                    <w:autoSpaceDN w:val="0"/>
                    <w:adjustRightInd w:val="0"/>
                    <w:snapToGrid w:val="0"/>
                    <w:jc w:val="center"/>
                    <w:rPr>
                      <w:rFonts w:hint="default"/>
                      <w:color w:val="auto"/>
                      <w:kern w:val="0"/>
                      <w:sz w:val="21"/>
                      <w:szCs w:val="21"/>
                      <w:lang w:val="en-US" w:eastAsia="zh-CN"/>
                    </w:rPr>
                  </w:pPr>
                  <w:r>
                    <w:rPr>
                      <w:rFonts w:hint="eastAsia"/>
                      <w:color w:val="auto"/>
                      <w:kern w:val="0"/>
                      <w:sz w:val="21"/>
                      <w:szCs w:val="21"/>
                      <w:lang w:val="en-US" w:eastAsia="zh-CN"/>
                    </w:rPr>
                    <w:t>18</w:t>
                  </w:r>
                </w:p>
              </w:tc>
              <w:tc>
                <w:tcPr>
                  <w:tcW w:w="1006" w:type="dxa"/>
                  <w:noWrap w:val="0"/>
                  <w:vAlign w:val="center"/>
                </w:tcPr>
                <w:p w14:paraId="03AE7F14">
                  <w:pPr>
                    <w:autoSpaceDE w:val="0"/>
                    <w:autoSpaceDN w:val="0"/>
                    <w:adjustRightInd w:val="0"/>
                    <w:snapToGrid w:val="0"/>
                    <w:jc w:val="center"/>
                    <w:rPr>
                      <w:rFonts w:hint="default"/>
                      <w:color w:val="auto"/>
                      <w:kern w:val="0"/>
                      <w:sz w:val="21"/>
                      <w:szCs w:val="21"/>
                      <w:lang w:val="en-US" w:eastAsia="zh-CN"/>
                    </w:rPr>
                  </w:pPr>
                  <w:r>
                    <w:rPr>
                      <w:rFonts w:hint="eastAsia"/>
                      <w:color w:val="auto"/>
                      <w:kern w:val="0"/>
                      <w:sz w:val="21"/>
                      <w:szCs w:val="21"/>
                      <w:lang w:val="en-US" w:eastAsia="zh-CN"/>
                    </w:rPr>
                    <w:t>废危化品包装桶</w:t>
                  </w:r>
                </w:p>
              </w:tc>
              <w:tc>
                <w:tcPr>
                  <w:tcW w:w="886" w:type="dxa"/>
                  <w:vMerge w:val="continue"/>
                  <w:noWrap w:val="0"/>
                  <w:vAlign w:val="center"/>
                </w:tcPr>
                <w:p w14:paraId="2DE83BE8">
                  <w:pPr>
                    <w:autoSpaceDE w:val="0"/>
                    <w:autoSpaceDN w:val="0"/>
                    <w:adjustRightInd w:val="0"/>
                    <w:snapToGrid w:val="0"/>
                    <w:jc w:val="center"/>
                    <w:rPr>
                      <w:color w:val="auto"/>
                      <w:kern w:val="0"/>
                      <w:sz w:val="21"/>
                      <w:szCs w:val="21"/>
                    </w:rPr>
                  </w:pPr>
                </w:p>
              </w:tc>
              <w:tc>
                <w:tcPr>
                  <w:tcW w:w="1837" w:type="dxa"/>
                  <w:noWrap w:val="0"/>
                  <w:vAlign w:val="center"/>
                </w:tcPr>
                <w:p w14:paraId="791DB6C4">
                  <w:pPr>
                    <w:autoSpaceDE w:val="0"/>
                    <w:autoSpaceDN w:val="0"/>
                    <w:adjustRightInd w:val="0"/>
                    <w:snapToGrid w:val="0"/>
                    <w:jc w:val="center"/>
                    <w:rPr>
                      <w:rFonts w:hint="default" w:ascii="Times New Roman" w:hAnsi="Times New Roman" w:eastAsia="宋体" w:cs="Times New Roman"/>
                      <w:color w:val="auto"/>
                      <w:kern w:val="0"/>
                      <w:sz w:val="21"/>
                      <w:szCs w:val="21"/>
                      <w:highlight w:val="none"/>
                      <w:lang w:val="en-US"/>
                    </w:rPr>
                  </w:pPr>
                  <w:r>
                    <w:rPr>
                      <w:rFonts w:hint="default" w:ascii="Times New Roman" w:hAnsi="Times New Roman" w:eastAsia="宋体" w:cs="Times New Roman"/>
                      <w:color w:val="auto"/>
                      <w:kern w:val="0"/>
                      <w:sz w:val="21"/>
                      <w:szCs w:val="21"/>
                      <w:highlight w:val="none"/>
                      <w:lang w:val="en-US" w:eastAsia="zh-CN"/>
                    </w:rPr>
                    <w:t>HW49</w:t>
                  </w:r>
                  <w:r>
                    <w:rPr>
                      <w:rFonts w:hint="eastAsia" w:ascii="Times New Roman" w:hAnsi="Times New Roman" w:eastAsia="宋体" w:cs="Times New Roman"/>
                      <w:color w:val="auto"/>
                      <w:kern w:val="0"/>
                      <w:sz w:val="21"/>
                      <w:szCs w:val="21"/>
                      <w:highlight w:val="none"/>
                      <w:lang w:val="en-US" w:eastAsia="zh-CN"/>
                    </w:rPr>
                    <w:t xml:space="preserve"> </w:t>
                  </w:r>
                  <w:r>
                    <w:rPr>
                      <w:rFonts w:hint="default" w:ascii="Times New Roman" w:hAnsi="Times New Roman" w:eastAsia="宋体" w:cs="Times New Roman"/>
                      <w:color w:val="auto"/>
                      <w:kern w:val="0"/>
                      <w:sz w:val="21"/>
                      <w:szCs w:val="21"/>
                      <w:highlight w:val="none"/>
                      <w:lang w:val="en-US" w:eastAsia="zh-CN"/>
                    </w:rPr>
                    <w:t>900-041-49</w:t>
                  </w:r>
                </w:p>
              </w:tc>
              <w:tc>
                <w:tcPr>
                  <w:tcW w:w="911" w:type="dxa"/>
                  <w:noWrap w:val="0"/>
                  <w:vAlign w:val="center"/>
                </w:tcPr>
                <w:p w14:paraId="19C31049">
                  <w:pPr>
                    <w:autoSpaceDE w:val="0"/>
                    <w:autoSpaceDN w:val="0"/>
                    <w:adjustRightInd w:val="0"/>
                    <w:snapToGrid w:val="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电解液/废</w:t>
                  </w:r>
                </w:p>
                <w:p w14:paraId="2CB76A84">
                  <w:pPr>
                    <w:autoSpaceDE w:val="0"/>
                    <w:autoSpaceDN w:val="0"/>
                    <w:adjustRightInd w:val="0"/>
                    <w:snapToGrid w:val="0"/>
                    <w:jc w:val="center"/>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lang w:val="en-US" w:eastAsia="zh-CN"/>
                    </w:rPr>
                    <w:t>机油</w:t>
                  </w:r>
                </w:p>
              </w:tc>
              <w:tc>
                <w:tcPr>
                  <w:tcW w:w="665" w:type="dxa"/>
                  <w:noWrap w:val="0"/>
                  <w:vAlign w:val="center"/>
                </w:tcPr>
                <w:p w14:paraId="6737BDBC">
                  <w:pPr>
                    <w:autoSpaceDE w:val="0"/>
                    <w:autoSpaceDN w:val="0"/>
                    <w:adjustRightInd w:val="0"/>
                    <w:snapToGrid w:val="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固态</w:t>
                  </w:r>
                </w:p>
              </w:tc>
              <w:tc>
                <w:tcPr>
                  <w:tcW w:w="788" w:type="dxa"/>
                  <w:noWrap w:val="0"/>
                  <w:vAlign w:val="center"/>
                </w:tcPr>
                <w:p w14:paraId="56E72CB8">
                  <w:pPr>
                    <w:autoSpaceDE w:val="0"/>
                    <w:autoSpaceDN w:val="0"/>
                    <w:adjustRightInd w:val="0"/>
                    <w:snapToGrid w:val="0"/>
                    <w:jc w:val="center"/>
                    <w:rPr>
                      <w:rFonts w:hint="default" w:ascii="Times New Roman" w:hAnsi="Times New Roman" w:eastAsia="宋体" w:cs="Times New Roman"/>
                      <w:color w:val="auto"/>
                      <w:kern w:val="0"/>
                      <w:sz w:val="21"/>
                      <w:szCs w:val="21"/>
                      <w:highlight w:val="none"/>
                    </w:rPr>
                  </w:pPr>
                  <w:r>
                    <w:rPr>
                      <w:color w:val="auto"/>
                      <w:kern w:val="0"/>
                      <w:sz w:val="21"/>
                      <w:szCs w:val="21"/>
                    </w:rPr>
                    <w:t>T/In</w:t>
                  </w:r>
                </w:p>
              </w:tc>
              <w:tc>
                <w:tcPr>
                  <w:tcW w:w="619" w:type="dxa"/>
                  <w:noWrap w:val="0"/>
                  <w:vAlign w:val="center"/>
                </w:tcPr>
                <w:p w14:paraId="57B38091">
                  <w:pPr>
                    <w:autoSpaceDE w:val="0"/>
                    <w:autoSpaceDN w:val="0"/>
                    <w:adjustRightInd w:val="0"/>
                    <w:snapToGrid w:val="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3</w:t>
                  </w:r>
                </w:p>
              </w:tc>
              <w:tc>
                <w:tcPr>
                  <w:tcW w:w="935" w:type="dxa"/>
                  <w:vMerge w:val="continue"/>
                  <w:noWrap w:val="0"/>
                  <w:vAlign w:val="center"/>
                </w:tcPr>
                <w:p w14:paraId="657530C8">
                  <w:pPr>
                    <w:autoSpaceDE w:val="0"/>
                    <w:autoSpaceDN w:val="0"/>
                    <w:adjustRightInd w:val="0"/>
                    <w:snapToGrid w:val="0"/>
                    <w:jc w:val="center"/>
                    <w:rPr>
                      <w:color w:val="auto"/>
                      <w:kern w:val="0"/>
                      <w:sz w:val="21"/>
                      <w:szCs w:val="21"/>
                    </w:rPr>
                  </w:pPr>
                </w:p>
              </w:tc>
            </w:tr>
            <w:tr w14:paraId="086883FD">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818" w:hRule="exact"/>
                <w:jc w:val="center"/>
              </w:trPr>
              <w:tc>
                <w:tcPr>
                  <w:tcW w:w="388" w:type="dxa"/>
                  <w:noWrap w:val="0"/>
                  <w:vAlign w:val="center"/>
                </w:tcPr>
                <w:p w14:paraId="4E5B8E42">
                  <w:pPr>
                    <w:autoSpaceDE w:val="0"/>
                    <w:autoSpaceDN w:val="0"/>
                    <w:adjustRightInd w:val="0"/>
                    <w:snapToGrid w:val="0"/>
                    <w:jc w:val="center"/>
                    <w:rPr>
                      <w:rFonts w:hint="default"/>
                      <w:color w:val="auto"/>
                      <w:kern w:val="0"/>
                      <w:sz w:val="21"/>
                      <w:szCs w:val="21"/>
                      <w:highlight w:val="none"/>
                      <w:lang w:val="en-US" w:eastAsia="zh-CN"/>
                    </w:rPr>
                  </w:pPr>
                  <w:r>
                    <w:rPr>
                      <w:rFonts w:hint="eastAsia"/>
                      <w:color w:val="auto"/>
                      <w:kern w:val="0"/>
                      <w:sz w:val="21"/>
                      <w:szCs w:val="21"/>
                      <w:highlight w:val="none"/>
                      <w:lang w:val="en-US" w:eastAsia="zh-CN"/>
                    </w:rPr>
                    <w:t>19</w:t>
                  </w:r>
                </w:p>
              </w:tc>
              <w:tc>
                <w:tcPr>
                  <w:tcW w:w="1006" w:type="dxa"/>
                  <w:noWrap w:val="0"/>
                  <w:vAlign w:val="center"/>
                </w:tcPr>
                <w:p w14:paraId="60220F14">
                  <w:pPr>
                    <w:autoSpaceDE w:val="0"/>
                    <w:autoSpaceDN w:val="0"/>
                    <w:adjustRightInd w:val="0"/>
                    <w:snapToGrid w:val="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废电解液</w:t>
                  </w:r>
                </w:p>
              </w:tc>
              <w:tc>
                <w:tcPr>
                  <w:tcW w:w="886" w:type="dxa"/>
                  <w:vMerge w:val="continue"/>
                  <w:noWrap w:val="0"/>
                  <w:vAlign w:val="center"/>
                </w:tcPr>
                <w:p w14:paraId="7B064ABA">
                  <w:pPr>
                    <w:autoSpaceDE w:val="0"/>
                    <w:autoSpaceDN w:val="0"/>
                    <w:adjustRightInd w:val="0"/>
                    <w:snapToGrid w:val="0"/>
                    <w:jc w:val="center"/>
                    <w:rPr>
                      <w:rFonts w:hint="default" w:ascii="Times New Roman" w:hAnsi="Times New Roman" w:eastAsia="宋体" w:cs="Times New Roman"/>
                      <w:color w:val="auto"/>
                      <w:kern w:val="0"/>
                      <w:sz w:val="21"/>
                      <w:szCs w:val="21"/>
                      <w:highlight w:val="none"/>
                      <w:lang w:val="en-US" w:eastAsia="zh-CN"/>
                    </w:rPr>
                  </w:pPr>
                </w:p>
              </w:tc>
              <w:tc>
                <w:tcPr>
                  <w:tcW w:w="1837" w:type="dxa"/>
                  <w:noWrap w:val="0"/>
                  <w:vAlign w:val="center"/>
                </w:tcPr>
                <w:p w14:paraId="5CEEA805">
                  <w:pPr>
                    <w:autoSpaceDE w:val="0"/>
                    <w:autoSpaceDN w:val="0"/>
                    <w:adjustRightInd w:val="0"/>
                    <w:snapToGrid w:val="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HW49</w:t>
                  </w:r>
                  <w:r>
                    <w:rPr>
                      <w:rFonts w:hint="eastAsia" w:ascii="Times New Roman" w:hAnsi="Times New Roman" w:eastAsia="宋体" w:cs="Times New Roman"/>
                      <w:color w:val="auto"/>
                      <w:kern w:val="0"/>
                      <w:sz w:val="21"/>
                      <w:szCs w:val="21"/>
                      <w:highlight w:val="none"/>
                      <w:lang w:val="en-US" w:eastAsia="zh-CN"/>
                    </w:rPr>
                    <w:t xml:space="preserve"> </w:t>
                  </w:r>
                  <w:r>
                    <w:rPr>
                      <w:rFonts w:hint="default" w:ascii="Times New Roman" w:hAnsi="Times New Roman" w:eastAsia="宋体" w:cs="Times New Roman"/>
                      <w:color w:val="auto"/>
                      <w:kern w:val="0"/>
                      <w:sz w:val="21"/>
                      <w:szCs w:val="21"/>
                      <w:highlight w:val="none"/>
                      <w:lang w:val="en-US" w:eastAsia="zh-CN"/>
                    </w:rPr>
                    <w:t>900-04</w:t>
                  </w:r>
                  <w:r>
                    <w:rPr>
                      <w:rFonts w:hint="eastAsia" w:ascii="Times New Roman" w:hAnsi="Times New Roman" w:eastAsia="宋体" w:cs="Times New Roman"/>
                      <w:color w:val="auto"/>
                      <w:kern w:val="0"/>
                      <w:sz w:val="21"/>
                      <w:szCs w:val="21"/>
                      <w:highlight w:val="none"/>
                      <w:lang w:val="en-US" w:eastAsia="zh-CN"/>
                    </w:rPr>
                    <w:t>5</w:t>
                  </w:r>
                  <w:r>
                    <w:rPr>
                      <w:rFonts w:hint="default" w:ascii="Times New Roman" w:hAnsi="Times New Roman" w:eastAsia="宋体" w:cs="Times New Roman"/>
                      <w:color w:val="auto"/>
                      <w:kern w:val="0"/>
                      <w:sz w:val="21"/>
                      <w:szCs w:val="21"/>
                      <w:highlight w:val="none"/>
                      <w:lang w:val="en-US" w:eastAsia="zh-CN"/>
                    </w:rPr>
                    <w:t>-49</w:t>
                  </w:r>
                </w:p>
              </w:tc>
              <w:tc>
                <w:tcPr>
                  <w:tcW w:w="911" w:type="dxa"/>
                  <w:noWrap w:val="0"/>
                  <w:vAlign w:val="center"/>
                </w:tcPr>
                <w:p w14:paraId="435C3BC9">
                  <w:pPr>
                    <w:autoSpaceDE w:val="0"/>
                    <w:autoSpaceDN w:val="0"/>
                    <w:adjustRightInd w:val="0"/>
                    <w:snapToGrid w:val="0"/>
                    <w:jc w:val="center"/>
                    <w:rPr>
                      <w:rFonts w:hint="eastAsia"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电解液</w:t>
                  </w:r>
                </w:p>
              </w:tc>
              <w:tc>
                <w:tcPr>
                  <w:tcW w:w="665" w:type="dxa"/>
                  <w:noWrap w:val="0"/>
                  <w:vAlign w:val="center"/>
                </w:tcPr>
                <w:p w14:paraId="0D0EF01B">
                  <w:pPr>
                    <w:autoSpaceDE w:val="0"/>
                    <w:autoSpaceDN w:val="0"/>
                    <w:adjustRightInd w:val="0"/>
                    <w:snapToGrid w:val="0"/>
                    <w:jc w:val="center"/>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液态</w:t>
                  </w:r>
                </w:p>
              </w:tc>
              <w:tc>
                <w:tcPr>
                  <w:tcW w:w="788" w:type="dxa"/>
                  <w:noWrap w:val="0"/>
                  <w:vAlign w:val="center"/>
                </w:tcPr>
                <w:p w14:paraId="158F0952">
                  <w:pPr>
                    <w:autoSpaceDE w:val="0"/>
                    <w:autoSpaceDN w:val="0"/>
                    <w:adjustRightInd w:val="0"/>
                    <w:snapToGrid w:val="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T</w:t>
                  </w:r>
                </w:p>
              </w:tc>
              <w:tc>
                <w:tcPr>
                  <w:tcW w:w="619" w:type="dxa"/>
                  <w:noWrap w:val="0"/>
                  <w:vAlign w:val="center"/>
                </w:tcPr>
                <w:p w14:paraId="0A4354D3">
                  <w:pPr>
                    <w:autoSpaceDE w:val="0"/>
                    <w:autoSpaceDN w:val="0"/>
                    <w:adjustRightInd w:val="0"/>
                    <w:snapToGrid w:val="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1.2</w:t>
                  </w:r>
                </w:p>
              </w:tc>
              <w:tc>
                <w:tcPr>
                  <w:tcW w:w="935" w:type="dxa"/>
                  <w:vMerge w:val="continue"/>
                  <w:noWrap w:val="0"/>
                  <w:vAlign w:val="center"/>
                </w:tcPr>
                <w:p w14:paraId="6F3D6692">
                  <w:pPr>
                    <w:autoSpaceDE w:val="0"/>
                    <w:autoSpaceDN w:val="0"/>
                    <w:adjustRightInd w:val="0"/>
                    <w:snapToGrid w:val="0"/>
                    <w:jc w:val="center"/>
                    <w:rPr>
                      <w:color w:val="auto"/>
                      <w:kern w:val="0"/>
                      <w:sz w:val="21"/>
                      <w:szCs w:val="21"/>
                    </w:rPr>
                  </w:pPr>
                </w:p>
              </w:tc>
            </w:tr>
            <w:tr w14:paraId="4D0288B7">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818" w:hRule="exact"/>
                <w:jc w:val="center"/>
              </w:trPr>
              <w:tc>
                <w:tcPr>
                  <w:tcW w:w="388" w:type="dxa"/>
                  <w:noWrap w:val="0"/>
                  <w:vAlign w:val="center"/>
                </w:tcPr>
                <w:p w14:paraId="609D9188">
                  <w:pPr>
                    <w:autoSpaceDE w:val="0"/>
                    <w:autoSpaceDN w:val="0"/>
                    <w:adjustRightInd w:val="0"/>
                    <w:snapToGrid w:val="0"/>
                    <w:jc w:val="center"/>
                    <w:rPr>
                      <w:rFonts w:hint="default"/>
                      <w:color w:val="auto"/>
                      <w:kern w:val="0"/>
                      <w:sz w:val="21"/>
                      <w:szCs w:val="21"/>
                      <w:highlight w:val="none"/>
                      <w:lang w:val="en-US" w:eastAsia="zh-CN"/>
                    </w:rPr>
                  </w:pPr>
                  <w:r>
                    <w:rPr>
                      <w:rFonts w:hint="eastAsia"/>
                      <w:color w:val="auto"/>
                      <w:kern w:val="0"/>
                      <w:sz w:val="21"/>
                      <w:szCs w:val="21"/>
                      <w:highlight w:val="none"/>
                      <w:lang w:val="en-US" w:eastAsia="zh-CN"/>
                    </w:rPr>
                    <w:t>20</w:t>
                  </w:r>
                </w:p>
              </w:tc>
              <w:tc>
                <w:tcPr>
                  <w:tcW w:w="1006" w:type="dxa"/>
                  <w:noWrap w:val="0"/>
                  <w:vAlign w:val="center"/>
                </w:tcPr>
                <w:p w14:paraId="409A4C17">
                  <w:pPr>
                    <w:autoSpaceDE w:val="0"/>
                    <w:autoSpaceDN w:val="0"/>
                    <w:adjustRightInd w:val="0"/>
                    <w:snapToGrid w:val="0"/>
                    <w:jc w:val="center"/>
                    <w:rPr>
                      <w:rFonts w:hint="default" w:ascii="Times New Roman" w:hAnsi="Times New Roman" w:eastAsia="宋体" w:cs="Times New Roman"/>
                      <w:color w:val="auto"/>
                      <w:kern w:val="0"/>
                      <w:sz w:val="21"/>
                      <w:szCs w:val="21"/>
                      <w:highlight w:val="none"/>
                      <w:lang w:val="en-US" w:eastAsia="zh-CN"/>
                    </w:rPr>
                  </w:pPr>
                  <w:r>
                    <w:rPr>
                      <w:rFonts w:hint="eastAsia" w:cs="Times New Roman"/>
                      <w:color w:val="auto"/>
                      <w:kern w:val="0"/>
                      <w:sz w:val="21"/>
                      <w:szCs w:val="21"/>
                      <w:highlight w:val="none"/>
                      <w:lang w:val="en-US" w:eastAsia="zh-CN"/>
                    </w:rPr>
                    <w:t>沾染危险物质的废组件</w:t>
                  </w:r>
                </w:p>
              </w:tc>
              <w:tc>
                <w:tcPr>
                  <w:tcW w:w="886" w:type="dxa"/>
                  <w:vMerge w:val="continue"/>
                  <w:noWrap w:val="0"/>
                  <w:vAlign w:val="center"/>
                </w:tcPr>
                <w:p w14:paraId="2D3A4B0B">
                  <w:pPr>
                    <w:autoSpaceDE w:val="0"/>
                    <w:autoSpaceDN w:val="0"/>
                    <w:adjustRightInd w:val="0"/>
                    <w:snapToGrid w:val="0"/>
                    <w:jc w:val="center"/>
                    <w:rPr>
                      <w:rFonts w:hint="default" w:ascii="Times New Roman" w:hAnsi="Times New Roman" w:eastAsia="宋体" w:cs="Times New Roman"/>
                      <w:color w:val="auto"/>
                      <w:kern w:val="0"/>
                      <w:sz w:val="21"/>
                      <w:szCs w:val="21"/>
                      <w:highlight w:val="none"/>
                      <w:lang w:val="en-US" w:eastAsia="zh-CN"/>
                    </w:rPr>
                  </w:pPr>
                </w:p>
              </w:tc>
              <w:tc>
                <w:tcPr>
                  <w:tcW w:w="1837" w:type="dxa"/>
                  <w:noWrap w:val="0"/>
                  <w:vAlign w:val="center"/>
                </w:tcPr>
                <w:p w14:paraId="223193B8">
                  <w:pPr>
                    <w:autoSpaceDE w:val="0"/>
                    <w:autoSpaceDN w:val="0"/>
                    <w:adjustRightInd w:val="0"/>
                    <w:snapToGrid w:val="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HW49</w:t>
                  </w:r>
                  <w:r>
                    <w:rPr>
                      <w:rFonts w:hint="eastAsia" w:ascii="Times New Roman" w:hAnsi="Times New Roman" w:eastAsia="宋体" w:cs="Times New Roman"/>
                      <w:color w:val="auto"/>
                      <w:kern w:val="0"/>
                      <w:sz w:val="21"/>
                      <w:szCs w:val="21"/>
                      <w:highlight w:val="none"/>
                      <w:lang w:val="en-US" w:eastAsia="zh-CN"/>
                    </w:rPr>
                    <w:t xml:space="preserve"> </w:t>
                  </w:r>
                  <w:r>
                    <w:rPr>
                      <w:rFonts w:hint="default" w:ascii="Times New Roman" w:hAnsi="Times New Roman" w:eastAsia="宋体" w:cs="Times New Roman"/>
                      <w:color w:val="auto"/>
                      <w:kern w:val="0"/>
                      <w:sz w:val="21"/>
                      <w:szCs w:val="21"/>
                      <w:highlight w:val="none"/>
                      <w:lang w:val="en-US" w:eastAsia="zh-CN"/>
                    </w:rPr>
                    <w:t>900-04</w:t>
                  </w:r>
                  <w:r>
                    <w:rPr>
                      <w:rFonts w:hint="eastAsia" w:ascii="Times New Roman" w:hAnsi="Times New Roman" w:eastAsia="宋体" w:cs="Times New Roman"/>
                      <w:color w:val="auto"/>
                      <w:kern w:val="0"/>
                      <w:sz w:val="21"/>
                      <w:szCs w:val="21"/>
                      <w:highlight w:val="none"/>
                      <w:lang w:val="en-US" w:eastAsia="zh-CN"/>
                    </w:rPr>
                    <w:t>5</w:t>
                  </w:r>
                  <w:r>
                    <w:rPr>
                      <w:rFonts w:hint="default" w:ascii="Times New Roman" w:hAnsi="Times New Roman" w:eastAsia="宋体" w:cs="Times New Roman"/>
                      <w:color w:val="auto"/>
                      <w:kern w:val="0"/>
                      <w:sz w:val="21"/>
                      <w:szCs w:val="21"/>
                      <w:highlight w:val="none"/>
                      <w:lang w:val="en-US" w:eastAsia="zh-CN"/>
                    </w:rPr>
                    <w:t>-49</w:t>
                  </w:r>
                </w:p>
              </w:tc>
              <w:tc>
                <w:tcPr>
                  <w:tcW w:w="911" w:type="dxa"/>
                  <w:noWrap w:val="0"/>
                  <w:vAlign w:val="center"/>
                </w:tcPr>
                <w:p w14:paraId="245046FE">
                  <w:pPr>
                    <w:autoSpaceDE w:val="0"/>
                    <w:autoSpaceDN w:val="0"/>
                    <w:adjustRightInd w:val="0"/>
                    <w:snapToGrid w:val="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电解液</w:t>
                  </w:r>
                </w:p>
              </w:tc>
              <w:tc>
                <w:tcPr>
                  <w:tcW w:w="665" w:type="dxa"/>
                  <w:noWrap w:val="0"/>
                  <w:vAlign w:val="center"/>
                </w:tcPr>
                <w:p w14:paraId="26CF4EA3">
                  <w:pPr>
                    <w:autoSpaceDE w:val="0"/>
                    <w:autoSpaceDN w:val="0"/>
                    <w:adjustRightInd w:val="0"/>
                    <w:snapToGrid w:val="0"/>
                    <w:jc w:val="center"/>
                    <w:rPr>
                      <w:rFonts w:hint="default" w:ascii="Times New Roman" w:hAnsi="Times New Roman" w:eastAsia="宋体" w:cs="Times New Roman"/>
                      <w:color w:val="auto"/>
                      <w:kern w:val="0"/>
                      <w:sz w:val="21"/>
                      <w:szCs w:val="21"/>
                      <w:highlight w:val="none"/>
                      <w:lang w:val="en-US" w:eastAsia="zh-CN"/>
                    </w:rPr>
                  </w:pPr>
                  <w:r>
                    <w:rPr>
                      <w:rFonts w:hint="eastAsia" w:cs="Times New Roman"/>
                      <w:color w:val="auto"/>
                      <w:kern w:val="0"/>
                      <w:sz w:val="21"/>
                      <w:szCs w:val="21"/>
                      <w:highlight w:val="none"/>
                      <w:lang w:val="en-US" w:eastAsia="zh-CN"/>
                    </w:rPr>
                    <w:t>固态</w:t>
                  </w:r>
                </w:p>
              </w:tc>
              <w:tc>
                <w:tcPr>
                  <w:tcW w:w="788" w:type="dxa"/>
                  <w:noWrap w:val="0"/>
                  <w:vAlign w:val="center"/>
                </w:tcPr>
                <w:p w14:paraId="2F16DD06">
                  <w:pPr>
                    <w:autoSpaceDE w:val="0"/>
                    <w:autoSpaceDN w:val="0"/>
                    <w:adjustRightInd w:val="0"/>
                    <w:snapToGrid w:val="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T</w:t>
                  </w:r>
                </w:p>
              </w:tc>
              <w:tc>
                <w:tcPr>
                  <w:tcW w:w="619" w:type="dxa"/>
                  <w:noWrap w:val="0"/>
                  <w:vAlign w:val="center"/>
                </w:tcPr>
                <w:p w14:paraId="2BB6DF61">
                  <w:pPr>
                    <w:autoSpaceDE w:val="0"/>
                    <w:autoSpaceDN w:val="0"/>
                    <w:adjustRightInd w:val="0"/>
                    <w:snapToGrid w:val="0"/>
                    <w:jc w:val="center"/>
                    <w:rPr>
                      <w:rFonts w:hint="default" w:ascii="Times New Roman" w:hAnsi="Times New Roman" w:eastAsia="宋体" w:cs="Times New Roman"/>
                      <w:color w:val="auto"/>
                      <w:kern w:val="0"/>
                      <w:sz w:val="21"/>
                      <w:szCs w:val="21"/>
                      <w:highlight w:val="none"/>
                      <w:lang w:val="en-US" w:eastAsia="zh-CN"/>
                    </w:rPr>
                  </w:pPr>
                  <w:r>
                    <w:rPr>
                      <w:rFonts w:hint="eastAsia" w:cs="Times New Roman"/>
                      <w:color w:val="auto"/>
                      <w:kern w:val="0"/>
                      <w:sz w:val="21"/>
                      <w:szCs w:val="21"/>
                      <w:highlight w:val="none"/>
                      <w:lang w:val="en-US" w:eastAsia="zh-CN"/>
                    </w:rPr>
                    <w:t>1</w:t>
                  </w:r>
                </w:p>
              </w:tc>
              <w:tc>
                <w:tcPr>
                  <w:tcW w:w="935" w:type="dxa"/>
                  <w:vMerge w:val="continue"/>
                  <w:noWrap w:val="0"/>
                  <w:vAlign w:val="center"/>
                </w:tcPr>
                <w:p w14:paraId="7EB4C0FC">
                  <w:pPr>
                    <w:autoSpaceDE w:val="0"/>
                    <w:autoSpaceDN w:val="0"/>
                    <w:adjustRightInd w:val="0"/>
                    <w:snapToGrid w:val="0"/>
                    <w:jc w:val="center"/>
                    <w:rPr>
                      <w:color w:val="auto"/>
                      <w:kern w:val="0"/>
                      <w:sz w:val="21"/>
                      <w:szCs w:val="21"/>
                    </w:rPr>
                  </w:pPr>
                </w:p>
              </w:tc>
            </w:tr>
          </w:tbl>
          <w:p w14:paraId="1D21EC2C">
            <w:pPr>
              <w:keepNext w:val="0"/>
              <w:keepLines w:val="0"/>
              <w:pageBreakBefore w:val="0"/>
              <w:widowControl w:val="0"/>
              <w:kinsoku/>
              <w:wordWrap/>
              <w:overflowPunct/>
              <w:topLinePunct w:val="0"/>
              <w:autoSpaceDE w:val="0"/>
              <w:autoSpaceDN w:val="0"/>
              <w:bidi w:val="0"/>
              <w:adjustRightInd/>
              <w:snapToGrid/>
              <w:spacing w:line="240" w:lineRule="auto"/>
              <w:ind w:left="0" w:right="0" w:firstLine="0" w:firstLineChars="0"/>
              <w:jc w:val="center"/>
              <w:textAlignment w:val="auto"/>
              <w:rPr>
                <w:rFonts w:hint="default" w:ascii="Times New Roman" w:hAnsi="Times New Roman" w:eastAsia="宋体" w:cs="Times New Roman"/>
                <w:b/>
                <w:bCs/>
                <w:color w:val="auto"/>
                <w:kern w:val="0"/>
                <w:sz w:val="21"/>
                <w:szCs w:val="21"/>
                <w:highlight w:val="none"/>
                <w:lang w:val="en-US" w:eastAsia="zh-CN" w:bidi="ar-SA"/>
              </w:rPr>
            </w:pPr>
            <w:r>
              <w:rPr>
                <w:rFonts w:hint="default" w:ascii="Times New Roman" w:hAnsi="Times New Roman" w:eastAsia="宋体" w:cs="Times New Roman"/>
                <w:b/>
                <w:bCs/>
                <w:color w:val="auto"/>
                <w:kern w:val="0"/>
                <w:sz w:val="21"/>
                <w:szCs w:val="21"/>
                <w:highlight w:val="none"/>
                <w:lang w:val="en-US" w:eastAsia="zh-CN" w:bidi="ar-SA"/>
              </w:rPr>
              <w:t>表4-</w:t>
            </w:r>
            <w:r>
              <w:rPr>
                <w:rFonts w:hint="eastAsia" w:cs="Times New Roman"/>
                <w:b/>
                <w:bCs/>
                <w:color w:val="auto"/>
                <w:kern w:val="0"/>
                <w:sz w:val="21"/>
                <w:szCs w:val="21"/>
                <w:highlight w:val="none"/>
                <w:lang w:val="en-US" w:eastAsia="zh-CN" w:bidi="ar-SA"/>
              </w:rPr>
              <w:t>21</w:t>
            </w:r>
            <w:r>
              <w:rPr>
                <w:rFonts w:hint="default" w:ascii="Times New Roman" w:hAnsi="Times New Roman" w:eastAsia="宋体" w:cs="Times New Roman"/>
                <w:b/>
                <w:bCs/>
                <w:color w:val="auto"/>
                <w:kern w:val="0"/>
                <w:sz w:val="21"/>
                <w:szCs w:val="21"/>
                <w:highlight w:val="none"/>
                <w:lang w:val="en-US" w:eastAsia="zh-CN" w:bidi="ar-SA"/>
              </w:rPr>
              <w:t xml:space="preserve"> 危险废物汇总表</w:t>
            </w:r>
          </w:p>
          <w:tbl>
            <w:tblPr>
              <w:tblStyle w:val="41"/>
              <w:tblW w:w="4991" w:type="pct"/>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23" w:type="dxa"/>
                <w:bottom w:w="0" w:type="dxa"/>
                <w:right w:w="23" w:type="dxa"/>
              </w:tblCellMar>
            </w:tblPr>
            <w:tblGrid>
              <w:gridCol w:w="1281"/>
              <w:gridCol w:w="571"/>
              <w:gridCol w:w="893"/>
              <w:gridCol w:w="686"/>
              <w:gridCol w:w="828"/>
              <w:gridCol w:w="433"/>
              <w:gridCol w:w="778"/>
              <w:gridCol w:w="686"/>
              <w:gridCol w:w="569"/>
              <w:gridCol w:w="563"/>
              <w:gridCol w:w="612"/>
            </w:tblGrid>
            <w:tr w14:paraId="7A8E749E">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23" w:type="dxa"/>
                  <w:bottom w:w="0" w:type="dxa"/>
                  <w:right w:w="23" w:type="dxa"/>
                </w:tblCellMar>
              </w:tblPrEx>
              <w:trPr>
                <w:trHeight w:val="340" w:hRule="atLeast"/>
                <w:jc w:val="center"/>
              </w:trPr>
              <w:tc>
                <w:tcPr>
                  <w:tcW w:w="810" w:type="pct"/>
                  <w:noWrap w:val="0"/>
                  <w:vAlign w:val="center"/>
                </w:tcPr>
                <w:p w14:paraId="5C2365F0">
                  <w:pPr>
                    <w:autoSpaceDE w:val="0"/>
                    <w:autoSpaceDN w:val="0"/>
                    <w:adjustRightInd w:val="0"/>
                    <w:snapToGrid w:val="0"/>
                    <w:jc w:val="center"/>
                    <w:rPr>
                      <w:rFonts w:hint="default" w:ascii="Times New Roman" w:hAnsi="Times New Roman" w:eastAsia="宋体" w:cs="Times New Roman"/>
                      <w:b/>
                      <w:color w:val="auto"/>
                      <w:kern w:val="0"/>
                      <w:sz w:val="21"/>
                      <w:szCs w:val="21"/>
                      <w:lang w:val="en-US" w:eastAsia="zh-CN"/>
                    </w:rPr>
                  </w:pPr>
                  <w:r>
                    <w:rPr>
                      <w:rFonts w:hint="default" w:ascii="Times New Roman" w:hAnsi="Times New Roman" w:eastAsia="宋体" w:cs="Times New Roman"/>
                      <w:b/>
                      <w:color w:val="auto"/>
                      <w:kern w:val="0"/>
                      <w:sz w:val="21"/>
                      <w:szCs w:val="21"/>
                      <w:lang w:val="en-US" w:eastAsia="zh-CN"/>
                    </w:rPr>
                    <w:t>名称</w:t>
                  </w:r>
                </w:p>
              </w:tc>
              <w:tc>
                <w:tcPr>
                  <w:tcW w:w="361" w:type="pct"/>
                  <w:noWrap w:val="0"/>
                  <w:vAlign w:val="center"/>
                </w:tcPr>
                <w:p w14:paraId="75800640">
                  <w:pPr>
                    <w:autoSpaceDE w:val="0"/>
                    <w:autoSpaceDN w:val="0"/>
                    <w:adjustRightInd w:val="0"/>
                    <w:snapToGrid w:val="0"/>
                    <w:jc w:val="center"/>
                    <w:rPr>
                      <w:rFonts w:hint="default" w:ascii="Times New Roman" w:hAnsi="Times New Roman" w:eastAsia="宋体" w:cs="Times New Roman"/>
                      <w:b/>
                      <w:color w:val="auto"/>
                      <w:kern w:val="0"/>
                      <w:sz w:val="21"/>
                      <w:szCs w:val="21"/>
                      <w:lang w:val="en-US" w:eastAsia="zh-CN"/>
                    </w:rPr>
                  </w:pPr>
                  <w:r>
                    <w:rPr>
                      <w:rFonts w:hint="default" w:ascii="Times New Roman" w:hAnsi="Times New Roman" w:eastAsia="宋体" w:cs="Times New Roman"/>
                      <w:b/>
                      <w:color w:val="auto"/>
                      <w:kern w:val="0"/>
                      <w:sz w:val="21"/>
                      <w:szCs w:val="21"/>
                      <w:lang w:val="en-US" w:eastAsia="zh-CN"/>
                    </w:rPr>
                    <w:t>危废类别</w:t>
                  </w:r>
                </w:p>
              </w:tc>
              <w:tc>
                <w:tcPr>
                  <w:tcW w:w="565" w:type="pct"/>
                  <w:noWrap w:val="0"/>
                  <w:vAlign w:val="center"/>
                </w:tcPr>
                <w:p w14:paraId="42D55887">
                  <w:pPr>
                    <w:autoSpaceDE w:val="0"/>
                    <w:autoSpaceDN w:val="0"/>
                    <w:adjustRightInd w:val="0"/>
                    <w:snapToGrid w:val="0"/>
                    <w:jc w:val="center"/>
                    <w:rPr>
                      <w:rFonts w:hint="default" w:ascii="Times New Roman" w:hAnsi="Times New Roman" w:eastAsia="宋体" w:cs="Times New Roman"/>
                      <w:b/>
                      <w:color w:val="auto"/>
                      <w:kern w:val="0"/>
                      <w:sz w:val="21"/>
                      <w:szCs w:val="21"/>
                      <w:lang w:val="en-US" w:eastAsia="zh-CN"/>
                    </w:rPr>
                  </w:pPr>
                  <w:r>
                    <w:rPr>
                      <w:rFonts w:hint="default" w:ascii="Times New Roman" w:hAnsi="Times New Roman" w:eastAsia="宋体" w:cs="Times New Roman"/>
                      <w:b/>
                      <w:color w:val="auto"/>
                      <w:kern w:val="0"/>
                      <w:sz w:val="21"/>
                      <w:szCs w:val="21"/>
                      <w:lang w:val="en-US" w:eastAsia="zh-CN"/>
                    </w:rPr>
                    <w:t>危废代码</w:t>
                  </w:r>
                </w:p>
              </w:tc>
              <w:tc>
                <w:tcPr>
                  <w:tcW w:w="434" w:type="pct"/>
                  <w:noWrap w:val="0"/>
                  <w:vAlign w:val="center"/>
                </w:tcPr>
                <w:p w14:paraId="2E5E90BA">
                  <w:pPr>
                    <w:autoSpaceDE w:val="0"/>
                    <w:autoSpaceDN w:val="0"/>
                    <w:adjustRightInd w:val="0"/>
                    <w:snapToGrid w:val="0"/>
                    <w:jc w:val="center"/>
                    <w:rPr>
                      <w:rFonts w:hint="default" w:ascii="Times New Roman" w:hAnsi="Times New Roman" w:eastAsia="宋体" w:cs="Times New Roman"/>
                      <w:b/>
                      <w:color w:val="auto"/>
                      <w:kern w:val="0"/>
                      <w:sz w:val="21"/>
                      <w:szCs w:val="21"/>
                      <w:lang w:val="en-US" w:eastAsia="zh-CN"/>
                    </w:rPr>
                  </w:pPr>
                  <w:r>
                    <w:rPr>
                      <w:rFonts w:hint="default" w:ascii="Times New Roman" w:hAnsi="Times New Roman" w:eastAsia="宋体" w:cs="Times New Roman"/>
                      <w:b/>
                      <w:color w:val="auto"/>
                      <w:kern w:val="0"/>
                      <w:sz w:val="21"/>
                      <w:szCs w:val="21"/>
                      <w:lang w:val="en-US" w:eastAsia="zh-CN"/>
                    </w:rPr>
                    <w:t>年产量t/a</w:t>
                  </w:r>
                </w:p>
              </w:tc>
              <w:tc>
                <w:tcPr>
                  <w:tcW w:w="524" w:type="pct"/>
                  <w:noWrap w:val="0"/>
                  <w:vAlign w:val="center"/>
                </w:tcPr>
                <w:p w14:paraId="3E6BBCFC">
                  <w:pPr>
                    <w:autoSpaceDE w:val="0"/>
                    <w:autoSpaceDN w:val="0"/>
                    <w:adjustRightInd w:val="0"/>
                    <w:snapToGrid w:val="0"/>
                    <w:jc w:val="center"/>
                    <w:rPr>
                      <w:rFonts w:hint="default" w:ascii="Times New Roman" w:hAnsi="Times New Roman" w:eastAsia="宋体" w:cs="Times New Roman"/>
                      <w:b/>
                      <w:color w:val="auto"/>
                      <w:kern w:val="0"/>
                      <w:sz w:val="21"/>
                      <w:szCs w:val="21"/>
                      <w:lang w:val="en-US" w:eastAsia="zh-CN"/>
                    </w:rPr>
                  </w:pPr>
                  <w:r>
                    <w:rPr>
                      <w:rFonts w:hint="default" w:ascii="Times New Roman" w:hAnsi="Times New Roman" w:eastAsia="宋体" w:cs="Times New Roman"/>
                      <w:b/>
                      <w:color w:val="auto"/>
                      <w:kern w:val="0"/>
                      <w:sz w:val="21"/>
                      <w:szCs w:val="21"/>
                      <w:lang w:val="en-US" w:eastAsia="zh-CN"/>
                    </w:rPr>
                    <w:t>生产工序</w:t>
                  </w:r>
                </w:p>
              </w:tc>
              <w:tc>
                <w:tcPr>
                  <w:tcW w:w="274" w:type="pct"/>
                  <w:noWrap w:val="0"/>
                  <w:vAlign w:val="center"/>
                </w:tcPr>
                <w:p w14:paraId="517567AA">
                  <w:pPr>
                    <w:autoSpaceDE w:val="0"/>
                    <w:autoSpaceDN w:val="0"/>
                    <w:adjustRightInd w:val="0"/>
                    <w:snapToGrid w:val="0"/>
                    <w:jc w:val="center"/>
                    <w:rPr>
                      <w:rFonts w:hint="default" w:ascii="Times New Roman" w:hAnsi="Times New Roman" w:eastAsia="宋体" w:cs="Times New Roman"/>
                      <w:b/>
                      <w:color w:val="auto"/>
                      <w:kern w:val="0"/>
                      <w:sz w:val="21"/>
                      <w:szCs w:val="21"/>
                      <w:lang w:val="en-US" w:eastAsia="zh-CN"/>
                    </w:rPr>
                  </w:pPr>
                  <w:r>
                    <w:rPr>
                      <w:rFonts w:hint="default" w:ascii="Times New Roman" w:hAnsi="Times New Roman" w:eastAsia="宋体" w:cs="Times New Roman"/>
                      <w:b/>
                      <w:color w:val="auto"/>
                      <w:kern w:val="0"/>
                      <w:sz w:val="21"/>
                      <w:szCs w:val="21"/>
                      <w:lang w:val="en-US" w:eastAsia="zh-CN"/>
                    </w:rPr>
                    <w:t>形态</w:t>
                  </w:r>
                </w:p>
              </w:tc>
              <w:tc>
                <w:tcPr>
                  <w:tcW w:w="492" w:type="pct"/>
                  <w:noWrap w:val="0"/>
                  <w:vAlign w:val="center"/>
                </w:tcPr>
                <w:p w14:paraId="45EE3928">
                  <w:pPr>
                    <w:autoSpaceDE w:val="0"/>
                    <w:autoSpaceDN w:val="0"/>
                    <w:adjustRightInd w:val="0"/>
                    <w:snapToGrid w:val="0"/>
                    <w:jc w:val="center"/>
                    <w:rPr>
                      <w:rFonts w:hint="default" w:ascii="Times New Roman" w:hAnsi="Times New Roman" w:eastAsia="宋体" w:cs="Times New Roman"/>
                      <w:b/>
                      <w:color w:val="auto"/>
                      <w:kern w:val="0"/>
                      <w:sz w:val="21"/>
                      <w:szCs w:val="21"/>
                      <w:lang w:val="en-US" w:eastAsia="zh-CN"/>
                    </w:rPr>
                  </w:pPr>
                  <w:r>
                    <w:rPr>
                      <w:rFonts w:hint="default" w:ascii="Times New Roman" w:hAnsi="Times New Roman" w:eastAsia="宋体" w:cs="Times New Roman"/>
                      <w:b/>
                      <w:color w:val="auto"/>
                      <w:kern w:val="0"/>
                      <w:sz w:val="21"/>
                      <w:szCs w:val="21"/>
                      <w:lang w:val="en-US" w:eastAsia="zh-CN"/>
                    </w:rPr>
                    <w:t>主要成分</w:t>
                  </w:r>
                </w:p>
              </w:tc>
              <w:tc>
                <w:tcPr>
                  <w:tcW w:w="434" w:type="pct"/>
                  <w:noWrap w:val="0"/>
                  <w:vAlign w:val="center"/>
                </w:tcPr>
                <w:p w14:paraId="03E0F647">
                  <w:pPr>
                    <w:autoSpaceDE w:val="0"/>
                    <w:autoSpaceDN w:val="0"/>
                    <w:adjustRightInd w:val="0"/>
                    <w:snapToGrid w:val="0"/>
                    <w:jc w:val="center"/>
                    <w:rPr>
                      <w:rFonts w:hint="default" w:ascii="Times New Roman" w:hAnsi="Times New Roman" w:eastAsia="宋体" w:cs="Times New Roman"/>
                      <w:b/>
                      <w:color w:val="auto"/>
                      <w:kern w:val="0"/>
                      <w:sz w:val="21"/>
                      <w:szCs w:val="21"/>
                      <w:lang w:val="en-US" w:eastAsia="zh-CN"/>
                    </w:rPr>
                  </w:pPr>
                  <w:r>
                    <w:rPr>
                      <w:rFonts w:hint="default" w:ascii="Times New Roman" w:hAnsi="Times New Roman" w:eastAsia="宋体" w:cs="Times New Roman"/>
                      <w:b/>
                      <w:color w:val="auto"/>
                      <w:kern w:val="0"/>
                      <w:sz w:val="21"/>
                      <w:szCs w:val="21"/>
                      <w:lang w:val="en-US" w:eastAsia="zh-CN"/>
                    </w:rPr>
                    <w:t>有害成分</w:t>
                  </w:r>
                </w:p>
              </w:tc>
              <w:tc>
                <w:tcPr>
                  <w:tcW w:w="360" w:type="pct"/>
                  <w:noWrap w:val="0"/>
                  <w:vAlign w:val="center"/>
                </w:tcPr>
                <w:p w14:paraId="47BACC91">
                  <w:pPr>
                    <w:autoSpaceDE w:val="0"/>
                    <w:autoSpaceDN w:val="0"/>
                    <w:adjustRightInd w:val="0"/>
                    <w:snapToGrid w:val="0"/>
                    <w:jc w:val="center"/>
                    <w:rPr>
                      <w:rFonts w:hint="default" w:ascii="Times New Roman" w:hAnsi="Times New Roman" w:eastAsia="宋体" w:cs="Times New Roman"/>
                      <w:b/>
                      <w:color w:val="auto"/>
                      <w:kern w:val="0"/>
                      <w:sz w:val="21"/>
                      <w:szCs w:val="21"/>
                      <w:lang w:val="en-US" w:eastAsia="zh-CN"/>
                    </w:rPr>
                  </w:pPr>
                  <w:r>
                    <w:rPr>
                      <w:rFonts w:hint="default" w:ascii="Times New Roman" w:hAnsi="Times New Roman" w:eastAsia="宋体" w:cs="Times New Roman"/>
                      <w:b/>
                      <w:color w:val="auto"/>
                      <w:kern w:val="0"/>
                      <w:sz w:val="21"/>
                      <w:szCs w:val="21"/>
                      <w:lang w:val="en-US" w:eastAsia="zh-CN"/>
                    </w:rPr>
                    <w:t>产废周期</w:t>
                  </w:r>
                </w:p>
              </w:tc>
              <w:tc>
                <w:tcPr>
                  <w:tcW w:w="356" w:type="pct"/>
                  <w:noWrap w:val="0"/>
                  <w:vAlign w:val="center"/>
                </w:tcPr>
                <w:p w14:paraId="394DA28A">
                  <w:pPr>
                    <w:autoSpaceDE w:val="0"/>
                    <w:autoSpaceDN w:val="0"/>
                    <w:adjustRightInd w:val="0"/>
                    <w:snapToGrid w:val="0"/>
                    <w:jc w:val="center"/>
                    <w:rPr>
                      <w:rFonts w:hint="default" w:ascii="Times New Roman" w:hAnsi="Times New Roman" w:eastAsia="宋体" w:cs="Times New Roman"/>
                      <w:b/>
                      <w:color w:val="auto"/>
                      <w:kern w:val="0"/>
                      <w:sz w:val="21"/>
                      <w:szCs w:val="21"/>
                      <w:lang w:val="en-US" w:eastAsia="zh-CN"/>
                    </w:rPr>
                  </w:pPr>
                  <w:r>
                    <w:rPr>
                      <w:rFonts w:hint="default" w:ascii="Times New Roman" w:hAnsi="Times New Roman" w:eastAsia="宋体" w:cs="Times New Roman"/>
                      <w:b/>
                      <w:color w:val="auto"/>
                      <w:kern w:val="0"/>
                      <w:sz w:val="21"/>
                      <w:szCs w:val="21"/>
                      <w:lang w:val="en-US" w:eastAsia="zh-CN"/>
                    </w:rPr>
                    <w:t>危废特性</w:t>
                  </w:r>
                </w:p>
              </w:tc>
              <w:tc>
                <w:tcPr>
                  <w:tcW w:w="387" w:type="pct"/>
                  <w:noWrap w:val="0"/>
                  <w:vAlign w:val="center"/>
                </w:tcPr>
                <w:p w14:paraId="7FFC9BE8">
                  <w:pPr>
                    <w:autoSpaceDE w:val="0"/>
                    <w:autoSpaceDN w:val="0"/>
                    <w:adjustRightInd w:val="0"/>
                    <w:snapToGrid w:val="0"/>
                    <w:jc w:val="center"/>
                    <w:rPr>
                      <w:rFonts w:hint="default" w:ascii="Times New Roman" w:hAnsi="Times New Roman" w:eastAsia="宋体" w:cs="Times New Roman"/>
                      <w:b/>
                      <w:color w:val="auto"/>
                      <w:kern w:val="0"/>
                      <w:sz w:val="21"/>
                      <w:szCs w:val="21"/>
                      <w:lang w:val="en-US" w:eastAsia="zh-CN"/>
                    </w:rPr>
                  </w:pPr>
                  <w:r>
                    <w:rPr>
                      <w:rFonts w:hint="default" w:ascii="Times New Roman" w:hAnsi="Times New Roman" w:eastAsia="宋体" w:cs="Times New Roman"/>
                      <w:b/>
                      <w:color w:val="auto"/>
                      <w:kern w:val="0"/>
                      <w:sz w:val="21"/>
                      <w:szCs w:val="21"/>
                      <w:lang w:val="en-US" w:eastAsia="zh-CN"/>
                    </w:rPr>
                    <w:t>污染防治措施</w:t>
                  </w:r>
                </w:p>
              </w:tc>
            </w:tr>
            <w:tr w14:paraId="7FC51A8F">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23" w:type="dxa"/>
                  <w:bottom w:w="0" w:type="dxa"/>
                  <w:right w:w="23" w:type="dxa"/>
                </w:tblCellMar>
              </w:tblPrEx>
              <w:trPr>
                <w:trHeight w:val="340" w:hRule="atLeast"/>
                <w:jc w:val="center"/>
              </w:trPr>
              <w:tc>
                <w:tcPr>
                  <w:tcW w:w="810" w:type="pct"/>
                  <w:noWrap w:val="0"/>
                  <w:vAlign w:val="center"/>
                </w:tcPr>
                <w:p w14:paraId="1A5298D7">
                  <w:pPr>
                    <w:autoSpaceDE w:val="0"/>
                    <w:autoSpaceDN w:val="0"/>
                    <w:adjustRightInd w:val="0"/>
                    <w:snapToGrid w:val="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废活性炭</w:t>
                  </w:r>
                </w:p>
              </w:tc>
              <w:tc>
                <w:tcPr>
                  <w:tcW w:w="361" w:type="pct"/>
                  <w:noWrap w:val="0"/>
                  <w:vAlign w:val="center"/>
                </w:tcPr>
                <w:p w14:paraId="63B8FD8A">
                  <w:pPr>
                    <w:autoSpaceDE w:val="0"/>
                    <w:autoSpaceDN w:val="0"/>
                    <w:adjustRightInd w:val="0"/>
                    <w:snapToGrid w:val="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HW49</w:t>
                  </w:r>
                </w:p>
              </w:tc>
              <w:tc>
                <w:tcPr>
                  <w:tcW w:w="565" w:type="pct"/>
                  <w:shd w:val="clear" w:color="auto" w:fill="auto"/>
                  <w:noWrap w:val="0"/>
                  <w:vAlign w:val="center"/>
                </w:tcPr>
                <w:p w14:paraId="4934A8C8">
                  <w:pPr>
                    <w:autoSpaceDE w:val="0"/>
                    <w:autoSpaceDN w:val="0"/>
                    <w:adjustRightInd w:val="0"/>
                    <w:snapToGrid w:val="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900-039-49</w:t>
                  </w:r>
                </w:p>
              </w:tc>
              <w:tc>
                <w:tcPr>
                  <w:tcW w:w="434" w:type="pct"/>
                  <w:shd w:val="clear" w:color="auto" w:fill="auto"/>
                  <w:noWrap w:val="0"/>
                  <w:vAlign w:val="center"/>
                </w:tcPr>
                <w:p w14:paraId="28B0ECA4">
                  <w:pPr>
                    <w:autoSpaceDE w:val="0"/>
                    <w:autoSpaceDN w:val="0"/>
                    <w:adjustRightInd w:val="0"/>
                    <w:snapToGrid w:val="0"/>
                    <w:jc w:val="center"/>
                    <w:rPr>
                      <w:rFonts w:hint="default" w:ascii="Times New Roman" w:hAnsi="Times New Roman" w:eastAsia="宋体" w:cs="Times New Roman"/>
                      <w:color w:val="auto"/>
                      <w:kern w:val="0"/>
                      <w:sz w:val="21"/>
                      <w:szCs w:val="21"/>
                      <w:highlight w:val="none"/>
                      <w:lang w:val="en-US" w:eastAsia="zh-CN"/>
                    </w:rPr>
                  </w:pPr>
                  <w:r>
                    <w:rPr>
                      <w:rFonts w:hint="eastAsia" w:cs="Times New Roman"/>
                      <w:color w:val="auto"/>
                      <w:kern w:val="0"/>
                      <w:sz w:val="21"/>
                      <w:szCs w:val="21"/>
                      <w:highlight w:val="none"/>
                      <w:lang w:val="en-US" w:eastAsia="zh-CN"/>
                    </w:rPr>
                    <w:t>14.7642</w:t>
                  </w:r>
                </w:p>
              </w:tc>
              <w:tc>
                <w:tcPr>
                  <w:tcW w:w="524" w:type="pct"/>
                  <w:shd w:val="clear" w:color="auto" w:fill="auto"/>
                  <w:noWrap w:val="0"/>
                  <w:vAlign w:val="center"/>
                </w:tcPr>
                <w:p w14:paraId="2B8E6A48">
                  <w:pPr>
                    <w:autoSpaceDE w:val="0"/>
                    <w:autoSpaceDN w:val="0"/>
                    <w:adjustRightInd w:val="0"/>
                    <w:snapToGrid w:val="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废气处理</w:t>
                  </w:r>
                </w:p>
              </w:tc>
              <w:tc>
                <w:tcPr>
                  <w:tcW w:w="274" w:type="pct"/>
                  <w:noWrap w:val="0"/>
                  <w:vAlign w:val="center"/>
                </w:tcPr>
                <w:p w14:paraId="006441CA">
                  <w:pPr>
                    <w:autoSpaceDE w:val="0"/>
                    <w:autoSpaceDN w:val="0"/>
                    <w:adjustRightInd w:val="0"/>
                    <w:snapToGrid w:val="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固</w:t>
                  </w:r>
                  <w:r>
                    <w:rPr>
                      <w:rFonts w:hint="eastAsia" w:ascii="Times New Roman" w:hAnsi="Times New Roman" w:eastAsia="宋体" w:cs="Times New Roman"/>
                      <w:color w:val="auto"/>
                      <w:kern w:val="0"/>
                      <w:sz w:val="21"/>
                      <w:szCs w:val="21"/>
                      <w:highlight w:val="none"/>
                      <w:lang w:val="en-US" w:eastAsia="zh-CN"/>
                    </w:rPr>
                    <w:t>态</w:t>
                  </w:r>
                </w:p>
              </w:tc>
              <w:tc>
                <w:tcPr>
                  <w:tcW w:w="492" w:type="pct"/>
                  <w:noWrap w:val="0"/>
                  <w:vAlign w:val="center"/>
                </w:tcPr>
                <w:p w14:paraId="3832D20B">
                  <w:pPr>
                    <w:autoSpaceDE w:val="0"/>
                    <w:autoSpaceDN w:val="0"/>
                    <w:adjustRightInd w:val="0"/>
                    <w:snapToGrid w:val="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废活性炭</w:t>
                  </w:r>
                </w:p>
              </w:tc>
              <w:tc>
                <w:tcPr>
                  <w:tcW w:w="434" w:type="pct"/>
                  <w:noWrap w:val="0"/>
                  <w:vAlign w:val="center"/>
                </w:tcPr>
                <w:p w14:paraId="5AAF50DA">
                  <w:pPr>
                    <w:autoSpaceDE w:val="0"/>
                    <w:autoSpaceDN w:val="0"/>
                    <w:adjustRightInd w:val="0"/>
                    <w:snapToGrid w:val="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 xml:space="preserve">挥发性 </w:t>
                  </w:r>
                </w:p>
                <w:p w14:paraId="73723C7A">
                  <w:pPr>
                    <w:autoSpaceDE w:val="0"/>
                    <w:autoSpaceDN w:val="0"/>
                    <w:adjustRightInd w:val="0"/>
                    <w:snapToGrid w:val="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有机物</w:t>
                  </w:r>
                </w:p>
              </w:tc>
              <w:tc>
                <w:tcPr>
                  <w:tcW w:w="360" w:type="pct"/>
                  <w:noWrap w:val="0"/>
                  <w:vAlign w:val="center"/>
                </w:tcPr>
                <w:p w14:paraId="53CE4177">
                  <w:pPr>
                    <w:autoSpaceDE w:val="0"/>
                    <w:autoSpaceDN w:val="0"/>
                    <w:adjustRightInd w:val="0"/>
                    <w:snapToGrid w:val="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3个月</w:t>
                  </w:r>
                  <w:r>
                    <w:rPr>
                      <w:rFonts w:hint="default" w:ascii="Times New Roman" w:hAnsi="Times New Roman" w:eastAsia="宋体" w:cs="Times New Roman"/>
                      <w:color w:val="auto"/>
                      <w:kern w:val="0"/>
                      <w:sz w:val="21"/>
                      <w:szCs w:val="21"/>
                      <w:highlight w:val="none"/>
                      <w:lang w:val="en-US" w:eastAsia="zh-CN"/>
                    </w:rPr>
                    <w:t>/次</w:t>
                  </w:r>
                </w:p>
              </w:tc>
              <w:tc>
                <w:tcPr>
                  <w:tcW w:w="356" w:type="pct"/>
                  <w:noWrap w:val="0"/>
                  <w:vAlign w:val="center"/>
                </w:tcPr>
                <w:p w14:paraId="2F27CD44">
                  <w:pPr>
                    <w:autoSpaceDE w:val="0"/>
                    <w:autoSpaceDN w:val="0"/>
                    <w:adjustRightInd w:val="0"/>
                    <w:snapToGrid w:val="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T</w:t>
                  </w:r>
                </w:p>
              </w:tc>
              <w:tc>
                <w:tcPr>
                  <w:tcW w:w="387" w:type="pct"/>
                  <w:vMerge w:val="restart"/>
                  <w:noWrap w:val="0"/>
                  <w:vAlign w:val="center"/>
                </w:tcPr>
                <w:p w14:paraId="5A1CD9F5">
                  <w:pPr>
                    <w:keepNext w:val="0"/>
                    <w:keepLines w:val="0"/>
                    <w:pageBreakBefore w:val="0"/>
                    <w:widowControl w:val="0"/>
                    <w:kinsoku/>
                    <w:wordWrap/>
                    <w:overflowPunct/>
                    <w:topLinePunct w:val="0"/>
                    <w:autoSpaceDE w:val="0"/>
                    <w:autoSpaceDN w:val="0"/>
                    <w:bidi w:val="0"/>
                    <w:adjustRightIn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分类暂存于危废库，定期交由有资质单位处置</w:t>
                  </w:r>
                </w:p>
              </w:tc>
            </w:tr>
            <w:tr w14:paraId="19BE75F3">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23" w:type="dxa"/>
                  <w:bottom w:w="0" w:type="dxa"/>
                  <w:right w:w="23" w:type="dxa"/>
                </w:tblCellMar>
              </w:tblPrEx>
              <w:trPr>
                <w:trHeight w:val="340" w:hRule="atLeast"/>
                <w:jc w:val="center"/>
              </w:trPr>
              <w:tc>
                <w:tcPr>
                  <w:tcW w:w="810" w:type="pct"/>
                  <w:noWrap w:val="0"/>
                  <w:vAlign w:val="center"/>
                </w:tcPr>
                <w:p w14:paraId="62BA2516">
                  <w:pPr>
                    <w:autoSpaceDE w:val="0"/>
                    <w:autoSpaceDN w:val="0"/>
                    <w:adjustRightInd w:val="0"/>
                    <w:snapToGrid w:val="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废水处理污泥</w:t>
                  </w:r>
                </w:p>
              </w:tc>
              <w:tc>
                <w:tcPr>
                  <w:tcW w:w="361" w:type="pct"/>
                  <w:noWrap w:val="0"/>
                  <w:vAlign w:val="center"/>
                </w:tcPr>
                <w:p w14:paraId="7E647A97">
                  <w:pPr>
                    <w:autoSpaceDE w:val="0"/>
                    <w:autoSpaceDN w:val="0"/>
                    <w:adjustRightInd w:val="0"/>
                    <w:snapToGrid w:val="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HW49</w:t>
                  </w:r>
                </w:p>
              </w:tc>
              <w:tc>
                <w:tcPr>
                  <w:tcW w:w="565" w:type="pct"/>
                  <w:shd w:val="clear" w:color="auto" w:fill="auto"/>
                  <w:noWrap w:val="0"/>
                  <w:vAlign w:val="center"/>
                </w:tcPr>
                <w:p w14:paraId="09EB5E1F">
                  <w:pPr>
                    <w:autoSpaceDE w:val="0"/>
                    <w:autoSpaceDN w:val="0"/>
                    <w:adjustRightInd w:val="0"/>
                    <w:snapToGrid w:val="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772-006-49</w:t>
                  </w:r>
                </w:p>
              </w:tc>
              <w:tc>
                <w:tcPr>
                  <w:tcW w:w="434" w:type="pct"/>
                  <w:shd w:val="clear" w:color="auto" w:fill="auto"/>
                  <w:noWrap w:val="0"/>
                  <w:vAlign w:val="center"/>
                </w:tcPr>
                <w:p w14:paraId="154088F9">
                  <w:pPr>
                    <w:autoSpaceDE w:val="0"/>
                    <w:autoSpaceDN w:val="0"/>
                    <w:adjustRightInd w:val="0"/>
                    <w:snapToGrid w:val="0"/>
                    <w:jc w:val="center"/>
                    <w:rPr>
                      <w:rFonts w:hint="default" w:ascii="Times New Roman" w:hAnsi="Times New Roman" w:eastAsia="宋体" w:cs="Times New Roman"/>
                      <w:color w:val="auto"/>
                      <w:kern w:val="0"/>
                      <w:sz w:val="21"/>
                      <w:szCs w:val="21"/>
                      <w:highlight w:val="none"/>
                      <w:lang w:val="en-US" w:eastAsia="zh-CN"/>
                    </w:rPr>
                  </w:pPr>
                  <w:r>
                    <w:rPr>
                      <w:rFonts w:hint="eastAsia" w:cs="Times New Roman"/>
                      <w:color w:val="auto"/>
                      <w:kern w:val="0"/>
                      <w:sz w:val="21"/>
                      <w:szCs w:val="21"/>
                      <w:highlight w:val="none"/>
                      <w:lang w:val="en-US" w:eastAsia="zh-CN"/>
                    </w:rPr>
                    <w:t>0.13</w:t>
                  </w:r>
                </w:p>
              </w:tc>
              <w:tc>
                <w:tcPr>
                  <w:tcW w:w="524" w:type="pct"/>
                  <w:shd w:val="clear" w:color="auto" w:fill="auto"/>
                  <w:noWrap w:val="0"/>
                  <w:vAlign w:val="center"/>
                </w:tcPr>
                <w:p w14:paraId="7C5B288C">
                  <w:pPr>
                    <w:autoSpaceDE w:val="0"/>
                    <w:autoSpaceDN w:val="0"/>
                    <w:adjustRightInd w:val="0"/>
                    <w:snapToGrid w:val="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废水处理</w:t>
                  </w:r>
                </w:p>
              </w:tc>
              <w:tc>
                <w:tcPr>
                  <w:tcW w:w="274" w:type="pct"/>
                  <w:noWrap w:val="0"/>
                  <w:vAlign w:val="center"/>
                </w:tcPr>
                <w:p w14:paraId="0F5A8565">
                  <w:pPr>
                    <w:autoSpaceDE w:val="0"/>
                    <w:autoSpaceDN w:val="0"/>
                    <w:adjustRightInd w:val="0"/>
                    <w:snapToGrid w:val="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固</w:t>
                  </w:r>
                  <w:r>
                    <w:rPr>
                      <w:rFonts w:hint="eastAsia" w:ascii="Times New Roman" w:hAnsi="Times New Roman" w:eastAsia="宋体" w:cs="Times New Roman"/>
                      <w:color w:val="auto"/>
                      <w:kern w:val="0"/>
                      <w:sz w:val="21"/>
                      <w:szCs w:val="21"/>
                      <w:highlight w:val="none"/>
                      <w:lang w:val="en-US" w:eastAsia="zh-CN"/>
                    </w:rPr>
                    <w:t>态</w:t>
                  </w:r>
                </w:p>
              </w:tc>
              <w:tc>
                <w:tcPr>
                  <w:tcW w:w="492" w:type="pct"/>
                  <w:noWrap w:val="0"/>
                  <w:vAlign w:val="center"/>
                </w:tcPr>
                <w:p w14:paraId="3996350F">
                  <w:pPr>
                    <w:autoSpaceDE w:val="0"/>
                    <w:autoSpaceDN w:val="0"/>
                    <w:adjustRightInd w:val="0"/>
                    <w:snapToGrid w:val="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污泥</w:t>
                  </w:r>
                </w:p>
              </w:tc>
              <w:tc>
                <w:tcPr>
                  <w:tcW w:w="434" w:type="pct"/>
                  <w:noWrap w:val="0"/>
                  <w:vAlign w:val="center"/>
                </w:tcPr>
                <w:p w14:paraId="6C90E5C9">
                  <w:pPr>
                    <w:autoSpaceDE w:val="0"/>
                    <w:autoSpaceDN w:val="0"/>
                    <w:adjustRightInd w:val="0"/>
                    <w:snapToGrid w:val="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污泥</w:t>
                  </w:r>
                </w:p>
              </w:tc>
              <w:tc>
                <w:tcPr>
                  <w:tcW w:w="360" w:type="pct"/>
                  <w:noWrap w:val="0"/>
                  <w:vAlign w:val="center"/>
                </w:tcPr>
                <w:p w14:paraId="77AAA84E">
                  <w:pPr>
                    <w:autoSpaceDE w:val="0"/>
                    <w:autoSpaceDN w:val="0"/>
                    <w:adjustRightInd w:val="0"/>
                    <w:snapToGrid w:val="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月/次</w:t>
                  </w:r>
                </w:p>
              </w:tc>
              <w:tc>
                <w:tcPr>
                  <w:tcW w:w="356" w:type="pct"/>
                  <w:noWrap w:val="0"/>
                  <w:vAlign w:val="center"/>
                </w:tcPr>
                <w:p w14:paraId="752143BE">
                  <w:pPr>
                    <w:autoSpaceDE w:val="0"/>
                    <w:autoSpaceDN w:val="0"/>
                    <w:adjustRightInd w:val="0"/>
                    <w:snapToGrid w:val="0"/>
                    <w:jc w:val="center"/>
                    <w:rPr>
                      <w:rFonts w:hint="default" w:ascii="Times New Roman" w:hAnsi="Times New Roman" w:eastAsia="宋体" w:cs="Times New Roman"/>
                      <w:color w:val="auto"/>
                      <w:kern w:val="0"/>
                      <w:sz w:val="21"/>
                      <w:szCs w:val="21"/>
                      <w:highlight w:val="none"/>
                      <w:lang w:val="en-US" w:eastAsia="zh-CN"/>
                    </w:rPr>
                  </w:pPr>
                  <w:r>
                    <w:rPr>
                      <w:color w:val="auto"/>
                      <w:kern w:val="0"/>
                      <w:sz w:val="21"/>
                      <w:szCs w:val="21"/>
                    </w:rPr>
                    <w:t>T/In</w:t>
                  </w:r>
                </w:p>
              </w:tc>
              <w:tc>
                <w:tcPr>
                  <w:tcW w:w="387" w:type="pct"/>
                  <w:vMerge w:val="continue"/>
                  <w:noWrap w:val="0"/>
                  <w:vAlign w:val="center"/>
                </w:tcPr>
                <w:p w14:paraId="7E7710F2">
                  <w:pPr>
                    <w:keepNext w:val="0"/>
                    <w:keepLines w:val="0"/>
                    <w:pageBreakBefore w:val="0"/>
                    <w:widowControl w:val="0"/>
                    <w:kinsoku/>
                    <w:wordWrap/>
                    <w:overflowPunct/>
                    <w:topLinePunct w:val="0"/>
                    <w:autoSpaceDE w:val="0"/>
                    <w:autoSpaceDN w:val="0"/>
                    <w:bidi w:val="0"/>
                    <w:adjustRightIn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p>
              </w:tc>
            </w:tr>
            <w:tr w14:paraId="169E7A90">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23" w:type="dxa"/>
                  <w:bottom w:w="0" w:type="dxa"/>
                  <w:right w:w="23" w:type="dxa"/>
                </w:tblCellMar>
              </w:tblPrEx>
              <w:trPr>
                <w:trHeight w:val="340" w:hRule="atLeast"/>
                <w:jc w:val="center"/>
              </w:trPr>
              <w:tc>
                <w:tcPr>
                  <w:tcW w:w="810" w:type="pct"/>
                  <w:noWrap w:val="0"/>
                  <w:vAlign w:val="center"/>
                </w:tcPr>
                <w:p w14:paraId="06F5B6B1">
                  <w:pPr>
                    <w:autoSpaceDE w:val="0"/>
                    <w:autoSpaceDN w:val="0"/>
                    <w:adjustRightInd w:val="0"/>
                    <w:snapToGrid w:val="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废机油</w:t>
                  </w:r>
                </w:p>
              </w:tc>
              <w:tc>
                <w:tcPr>
                  <w:tcW w:w="361" w:type="pct"/>
                  <w:noWrap w:val="0"/>
                  <w:vAlign w:val="center"/>
                </w:tcPr>
                <w:p w14:paraId="6CC0C39D">
                  <w:pPr>
                    <w:autoSpaceDE w:val="0"/>
                    <w:autoSpaceDN w:val="0"/>
                    <w:adjustRightInd w:val="0"/>
                    <w:snapToGrid w:val="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HW08</w:t>
                  </w:r>
                </w:p>
              </w:tc>
              <w:tc>
                <w:tcPr>
                  <w:tcW w:w="565" w:type="pct"/>
                  <w:noWrap w:val="0"/>
                  <w:vAlign w:val="center"/>
                </w:tcPr>
                <w:p w14:paraId="1E6C9C29">
                  <w:pPr>
                    <w:autoSpaceDE w:val="0"/>
                    <w:autoSpaceDN w:val="0"/>
                    <w:adjustRightInd w:val="0"/>
                    <w:snapToGrid w:val="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900-2</w:t>
                  </w:r>
                  <w:r>
                    <w:rPr>
                      <w:rFonts w:hint="eastAsia" w:ascii="Times New Roman" w:hAnsi="Times New Roman" w:eastAsia="宋体" w:cs="Times New Roman"/>
                      <w:color w:val="auto"/>
                      <w:kern w:val="0"/>
                      <w:sz w:val="21"/>
                      <w:szCs w:val="21"/>
                      <w:highlight w:val="none"/>
                      <w:lang w:val="en-US" w:eastAsia="zh-CN"/>
                    </w:rPr>
                    <w:t>49</w:t>
                  </w:r>
                  <w:r>
                    <w:rPr>
                      <w:rFonts w:hint="default" w:ascii="Times New Roman" w:hAnsi="Times New Roman" w:eastAsia="宋体" w:cs="Times New Roman"/>
                      <w:color w:val="auto"/>
                      <w:kern w:val="0"/>
                      <w:sz w:val="21"/>
                      <w:szCs w:val="21"/>
                      <w:highlight w:val="none"/>
                      <w:lang w:val="en-US" w:eastAsia="zh-CN"/>
                    </w:rPr>
                    <w:t>-08</w:t>
                  </w:r>
                </w:p>
              </w:tc>
              <w:tc>
                <w:tcPr>
                  <w:tcW w:w="434" w:type="pct"/>
                  <w:noWrap w:val="0"/>
                  <w:vAlign w:val="center"/>
                </w:tcPr>
                <w:p w14:paraId="37B8AE0A">
                  <w:pPr>
                    <w:autoSpaceDE w:val="0"/>
                    <w:autoSpaceDN w:val="0"/>
                    <w:adjustRightInd w:val="0"/>
                    <w:snapToGrid w:val="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0.01</w:t>
                  </w:r>
                </w:p>
              </w:tc>
              <w:tc>
                <w:tcPr>
                  <w:tcW w:w="524" w:type="pct"/>
                  <w:vMerge w:val="restart"/>
                  <w:noWrap w:val="0"/>
                  <w:vAlign w:val="center"/>
                </w:tcPr>
                <w:p w14:paraId="5471227C">
                  <w:pPr>
                    <w:autoSpaceDE w:val="0"/>
                    <w:autoSpaceDN w:val="0"/>
                    <w:adjustRightInd w:val="0"/>
                    <w:snapToGrid w:val="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设备维护</w:t>
                  </w:r>
                </w:p>
              </w:tc>
              <w:tc>
                <w:tcPr>
                  <w:tcW w:w="274" w:type="pct"/>
                  <w:noWrap w:val="0"/>
                  <w:vAlign w:val="center"/>
                </w:tcPr>
                <w:p w14:paraId="0DD3A089">
                  <w:pPr>
                    <w:autoSpaceDE w:val="0"/>
                    <w:autoSpaceDN w:val="0"/>
                    <w:adjustRightInd w:val="0"/>
                    <w:snapToGrid w:val="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液</w:t>
                  </w:r>
                  <w:r>
                    <w:rPr>
                      <w:rFonts w:hint="eastAsia" w:ascii="Times New Roman" w:hAnsi="Times New Roman" w:eastAsia="宋体" w:cs="Times New Roman"/>
                      <w:color w:val="auto"/>
                      <w:kern w:val="0"/>
                      <w:sz w:val="21"/>
                      <w:szCs w:val="21"/>
                      <w:highlight w:val="none"/>
                      <w:lang w:val="en-US" w:eastAsia="zh-CN"/>
                    </w:rPr>
                    <w:t>态</w:t>
                  </w:r>
                </w:p>
              </w:tc>
              <w:tc>
                <w:tcPr>
                  <w:tcW w:w="492" w:type="pct"/>
                  <w:noWrap w:val="0"/>
                  <w:vAlign w:val="center"/>
                </w:tcPr>
                <w:p w14:paraId="784CE8F2">
                  <w:pPr>
                    <w:autoSpaceDE w:val="0"/>
                    <w:autoSpaceDN w:val="0"/>
                    <w:adjustRightInd w:val="0"/>
                    <w:snapToGrid w:val="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矿物油</w:t>
                  </w:r>
                </w:p>
              </w:tc>
              <w:tc>
                <w:tcPr>
                  <w:tcW w:w="434" w:type="pct"/>
                  <w:noWrap w:val="0"/>
                  <w:vAlign w:val="center"/>
                </w:tcPr>
                <w:p w14:paraId="598BE48A">
                  <w:pPr>
                    <w:autoSpaceDE w:val="0"/>
                    <w:autoSpaceDN w:val="0"/>
                    <w:adjustRightInd w:val="0"/>
                    <w:snapToGrid w:val="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矿物油</w:t>
                  </w:r>
                </w:p>
              </w:tc>
              <w:tc>
                <w:tcPr>
                  <w:tcW w:w="360" w:type="pct"/>
                  <w:noWrap w:val="0"/>
                  <w:vAlign w:val="center"/>
                </w:tcPr>
                <w:p w14:paraId="1D389D27">
                  <w:pPr>
                    <w:autoSpaceDE w:val="0"/>
                    <w:autoSpaceDN w:val="0"/>
                    <w:adjustRightInd w:val="0"/>
                    <w:snapToGrid w:val="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年/次</w:t>
                  </w:r>
                </w:p>
              </w:tc>
              <w:tc>
                <w:tcPr>
                  <w:tcW w:w="356" w:type="pct"/>
                  <w:noWrap w:val="0"/>
                  <w:vAlign w:val="center"/>
                </w:tcPr>
                <w:p w14:paraId="294D5B36">
                  <w:pPr>
                    <w:autoSpaceDE w:val="0"/>
                    <w:autoSpaceDN w:val="0"/>
                    <w:adjustRightInd w:val="0"/>
                    <w:snapToGrid w:val="0"/>
                    <w:jc w:val="center"/>
                    <w:rPr>
                      <w:rFonts w:hint="default" w:ascii="Times New Roman" w:hAnsi="Times New Roman" w:eastAsia="宋体" w:cs="Times New Roman"/>
                      <w:color w:val="auto"/>
                      <w:kern w:val="0"/>
                      <w:sz w:val="21"/>
                      <w:szCs w:val="21"/>
                      <w:highlight w:val="none"/>
                      <w:lang w:val="en-US" w:eastAsia="zh-CN"/>
                    </w:rPr>
                  </w:pPr>
                  <w:r>
                    <w:rPr>
                      <w:color w:val="auto"/>
                      <w:kern w:val="0"/>
                      <w:sz w:val="21"/>
                      <w:szCs w:val="21"/>
                    </w:rPr>
                    <w:t>T</w:t>
                  </w:r>
                  <w:r>
                    <w:rPr>
                      <w:rFonts w:hint="eastAsia"/>
                      <w:color w:val="auto"/>
                      <w:kern w:val="0"/>
                      <w:sz w:val="21"/>
                      <w:szCs w:val="21"/>
                      <w:lang w:val="en-US" w:eastAsia="zh-CN"/>
                    </w:rPr>
                    <w:t>，</w:t>
                  </w:r>
                  <w:r>
                    <w:rPr>
                      <w:color w:val="auto"/>
                      <w:kern w:val="0"/>
                      <w:sz w:val="21"/>
                      <w:szCs w:val="21"/>
                    </w:rPr>
                    <w:t>I</w:t>
                  </w:r>
                </w:p>
              </w:tc>
              <w:tc>
                <w:tcPr>
                  <w:tcW w:w="387" w:type="pct"/>
                  <w:vMerge w:val="continue"/>
                  <w:noWrap w:val="0"/>
                  <w:vAlign w:val="center"/>
                </w:tcPr>
                <w:p w14:paraId="36753713">
                  <w:pPr>
                    <w:keepNext w:val="0"/>
                    <w:keepLines w:val="0"/>
                    <w:pageBreakBefore w:val="0"/>
                    <w:widowControl w:val="0"/>
                    <w:kinsoku/>
                    <w:wordWrap/>
                    <w:overflowPunct/>
                    <w:topLinePunct w:val="0"/>
                    <w:autoSpaceDE w:val="0"/>
                    <w:autoSpaceDN w:val="0"/>
                    <w:bidi w:val="0"/>
                    <w:adjustRightIn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p>
              </w:tc>
            </w:tr>
            <w:tr w14:paraId="5743FCEE">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23" w:type="dxa"/>
                  <w:bottom w:w="0" w:type="dxa"/>
                  <w:right w:w="23" w:type="dxa"/>
                </w:tblCellMar>
              </w:tblPrEx>
              <w:trPr>
                <w:trHeight w:val="340" w:hRule="atLeast"/>
                <w:jc w:val="center"/>
              </w:trPr>
              <w:tc>
                <w:tcPr>
                  <w:tcW w:w="810" w:type="pct"/>
                  <w:noWrap w:val="0"/>
                  <w:vAlign w:val="center"/>
                </w:tcPr>
                <w:p w14:paraId="3AA1CEDB">
                  <w:pPr>
                    <w:autoSpaceDE w:val="0"/>
                    <w:autoSpaceDN w:val="0"/>
                    <w:adjustRightInd w:val="0"/>
                    <w:snapToGrid w:val="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含油棉纱手套、抹布</w:t>
                  </w:r>
                </w:p>
              </w:tc>
              <w:tc>
                <w:tcPr>
                  <w:tcW w:w="361" w:type="pct"/>
                  <w:noWrap w:val="0"/>
                  <w:vAlign w:val="center"/>
                </w:tcPr>
                <w:p w14:paraId="41176258">
                  <w:pPr>
                    <w:autoSpaceDE w:val="0"/>
                    <w:autoSpaceDN w:val="0"/>
                    <w:adjustRightInd w:val="0"/>
                    <w:snapToGrid w:val="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HW49</w:t>
                  </w:r>
                </w:p>
              </w:tc>
              <w:tc>
                <w:tcPr>
                  <w:tcW w:w="565" w:type="pct"/>
                  <w:noWrap w:val="0"/>
                  <w:vAlign w:val="center"/>
                </w:tcPr>
                <w:p w14:paraId="01A233F0">
                  <w:pPr>
                    <w:autoSpaceDE w:val="0"/>
                    <w:autoSpaceDN w:val="0"/>
                    <w:adjustRightInd w:val="0"/>
                    <w:snapToGrid w:val="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900-041-49</w:t>
                  </w:r>
                </w:p>
              </w:tc>
              <w:tc>
                <w:tcPr>
                  <w:tcW w:w="434" w:type="pct"/>
                  <w:noWrap w:val="0"/>
                  <w:vAlign w:val="center"/>
                </w:tcPr>
                <w:p w14:paraId="0BF6DA8C">
                  <w:pPr>
                    <w:autoSpaceDE w:val="0"/>
                    <w:autoSpaceDN w:val="0"/>
                    <w:adjustRightInd w:val="0"/>
                    <w:snapToGrid w:val="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0.01</w:t>
                  </w:r>
                </w:p>
              </w:tc>
              <w:tc>
                <w:tcPr>
                  <w:tcW w:w="524" w:type="pct"/>
                  <w:vMerge w:val="continue"/>
                  <w:noWrap w:val="0"/>
                  <w:vAlign w:val="center"/>
                </w:tcPr>
                <w:p w14:paraId="781B6FA8">
                  <w:pPr>
                    <w:autoSpaceDE w:val="0"/>
                    <w:autoSpaceDN w:val="0"/>
                    <w:adjustRightInd w:val="0"/>
                    <w:snapToGrid w:val="0"/>
                    <w:jc w:val="center"/>
                    <w:rPr>
                      <w:rFonts w:hint="default" w:ascii="Times New Roman" w:hAnsi="Times New Roman" w:eastAsia="宋体" w:cs="Times New Roman"/>
                      <w:color w:val="auto"/>
                      <w:kern w:val="0"/>
                      <w:sz w:val="21"/>
                      <w:szCs w:val="21"/>
                      <w:highlight w:val="none"/>
                      <w:lang w:val="en-US" w:eastAsia="zh-CN"/>
                    </w:rPr>
                  </w:pPr>
                </w:p>
              </w:tc>
              <w:tc>
                <w:tcPr>
                  <w:tcW w:w="274" w:type="pct"/>
                  <w:noWrap w:val="0"/>
                  <w:vAlign w:val="center"/>
                </w:tcPr>
                <w:p w14:paraId="0AC225AF">
                  <w:pPr>
                    <w:autoSpaceDE w:val="0"/>
                    <w:autoSpaceDN w:val="0"/>
                    <w:adjustRightInd w:val="0"/>
                    <w:snapToGrid w:val="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固</w:t>
                  </w:r>
                  <w:r>
                    <w:rPr>
                      <w:rFonts w:hint="eastAsia" w:ascii="Times New Roman" w:hAnsi="Times New Roman" w:eastAsia="宋体" w:cs="Times New Roman"/>
                      <w:color w:val="auto"/>
                      <w:kern w:val="0"/>
                      <w:sz w:val="21"/>
                      <w:szCs w:val="21"/>
                      <w:highlight w:val="none"/>
                      <w:lang w:val="en-US" w:eastAsia="zh-CN"/>
                    </w:rPr>
                    <w:t>态</w:t>
                  </w:r>
                </w:p>
              </w:tc>
              <w:tc>
                <w:tcPr>
                  <w:tcW w:w="492" w:type="pct"/>
                  <w:noWrap w:val="0"/>
                  <w:vAlign w:val="center"/>
                </w:tcPr>
                <w:p w14:paraId="4A3BE63A">
                  <w:pPr>
                    <w:autoSpaceDE w:val="0"/>
                    <w:autoSpaceDN w:val="0"/>
                    <w:adjustRightInd w:val="0"/>
                    <w:snapToGrid w:val="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手套、抹布</w:t>
                  </w:r>
                </w:p>
              </w:tc>
              <w:tc>
                <w:tcPr>
                  <w:tcW w:w="434" w:type="pct"/>
                  <w:noWrap w:val="0"/>
                  <w:vAlign w:val="center"/>
                </w:tcPr>
                <w:p w14:paraId="30987158">
                  <w:pPr>
                    <w:autoSpaceDE w:val="0"/>
                    <w:autoSpaceDN w:val="0"/>
                    <w:adjustRightInd w:val="0"/>
                    <w:snapToGrid w:val="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矿物油</w:t>
                  </w:r>
                </w:p>
              </w:tc>
              <w:tc>
                <w:tcPr>
                  <w:tcW w:w="360" w:type="pct"/>
                  <w:noWrap w:val="0"/>
                  <w:vAlign w:val="center"/>
                </w:tcPr>
                <w:p w14:paraId="6E0C53D3">
                  <w:pPr>
                    <w:autoSpaceDE w:val="0"/>
                    <w:autoSpaceDN w:val="0"/>
                    <w:adjustRightInd w:val="0"/>
                    <w:snapToGrid w:val="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年/次</w:t>
                  </w:r>
                </w:p>
              </w:tc>
              <w:tc>
                <w:tcPr>
                  <w:tcW w:w="356" w:type="pct"/>
                  <w:noWrap w:val="0"/>
                  <w:vAlign w:val="center"/>
                </w:tcPr>
                <w:p w14:paraId="0EDAE7C0">
                  <w:pPr>
                    <w:autoSpaceDE w:val="0"/>
                    <w:autoSpaceDN w:val="0"/>
                    <w:adjustRightInd w:val="0"/>
                    <w:snapToGrid w:val="0"/>
                    <w:jc w:val="center"/>
                    <w:rPr>
                      <w:rFonts w:hint="default" w:ascii="Times New Roman" w:hAnsi="Times New Roman" w:eastAsia="宋体" w:cs="Times New Roman"/>
                      <w:color w:val="auto"/>
                      <w:kern w:val="0"/>
                      <w:sz w:val="21"/>
                      <w:szCs w:val="21"/>
                      <w:highlight w:val="none"/>
                      <w:lang w:val="en-US" w:eastAsia="zh-CN"/>
                    </w:rPr>
                  </w:pPr>
                  <w:r>
                    <w:rPr>
                      <w:color w:val="auto"/>
                      <w:kern w:val="0"/>
                      <w:sz w:val="21"/>
                      <w:szCs w:val="21"/>
                    </w:rPr>
                    <w:t>T/In</w:t>
                  </w:r>
                </w:p>
              </w:tc>
              <w:tc>
                <w:tcPr>
                  <w:tcW w:w="387" w:type="pct"/>
                  <w:vMerge w:val="continue"/>
                  <w:noWrap w:val="0"/>
                  <w:vAlign w:val="center"/>
                </w:tcPr>
                <w:p w14:paraId="17554DD9">
                  <w:pPr>
                    <w:keepNext w:val="0"/>
                    <w:keepLines w:val="0"/>
                    <w:pageBreakBefore w:val="0"/>
                    <w:widowControl w:val="0"/>
                    <w:kinsoku/>
                    <w:wordWrap/>
                    <w:overflowPunct/>
                    <w:topLinePunct w:val="0"/>
                    <w:autoSpaceDE w:val="0"/>
                    <w:autoSpaceDN w:val="0"/>
                    <w:bidi w:val="0"/>
                    <w:adjustRightInd w:val="0"/>
                    <w:spacing w:line="360" w:lineRule="auto"/>
                    <w:ind w:left="0" w:right="0" w:firstLine="420" w:firstLineChars="200"/>
                    <w:jc w:val="both"/>
                    <w:textAlignment w:val="auto"/>
                    <w:rPr>
                      <w:rFonts w:hint="default" w:ascii="Times New Roman" w:hAnsi="Times New Roman" w:eastAsia="宋体" w:cs="Times New Roman"/>
                      <w:color w:val="auto"/>
                      <w:kern w:val="2"/>
                      <w:sz w:val="21"/>
                      <w:szCs w:val="21"/>
                      <w:highlight w:val="none"/>
                      <w:lang w:val="en-US" w:eastAsia="zh-CN" w:bidi="ar-SA"/>
                    </w:rPr>
                  </w:pPr>
                </w:p>
              </w:tc>
            </w:tr>
            <w:tr w14:paraId="11C53DA6">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23" w:type="dxa"/>
                  <w:bottom w:w="0" w:type="dxa"/>
                  <w:right w:w="23" w:type="dxa"/>
                </w:tblCellMar>
              </w:tblPrEx>
              <w:trPr>
                <w:trHeight w:val="340" w:hRule="atLeast"/>
                <w:jc w:val="center"/>
              </w:trPr>
              <w:tc>
                <w:tcPr>
                  <w:tcW w:w="810" w:type="pct"/>
                  <w:noWrap w:val="0"/>
                  <w:vAlign w:val="center"/>
                </w:tcPr>
                <w:p w14:paraId="2BE46996">
                  <w:pPr>
                    <w:autoSpaceDE w:val="0"/>
                    <w:autoSpaceDN w:val="0"/>
                    <w:adjustRightInd w:val="0"/>
                    <w:snapToGrid w:val="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废危化品包装桶</w:t>
                  </w:r>
                </w:p>
              </w:tc>
              <w:tc>
                <w:tcPr>
                  <w:tcW w:w="361" w:type="pct"/>
                  <w:noWrap w:val="0"/>
                  <w:vAlign w:val="center"/>
                </w:tcPr>
                <w:p w14:paraId="50370455">
                  <w:pPr>
                    <w:autoSpaceDE w:val="0"/>
                    <w:autoSpaceDN w:val="0"/>
                    <w:adjustRightInd w:val="0"/>
                    <w:snapToGrid w:val="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HW49</w:t>
                  </w:r>
                </w:p>
              </w:tc>
              <w:tc>
                <w:tcPr>
                  <w:tcW w:w="565" w:type="pct"/>
                  <w:noWrap w:val="0"/>
                  <w:vAlign w:val="center"/>
                </w:tcPr>
                <w:p w14:paraId="3C324410">
                  <w:pPr>
                    <w:autoSpaceDE w:val="0"/>
                    <w:autoSpaceDN w:val="0"/>
                    <w:adjustRightInd w:val="0"/>
                    <w:snapToGrid w:val="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900-041-49</w:t>
                  </w:r>
                </w:p>
              </w:tc>
              <w:tc>
                <w:tcPr>
                  <w:tcW w:w="434" w:type="pct"/>
                  <w:noWrap w:val="0"/>
                  <w:vAlign w:val="center"/>
                </w:tcPr>
                <w:p w14:paraId="69D60778">
                  <w:pPr>
                    <w:autoSpaceDE w:val="0"/>
                    <w:autoSpaceDN w:val="0"/>
                    <w:adjustRightInd w:val="0"/>
                    <w:snapToGrid w:val="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0.0</w:t>
                  </w:r>
                  <w:r>
                    <w:rPr>
                      <w:rFonts w:hint="eastAsia" w:ascii="Times New Roman" w:hAnsi="Times New Roman" w:eastAsia="宋体" w:cs="Times New Roman"/>
                      <w:color w:val="auto"/>
                      <w:kern w:val="0"/>
                      <w:sz w:val="21"/>
                      <w:szCs w:val="21"/>
                      <w:highlight w:val="none"/>
                      <w:lang w:val="en-US" w:eastAsia="zh-CN"/>
                    </w:rPr>
                    <w:t>1</w:t>
                  </w:r>
                </w:p>
              </w:tc>
              <w:tc>
                <w:tcPr>
                  <w:tcW w:w="524" w:type="pct"/>
                  <w:noWrap w:val="0"/>
                  <w:vAlign w:val="center"/>
                </w:tcPr>
                <w:p w14:paraId="5F60F4EF">
                  <w:pPr>
                    <w:autoSpaceDE w:val="0"/>
                    <w:autoSpaceDN w:val="0"/>
                    <w:adjustRightInd w:val="0"/>
                    <w:snapToGrid w:val="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原辅材料使用</w:t>
                  </w:r>
                </w:p>
              </w:tc>
              <w:tc>
                <w:tcPr>
                  <w:tcW w:w="274" w:type="pct"/>
                  <w:noWrap w:val="0"/>
                  <w:vAlign w:val="center"/>
                </w:tcPr>
                <w:p w14:paraId="08D2AFE8">
                  <w:pPr>
                    <w:autoSpaceDE w:val="0"/>
                    <w:autoSpaceDN w:val="0"/>
                    <w:adjustRightInd w:val="0"/>
                    <w:snapToGrid w:val="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固</w:t>
                  </w:r>
                  <w:r>
                    <w:rPr>
                      <w:rFonts w:hint="eastAsia" w:ascii="Times New Roman" w:hAnsi="Times New Roman" w:eastAsia="宋体" w:cs="Times New Roman"/>
                      <w:color w:val="auto"/>
                      <w:kern w:val="0"/>
                      <w:sz w:val="21"/>
                      <w:szCs w:val="21"/>
                      <w:highlight w:val="none"/>
                      <w:lang w:val="en-US" w:eastAsia="zh-CN"/>
                    </w:rPr>
                    <w:t>态</w:t>
                  </w:r>
                </w:p>
              </w:tc>
              <w:tc>
                <w:tcPr>
                  <w:tcW w:w="492" w:type="pct"/>
                  <w:noWrap w:val="0"/>
                  <w:vAlign w:val="center"/>
                </w:tcPr>
                <w:p w14:paraId="151363BD">
                  <w:pPr>
                    <w:autoSpaceDE w:val="0"/>
                    <w:autoSpaceDN w:val="0"/>
                    <w:adjustRightInd w:val="0"/>
                    <w:snapToGrid w:val="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w:t>
                  </w:r>
                </w:p>
              </w:tc>
              <w:tc>
                <w:tcPr>
                  <w:tcW w:w="434" w:type="pct"/>
                  <w:noWrap w:val="0"/>
                  <w:vAlign w:val="center"/>
                </w:tcPr>
                <w:p w14:paraId="3B577C72">
                  <w:pPr>
                    <w:autoSpaceDE w:val="0"/>
                    <w:autoSpaceDN w:val="0"/>
                    <w:adjustRightInd w:val="0"/>
                    <w:snapToGrid w:val="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电解液/废</w:t>
                  </w:r>
                </w:p>
                <w:p w14:paraId="4B32FFAF">
                  <w:pPr>
                    <w:autoSpaceDE w:val="0"/>
                    <w:autoSpaceDN w:val="0"/>
                    <w:adjustRightInd w:val="0"/>
                    <w:snapToGrid w:val="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机油</w:t>
                  </w:r>
                </w:p>
              </w:tc>
              <w:tc>
                <w:tcPr>
                  <w:tcW w:w="360" w:type="pct"/>
                  <w:noWrap w:val="0"/>
                  <w:vAlign w:val="center"/>
                </w:tcPr>
                <w:p w14:paraId="1689258E">
                  <w:pPr>
                    <w:autoSpaceDE w:val="0"/>
                    <w:autoSpaceDN w:val="0"/>
                    <w:adjustRightInd w:val="0"/>
                    <w:snapToGrid w:val="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周/次</w:t>
                  </w:r>
                </w:p>
              </w:tc>
              <w:tc>
                <w:tcPr>
                  <w:tcW w:w="356" w:type="pct"/>
                  <w:noWrap w:val="0"/>
                  <w:vAlign w:val="center"/>
                </w:tcPr>
                <w:p w14:paraId="74150687">
                  <w:pPr>
                    <w:autoSpaceDE w:val="0"/>
                    <w:autoSpaceDN w:val="0"/>
                    <w:adjustRightInd w:val="0"/>
                    <w:snapToGrid w:val="0"/>
                    <w:jc w:val="center"/>
                    <w:rPr>
                      <w:rFonts w:hint="default" w:ascii="Times New Roman" w:hAnsi="Times New Roman" w:eastAsia="宋体" w:cs="Times New Roman"/>
                      <w:color w:val="auto"/>
                      <w:kern w:val="0"/>
                      <w:sz w:val="21"/>
                      <w:szCs w:val="21"/>
                      <w:highlight w:val="none"/>
                      <w:lang w:val="en-US" w:eastAsia="zh-CN"/>
                    </w:rPr>
                  </w:pPr>
                  <w:r>
                    <w:rPr>
                      <w:color w:val="auto"/>
                      <w:kern w:val="0"/>
                      <w:sz w:val="21"/>
                      <w:szCs w:val="21"/>
                    </w:rPr>
                    <w:t>T/In</w:t>
                  </w:r>
                </w:p>
              </w:tc>
              <w:tc>
                <w:tcPr>
                  <w:tcW w:w="387" w:type="pct"/>
                  <w:vMerge w:val="continue"/>
                  <w:noWrap w:val="0"/>
                  <w:vAlign w:val="center"/>
                </w:tcPr>
                <w:p w14:paraId="764D8C85">
                  <w:pPr>
                    <w:keepNext w:val="0"/>
                    <w:keepLines w:val="0"/>
                    <w:pageBreakBefore w:val="0"/>
                    <w:widowControl w:val="0"/>
                    <w:kinsoku/>
                    <w:wordWrap/>
                    <w:overflowPunct/>
                    <w:topLinePunct w:val="0"/>
                    <w:autoSpaceDE w:val="0"/>
                    <w:autoSpaceDN w:val="0"/>
                    <w:bidi w:val="0"/>
                    <w:adjustRightInd w:val="0"/>
                    <w:spacing w:line="360" w:lineRule="auto"/>
                    <w:ind w:left="0" w:right="0" w:firstLine="420" w:firstLineChars="200"/>
                    <w:jc w:val="both"/>
                    <w:textAlignment w:val="auto"/>
                    <w:rPr>
                      <w:rFonts w:hint="default" w:ascii="Times New Roman" w:hAnsi="Times New Roman" w:eastAsia="宋体" w:cs="Times New Roman"/>
                      <w:color w:val="auto"/>
                      <w:kern w:val="2"/>
                      <w:sz w:val="21"/>
                      <w:szCs w:val="21"/>
                      <w:highlight w:val="none"/>
                      <w:lang w:val="en-US" w:eastAsia="zh-CN" w:bidi="ar-SA"/>
                    </w:rPr>
                  </w:pPr>
                </w:p>
              </w:tc>
            </w:tr>
            <w:tr w14:paraId="23AACE1D">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23" w:type="dxa"/>
                  <w:bottom w:w="0" w:type="dxa"/>
                  <w:right w:w="23" w:type="dxa"/>
                </w:tblCellMar>
              </w:tblPrEx>
              <w:trPr>
                <w:trHeight w:val="340" w:hRule="atLeast"/>
                <w:jc w:val="center"/>
              </w:trPr>
              <w:tc>
                <w:tcPr>
                  <w:tcW w:w="810" w:type="pct"/>
                  <w:noWrap w:val="0"/>
                  <w:vAlign w:val="center"/>
                </w:tcPr>
                <w:p w14:paraId="752B22F5">
                  <w:pPr>
                    <w:autoSpaceDE w:val="0"/>
                    <w:autoSpaceDN w:val="0"/>
                    <w:adjustRightInd w:val="0"/>
                    <w:snapToGrid w:val="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废电解液</w:t>
                  </w:r>
                </w:p>
              </w:tc>
              <w:tc>
                <w:tcPr>
                  <w:tcW w:w="361" w:type="pct"/>
                  <w:noWrap w:val="0"/>
                  <w:vAlign w:val="center"/>
                </w:tcPr>
                <w:p w14:paraId="2E8ED637">
                  <w:pPr>
                    <w:autoSpaceDE w:val="0"/>
                    <w:autoSpaceDN w:val="0"/>
                    <w:adjustRightInd w:val="0"/>
                    <w:snapToGrid w:val="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HW49</w:t>
                  </w:r>
                </w:p>
              </w:tc>
              <w:tc>
                <w:tcPr>
                  <w:tcW w:w="565" w:type="pct"/>
                  <w:noWrap w:val="0"/>
                  <w:vAlign w:val="center"/>
                </w:tcPr>
                <w:p w14:paraId="727C5B5A">
                  <w:pPr>
                    <w:autoSpaceDE w:val="0"/>
                    <w:autoSpaceDN w:val="0"/>
                    <w:adjustRightInd w:val="0"/>
                    <w:snapToGrid w:val="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900-04</w:t>
                  </w:r>
                  <w:r>
                    <w:rPr>
                      <w:rFonts w:hint="eastAsia" w:ascii="Times New Roman" w:hAnsi="Times New Roman" w:eastAsia="宋体" w:cs="Times New Roman"/>
                      <w:color w:val="auto"/>
                      <w:kern w:val="0"/>
                      <w:sz w:val="21"/>
                      <w:szCs w:val="21"/>
                      <w:highlight w:val="none"/>
                      <w:lang w:val="en-US" w:eastAsia="zh-CN"/>
                    </w:rPr>
                    <w:t>5</w:t>
                  </w:r>
                  <w:r>
                    <w:rPr>
                      <w:rFonts w:hint="default" w:ascii="Times New Roman" w:hAnsi="Times New Roman" w:eastAsia="宋体" w:cs="Times New Roman"/>
                      <w:color w:val="auto"/>
                      <w:kern w:val="0"/>
                      <w:sz w:val="21"/>
                      <w:szCs w:val="21"/>
                      <w:highlight w:val="none"/>
                      <w:lang w:val="en-US" w:eastAsia="zh-CN"/>
                    </w:rPr>
                    <w:t>-49</w:t>
                  </w:r>
                </w:p>
              </w:tc>
              <w:tc>
                <w:tcPr>
                  <w:tcW w:w="434" w:type="pct"/>
                  <w:noWrap w:val="0"/>
                  <w:vAlign w:val="center"/>
                </w:tcPr>
                <w:p w14:paraId="2BE39589">
                  <w:pPr>
                    <w:autoSpaceDE w:val="0"/>
                    <w:autoSpaceDN w:val="0"/>
                    <w:adjustRightInd w:val="0"/>
                    <w:snapToGrid w:val="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0.004</w:t>
                  </w:r>
                </w:p>
              </w:tc>
              <w:tc>
                <w:tcPr>
                  <w:tcW w:w="524" w:type="pct"/>
                  <w:noWrap w:val="0"/>
                  <w:vAlign w:val="center"/>
                </w:tcPr>
                <w:p w14:paraId="1776B4EC">
                  <w:pPr>
                    <w:autoSpaceDE w:val="0"/>
                    <w:autoSpaceDN w:val="0"/>
                    <w:adjustRightInd w:val="0"/>
                    <w:snapToGrid w:val="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注液</w:t>
                  </w:r>
                  <w:r>
                    <w:rPr>
                      <w:rFonts w:hint="eastAsia" w:cs="Times New Roman"/>
                      <w:color w:val="auto"/>
                      <w:kern w:val="0"/>
                      <w:sz w:val="21"/>
                      <w:szCs w:val="21"/>
                      <w:highlight w:val="none"/>
                      <w:lang w:val="en-US" w:eastAsia="zh-CN"/>
                    </w:rPr>
                    <w:t>、拆解</w:t>
                  </w:r>
                </w:p>
              </w:tc>
              <w:tc>
                <w:tcPr>
                  <w:tcW w:w="274" w:type="pct"/>
                  <w:noWrap w:val="0"/>
                  <w:vAlign w:val="center"/>
                </w:tcPr>
                <w:p w14:paraId="356BA16D">
                  <w:pPr>
                    <w:autoSpaceDE w:val="0"/>
                    <w:autoSpaceDN w:val="0"/>
                    <w:adjustRightInd w:val="0"/>
                    <w:snapToGrid w:val="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液</w:t>
                  </w:r>
                  <w:r>
                    <w:rPr>
                      <w:rFonts w:hint="eastAsia" w:ascii="Times New Roman" w:hAnsi="Times New Roman" w:eastAsia="宋体" w:cs="Times New Roman"/>
                      <w:color w:val="auto"/>
                      <w:kern w:val="0"/>
                      <w:sz w:val="21"/>
                      <w:szCs w:val="21"/>
                      <w:highlight w:val="none"/>
                      <w:lang w:val="en-US" w:eastAsia="zh-CN"/>
                    </w:rPr>
                    <w:t>态</w:t>
                  </w:r>
                </w:p>
              </w:tc>
              <w:tc>
                <w:tcPr>
                  <w:tcW w:w="492" w:type="pct"/>
                  <w:noWrap w:val="0"/>
                  <w:vAlign w:val="center"/>
                </w:tcPr>
                <w:p w14:paraId="5DAF628F">
                  <w:pPr>
                    <w:autoSpaceDE w:val="0"/>
                    <w:autoSpaceDN w:val="0"/>
                    <w:adjustRightInd w:val="0"/>
                    <w:snapToGrid w:val="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w:t>
                  </w:r>
                </w:p>
              </w:tc>
              <w:tc>
                <w:tcPr>
                  <w:tcW w:w="434" w:type="pct"/>
                  <w:noWrap w:val="0"/>
                  <w:vAlign w:val="center"/>
                </w:tcPr>
                <w:p w14:paraId="00CEF22D">
                  <w:pPr>
                    <w:autoSpaceDE w:val="0"/>
                    <w:autoSpaceDN w:val="0"/>
                    <w:adjustRightInd w:val="0"/>
                    <w:snapToGrid w:val="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电解液</w:t>
                  </w:r>
                </w:p>
              </w:tc>
              <w:tc>
                <w:tcPr>
                  <w:tcW w:w="360" w:type="pct"/>
                  <w:noWrap w:val="0"/>
                  <w:vAlign w:val="center"/>
                </w:tcPr>
                <w:p w14:paraId="66112A66">
                  <w:pPr>
                    <w:autoSpaceDE w:val="0"/>
                    <w:autoSpaceDN w:val="0"/>
                    <w:adjustRightInd w:val="0"/>
                    <w:snapToGrid w:val="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周/次</w:t>
                  </w:r>
                </w:p>
              </w:tc>
              <w:tc>
                <w:tcPr>
                  <w:tcW w:w="356" w:type="pct"/>
                  <w:noWrap w:val="0"/>
                  <w:vAlign w:val="center"/>
                </w:tcPr>
                <w:p w14:paraId="78E405D3">
                  <w:pPr>
                    <w:autoSpaceDE w:val="0"/>
                    <w:autoSpaceDN w:val="0"/>
                    <w:adjustRightInd w:val="0"/>
                    <w:snapToGrid w:val="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T</w:t>
                  </w:r>
                </w:p>
              </w:tc>
              <w:tc>
                <w:tcPr>
                  <w:tcW w:w="387" w:type="pct"/>
                  <w:vMerge w:val="continue"/>
                  <w:noWrap w:val="0"/>
                  <w:vAlign w:val="center"/>
                </w:tcPr>
                <w:p w14:paraId="6211806F">
                  <w:pPr>
                    <w:keepNext w:val="0"/>
                    <w:keepLines w:val="0"/>
                    <w:pageBreakBefore w:val="0"/>
                    <w:widowControl w:val="0"/>
                    <w:kinsoku/>
                    <w:wordWrap/>
                    <w:overflowPunct/>
                    <w:topLinePunct w:val="0"/>
                    <w:autoSpaceDE w:val="0"/>
                    <w:autoSpaceDN w:val="0"/>
                    <w:bidi w:val="0"/>
                    <w:adjustRightInd w:val="0"/>
                    <w:spacing w:line="360" w:lineRule="auto"/>
                    <w:ind w:left="0" w:right="0" w:firstLine="420" w:firstLineChars="200"/>
                    <w:jc w:val="both"/>
                    <w:textAlignment w:val="auto"/>
                    <w:rPr>
                      <w:rFonts w:hint="default" w:ascii="Times New Roman" w:hAnsi="Times New Roman" w:eastAsia="宋体" w:cs="Times New Roman"/>
                      <w:color w:val="auto"/>
                      <w:kern w:val="2"/>
                      <w:sz w:val="21"/>
                      <w:szCs w:val="21"/>
                      <w:highlight w:val="none"/>
                      <w:lang w:val="en-US" w:eastAsia="zh-CN" w:bidi="ar-SA"/>
                    </w:rPr>
                  </w:pPr>
                </w:p>
              </w:tc>
            </w:tr>
            <w:tr w14:paraId="1AA0838D">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23" w:type="dxa"/>
                  <w:bottom w:w="0" w:type="dxa"/>
                  <w:right w:w="23" w:type="dxa"/>
                </w:tblCellMar>
              </w:tblPrEx>
              <w:trPr>
                <w:trHeight w:val="340" w:hRule="atLeast"/>
                <w:jc w:val="center"/>
              </w:trPr>
              <w:tc>
                <w:tcPr>
                  <w:tcW w:w="810" w:type="pct"/>
                  <w:noWrap w:val="0"/>
                  <w:vAlign w:val="center"/>
                </w:tcPr>
                <w:p w14:paraId="315C16A5">
                  <w:pPr>
                    <w:autoSpaceDE w:val="0"/>
                    <w:autoSpaceDN w:val="0"/>
                    <w:adjustRightInd w:val="0"/>
                    <w:snapToGrid w:val="0"/>
                    <w:jc w:val="center"/>
                    <w:rPr>
                      <w:rFonts w:hint="default" w:ascii="Times New Roman" w:hAnsi="Times New Roman" w:eastAsia="宋体" w:cs="Times New Roman"/>
                      <w:color w:val="auto"/>
                      <w:kern w:val="0"/>
                      <w:sz w:val="21"/>
                      <w:szCs w:val="21"/>
                      <w:highlight w:val="none"/>
                      <w:lang w:val="en-US" w:eastAsia="zh-CN"/>
                    </w:rPr>
                  </w:pPr>
                  <w:r>
                    <w:rPr>
                      <w:rFonts w:hint="eastAsia" w:cs="Times New Roman"/>
                      <w:color w:val="auto"/>
                      <w:kern w:val="0"/>
                      <w:sz w:val="21"/>
                      <w:szCs w:val="21"/>
                      <w:highlight w:val="none"/>
                      <w:lang w:val="en-US" w:eastAsia="zh-CN"/>
                    </w:rPr>
                    <w:t>沾染危险物质的废组件</w:t>
                  </w:r>
                </w:p>
              </w:tc>
              <w:tc>
                <w:tcPr>
                  <w:tcW w:w="361" w:type="pct"/>
                  <w:noWrap w:val="0"/>
                  <w:vAlign w:val="center"/>
                </w:tcPr>
                <w:p w14:paraId="791D401A">
                  <w:pPr>
                    <w:autoSpaceDE w:val="0"/>
                    <w:autoSpaceDN w:val="0"/>
                    <w:adjustRightInd w:val="0"/>
                    <w:snapToGrid w:val="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HW49</w:t>
                  </w:r>
                </w:p>
              </w:tc>
              <w:tc>
                <w:tcPr>
                  <w:tcW w:w="565" w:type="pct"/>
                  <w:noWrap w:val="0"/>
                  <w:vAlign w:val="center"/>
                </w:tcPr>
                <w:p w14:paraId="5E5EDDFB">
                  <w:pPr>
                    <w:autoSpaceDE w:val="0"/>
                    <w:autoSpaceDN w:val="0"/>
                    <w:adjustRightInd w:val="0"/>
                    <w:snapToGrid w:val="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900-04</w:t>
                  </w:r>
                  <w:r>
                    <w:rPr>
                      <w:rFonts w:hint="eastAsia" w:ascii="Times New Roman" w:hAnsi="Times New Roman" w:eastAsia="宋体" w:cs="Times New Roman"/>
                      <w:color w:val="auto"/>
                      <w:kern w:val="0"/>
                      <w:sz w:val="21"/>
                      <w:szCs w:val="21"/>
                      <w:highlight w:val="none"/>
                      <w:lang w:val="en-US" w:eastAsia="zh-CN"/>
                    </w:rPr>
                    <w:t>5</w:t>
                  </w:r>
                  <w:r>
                    <w:rPr>
                      <w:rFonts w:hint="default" w:ascii="Times New Roman" w:hAnsi="Times New Roman" w:eastAsia="宋体" w:cs="Times New Roman"/>
                      <w:color w:val="auto"/>
                      <w:kern w:val="0"/>
                      <w:sz w:val="21"/>
                      <w:szCs w:val="21"/>
                      <w:highlight w:val="none"/>
                      <w:lang w:val="en-US" w:eastAsia="zh-CN"/>
                    </w:rPr>
                    <w:t>-49</w:t>
                  </w:r>
                </w:p>
              </w:tc>
              <w:tc>
                <w:tcPr>
                  <w:tcW w:w="434" w:type="pct"/>
                  <w:noWrap w:val="0"/>
                  <w:vAlign w:val="center"/>
                </w:tcPr>
                <w:p w14:paraId="06E2A5D3">
                  <w:pPr>
                    <w:autoSpaceDE w:val="0"/>
                    <w:autoSpaceDN w:val="0"/>
                    <w:adjustRightInd w:val="0"/>
                    <w:snapToGrid w:val="0"/>
                    <w:jc w:val="center"/>
                    <w:rPr>
                      <w:rFonts w:hint="default" w:ascii="Times New Roman" w:hAnsi="Times New Roman" w:eastAsia="宋体" w:cs="Times New Roman"/>
                      <w:color w:val="auto"/>
                      <w:kern w:val="0"/>
                      <w:sz w:val="21"/>
                      <w:szCs w:val="21"/>
                      <w:highlight w:val="none"/>
                      <w:lang w:val="en-US" w:eastAsia="zh-CN"/>
                    </w:rPr>
                  </w:pPr>
                  <w:r>
                    <w:rPr>
                      <w:rFonts w:hint="eastAsia" w:cs="Times New Roman"/>
                      <w:color w:val="auto"/>
                      <w:kern w:val="0"/>
                      <w:sz w:val="21"/>
                      <w:szCs w:val="21"/>
                      <w:highlight w:val="none"/>
                      <w:lang w:val="en-US" w:eastAsia="zh-CN"/>
                    </w:rPr>
                    <w:t>0.003</w:t>
                  </w:r>
                </w:p>
              </w:tc>
              <w:tc>
                <w:tcPr>
                  <w:tcW w:w="524" w:type="pct"/>
                  <w:noWrap w:val="0"/>
                  <w:vAlign w:val="center"/>
                </w:tcPr>
                <w:p w14:paraId="01B01273">
                  <w:pPr>
                    <w:autoSpaceDE w:val="0"/>
                    <w:autoSpaceDN w:val="0"/>
                    <w:adjustRightInd w:val="0"/>
                    <w:snapToGrid w:val="0"/>
                    <w:jc w:val="center"/>
                    <w:rPr>
                      <w:rFonts w:hint="default" w:ascii="Times New Roman" w:hAnsi="Times New Roman" w:eastAsia="宋体" w:cs="Times New Roman"/>
                      <w:color w:val="auto"/>
                      <w:kern w:val="0"/>
                      <w:sz w:val="21"/>
                      <w:szCs w:val="21"/>
                      <w:highlight w:val="none"/>
                      <w:lang w:val="en-US" w:eastAsia="zh-CN"/>
                    </w:rPr>
                  </w:pPr>
                  <w:r>
                    <w:rPr>
                      <w:rFonts w:hint="eastAsia" w:cs="Times New Roman"/>
                      <w:color w:val="auto"/>
                      <w:kern w:val="0"/>
                      <w:sz w:val="21"/>
                      <w:szCs w:val="21"/>
                      <w:highlight w:val="none"/>
                      <w:lang w:val="en-US" w:eastAsia="zh-CN"/>
                    </w:rPr>
                    <w:t>拆解</w:t>
                  </w:r>
                </w:p>
              </w:tc>
              <w:tc>
                <w:tcPr>
                  <w:tcW w:w="274" w:type="pct"/>
                  <w:noWrap w:val="0"/>
                  <w:vAlign w:val="center"/>
                </w:tcPr>
                <w:p w14:paraId="507DC41E">
                  <w:pPr>
                    <w:autoSpaceDE w:val="0"/>
                    <w:autoSpaceDN w:val="0"/>
                    <w:adjustRightInd w:val="0"/>
                    <w:snapToGrid w:val="0"/>
                    <w:jc w:val="center"/>
                    <w:rPr>
                      <w:rFonts w:hint="default" w:ascii="Times New Roman" w:hAnsi="Times New Roman" w:eastAsia="宋体" w:cs="Times New Roman"/>
                      <w:color w:val="auto"/>
                      <w:kern w:val="0"/>
                      <w:sz w:val="21"/>
                      <w:szCs w:val="21"/>
                      <w:highlight w:val="none"/>
                      <w:lang w:val="en-US" w:eastAsia="zh-CN"/>
                    </w:rPr>
                  </w:pPr>
                  <w:r>
                    <w:rPr>
                      <w:rFonts w:hint="eastAsia" w:cs="Times New Roman"/>
                      <w:color w:val="auto"/>
                      <w:kern w:val="0"/>
                      <w:sz w:val="21"/>
                      <w:szCs w:val="21"/>
                      <w:highlight w:val="none"/>
                      <w:lang w:val="en-US" w:eastAsia="zh-CN"/>
                    </w:rPr>
                    <w:t>固态</w:t>
                  </w:r>
                </w:p>
              </w:tc>
              <w:tc>
                <w:tcPr>
                  <w:tcW w:w="492" w:type="pct"/>
                  <w:noWrap w:val="0"/>
                  <w:vAlign w:val="center"/>
                </w:tcPr>
                <w:p w14:paraId="1C90512F">
                  <w:pPr>
                    <w:autoSpaceDE w:val="0"/>
                    <w:autoSpaceDN w:val="0"/>
                    <w:adjustRightInd w:val="0"/>
                    <w:snapToGrid w:val="0"/>
                    <w:jc w:val="center"/>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w:t>
                  </w:r>
                </w:p>
              </w:tc>
              <w:tc>
                <w:tcPr>
                  <w:tcW w:w="434" w:type="pct"/>
                  <w:noWrap w:val="0"/>
                  <w:vAlign w:val="center"/>
                </w:tcPr>
                <w:p w14:paraId="26639ACC">
                  <w:pPr>
                    <w:autoSpaceDE w:val="0"/>
                    <w:autoSpaceDN w:val="0"/>
                    <w:adjustRightInd w:val="0"/>
                    <w:snapToGrid w:val="0"/>
                    <w:jc w:val="center"/>
                    <w:rPr>
                      <w:rFonts w:hint="default" w:ascii="Times New Roman" w:hAnsi="Times New Roman" w:eastAsia="宋体" w:cs="Times New Roman"/>
                      <w:color w:val="auto"/>
                      <w:kern w:val="0"/>
                      <w:sz w:val="21"/>
                      <w:szCs w:val="21"/>
                      <w:highlight w:val="none"/>
                      <w:lang w:val="en-US" w:eastAsia="zh-CN"/>
                    </w:rPr>
                  </w:pPr>
                  <w:r>
                    <w:rPr>
                      <w:rFonts w:hint="eastAsia" w:cs="Times New Roman"/>
                      <w:color w:val="auto"/>
                      <w:kern w:val="0"/>
                      <w:sz w:val="21"/>
                      <w:szCs w:val="21"/>
                      <w:highlight w:val="none"/>
                      <w:lang w:val="en-US" w:eastAsia="zh-CN"/>
                    </w:rPr>
                    <w:t>电解液</w:t>
                  </w:r>
                </w:p>
              </w:tc>
              <w:tc>
                <w:tcPr>
                  <w:tcW w:w="360" w:type="pct"/>
                  <w:noWrap w:val="0"/>
                  <w:vAlign w:val="center"/>
                </w:tcPr>
                <w:p w14:paraId="165788D1">
                  <w:pPr>
                    <w:autoSpaceDE w:val="0"/>
                    <w:autoSpaceDN w:val="0"/>
                    <w:adjustRightInd w:val="0"/>
                    <w:snapToGrid w:val="0"/>
                    <w:jc w:val="center"/>
                    <w:rPr>
                      <w:rFonts w:hint="default" w:ascii="Times New Roman" w:hAnsi="Times New Roman" w:eastAsia="宋体" w:cs="Times New Roman"/>
                      <w:color w:val="auto"/>
                      <w:kern w:val="0"/>
                      <w:sz w:val="21"/>
                      <w:szCs w:val="21"/>
                      <w:highlight w:val="none"/>
                      <w:lang w:val="en-US" w:eastAsia="zh-CN"/>
                    </w:rPr>
                  </w:pPr>
                  <w:r>
                    <w:rPr>
                      <w:rFonts w:hint="eastAsia" w:cs="Times New Roman"/>
                      <w:color w:val="auto"/>
                      <w:kern w:val="0"/>
                      <w:sz w:val="21"/>
                      <w:szCs w:val="21"/>
                      <w:highlight w:val="none"/>
                      <w:lang w:val="en-US" w:eastAsia="zh-CN"/>
                    </w:rPr>
                    <w:t>周/次</w:t>
                  </w:r>
                </w:p>
              </w:tc>
              <w:tc>
                <w:tcPr>
                  <w:tcW w:w="356" w:type="pct"/>
                  <w:noWrap w:val="0"/>
                  <w:vAlign w:val="center"/>
                </w:tcPr>
                <w:p w14:paraId="5A51357F">
                  <w:pPr>
                    <w:autoSpaceDE w:val="0"/>
                    <w:autoSpaceDN w:val="0"/>
                    <w:adjustRightInd w:val="0"/>
                    <w:snapToGrid w:val="0"/>
                    <w:jc w:val="center"/>
                    <w:rPr>
                      <w:rFonts w:hint="default" w:ascii="Times New Roman" w:hAnsi="Times New Roman" w:eastAsia="宋体" w:cs="Times New Roman"/>
                      <w:color w:val="auto"/>
                      <w:kern w:val="0"/>
                      <w:sz w:val="21"/>
                      <w:szCs w:val="21"/>
                      <w:highlight w:val="none"/>
                      <w:lang w:val="en-US" w:eastAsia="zh-CN"/>
                    </w:rPr>
                  </w:pPr>
                  <w:r>
                    <w:rPr>
                      <w:rFonts w:hint="eastAsia" w:cs="Times New Roman"/>
                      <w:color w:val="auto"/>
                      <w:kern w:val="0"/>
                      <w:sz w:val="21"/>
                      <w:szCs w:val="21"/>
                      <w:highlight w:val="none"/>
                      <w:lang w:val="en-US" w:eastAsia="zh-CN"/>
                    </w:rPr>
                    <w:t>T</w:t>
                  </w:r>
                </w:p>
              </w:tc>
              <w:tc>
                <w:tcPr>
                  <w:tcW w:w="387" w:type="pct"/>
                  <w:vMerge w:val="continue"/>
                  <w:noWrap w:val="0"/>
                  <w:vAlign w:val="center"/>
                </w:tcPr>
                <w:p w14:paraId="18F52FF2">
                  <w:pPr>
                    <w:keepNext w:val="0"/>
                    <w:keepLines w:val="0"/>
                    <w:pageBreakBefore w:val="0"/>
                    <w:widowControl w:val="0"/>
                    <w:kinsoku/>
                    <w:wordWrap/>
                    <w:overflowPunct/>
                    <w:topLinePunct w:val="0"/>
                    <w:autoSpaceDE w:val="0"/>
                    <w:autoSpaceDN w:val="0"/>
                    <w:bidi w:val="0"/>
                    <w:adjustRightInd w:val="0"/>
                    <w:spacing w:line="360" w:lineRule="auto"/>
                    <w:ind w:left="0" w:right="0" w:firstLine="420" w:firstLineChars="200"/>
                    <w:jc w:val="both"/>
                    <w:textAlignment w:val="auto"/>
                    <w:rPr>
                      <w:rFonts w:hint="default" w:ascii="Times New Roman" w:hAnsi="Times New Roman" w:eastAsia="宋体" w:cs="Times New Roman"/>
                      <w:color w:val="auto"/>
                      <w:kern w:val="2"/>
                      <w:sz w:val="21"/>
                      <w:szCs w:val="21"/>
                      <w:highlight w:val="none"/>
                      <w:lang w:val="en-US" w:eastAsia="zh-CN" w:bidi="ar-SA"/>
                    </w:rPr>
                  </w:pPr>
                </w:p>
              </w:tc>
            </w:tr>
          </w:tbl>
          <w:p w14:paraId="78AC6E04">
            <w:pPr>
              <w:keepNext w:val="0"/>
              <w:keepLines w:val="0"/>
              <w:pageBreakBefore w:val="0"/>
              <w:widowControl w:val="0"/>
              <w:kinsoku/>
              <w:wordWrap/>
              <w:overflowPunct/>
              <w:topLinePunct w:val="0"/>
              <w:autoSpaceDE w:val="0"/>
              <w:autoSpaceDN w:val="0"/>
              <w:bidi w:val="0"/>
              <w:adjustRightInd/>
              <w:snapToGrid/>
              <w:spacing w:line="240" w:lineRule="auto"/>
              <w:ind w:left="0" w:right="0" w:firstLine="0" w:firstLineChars="0"/>
              <w:jc w:val="center"/>
              <w:textAlignment w:val="auto"/>
              <w:rPr>
                <w:rFonts w:hint="default" w:ascii="Times New Roman" w:hAnsi="Times New Roman" w:eastAsia="宋体" w:cs="Times New Roman"/>
                <w:b/>
                <w:bCs/>
                <w:color w:val="auto"/>
                <w:kern w:val="0"/>
                <w:sz w:val="21"/>
                <w:szCs w:val="21"/>
                <w:highlight w:val="none"/>
                <w:lang w:val="en-US" w:eastAsia="zh-CN" w:bidi="ar-SA"/>
              </w:rPr>
            </w:pPr>
            <w:r>
              <w:rPr>
                <w:rFonts w:hint="default" w:ascii="Times New Roman" w:hAnsi="Times New Roman" w:eastAsia="宋体" w:cs="Times New Roman"/>
                <w:b/>
                <w:bCs/>
                <w:color w:val="auto"/>
                <w:kern w:val="0"/>
                <w:sz w:val="21"/>
                <w:szCs w:val="21"/>
                <w:highlight w:val="none"/>
                <w:lang w:val="en-US" w:eastAsia="zh-CN" w:bidi="ar-SA"/>
              </w:rPr>
              <w:t>表4-</w:t>
            </w:r>
            <w:r>
              <w:rPr>
                <w:rFonts w:hint="eastAsia" w:cs="Times New Roman"/>
                <w:b/>
                <w:bCs/>
                <w:color w:val="auto"/>
                <w:kern w:val="0"/>
                <w:sz w:val="21"/>
                <w:szCs w:val="21"/>
                <w:highlight w:val="none"/>
                <w:lang w:val="en-US" w:eastAsia="zh-CN" w:bidi="ar-SA"/>
              </w:rPr>
              <w:t>22</w:t>
            </w:r>
            <w:r>
              <w:rPr>
                <w:rFonts w:hint="default" w:ascii="Times New Roman" w:hAnsi="Times New Roman" w:eastAsia="宋体" w:cs="Times New Roman"/>
                <w:b/>
                <w:bCs/>
                <w:color w:val="auto"/>
                <w:kern w:val="0"/>
                <w:sz w:val="21"/>
                <w:szCs w:val="21"/>
                <w:highlight w:val="none"/>
                <w:lang w:val="en-US" w:eastAsia="zh-CN" w:bidi="ar-SA"/>
              </w:rPr>
              <w:t xml:space="preserve"> 危险废物贮存场所（设施）基本情况表</w:t>
            </w:r>
          </w:p>
          <w:tbl>
            <w:tblPr>
              <w:tblStyle w:val="41"/>
              <w:tblW w:w="5000" w:type="pct"/>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23" w:type="dxa"/>
                <w:bottom w:w="0" w:type="dxa"/>
                <w:right w:w="23" w:type="dxa"/>
              </w:tblCellMar>
            </w:tblPr>
            <w:tblGrid>
              <w:gridCol w:w="791"/>
              <w:gridCol w:w="1882"/>
              <w:gridCol w:w="812"/>
              <w:gridCol w:w="1161"/>
              <w:gridCol w:w="657"/>
              <w:gridCol w:w="678"/>
              <w:gridCol w:w="586"/>
              <w:gridCol w:w="645"/>
              <w:gridCol w:w="702"/>
            </w:tblGrid>
            <w:tr w14:paraId="3DA71C2E">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23" w:type="dxa"/>
                  <w:bottom w:w="0" w:type="dxa"/>
                  <w:right w:w="23" w:type="dxa"/>
                </w:tblCellMar>
              </w:tblPrEx>
              <w:trPr>
                <w:trHeight w:val="340" w:hRule="atLeast"/>
                <w:jc w:val="center"/>
              </w:trPr>
              <w:tc>
                <w:tcPr>
                  <w:tcW w:w="499" w:type="pct"/>
                  <w:noWrap w:val="0"/>
                  <w:vAlign w:val="center"/>
                </w:tcPr>
                <w:p w14:paraId="58768917">
                  <w:pPr>
                    <w:autoSpaceDE w:val="0"/>
                    <w:autoSpaceDN w:val="0"/>
                    <w:adjustRightInd w:val="0"/>
                    <w:snapToGrid w:val="0"/>
                    <w:jc w:val="center"/>
                    <w:rPr>
                      <w:rFonts w:hint="default" w:ascii="Times New Roman" w:hAnsi="Times New Roman" w:eastAsia="宋体" w:cs="Times New Roman"/>
                      <w:b/>
                      <w:color w:val="auto"/>
                      <w:kern w:val="0"/>
                      <w:sz w:val="21"/>
                      <w:szCs w:val="21"/>
                      <w:lang w:val="en-US" w:eastAsia="zh-CN"/>
                    </w:rPr>
                  </w:pPr>
                  <w:r>
                    <w:rPr>
                      <w:rFonts w:hint="default" w:ascii="Times New Roman" w:hAnsi="Times New Roman" w:eastAsia="宋体" w:cs="Times New Roman"/>
                      <w:b/>
                      <w:color w:val="auto"/>
                      <w:kern w:val="0"/>
                      <w:sz w:val="21"/>
                      <w:szCs w:val="21"/>
                      <w:lang w:val="en-US" w:eastAsia="zh-CN"/>
                    </w:rPr>
                    <w:t>贮存场所</w:t>
                  </w:r>
                </w:p>
              </w:tc>
              <w:tc>
                <w:tcPr>
                  <w:tcW w:w="1189" w:type="pct"/>
                  <w:noWrap w:val="0"/>
                  <w:vAlign w:val="center"/>
                </w:tcPr>
                <w:p w14:paraId="63C527CF">
                  <w:pPr>
                    <w:autoSpaceDE w:val="0"/>
                    <w:autoSpaceDN w:val="0"/>
                    <w:adjustRightInd w:val="0"/>
                    <w:snapToGrid w:val="0"/>
                    <w:jc w:val="center"/>
                    <w:rPr>
                      <w:rFonts w:hint="default" w:ascii="Times New Roman" w:hAnsi="Times New Roman" w:eastAsia="宋体" w:cs="Times New Roman"/>
                      <w:b/>
                      <w:color w:val="auto"/>
                      <w:kern w:val="0"/>
                      <w:sz w:val="21"/>
                      <w:szCs w:val="21"/>
                      <w:lang w:val="en-US" w:eastAsia="zh-CN"/>
                    </w:rPr>
                  </w:pPr>
                  <w:r>
                    <w:rPr>
                      <w:rFonts w:hint="default" w:ascii="Times New Roman" w:hAnsi="Times New Roman" w:eastAsia="宋体" w:cs="Times New Roman"/>
                      <w:b/>
                      <w:color w:val="auto"/>
                      <w:kern w:val="0"/>
                      <w:sz w:val="21"/>
                      <w:szCs w:val="21"/>
                      <w:lang w:val="en-US" w:eastAsia="zh-CN"/>
                    </w:rPr>
                    <w:t>名称</w:t>
                  </w:r>
                </w:p>
              </w:tc>
              <w:tc>
                <w:tcPr>
                  <w:tcW w:w="513" w:type="pct"/>
                  <w:noWrap w:val="0"/>
                  <w:vAlign w:val="center"/>
                </w:tcPr>
                <w:p w14:paraId="5D7C80BB">
                  <w:pPr>
                    <w:autoSpaceDE w:val="0"/>
                    <w:autoSpaceDN w:val="0"/>
                    <w:adjustRightInd w:val="0"/>
                    <w:snapToGrid w:val="0"/>
                    <w:jc w:val="center"/>
                    <w:rPr>
                      <w:rFonts w:hint="default" w:ascii="Times New Roman" w:hAnsi="Times New Roman" w:eastAsia="宋体" w:cs="Times New Roman"/>
                      <w:b/>
                      <w:color w:val="auto"/>
                      <w:kern w:val="0"/>
                      <w:sz w:val="21"/>
                      <w:szCs w:val="21"/>
                      <w:lang w:val="en-US" w:eastAsia="zh-CN"/>
                    </w:rPr>
                  </w:pPr>
                  <w:r>
                    <w:rPr>
                      <w:rFonts w:hint="default" w:ascii="Times New Roman" w:hAnsi="Times New Roman" w:eastAsia="宋体" w:cs="Times New Roman"/>
                      <w:b/>
                      <w:color w:val="auto"/>
                      <w:kern w:val="0"/>
                      <w:sz w:val="21"/>
                      <w:szCs w:val="21"/>
                      <w:lang w:val="en-US" w:eastAsia="zh-CN"/>
                    </w:rPr>
                    <w:t>危废类别</w:t>
                  </w:r>
                </w:p>
              </w:tc>
              <w:tc>
                <w:tcPr>
                  <w:tcW w:w="733" w:type="pct"/>
                  <w:noWrap w:val="0"/>
                  <w:vAlign w:val="center"/>
                </w:tcPr>
                <w:p w14:paraId="6900648E">
                  <w:pPr>
                    <w:autoSpaceDE w:val="0"/>
                    <w:autoSpaceDN w:val="0"/>
                    <w:adjustRightInd w:val="0"/>
                    <w:snapToGrid w:val="0"/>
                    <w:jc w:val="center"/>
                    <w:rPr>
                      <w:rFonts w:hint="default" w:ascii="Times New Roman" w:hAnsi="Times New Roman" w:eastAsia="宋体" w:cs="Times New Roman"/>
                      <w:b/>
                      <w:color w:val="auto"/>
                      <w:kern w:val="0"/>
                      <w:sz w:val="21"/>
                      <w:szCs w:val="21"/>
                      <w:lang w:val="en-US" w:eastAsia="zh-CN"/>
                    </w:rPr>
                  </w:pPr>
                  <w:r>
                    <w:rPr>
                      <w:rFonts w:hint="default" w:ascii="Times New Roman" w:hAnsi="Times New Roman" w:eastAsia="宋体" w:cs="Times New Roman"/>
                      <w:b/>
                      <w:color w:val="auto"/>
                      <w:kern w:val="0"/>
                      <w:sz w:val="21"/>
                      <w:szCs w:val="21"/>
                      <w:lang w:val="en-US" w:eastAsia="zh-CN"/>
                    </w:rPr>
                    <w:t>危废代码</w:t>
                  </w:r>
                </w:p>
              </w:tc>
              <w:tc>
                <w:tcPr>
                  <w:tcW w:w="415" w:type="pct"/>
                  <w:noWrap w:val="0"/>
                  <w:vAlign w:val="center"/>
                </w:tcPr>
                <w:p w14:paraId="6530699A">
                  <w:pPr>
                    <w:autoSpaceDE w:val="0"/>
                    <w:autoSpaceDN w:val="0"/>
                    <w:adjustRightInd w:val="0"/>
                    <w:snapToGrid w:val="0"/>
                    <w:jc w:val="center"/>
                    <w:rPr>
                      <w:rFonts w:hint="default" w:ascii="Times New Roman" w:hAnsi="Times New Roman" w:eastAsia="宋体" w:cs="Times New Roman"/>
                      <w:b/>
                      <w:color w:val="auto"/>
                      <w:kern w:val="0"/>
                      <w:sz w:val="21"/>
                      <w:szCs w:val="21"/>
                      <w:lang w:val="en-US" w:eastAsia="zh-CN"/>
                    </w:rPr>
                  </w:pPr>
                  <w:r>
                    <w:rPr>
                      <w:rFonts w:hint="default" w:ascii="Times New Roman" w:hAnsi="Times New Roman" w:eastAsia="宋体" w:cs="Times New Roman"/>
                      <w:b/>
                      <w:color w:val="auto"/>
                      <w:kern w:val="0"/>
                      <w:sz w:val="21"/>
                      <w:szCs w:val="21"/>
                      <w:lang w:val="en-US" w:eastAsia="zh-CN"/>
                    </w:rPr>
                    <w:t>位置</w:t>
                  </w:r>
                </w:p>
              </w:tc>
              <w:tc>
                <w:tcPr>
                  <w:tcW w:w="428" w:type="pct"/>
                  <w:noWrap w:val="0"/>
                  <w:vAlign w:val="center"/>
                </w:tcPr>
                <w:p w14:paraId="24F615FD">
                  <w:pPr>
                    <w:autoSpaceDE w:val="0"/>
                    <w:autoSpaceDN w:val="0"/>
                    <w:adjustRightInd w:val="0"/>
                    <w:snapToGrid w:val="0"/>
                    <w:jc w:val="center"/>
                    <w:rPr>
                      <w:rFonts w:hint="default" w:ascii="Times New Roman" w:hAnsi="Times New Roman" w:eastAsia="宋体" w:cs="Times New Roman"/>
                      <w:b/>
                      <w:color w:val="auto"/>
                      <w:kern w:val="0"/>
                      <w:sz w:val="21"/>
                      <w:szCs w:val="21"/>
                      <w:lang w:val="en-US" w:eastAsia="zh-CN"/>
                    </w:rPr>
                  </w:pPr>
                  <w:r>
                    <w:rPr>
                      <w:rFonts w:hint="default" w:ascii="Times New Roman" w:hAnsi="Times New Roman" w:eastAsia="宋体" w:cs="Times New Roman"/>
                      <w:b/>
                      <w:color w:val="auto"/>
                      <w:kern w:val="0"/>
                      <w:sz w:val="21"/>
                      <w:szCs w:val="21"/>
                      <w:lang w:val="en-US" w:eastAsia="zh-CN"/>
                    </w:rPr>
                    <w:t>占地面积</w:t>
                  </w:r>
                </w:p>
              </w:tc>
              <w:tc>
                <w:tcPr>
                  <w:tcW w:w="370" w:type="pct"/>
                  <w:noWrap w:val="0"/>
                  <w:vAlign w:val="center"/>
                </w:tcPr>
                <w:p w14:paraId="5425ABBE">
                  <w:pPr>
                    <w:autoSpaceDE w:val="0"/>
                    <w:autoSpaceDN w:val="0"/>
                    <w:adjustRightInd w:val="0"/>
                    <w:snapToGrid w:val="0"/>
                    <w:jc w:val="center"/>
                    <w:rPr>
                      <w:rFonts w:hint="default" w:ascii="Times New Roman" w:hAnsi="Times New Roman" w:eastAsia="宋体" w:cs="Times New Roman"/>
                      <w:b/>
                      <w:color w:val="auto"/>
                      <w:kern w:val="0"/>
                      <w:sz w:val="21"/>
                      <w:szCs w:val="21"/>
                      <w:lang w:val="en-US" w:eastAsia="zh-CN"/>
                    </w:rPr>
                  </w:pPr>
                  <w:r>
                    <w:rPr>
                      <w:rFonts w:hint="default" w:ascii="Times New Roman" w:hAnsi="Times New Roman" w:eastAsia="宋体" w:cs="Times New Roman"/>
                      <w:b/>
                      <w:color w:val="auto"/>
                      <w:kern w:val="0"/>
                      <w:sz w:val="21"/>
                      <w:szCs w:val="21"/>
                      <w:lang w:val="en-US" w:eastAsia="zh-CN"/>
                    </w:rPr>
                    <w:t>贮存方式</w:t>
                  </w:r>
                </w:p>
              </w:tc>
              <w:tc>
                <w:tcPr>
                  <w:tcW w:w="407" w:type="pct"/>
                  <w:noWrap w:val="0"/>
                  <w:vAlign w:val="center"/>
                </w:tcPr>
                <w:p w14:paraId="22863FA5">
                  <w:pPr>
                    <w:autoSpaceDE w:val="0"/>
                    <w:autoSpaceDN w:val="0"/>
                    <w:adjustRightInd w:val="0"/>
                    <w:snapToGrid w:val="0"/>
                    <w:jc w:val="center"/>
                    <w:rPr>
                      <w:rFonts w:hint="default" w:ascii="Times New Roman" w:hAnsi="Times New Roman" w:eastAsia="宋体" w:cs="Times New Roman"/>
                      <w:b/>
                      <w:color w:val="auto"/>
                      <w:kern w:val="0"/>
                      <w:sz w:val="21"/>
                      <w:szCs w:val="21"/>
                      <w:lang w:val="en-US" w:eastAsia="zh-CN"/>
                    </w:rPr>
                  </w:pPr>
                  <w:r>
                    <w:rPr>
                      <w:rFonts w:hint="default" w:ascii="Times New Roman" w:hAnsi="Times New Roman" w:eastAsia="宋体" w:cs="Times New Roman"/>
                      <w:b/>
                      <w:color w:val="auto"/>
                      <w:kern w:val="0"/>
                      <w:sz w:val="21"/>
                      <w:szCs w:val="21"/>
                      <w:lang w:val="en-US" w:eastAsia="zh-CN"/>
                    </w:rPr>
                    <w:t>贮存能力</w:t>
                  </w:r>
                </w:p>
              </w:tc>
              <w:tc>
                <w:tcPr>
                  <w:tcW w:w="443" w:type="pct"/>
                  <w:noWrap w:val="0"/>
                  <w:vAlign w:val="center"/>
                </w:tcPr>
                <w:p w14:paraId="2A501378">
                  <w:pPr>
                    <w:autoSpaceDE w:val="0"/>
                    <w:autoSpaceDN w:val="0"/>
                    <w:adjustRightInd w:val="0"/>
                    <w:snapToGrid w:val="0"/>
                    <w:jc w:val="center"/>
                    <w:rPr>
                      <w:rFonts w:hint="default" w:ascii="Times New Roman" w:hAnsi="Times New Roman" w:eastAsia="宋体" w:cs="Times New Roman"/>
                      <w:b/>
                      <w:color w:val="auto"/>
                      <w:kern w:val="0"/>
                      <w:sz w:val="21"/>
                      <w:szCs w:val="21"/>
                      <w:lang w:val="en-US" w:eastAsia="zh-CN"/>
                    </w:rPr>
                  </w:pPr>
                  <w:r>
                    <w:rPr>
                      <w:rFonts w:hint="default" w:ascii="Times New Roman" w:hAnsi="Times New Roman" w:eastAsia="宋体" w:cs="Times New Roman"/>
                      <w:b/>
                      <w:color w:val="auto"/>
                      <w:kern w:val="0"/>
                      <w:sz w:val="21"/>
                      <w:szCs w:val="21"/>
                      <w:lang w:val="en-US" w:eastAsia="zh-CN"/>
                    </w:rPr>
                    <w:t>贮存周期</w:t>
                  </w:r>
                </w:p>
              </w:tc>
            </w:tr>
            <w:tr w14:paraId="5F613FD1">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23" w:type="dxa"/>
                  <w:bottom w:w="0" w:type="dxa"/>
                  <w:right w:w="23" w:type="dxa"/>
                </w:tblCellMar>
              </w:tblPrEx>
              <w:trPr>
                <w:trHeight w:val="340" w:hRule="atLeast"/>
                <w:jc w:val="center"/>
              </w:trPr>
              <w:tc>
                <w:tcPr>
                  <w:tcW w:w="499" w:type="pct"/>
                  <w:vMerge w:val="restart"/>
                  <w:noWrap w:val="0"/>
                  <w:vAlign w:val="center"/>
                </w:tcPr>
                <w:p w14:paraId="355BBB68">
                  <w:pPr>
                    <w:autoSpaceDE w:val="0"/>
                    <w:autoSpaceDN w:val="0"/>
                    <w:adjustRightInd w:val="0"/>
                    <w:snapToGrid w:val="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危废库</w:t>
                  </w:r>
                </w:p>
              </w:tc>
              <w:tc>
                <w:tcPr>
                  <w:tcW w:w="1189" w:type="pct"/>
                  <w:shd w:val="clear" w:color="auto" w:fill="auto"/>
                  <w:noWrap w:val="0"/>
                  <w:vAlign w:val="center"/>
                </w:tcPr>
                <w:p w14:paraId="5F83629D">
                  <w:pPr>
                    <w:autoSpaceDE w:val="0"/>
                    <w:autoSpaceDN w:val="0"/>
                    <w:adjustRightInd w:val="0"/>
                    <w:snapToGrid w:val="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废活性炭</w:t>
                  </w:r>
                </w:p>
              </w:tc>
              <w:tc>
                <w:tcPr>
                  <w:tcW w:w="513" w:type="pct"/>
                  <w:shd w:val="clear" w:color="auto" w:fill="auto"/>
                  <w:noWrap w:val="0"/>
                  <w:vAlign w:val="center"/>
                </w:tcPr>
                <w:p w14:paraId="7629CCE9">
                  <w:pPr>
                    <w:autoSpaceDE w:val="0"/>
                    <w:autoSpaceDN w:val="0"/>
                    <w:adjustRightInd w:val="0"/>
                    <w:snapToGrid w:val="0"/>
                    <w:jc w:val="center"/>
                    <w:rPr>
                      <w:rFonts w:hint="default" w:ascii="Times New Roman" w:hAnsi="Times New Roman" w:eastAsia="宋体" w:cs="Times New Roman"/>
                      <w:color w:val="auto"/>
                      <w:kern w:val="0"/>
                      <w:sz w:val="21"/>
                      <w:szCs w:val="21"/>
                      <w:highlight w:val="none"/>
                      <w:lang w:val="en-US" w:eastAsia="zh-CN"/>
                    </w:rPr>
                  </w:pPr>
                  <w:r>
                    <w:rPr>
                      <w:rFonts w:ascii="Times New Roman" w:hAnsi="Times New Roman" w:eastAsia="宋体" w:cs="Times New Roman"/>
                      <w:color w:val="auto"/>
                      <w:kern w:val="0"/>
                      <w:sz w:val="21"/>
                      <w:szCs w:val="21"/>
                      <w:highlight w:val="none"/>
                    </w:rPr>
                    <w:t>HW49</w:t>
                  </w:r>
                </w:p>
              </w:tc>
              <w:tc>
                <w:tcPr>
                  <w:tcW w:w="733" w:type="pct"/>
                  <w:shd w:val="clear" w:color="auto" w:fill="auto"/>
                  <w:noWrap w:val="0"/>
                  <w:vAlign w:val="center"/>
                </w:tcPr>
                <w:p w14:paraId="0558F3A3">
                  <w:pPr>
                    <w:autoSpaceDE w:val="0"/>
                    <w:autoSpaceDN w:val="0"/>
                    <w:adjustRightInd w:val="0"/>
                    <w:snapToGrid w:val="0"/>
                    <w:jc w:val="center"/>
                    <w:rPr>
                      <w:rFonts w:hint="default" w:ascii="Times New Roman" w:hAnsi="Times New Roman" w:eastAsia="宋体" w:cs="Times New Roman"/>
                      <w:color w:val="auto"/>
                      <w:kern w:val="0"/>
                      <w:sz w:val="21"/>
                      <w:szCs w:val="21"/>
                      <w:highlight w:val="none"/>
                      <w:lang w:val="en-US" w:eastAsia="zh-CN"/>
                    </w:rPr>
                  </w:pPr>
                  <w:r>
                    <w:rPr>
                      <w:rFonts w:ascii="Times New Roman" w:hAnsi="Times New Roman" w:eastAsia="宋体" w:cs="Times New Roman"/>
                      <w:color w:val="auto"/>
                      <w:kern w:val="0"/>
                      <w:sz w:val="21"/>
                      <w:szCs w:val="21"/>
                      <w:highlight w:val="none"/>
                    </w:rPr>
                    <w:t>900-</w:t>
                  </w:r>
                  <w:r>
                    <w:rPr>
                      <w:rFonts w:hint="eastAsia" w:ascii="Times New Roman" w:hAnsi="Times New Roman" w:eastAsia="宋体" w:cs="Times New Roman"/>
                      <w:color w:val="auto"/>
                      <w:kern w:val="0"/>
                      <w:sz w:val="21"/>
                      <w:szCs w:val="21"/>
                      <w:highlight w:val="none"/>
                      <w:lang w:val="en-US" w:eastAsia="zh-CN"/>
                    </w:rPr>
                    <w:t>039</w:t>
                  </w:r>
                  <w:r>
                    <w:rPr>
                      <w:rFonts w:ascii="Times New Roman" w:hAnsi="Times New Roman" w:eastAsia="宋体" w:cs="Times New Roman"/>
                      <w:color w:val="auto"/>
                      <w:kern w:val="0"/>
                      <w:sz w:val="21"/>
                      <w:szCs w:val="21"/>
                      <w:highlight w:val="none"/>
                    </w:rPr>
                    <w:t>-49</w:t>
                  </w:r>
                </w:p>
              </w:tc>
              <w:tc>
                <w:tcPr>
                  <w:tcW w:w="415" w:type="pct"/>
                  <w:vMerge w:val="restart"/>
                  <w:noWrap w:val="0"/>
                  <w:vAlign w:val="center"/>
                </w:tcPr>
                <w:p w14:paraId="666B3A3E">
                  <w:pPr>
                    <w:keepNext w:val="0"/>
                    <w:keepLines w:val="0"/>
                    <w:pageBreakBefore w:val="0"/>
                    <w:widowControl w:val="0"/>
                    <w:kinsoku/>
                    <w:wordWrap/>
                    <w:overflowPunct/>
                    <w:topLinePunct w:val="0"/>
                    <w:autoSpaceDE w:val="0"/>
                    <w:autoSpaceDN w:val="0"/>
                    <w:bidi w:val="0"/>
                    <w:adjustRightIn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危废库</w:t>
                  </w:r>
                </w:p>
              </w:tc>
              <w:tc>
                <w:tcPr>
                  <w:tcW w:w="428" w:type="pct"/>
                  <w:vMerge w:val="restart"/>
                  <w:noWrap w:val="0"/>
                  <w:vAlign w:val="center"/>
                </w:tcPr>
                <w:p w14:paraId="35CA416A">
                  <w:pPr>
                    <w:keepNext w:val="0"/>
                    <w:keepLines w:val="0"/>
                    <w:pageBreakBefore w:val="0"/>
                    <w:widowControl w:val="0"/>
                    <w:kinsoku/>
                    <w:wordWrap/>
                    <w:overflowPunct/>
                    <w:topLinePunct w:val="0"/>
                    <w:autoSpaceDE w:val="0"/>
                    <w:autoSpaceDN w:val="0"/>
                    <w:bidi w:val="0"/>
                    <w:adjustRightIn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111.99m</w:t>
                  </w:r>
                  <w:r>
                    <w:rPr>
                      <w:rFonts w:hint="eastAsia" w:cs="Times New Roman"/>
                      <w:color w:val="auto"/>
                      <w:kern w:val="2"/>
                      <w:sz w:val="21"/>
                      <w:szCs w:val="21"/>
                      <w:highlight w:val="none"/>
                      <w:vertAlign w:val="superscript"/>
                      <w:lang w:val="en-US" w:eastAsia="zh-CN" w:bidi="ar-SA"/>
                    </w:rPr>
                    <w:t>2</w:t>
                  </w:r>
                </w:p>
              </w:tc>
              <w:tc>
                <w:tcPr>
                  <w:tcW w:w="370" w:type="pct"/>
                  <w:vMerge w:val="restart"/>
                  <w:noWrap w:val="0"/>
                  <w:vAlign w:val="center"/>
                </w:tcPr>
                <w:p w14:paraId="7CC34B2B">
                  <w:pPr>
                    <w:keepNext w:val="0"/>
                    <w:keepLines w:val="0"/>
                    <w:pageBreakBefore w:val="0"/>
                    <w:widowControl w:val="0"/>
                    <w:kinsoku/>
                    <w:wordWrap/>
                    <w:overflowPunct/>
                    <w:topLinePunct w:val="0"/>
                    <w:autoSpaceDE w:val="0"/>
                    <w:autoSpaceDN w:val="0"/>
                    <w:bidi w:val="0"/>
                    <w:adjustRightIn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分类放置，密闭容器/包装储存</w:t>
                  </w:r>
                </w:p>
              </w:tc>
              <w:tc>
                <w:tcPr>
                  <w:tcW w:w="407" w:type="pct"/>
                  <w:vMerge w:val="restart"/>
                  <w:noWrap w:val="0"/>
                  <w:vAlign w:val="center"/>
                </w:tcPr>
                <w:p w14:paraId="051BD9DB">
                  <w:pPr>
                    <w:keepNext w:val="0"/>
                    <w:keepLines w:val="0"/>
                    <w:pageBreakBefore w:val="0"/>
                    <w:widowControl w:val="0"/>
                    <w:kinsoku/>
                    <w:wordWrap/>
                    <w:overflowPunct/>
                    <w:topLinePunct w:val="0"/>
                    <w:autoSpaceDE w:val="0"/>
                    <w:autoSpaceDN w:val="0"/>
                    <w:bidi w:val="0"/>
                    <w:adjustRightIn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60</w:t>
                  </w:r>
                  <w:r>
                    <w:rPr>
                      <w:rFonts w:hint="default" w:ascii="Times New Roman" w:hAnsi="Times New Roman" w:eastAsia="宋体" w:cs="Times New Roman"/>
                      <w:color w:val="auto"/>
                      <w:kern w:val="2"/>
                      <w:sz w:val="21"/>
                      <w:szCs w:val="21"/>
                      <w:highlight w:val="none"/>
                      <w:lang w:val="en-US" w:eastAsia="zh-CN" w:bidi="ar-SA"/>
                    </w:rPr>
                    <w:t>t</w:t>
                  </w:r>
                </w:p>
              </w:tc>
              <w:tc>
                <w:tcPr>
                  <w:tcW w:w="443" w:type="pct"/>
                  <w:vMerge w:val="restart"/>
                  <w:noWrap w:val="0"/>
                  <w:vAlign w:val="center"/>
                </w:tcPr>
                <w:p w14:paraId="59E88F46">
                  <w:pPr>
                    <w:keepNext w:val="0"/>
                    <w:keepLines w:val="0"/>
                    <w:pageBreakBefore w:val="0"/>
                    <w:widowControl w:val="0"/>
                    <w:kinsoku/>
                    <w:wordWrap/>
                    <w:overflowPunct/>
                    <w:topLinePunct w:val="0"/>
                    <w:autoSpaceDE w:val="0"/>
                    <w:autoSpaceDN w:val="0"/>
                    <w:bidi w:val="0"/>
                    <w:adjustRightIn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3</w:t>
                  </w:r>
                  <w:r>
                    <w:rPr>
                      <w:rFonts w:hint="default" w:ascii="Times New Roman" w:hAnsi="Times New Roman" w:eastAsia="宋体" w:cs="Times New Roman"/>
                      <w:color w:val="auto"/>
                      <w:kern w:val="2"/>
                      <w:sz w:val="21"/>
                      <w:szCs w:val="21"/>
                      <w:highlight w:val="none"/>
                      <w:lang w:val="en-US" w:eastAsia="zh-CN" w:bidi="ar-SA"/>
                    </w:rPr>
                    <w:t>个月</w:t>
                  </w:r>
                </w:p>
              </w:tc>
            </w:tr>
            <w:tr w14:paraId="21D51E11">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23" w:type="dxa"/>
                  <w:bottom w:w="0" w:type="dxa"/>
                  <w:right w:w="23" w:type="dxa"/>
                </w:tblCellMar>
              </w:tblPrEx>
              <w:trPr>
                <w:trHeight w:val="340" w:hRule="atLeast"/>
                <w:jc w:val="center"/>
              </w:trPr>
              <w:tc>
                <w:tcPr>
                  <w:tcW w:w="499" w:type="pct"/>
                  <w:vMerge w:val="continue"/>
                  <w:noWrap w:val="0"/>
                  <w:vAlign w:val="center"/>
                </w:tcPr>
                <w:p w14:paraId="06E16C9E">
                  <w:pPr>
                    <w:keepNext w:val="0"/>
                    <w:keepLines w:val="0"/>
                    <w:pageBreakBefore w:val="0"/>
                    <w:widowControl w:val="0"/>
                    <w:kinsoku/>
                    <w:wordWrap/>
                    <w:overflowPunct/>
                    <w:topLinePunct w:val="0"/>
                    <w:autoSpaceDE w:val="0"/>
                    <w:autoSpaceDN w:val="0"/>
                    <w:bidi w:val="0"/>
                    <w:adjustRightIn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p>
              </w:tc>
              <w:tc>
                <w:tcPr>
                  <w:tcW w:w="1189" w:type="pct"/>
                  <w:noWrap w:val="0"/>
                  <w:vAlign w:val="center"/>
                </w:tcPr>
                <w:p w14:paraId="5E4A86F4">
                  <w:pPr>
                    <w:autoSpaceDE w:val="0"/>
                    <w:autoSpaceDN w:val="0"/>
                    <w:adjustRightInd w:val="0"/>
                    <w:snapToGrid w:val="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废水处理污泥</w:t>
                  </w:r>
                </w:p>
              </w:tc>
              <w:tc>
                <w:tcPr>
                  <w:tcW w:w="513" w:type="pct"/>
                  <w:noWrap w:val="0"/>
                  <w:vAlign w:val="center"/>
                </w:tcPr>
                <w:p w14:paraId="4F119A92">
                  <w:pPr>
                    <w:autoSpaceDE w:val="0"/>
                    <w:autoSpaceDN w:val="0"/>
                    <w:adjustRightInd w:val="0"/>
                    <w:snapToGrid w:val="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HW49</w:t>
                  </w:r>
                </w:p>
              </w:tc>
              <w:tc>
                <w:tcPr>
                  <w:tcW w:w="733" w:type="pct"/>
                  <w:noWrap w:val="0"/>
                  <w:vAlign w:val="center"/>
                </w:tcPr>
                <w:p w14:paraId="1FD25976">
                  <w:pPr>
                    <w:autoSpaceDE w:val="0"/>
                    <w:autoSpaceDN w:val="0"/>
                    <w:adjustRightInd w:val="0"/>
                    <w:snapToGrid w:val="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772-006-49</w:t>
                  </w:r>
                </w:p>
              </w:tc>
              <w:tc>
                <w:tcPr>
                  <w:tcW w:w="415" w:type="pct"/>
                  <w:vMerge w:val="continue"/>
                  <w:noWrap w:val="0"/>
                  <w:vAlign w:val="center"/>
                </w:tcPr>
                <w:p w14:paraId="14C00AC5">
                  <w:pPr>
                    <w:keepNext w:val="0"/>
                    <w:keepLines w:val="0"/>
                    <w:pageBreakBefore w:val="0"/>
                    <w:widowControl w:val="0"/>
                    <w:kinsoku/>
                    <w:wordWrap/>
                    <w:overflowPunct/>
                    <w:topLinePunct w:val="0"/>
                    <w:autoSpaceDE w:val="0"/>
                    <w:autoSpaceDN w:val="0"/>
                    <w:bidi w:val="0"/>
                    <w:adjustRightIn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p>
              </w:tc>
              <w:tc>
                <w:tcPr>
                  <w:tcW w:w="428" w:type="pct"/>
                  <w:vMerge w:val="continue"/>
                  <w:noWrap w:val="0"/>
                  <w:vAlign w:val="center"/>
                </w:tcPr>
                <w:p w14:paraId="00581D15">
                  <w:pPr>
                    <w:keepNext w:val="0"/>
                    <w:keepLines w:val="0"/>
                    <w:pageBreakBefore w:val="0"/>
                    <w:widowControl w:val="0"/>
                    <w:kinsoku/>
                    <w:wordWrap/>
                    <w:overflowPunct/>
                    <w:topLinePunct w:val="0"/>
                    <w:autoSpaceDE w:val="0"/>
                    <w:autoSpaceDN w:val="0"/>
                    <w:bidi w:val="0"/>
                    <w:adjustRightIn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p>
              </w:tc>
              <w:tc>
                <w:tcPr>
                  <w:tcW w:w="370" w:type="pct"/>
                  <w:vMerge w:val="continue"/>
                  <w:noWrap w:val="0"/>
                  <w:vAlign w:val="center"/>
                </w:tcPr>
                <w:p w14:paraId="4B61D600">
                  <w:pPr>
                    <w:keepNext w:val="0"/>
                    <w:keepLines w:val="0"/>
                    <w:pageBreakBefore w:val="0"/>
                    <w:widowControl w:val="0"/>
                    <w:kinsoku/>
                    <w:wordWrap/>
                    <w:overflowPunct/>
                    <w:topLinePunct w:val="0"/>
                    <w:autoSpaceDE w:val="0"/>
                    <w:autoSpaceDN w:val="0"/>
                    <w:bidi w:val="0"/>
                    <w:adjustRightIn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p>
              </w:tc>
              <w:tc>
                <w:tcPr>
                  <w:tcW w:w="407" w:type="pct"/>
                  <w:vMerge w:val="continue"/>
                  <w:noWrap w:val="0"/>
                  <w:vAlign w:val="center"/>
                </w:tcPr>
                <w:p w14:paraId="4F6289C7">
                  <w:pPr>
                    <w:keepNext w:val="0"/>
                    <w:keepLines w:val="0"/>
                    <w:pageBreakBefore w:val="0"/>
                    <w:widowControl w:val="0"/>
                    <w:kinsoku/>
                    <w:wordWrap/>
                    <w:overflowPunct/>
                    <w:topLinePunct w:val="0"/>
                    <w:autoSpaceDE w:val="0"/>
                    <w:autoSpaceDN w:val="0"/>
                    <w:bidi w:val="0"/>
                    <w:adjustRightIn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p>
              </w:tc>
              <w:tc>
                <w:tcPr>
                  <w:tcW w:w="443" w:type="pct"/>
                  <w:vMerge w:val="continue"/>
                  <w:noWrap w:val="0"/>
                  <w:vAlign w:val="center"/>
                </w:tcPr>
                <w:p w14:paraId="3570B1D4">
                  <w:pPr>
                    <w:keepNext w:val="0"/>
                    <w:keepLines w:val="0"/>
                    <w:pageBreakBefore w:val="0"/>
                    <w:widowControl w:val="0"/>
                    <w:kinsoku/>
                    <w:wordWrap/>
                    <w:overflowPunct/>
                    <w:topLinePunct w:val="0"/>
                    <w:autoSpaceDE w:val="0"/>
                    <w:autoSpaceDN w:val="0"/>
                    <w:bidi w:val="0"/>
                    <w:adjustRightIn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p>
              </w:tc>
            </w:tr>
            <w:tr w14:paraId="1DD59DE3">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23" w:type="dxa"/>
                  <w:bottom w:w="0" w:type="dxa"/>
                  <w:right w:w="23" w:type="dxa"/>
                </w:tblCellMar>
              </w:tblPrEx>
              <w:trPr>
                <w:trHeight w:val="340" w:hRule="atLeast"/>
                <w:jc w:val="center"/>
              </w:trPr>
              <w:tc>
                <w:tcPr>
                  <w:tcW w:w="499" w:type="pct"/>
                  <w:vMerge w:val="continue"/>
                  <w:noWrap w:val="0"/>
                  <w:vAlign w:val="center"/>
                </w:tcPr>
                <w:p w14:paraId="5E702EBD">
                  <w:pPr>
                    <w:keepNext w:val="0"/>
                    <w:keepLines w:val="0"/>
                    <w:pageBreakBefore w:val="0"/>
                    <w:widowControl w:val="0"/>
                    <w:kinsoku/>
                    <w:wordWrap/>
                    <w:overflowPunct/>
                    <w:topLinePunct w:val="0"/>
                    <w:autoSpaceDE w:val="0"/>
                    <w:autoSpaceDN w:val="0"/>
                    <w:bidi w:val="0"/>
                    <w:adjustRightIn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p>
              </w:tc>
              <w:tc>
                <w:tcPr>
                  <w:tcW w:w="1189" w:type="pct"/>
                  <w:noWrap w:val="0"/>
                  <w:vAlign w:val="center"/>
                </w:tcPr>
                <w:p w14:paraId="54849BCC">
                  <w:pPr>
                    <w:autoSpaceDE w:val="0"/>
                    <w:autoSpaceDN w:val="0"/>
                    <w:adjustRightInd w:val="0"/>
                    <w:snapToGrid w:val="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废机油</w:t>
                  </w:r>
                </w:p>
              </w:tc>
              <w:tc>
                <w:tcPr>
                  <w:tcW w:w="513" w:type="pct"/>
                  <w:noWrap w:val="0"/>
                  <w:vAlign w:val="center"/>
                </w:tcPr>
                <w:p w14:paraId="04399516">
                  <w:pPr>
                    <w:autoSpaceDE w:val="0"/>
                    <w:autoSpaceDN w:val="0"/>
                    <w:adjustRightInd w:val="0"/>
                    <w:snapToGrid w:val="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HW08</w:t>
                  </w:r>
                </w:p>
              </w:tc>
              <w:tc>
                <w:tcPr>
                  <w:tcW w:w="733" w:type="pct"/>
                  <w:noWrap w:val="0"/>
                  <w:vAlign w:val="center"/>
                </w:tcPr>
                <w:p w14:paraId="04C58D51">
                  <w:pPr>
                    <w:autoSpaceDE w:val="0"/>
                    <w:autoSpaceDN w:val="0"/>
                    <w:adjustRightInd w:val="0"/>
                    <w:snapToGrid w:val="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rPr>
                    <w:t>900-2</w:t>
                  </w:r>
                  <w:r>
                    <w:rPr>
                      <w:rFonts w:hint="eastAsia" w:ascii="Times New Roman" w:hAnsi="Times New Roman" w:eastAsia="宋体" w:cs="Times New Roman"/>
                      <w:color w:val="auto"/>
                      <w:kern w:val="0"/>
                      <w:sz w:val="21"/>
                      <w:szCs w:val="21"/>
                      <w:highlight w:val="none"/>
                      <w:lang w:val="en-US" w:eastAsia="zh-CN"/>
                    </w:rPr>
                    <w:t>49</w:t>
                  </w:r>
                  <w:r>
                    <w:rPr>
                      <w:rFonts w:hint="default" w:ascii="Times New Roman" w:hAnsi="Times New Roman" w:eastAsia="宋体" w:cs="Times New Roman"/>
                      <w:color w:val="auto"/>
                      <w:kern w:val="0"/>
                      <w:sz w:val="21"/>
                      <w:szCs w:val="21"/>
                      <w:highlight w:val="none"/>
                    </w:rPr>
                    <w:t>-08</w:t>
                  </w:r>
                </w:p>
              </w:tc>
              <w:tc>
                <w:tcPr>
                  <w:tcW w:w="415" w:type="pct"/>
                  <w:vMerge w:val="continue"/>
                  <w:noWrap w:val="0"/>
                  <w:vAlign w:val="center"/>
                </w:tcPr>
                <w:p w14:paraId="7C0DF0D2">
                  <w:pPr>
                    <w:keepNext w:val="0"/>
                    <w:keepLines w:val="0"/>
                    <w:pageBreakBefore w:val="0"/>
                    <w:widowControl w:val="0"/>
                    <w:kinsoku/>
                    <w:wordWrap/>
                    <w:overflowPunct/>
                    <w:topLinePunct w:val="0"/>
                    <w:autoSpaceDE w:val="0"/>
                    <w:autoSpaceDN w:val="0"/>
                    <w:bidi w:val="0"/>
                    <w:adjustRightIn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p>
              </w:tc>
              <w:tc>
                <w:tcPr>
                  <w:tcW w:w="428" w:type="pct"/>
                  <w:vMerge w:val="continue"/>
                  <w:noWrap w:val="0"/>
                  <w:vAlign w:val="center"/>
                </w:tcPr>
                <w:p w14:paraId="1A8077E8">
                  <w:pPr>
                    <w:keepNext w:val="0"/>
                    <w:keepLines w:val="0"/>
                    <w:pageBreakBefore w:val="0"/>
                    <w:widowControl w:val="0"/>
                    <w:kinsoku/>
                    <w:wordWrap/>
                    <w:overflowPunct/>
                    <w:topLinePunct w:val="0"/>
                    <w:autoSpaceDE w:val="0"/>
                    <w:autoSpaceDN w:val="0"/>
                    <w:bidi w:val="0"/>
                    <w:adjustRightIn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p>
              </w:tc>
              <w:tc>
                <w:tcPr>
                  <w:tcW w:w="370" w:type="pct"/>
                  <w:vMerge w:val="continue"/>
                  <w:noWrap w:val="0"/>
                  <w:vAlign w:val="center"/>
                </w:tcPr>
                <w:p w14:paraId="7F62B910">
                  <w:pPr>
                    <w:keepNext w:val="0"/>
                    <w:keepLines w:val="0"/>
                    <w:pageBreakBefore w:val="0"/>
                    <w:widowControl w:val="0"/>
                    <w:kinsoku/>
                    <w:wordWrap/>
                    <w:overflowPunct/>
                    <w:topLinePunct w:val="0"/>
                    <w:autoSpaceDE w:val="0"/>
                    <w:autoSpaceDN w:val="0"/>
                    <w:bidi w:val="0"/>
                    <w:adjustRightIn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p>
              </w:tc>
              <w:tc>
                <w:tcPr>
                  <w:tcW w:w="407" w:type="pct"/>
                  <w:vMerge w:val="continue"/>
                  <w:noWrap w:val="0"/>
                  <w:vAlign w:val="center"/>
                </w:tcPr>
                <w:p w14:paraId="21F68CC9">
                  <w:pPr>
                    <w:keepNext w:val="0"/>
                    <w:keepLines w:val="0"/>
                    <w:pageBreakBefore w:val="0"/>
                    <w:widowControl w:val="0"/>
                    <w:kinsoku/>
                    <w:wordWrap/>
                    <w:overflowPunct/>
                    <w:topLinePunct w:val="0"/>
                    <w:autoSpaceDE w:val="0"/>
                    <w:autoSpaceDN w:val="0"/>
                    <w:bidi w:val="0"/>
                    <w:adjustRightIn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p>
              </w:tc>
              <w:tc>
                <w:tcPr>
                  <w:tcW w:w="443" w:type="pct"/>
                  <w:vMerge w:val="continue"/>
                  <w:noWrap w:val="0"/>
                  <w:vAlign w:val="center"/>
                </w:tcPr>
                <w:p w14:paraId="0A8A433B">
                  <w:pPr>
                    <w:keepNext w:val="0"/>
                    <w:keepLines w:val="0"/>
                    <w:pageBreakBefore w:val="0"/>
                    <w:widowControl w:val="0"/>
                    <w:kinsoku/>
                    <w:wordWrap/>
                    <w:overflowPunct/>
                    <w:topLinePunct w:val="0"/>
                    <w:autoSpaceDE w:val="0"/>
                    <w:autoSpaceDN w:val="0"/>
                    <w:bidi w:val="0"/>
                    <w:adjustRightIn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p>
              </w:tc>
            </w:tr>
            <w:tr w14:paraId="1FB0997D">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23" w:type="dxa"/>
                  <w:bottom w:w="0" w:type="dxa"/>
                  <w:right w:w="23" w:type="dxa"/>
                </w:tblCellMar>
              </w:tblPrEx>
              <w:trPr>
                <w:trHeight w:val="340" w:hRule="atLeast"/>
                <w:jc w:val="center"/>
              </w:trPr>
              <w:tc>
                <w:tcPr>
                  <w:tcW w:w="499" w:type="pct"/>
                  <w:vMerge w:val="continue"/>
                  <w:noWrap w:val="0"/>
                  <w:vAlign w:val="center"/>
                </w:tcPr>
                <w:p w14:paraId="553CB3DC">
                  <w:pPr>
                    <w:keepNext w:val="0"/>
                    <w:keepLines w:val="0"/>
                    <w:pageBreakBefore w:val="0"/>
                    <w:widowControl w:val="0"/>
                    <w:kinsoku/>
                    <w:wordWrap/>
                    <w:overflowPunct/>
                    <w:topLinePunct w:val="0"/>
                    <w:autoSpaceDE w:val="0"/>
                    <w:autoSpaceDN w:val="0"/>
                    <w:bidi w:val="0"/>
                    <w:adjustRightIn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p>
              </w:tc>
              <w:tc>
                <w:tcPr>
                  <w:tcW w:w="1189" w:type="pct"/>
                  <w:noWrap w:val="0"/>
                  <w:vAlign w:val="center"/>
                </w:tcPr>
                <w:p w14:paraId="58A8FB62">
                  <w:pPr>
                    <w:autoSpaceDE w:val="0"/>
                    <w:autoSpaceDN w:val="0"/>
                    <w:adjustRightInd w:val="0"/>
                    <w:snapToGrid w:val="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含油棉纱手套、抹布</w:t>
                  </w:r>
                </w:p>
              </w:tc>
              <w:tc>
                <w:tcPr>
                  <w:tcW w:w="513" w:type="pct"/>
                  <w:noWrap w:val="0"/>
                  <w:vAlign w:val="center"/>
                </w:tcPr>
                <w:p w14:paraId="48790C29">
                  <w:pPr>
                    <w:autoSpaceDE w:val="0"/>
                    <w:autoSpaceDN w:val="0"/>
                    <w:adjustRightInd w:val="0"/>
                    <w:snapToGrid w:val="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HW49</w:t>
                  </w:r>
                </w:p>
              </w:tc>
              <w:tc>
                <w:tcPr>
                  <w:tcW w:w="733" w:type="pct"/>
                  <w:noWrap w:val="0"/>
                  <w:vAlign w:val="center"/>
                </w:tcPr>
                <w:p w14:paraId="6BF9A4C6">
                  <w:pPr>
                    <w:autoSpaceDE w:val="0"/>
                    <w:autoSpaceDN w:val="0"/>
                    <w:adjustRightInd w:val="0"/>
                    <w:snapToGrid w:val="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900-041-49</w:t>
                  </w:r>
                </w:p>
              </w:tc>
              <w:tc>
                <w:tcPr>
                  <w:tcW w:w="415" w:type="pct"/>
                  <w:vMerge w:val="continue"/>
                  <w:noWrap w:val="0"/>
                  <w:vAlign w:val="center"/>
                </w:tcPr>
                <w:p w14:paraId="17DB827A">
                  <w:pPr>
                    <w:keepNext w:val="0"/>
                    <w:keepLines w:val="0"/>
                    <w:pageBreakBefore w:val="0"/>
                    <w:widowControl w:val="0"/>
                    <w:kinsoku/>
                    <w:wordWrap/>
                    <w:overflowPunct/>
                    <w:topLinePunct w:val="0"/>
                    <w:autoSpaceDE w:val="0"/>
                    <w:autoSpaceDN w:val="0"/>
                    <w:bidi w:val="0"/>
                    <w:adjustRightIn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p>
              </w:tc>
              <w:tc>
                <w:tcPr>
                  <w:tcW w:w="428" w:type="pct"/>
                  <w:vMerge w:val="continue"/>
                  <w:noWrap w:val="0"/>
                  <w:vAlign w:val="center"/>
                </w:tcPr>
                <w:p w14:paraId="11236A90">
                  <w:pPr>
                    <w:keepNext w:val="0"/>
                    <w:keepLines w:val="0"/>
                    <w:pageBreakBefore w:val="0"/>
                    <w:widowControl w:val="0"/>
                    <w:kinsoku/>
                    <w:wordWrap/>
                    <w:overflowPunct/>
                    <w:topLinePunct w:val="0"/>
                    <w:autoSpaceDE w:val="0"/>
                    <w:autoSpaceDN w:val="0"/>
                    <w:bidi w:val="0"/>
                    <w:adjustRightIn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p>
              </w:tc>
              <w:tc>
                <w:tcPr>
                  <w:tcW w:w="370" w:type="pct"/>
                  <w:vMerge w:val="continue"/>
                  <w:noWrap w:val="0"/>
                  <w:vAlign w:val="center"/>
                </w:tcPr>
                <w:p w14:paraId="4913ABB6">
                  <w:pPr>
                    <w:keepNext w:val="0"/>
                    <w:keepLines w:val="0"/>
                    <w:pageBreakBefore w:val="0"/>
                    <w:widowControl w:val="0"/>
                    <w:kinsoku/>
                    <w:wordWrap/>
                    <w:overflowPunct/>
                    <w:topLinePunct w:val="0"/>
                    <w:autoSpaceDE w:val="0"/>
                    <w:autoSpaceDN w:val="0"/>
                    <w:bidi w:val="0"/>
                    <w:adjustRightIn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p>
              </w:tc>
              <w:tc>
                <w:tcPr>
                  <w:tcW w:w="407" w:type="pct"/>
                  <w:vMerge w:val="continue"/>
                  <w:noWrap w:val="0"/>
                  <w:vAlign w:val="center"/>
                </w:tcPr>
                <w:p w14:paraId="0DFFA3EC">
                  <w:pPr>
                    <w:keepNext w:val="0"/>
                    <w:keepLines w:val="0"/>
                    <w:pageBreakBefore w:val="0"/>
                    <w:widowControl w:val="0"/>
                    <w:kinsoku/>
                    <w:wordWrap/>
                    <w:overflowPunct/>
                    <w:topLinePunct w:val="0"/>
                    <w:autoSpaceDE w:val="0"/>
                    <w:autoSpaceDN w:val="0"/>
                    <w:bidi w:val="0"/>
                    <w:adjustRightIn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p>
              </w:tc>
              <w:tc>
                <w:tcPr>
                  <w:tcW w:w="443" w:type="pct"/>
                  <w:vMerge w:val="continue"/>
                  <w:noWrap w:val="0"/>
                  <w:vAlign w:val="center"/>
                </w:tcPr>
                <w:p w14:paraId="655C5BC9">
                  <w:pPr>
                    <w:keepNext w:val="0"/>
                    <w:keepLines w:val="0"/>
                    <w:pageBreakBefore w:val="0"/>
                    <w:widowControl w:val="0"/>
                    <w:kinsoku/>
                    <w:wordWrap/>
                    <w:overflowPunct/>
                    <w:topLinePunct w:val="0"/>
                    <w:autoSpaceDE w:val="0"/>
                    <w:autoSpaceDN w:val="0"/>
                    <w:bidi w:val="0"/>
                    <w:adjustRightIn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p>
              </w:tc>
            </w:tr>
            <w:tr w14:paraId="1B1028B8">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23" w:type="dxa"/>
                  <w:bottom w:w="0" w:type="dxa"/>
                  <w:right w:w="23" w:type="dxa"/>
                </w:tblCellMar>
              </w:tblPrEx>
              <w:trPr>
                <w:trHeight w:val="340" w:hRule="atLeast"/>
                <w:jc w:val="center"/>
              </w:trPr>
              <w:tc>
                <w:tcPr>
                  <w:tcW w:w="499" w:type="pct"/>
                  <w:vMerge w:val="continue"/>
                  <w:noWrap w:val="0"/>
                  <w:vAlign w:val="center"/>
                </w:tcPr>
                <w:p w14:paraId="3B807792">
                  <w:pPr>
                    <w:keepNext w:val="0"/>
                    <w:keepLines w:val="0"/>
                    <w:pageBreakBefore w:val="0"/>
                    <w:widowControl w:val="0"/>
                    <w:kinsoku/>
                    <w:wordWrap/>
                    <w:overflowPunct/>
                    <w:topLinePunct w:val="0"/>
                    <w:autoSpaceDE w:val="0"/>
                    <w:autoSpaceDN w:val="0"/>
                    <w:bidi w:val="0"/>
                    <w:adjustRightIn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p>
              </w:tc>
              <w:tc>
                <w:tcPr>
                  <w:tcW w:w="1189" w:type="pct"/>
                  <w:noWrap w:val="0"/>
                  <w:vAlign w:val="center"/>
                </w:tcPr>
                <w:p w14:paraId="10AFD6F5">
                  <w:pPr>
                    <w:autoSpaceDE w:val="0"/>
                    <w:autoSpaceDN w:val="0"/>
                    <w:adjustRightInd w:val="0"/>
                    <w:snapToGrid w:val="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废危化品包装桶</w:t>
                  </w:r>
                </w:p>
              </w:tc>
              <w:tc>
                <w:tcPr>
                  <w:tcW w:w="513" w:type="pct"/>
                  <w:noWrap w:val="0"/>
                  <w:vAlign w:val="center"/>
                </w:tcPr>
                <w:p w14:paraId="3DA84FFE">
                  <w:pPr>
                    <w:autoSpaceDE w:val="0"/>
                    <w:autoSpaceDN w:val="0"/>
                    <w:adjustRightInd w:val="0"/>
                    <w:snapToGrid w:val="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HW49</w:t>
                  </w:r>
                </w:p>
              </w:tc>
              <w:tc>
                <w:tcPr>
                  <w:tcW w:w="733" w:type="pct"/>
                  <w:noWrap w:val="0"/>
                  <w:vAlign w:val="center"/>
                </w:tcPr>
                <w:p w14:paraId="0A3848E2">
                  <w:pPr>
                    <w:autoSpaceDE w:val="0"/>
                    <w:autoSpaceDN w:val="0"/>
                    <w:adjustRightInd w:val="0"/>
                    <w:snapToGrid w:val="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900-041-49</w:t>
                  </w:r>
                </w:p>
              </w:tc>
              <w:tc>
                <w:tcPr>
                  <w:tcW w:w="415" w:type="pct"/>
                  <w:vMerge w:val="continue"/>
                  <w:noWrap w:val="0"/>
                  <w:vAlign w:val="center"/>
                </w:tcPr>
                <w:p w14:paraId="108141C1">
                  <w:pPr>
                    <w:keepNext w:val="0"/>
                    <w:keepLines w:val="0"/>
                    <w:pageBreakBefore w:val="0"/>
                    <w:widowControl w:val="0"/>
                    <w:kinsoku/>
                    <w:wordWrap/>
                    <w:overflowPunct/>
                    <w:topLinePunct w:val="0"/>
                    <w:autoSpaceDE w:val="0"/>
                    <w:autoSpaceDN w:val="0"/>
                    <w:bidi w:val="0"/>
                    <w:adjustRightIn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p>
              </w:tc>
              <w:tc>
                <w:tcPr>
                  <w:tcW w:w="428" w:type="pct"/>
                  <w:vMerge w:val="continue"/>
                  <w:noWrap w:val="0"/>
                  <w:vAlign w:val="center"/>
                </w:tcPr>
                <w:p w14:paraId="0BE6FB52">
                  <w:pPr>
                    <w:keepNext w:val="0"/>
                    <w:keepLines w:val="0"/>
                    <w:pageBreakBefore w:val="0"/>
                    <w:widowControl w:val="0"/>
                    <w:kinsoku/>
                    <w:wordWrap/>
                    <w:overflowPunct/>
                    <w:topLinePunct w:val="0"/>
                    <w:autoSpaceDE w:val="0"/>
                    <w:autoSpaceDN w:val="0"/>
                    <w:bidi w:val="0"/>
                    <w:adjustRightIn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p>
              </w:tc>
              <w:tc>
                <w:tcPr>
                  <w:tcW w:w="370" w:type="pct"/>
                  <w:vMerge w:val="continue"/>
                  <w:noWrap w:val="0"/>
                  <w:vAlign w:val="center"/>
                </w:tcPr>
                <w:p w14:paraId="51C56848">
                  <w:pPr>
                    <w:keepNext w:val="0"/>
                    <w:keepLines w:val="0"/>
                    <w:pageBreakBefore w:val="0"/>
                    <w:widowControl w:val="0"/>
                    <w:kinsoku/>
                    <w:wordWrap/>
                    <w:overflowPunct/>
                    <w:topLinePunct w:val="0"/>
                    <w:autoSpaceDE w:val="0"/>
                    <w:autoSpaceDN w:val="0"/>
                    <w:bidi w:val="0"/>
                    <w:adjustRightIn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p>
              </w:tc>
              <w:tc>
                <w:tcPr>
                  <w:tcW w:w="407" w:type="pct"/>
                  <w:vMerge w:val="continue"/>
                  <w:noWrap w:val="0"/>
                  <w:vAlign w:val="center"/>
                </w:tcPr>
                <w:p w14:paraId="3882F43D">
                  <w:pPr>
                    <w:keepNext w:val="0"/>
                    <w:keepLines w:val="0"/>
                    <w:pageBreakBefore w:val="0"/>
                    <w:widowControl w:val="0"/>
                    <w:kinsoku/>
                    <w:wordWrap/>
                    <w:overflowPunct/>
                    <w:topLinePunct w:val="0"/>
                    <w:autoSpaceDE w:val="0"/>
                    <w:autoSpaceDN w:val="0"/>
                    <w:bidi w:val="0"/>
                    <w:adjustRightIn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p>
              </w:tc>
              <w:tc>
                <w:tcPr>
                  <w:tcW w:w="443" w:type="pct"/>
                  <w:vMerge w:val="continue"/>
                  <w:noWrap w:val="0"/>
                  <w:vAlign w:val="center"/>
                </w:tcPr>
                <w:p w14:paraId="257920F1">
                  <w:pPr>
                    <w:keepNext w:val="0"/>
                    <w:keepLines w:val="0"/>
                    <w:pageBreakBefore w:val="0"/>
                    <w:widowControl w:val="0"/>
                    <w:kinsoku/>
                    <w:wordWrap/>
                    <w:overflowPunct/>
                    <w:topLinePunct w:val="0"/>
                    <w:autoSpaceDE w:val="0"/>
                    <w:autoSpaceDN w:val="0"/>
                    <w:bidi w:val="0"/>
                    <w:adjustRightIn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p>
              </w:tc>
            </w:tr>
            <w:tr w14:paraId="795B82D0">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23" w:type="dxa"/>
                  <w:bottom w:w="0" w:type="dxa"/>
                  <w:right w:w="23" w:type="dxa"/>
                </w:tblCellMar>
              </w:tblPrEx>
              <w:trPr>
                <w:trHeight w:val="340" w:hRule="atLeast"/>
                <w:jc w:val="center"/>
              </w:trPr>
              <w:tc>
                <w:tcPr>
                  <w:tcW w:w="499" w:type="pct"/>
                  <w:vMerge w:val="continue"/>
                  <w:noWrap w:val="0"/>
                  <w:vAlign w:val="center"/>
                </w:tcPr>
                <w:p w14:paraId="7EB14FDD">
                  <w:pPr>
                    <w:keepNext w:val="0"/>
                    <w:keepLines w:val="0"/>
                    <w:pageBreakBefore w:val="0"/>
                    <w:widowControl w:val="0"/>
                    <w:kinsoku/>
                    <w:wordWrap/>
                    <w:overflowPunct/>
                    <w:topLinePunct w:val="0"/>
                    <w:autoSpaceDE w:val="0"/>
                    <w:autoSpaceDN w:val="0"/>
                    <w:bidi w:val="0"/>
                    <w:adjustRightIn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p>
              </w:tc>
              <w:tc>
                <w:tcPr>
                  <w:tcW w:w="1189" w:type="pct"/>
                  <w:noWrap w:val="0"/>
                  <w:vAlign w:val="center"/>
                </w:tcPr>
                <w:p w14:paraId="2AC45400">
                  <w:pPr>
                    <w:autoSpaceDE w:val="0"/>
                    <w:autoSpaceDN w:val="0"/>
                    <w:adjustRightInd w:val="0"/>
                    <w:snapToGrid w:val="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废电解液</w:t>
                  </w:r>
                </w:p>
              </w:tc>
              <w:tc>
                <w:tcPr>
                  <w:tcW w:w="513" w:type="pct"/>
                  <w:noWrap w:val="0"/>
                  <w:vAlign w:val="center"/>
                </w:tcPr>
                <w:p w14:paraId="3048452F">
                  <w:pPr>
                    <w:autoSpaceDE w:val="0"/>
                    <w:autoSpaceDN w:val="0"/>
                    <w:adjustRightInd w:val="0"/>
                    <w:snapToGrid w:val="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HW49</w:t>
                  </w:r>
                </w:p>
              </w:tc>
              <w:tc>
                <w:tcPr>
                  <w:tcW w:w="733" w:type="pct"/>
                  <w:noWrap w:val="0"/>
                  <w:vAlign w:val="center"/>
                </w:tcPr>
                <w:p w14:paraId="7DF9E3E1">
                  <w:pPr>
                    <w:autoSpaceDE w:val="0"/>
                    <w:autoSpaceDN w:val="0"/>
                    <w:adjustRightInd w:val="0"/>
                    <w:snapToGrid w:val="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900-04</w:t>
                  </w:r>
                  <w:r>
                    <w:rPr>
                      <w:rFonts w:hint="eastAsia" w:ascii="Times New Roman" w:hAnsi="Times New Roman" w:eastAsia="宋体" w:cs="Times New Roman"/>
                      <w:color w:val="auto"/>
                      <w:kern w:val="0"/>
                      <w:sz w:val="21"/>
                      <w:szCs w:val="21"/>
                      <w:highlight w:val="none"/>
                      <w:lang w:val="en-US" w:eastAsia="zh-CN"/>
                    </w:rPr>
                    <w:t>5</w:t>
                  </w:r>
                  <w:r>
                    <w:rPr>
                      <w:rFonts w:hint="default" w:ascii="Times New Roman" w:hAnsi="Times New Roman" w:eastAsia="宋体" w:cs="Times New Roman"/>
                      <w:color w:val="auto"/>
                      <w:kern w:val="0"/>
                      <w:sz w:val="21"/>
                      <w:szCs w:val="21"/>
                      <w:highlight w:val="none"/>
                      <w:lang w:val="en-US" w:eastAsia="zh-CN"/>
                    </w:rPr>
                    <w:t>-49</w:t>
                  </w:r>
                </w:p>
              </w:tc>
              <w:tc>
                <w:tcPr>
                  <w:tcW w:w="415" w:type="pct"/>
                  <w:vMerge w:val="continue"/>
                  <w:noWrap w:val="0"/>
                  <w:vAlign w:val="center"/>
                </w:tcPr>
                <w:p w14:paraId="1C43F967">
                  <w:pPr>
                    <w:keepNext w:val="0"/>
                    <w:keepLines w:val="0"/>
                    <w:pageBreakBefore w:val="0"/>
                    <w:widowControl w:val="0"/>
                    <w:kinsoku/>
                    <w:wordWrap/>
                    <w:overflowPunct/>
                    <w:topLinePunct w:val="0"/>
                    <w:autoSpaceDE w:val="0"/>
                    <w:autoSpaceDN w:val="0"/>
                    <w:bidi w:val="0"/>
                    <w:adjustRightIn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p>
              </w:tc>
              <w:tc>
                <w:tcPr>
                  <w:tcW w:w="428" w:type="pct"/>
                  <w:vMerge w:val="continue"/>
                  <w:noWrap w:val="0"/>
                  <w:vAlign w:val="center"/>
                </w:tcPr>
                <w:p w14:paraId="6B32B343">
                  <w:pPr>
                    <w:keepNext w:val="0"/>
                    <w:keepLines w:val="0"/>
                    <w:pageBreakBefore w:val="0"/>
                    <w:widowControl w:val="0"/>
                    <w:kinsoku/>
                    <w:wordWrap/>
                    <w:overflowPunct/>
                    <w:topLinePunct w:val="0"/>
                    <w:autoSpaceDE w:val="0"/>
                    <w:autoSpaceDN w:val="0"/>
                    <w:bidi w:val="0"/>
                    <w:adjustRightIn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p>
              </w:tc>
              <w:tc>
                <w:tcPr>
                  <w:tcW w:w="370" w:type="pct"/>
                  <w:vMerge w:val="continue"/>
                  <w:noWrap w:val="0"/>
                  <w:vAlign w:val="center"/>
                </w:tcPr>
                <w:p w14:paraId="6D99F156">
                  <w:pPr>
                    <w:keepNext w:val="0"/>
                    <w:keepLines w:val="0"/>
                    <w:pageBreakBefore w:val="0"/>
                    <w:widowControl w:val="0"/>
                    <w:kinsoku/>
                    <w:wordWrap/>
                    <w:overflowPunct/>
                    <w:topLinePunct w:val="0"/>
                    <w:autoSpaceDE w:val="0"/>
                    <w:autoSpaceDN w:val="0"/>
                    <w:bidi w:val="0"/>
                    <w:adjustRightIn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p>
              </w:tc>
              <w:tc>
                <w:tcPr>
                  <w:tcW w:w="407" w:type="pct"/>
                  <w:vMerge w:val="continue"/>
                  <w:noWrap w:val="0"/>
                  <w:vAlign w:val="center"/>
                </w:tcPr>
                <w:p w14:paraId="3CE1DAA5">
                  <w:pPr>
                    <w:keepNext w:val="0"/>
                    <w:keepLines w:val="0"/>
                    <w:pageBreakBefore w:val="0"/>
                    <w:widowControl w:val="0"/>
                    <w:kinsoku/>
                    <w:wordWrap/>
                    <w:overflowPunct/>
                    <w:topLinePunct w:val="0"/>
                    <w:autoSpaceDE w:val="0"/>
                    <w:autoSpaceDN w:val="0"/>
                    <w:bidi w:val="0"/>
                    <w:adjustRightIn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p>
              </w:tc>
              <w:tc>
                <w:tcPr>
                  <w:tcW w:w="443" w:type="pct"/>
                  <w:vMerge w:val="continue"/>
                  <w:noWrap w:val="0"/>
                  <w:vAlign w:val="center"/>
                </w:tcPr>
                <w:p w14:paraId="5AAFE61D">
                  <w:pPr>
                    <w:keepNext w:val="0"/>
                    <w:keepLines w:val="0"/>
                    <w:pageBreakBefore w:val="0"/>
                    <w:widowControl w:val="0"/>
                    <w:kinsoku/>
                    <w:wordWrap/>
                    <w:overflowPunct/>
                    <w:topLinePunct w:val="0"/>
                    <w:autoSpaceDE w:val="0"/>
                    <w:autoSpaceDN w:val="0"/>
                    <w:bidi w:val="0"/>
                    <w:adjustRightIn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p>
              </w:tc>
            </w:tr>
            <w:tr w14:paraId="0B1DA2DA">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23" w:type="dxa"/>
                  <w:bottom w:w="0" w:type="dxa"/>
                  <w:right w:w="23" w:type="dxa"/>
                </w:tblCellMar>
              </w:tblPrEx>
              <w:trPr>
                <w:trHeight w:val="340" w:hRule="atLeast"/>
                <w:jc w:val="center"/>
              </w:trPr>
              <w:tc>
                <w:tcPr>
                  <w:tcW w:w="499" w:type="pct"/>
                  <w:vMerge w:val="continue"/>
                  <w:noWrap w:val="0"/>
                  <w:vAlign w:val="center"/>
                </w:tcPr>
                <w:p w14:paraId="54C93324">
                  <w:pPr>
                    <w:keepNext w:val="0"/>
                    <w:keepLines w:val="0"/>
                    <w:pageBreakBefore w:val="0"/>
                    <w:widowControl w:val="0"/>
                    <w:kinsoku/>
                    <w:wordWrap/>
                    <w:overflowPunct/>
                    <w:topLinePunct w:val="0"/>
                    <w:autoSpaceDE w:val="0"/>
                    <w:autoSpaceDN w:val="0"/>
                    <w:bidi w:val="0"/>
                    <w:adjustRightIn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p>
              </w:tc>
              <w:tc>
                <w:tcPr>
                  <w:tcW w:w="1189" w:type="pct"/>
                  <w:noWrap w:val="0"/>
                  <w:vAlign w:val="center"/>
                </w:tcPr>
                <w:p w14:paraId="1A46B46C">
                  <w:pPr>
                    <w:autoSpaceDE w:val="0"/>
                    <w:autoSpaceDN w:val="0"/>
                    <w:adjustRightInd w:val="0"/>
                    <w:snapToGrid w:val="0"/>
                    <w:jc w:val="center"/>
                    <w:rPr>
                      <w:rFonts w:hint="eastAsia" w:ascii="Times New Roman" w:hAnsi="Times New Roman" w:eastAsia="宋体" w:cs="Times New Roman"/>
                      <w:color w:val="auto"/>
                      <w:kern w:val="0"/>
                      <w:sz w:val="21"/>
                      <w:szCs w:val="21"/>
                      <w:highlight w:val="none"/>
                      <w:lang w:val="en-US" w:eastAsia="zh-CN"/>
                    </w:rPr>
                  </w:pPr>
                  <w:r>
                    <w:rPr>
                      <w:rFonts w:hint="eastAsia" w:cs="Times New Roman"/>
                      <w:color w:val="auto"/>
                      <w:kern w:val="0"/>
                      <w:sz w:val="21"/>
                      <w:szCs w:val="21"/>
                      <w:highlight w:val="none"/>
                      <w:lang w:val="en-US" w:eastAsia="zh-CN"/>
                    </w:rPr>
                    <w:t>沾染危险物质的废组件</w:t>
                  </w:r>
                </w:p>
              </w:tc>
              <w:tc>
                <w:tcPr>
                  <w:tcW w:w="513" w:type="pct"/>
                  <w:noWrap w:val="0"/>
                  <w:vAlign w:val="center"/>
                </w:tcPr>
                <w:p w14:paraId="706DA06F">
                  <w:pPr>
                    <w:autoSpaceDE w:val="0"/>
                    <w:autoSpaceDN w:val="0"/>
                    <w:adjustRightInd w:val="0"/>
                    <w:snapToGrid w:val="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HW49</w:t>
                  </w:r>
                </w:p>
              </w:tc>
              <w:tc>
                <w:tcPr>
                  <w:tcW w:w="733" w:type="pct"/>
                  <w:noWrap w:val="0"/>
                  <w:vAlign w:val="center"/>
                </w:tcPr>
                <w:p w14:paraId="617DA7B4">
                  <w:pPr>
                    <w:autoSpaceDE w:val="0"/>
                    <w:autoSpaceDN w:val="0"/>
                    <w:adjustRightInd w:val="0"/>
                    <w:snapToGrid w:val="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900-04</w:t>
                  </w:r>
                  <w:r>
                    <w:rPr>
                      <w:rFonts w:hint="eastAsia" w:ascii="Times New Roman" w:hAnsi="Times New Roman" w:eastAsia="宋体" w:cs="Times New Roman"/>
                      <w:color w:val="auto"/>
                      <w:kern w:val="0"/>
                      <w:sz w:val="21"/>
                      <w:szCs w:val="21"/>
                      <w:highlight w:val="none"/>
                      <w:lang w:val="en-US" w:eastAsia="zh-CN"/>
                    </w:rPr>
                    <w:t>5</w:t>
                  </w:r>
                  <w:r>
                    <w:rPr>
                      <w:rFonts w:hint="default" w:ascii="Times New Roman" w:hAnsi="Times New Roman" w:eastAsia="宋体" w:cs="Times New Roman"/>
                      <w:color w:val="auto"/>
                      <w:kern w:val="0"/>
                      <w:sz w:val="21"/>
                      <w:szCs w:val="21"/>
                      <w:highlight w:val="none"/>
                      <w:lang w:val="en-US" w:eastAsia="zh-CN"/>
                    </w:rPr>
                    <w:t>-49</w:t>
                  </w:r>
                </w:p>
              </w:tc>
              <w:tc>
                <w:tcPr>
                  <w:tcW w:w="415" w:type="pct"/>
                  <w:vMerge w:val="continue"/>
                  <w:noWrap w:val="0"/>
                  <w:vAlign w:val="center"/>
                </w:tcPr>
                <w:p w14:paraId="209B3627">
                  <w:pPr>
                    <w:keepNext w:val="0"/>
                    <w:keepLines w:val="0"/>
                    <w:pageBreakBefore w:val="0"/>
                    <w:widowControl w:val="0"/>
                    <w:kinsoku/>
                    <w:wordWrap/>
                    <w:overflowPunct/>
                    <w:topLinePunct w:val="0"/>
                    <w:autoSpaceDE w:val="0"/>
                    <w:autoSpaceDN w:val="0"/>
                    <w:bidi w:val="0"/>
                    <w:adjustRightIn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p>
              </w:tc>
              <w:tc>
                <w:tcPr>
                  <w:tcW w:w="428" w:type="pct"/>
                  <w:vMerge w:val="continue"/>
                  <w:noWrap w:val="0"/>
                  <w:vAlign w:val="center"/>
                </w:tcPr>
                <w:p w14:paraId="7C910671">
                  <w:pPr>
                    <w:keepNext w:val="0"/>
                    <w:keepLines w:val="0"/>
                    <w:pageBreakBefore w:val="0"/>
                    <w:widowControl w:val="0"/>
                    <w:kinsoku/>
                    <w:wordWrap/>
                    <w:overflowPunct/>
                    <w:topLinePunct w:val="0"/>
                    <w:autoSpaceDE w:val="0"/>
                    <w:autoSpaceDN w:val="0"/>
                    <w:bidi w:val="0"/>
                    <w:adjustRightIn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p>
              </w:tc>
              <w:tc>
                <w:tcPr>
                  <w:tcW w:w="370" w:type="pct"/>
                  <w:vMerge w:val="continue"/>
                  <w:noWrap w:val="0"/>
                  <w:vAlign w:val="center"/>
                </w:tcPr>
                <w:p w14:paraId="4A83377E">
                  <w:pPr>
                    <w:keepNext w:val="0"/>
                    <w:keepLines w:val="0"/>
                    <w:pageBreakBefore w:val="0"/>
                    <w:widowControl w:val="0"/>
                    <w:kinsoku/>
                    <w:wordWrap/>
                    <w:overflowPunct/>
                    <w:topLinePunct w:val="0"/>
                    <w:autoSpaceDE w:val="0"/>
                    <w:autoSpaceDN w:val="0"/>
                    <w:bidi w:val="0"/>
                    <w:adjustRightIn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p>
              </w:tc>
              <w:tc>
                <w:tcPr>
                  <w:tcW w:w="407" w:type="pct"/>
                  <w:vMerge w:val="continue"/>
                  <w:noWrap w:val="0"/>
                  <w:vAlign w:val="center"/>
                </w:tcPr>
                <w:p w14:paraId="3EF14E96">
                  <w:pPr>
                    <w:keepNext w:val="0"/>
                    <w:keepLines w:val="0"/>
                    <w:pageBreakBefore w:val="0"/>
                    <w:widowControl w:val="0"/>
                    <w:kinsoku/>
                    <w:wordWrap/>
                    <w:overflowPunct/>
                    <w:topLinePunct w:val="0"/>
                    <w:autoSpaceDE w:val="0"/>
                    <w:autoSpaceDN w:val="0"/>
                    <w:bidi w:val="0"/>
                    <w:adjustRightIn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p>
              </w:tc>
              <w:tc>
                <w:tcPr>
                  <w:tcW w:w="443" w:type="pct"/>
                  <w:vMerge w:val="continue"/>
                  <w:noWrap w:val="0"/>
                  <w:vAlign w:val="center"/>
                </w:tcPr>
                <w:p w14:paraId="648149E9">
                  <w:pPr>
                    <w:keepNext w:val="0"/>
                    <w:keepLines w:val="0"/>
                    <w:pageBreakBefore w:val="0"/>
                    <w:widowControl w:val="0"/>
                    <w:kinsoku/>
                    <w:wordWrap/>
                    <w:overflowPunct/>
                    <w:topLinePunct w:val="0"/>
                    <w:autoSpaceDE w:val="0"/>
                    <w:autoSpaceDN w:val="0"/>
                    <w:bidi w:val="0"/>
                    <w:adjustRightIn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p>
              </w:tc>
            </w:tr>
          </w:tbl>
          <w:p w14:paraId="4F6B4123">
            <w:pPr>
              <w:autoSpaceDE w:val="0"/>
              <w:autoSpaceDN w:val="0"/>
              <w:spacing w:line="360" w:lineRule="auto"/>
              <w:ind w:firstLine="480" w:firstLineChars="200"/>
              <w:jc w:val="left"/>
              <w:rPr>
                <w:rFonts w:hint="default" w:ascii="Times New Roman" w:hAnsi="Times New Roman" w:eastAsia="宋体" w:cs="Times New Roman"/>
                <w:color w:val="auto"/>
                <w:sz w:val="24"/>
                <w:lang w:val="en-US" w:eastAsia="zh-CN"/>
              </w:rPr>
            </w:pPr>
            <w:r>
              <w:rPr>
                <w:rFonts w:hint="default" w:ascii="Times New Roman" w:hAnsi="Times New Roman" w:eastAsia="宋体" w:cs="Times New Roman"/>
                <w:color w:val="auto"/>
                <w:sz w:val="24"/>
                <w:lang w:eastAsia="zh-CN"/>
              </w:rPr>
              <w:t>（</w:t>
            </w:r>
            <w:r>
              <w:rPr>
                <w:rFonts w:hint="default" w:ascii="Times New Roman" w:hAnsi="Times New Roman" w:eastAsia="宋体" w:cs="Times New Roman"/>
                <w:color w:val="auto"/>
                <w:sz w:val="24"/>
                <w:lang w:val="en-US" w:eastAsia="zh-CN"/>
              </w:rPr>
              <w:t>2</w:t>
            </w:r>
            <w:r>
              <w:rPr>
                <w:rFonts w:hint="default" w:ascii="Times New Roman" w:hAnsi="Times New Roman" w:eastAsia="宋体" w:cs="Times New Roman"/>
                <w:color w:val="auto"/>
                <w:sz w:val="24"/>
                <w:lang w:eastAsia="zh-CN"/>
              </w:rPr>
              <w:t>）</w:t>
            </w:r>
            <w:r>
              <w:rPr>
                <w:rFonts w:hint="default" w:ascii="Times New Roman" w:hAnsi="Times New Roman" w:eastAsia="宋体" w:cs="Times New Roman"/>
                <w:color w:val="auto"/>
                <w:sz w:val="24"/>
                <w:lang w:val="en-US" w:eastAsia="zh-CN"/>
              </w:rPr>
              <w:t>固体废物管理措施</w:t>
            </w:r>
          </w:p>
          <w:p w14:paraId="41470D5A">
            <w:pPr>
              <w:spacing w:line="360" w:lineRule="auto"/>
              <w:ind w:firstLine="480" w:firstLineChars="200"/>
              <w:rPr>
                <w:rFonts w:hint="eastAsia"/>
                <w:b w:val="0"/>
                <w:bCs w:val="0"/>
                <w:color w:val="auto"/>
                <w:sz w:val="24"/>
                <w:lang w:eastAsia="zh-CN"/>
              </w:rPr>
            </w:pPr>
            <w:r>
              <w:rPr>
                <w:rFonts w:hint="eastAsia"/>
                <w:b w:val="0"/>
                <w:bCs w:val="0"/>
                <w:color w:val="auto"/>
                <w:sz w:val="24"/>
                <w:lang w:eastAsia="zh-CN"/>
              </w:rPr>
              <w:t>环评要求建设单位在后期运行中加强固体废物管理，针对不同类型固体废物按照相关要求进行存储和转运。</w:t>
            </w:r>
          </w:p>
          <w:p w14:paraId="561B0A03">
            <w:pPr>
              <w:numPr>
                <w:ilvl w:val="0"/>
                <w:numId w:val="5"/>
              </w:numPr>
              <w:autoSpaceDE w:val="0"/>
              <w:autoSpaceDN w:val="0"/>
              <w:spacing w:line="360" w:lineRule="auto"/>
              <w:ind w:firstLine="480" w:firstLineChars="200"/>
              <w:jc w:val="left"/>
              <w:rPr>
                <w:rFonts w:hint="default" w:ascii="Times New Roman" w:hAnsi="Times New Roman" w:eastAsia="宋体" w:cs="Times New Roman"/>
                <w:color w:val="auto"/>
                <w:sz w:val="24"/>
                <w:lang w:val="en-US" w:eastAsia="zh-CN"/>
              </w:rPr>
            </w:pPr>
            <w:r>
              <w:rPr>
                <w:rFonts w:hint="default" w:ascii="Times New Roman" w:hAnsi="Times New Roman" w:eastAsia="宋体" w:cs="Times New Roman"/>
                <w:color w:val="auto"/>
                <w:sz w:val="24"/>
                <w:lang w:val="en-US" w:eastAsia="zh-CN"/>
              </w:rPr>
              <w:t>一般固废管理措施</w:t>
            </w:r>
          </w:p>
          <w:p w14:paraId="11542EB9">
            <w:pPr>
              <w:keepNext w:val="0"/>
              <w:keepLines w:val="0"/>
              <w:pageBreakBefore w:val="0"/>
              <w:widowControl w:val="0"/>
              <w:kinsoku/>
              <w:wordWrap/>
              <w:overflowPunct/>
              <w:topLinePunct w:val="0"/>
              <w:bidi w:val="0"/>
              <w:adjustRightInd/>
              <w:snapToGrid/>
              <w:spacing w:line="360" w:lineRule="auto"/>
              <w:ind w:firstLine="480" w:firstLineChars="200"/>
              <w:textAlignment w:val="auto"/>
              <w:rPr>
                <w:rFonts w:hint="eastAsia" w:ascii="宋体" w:hAnsi="宋体" w:eastAsia="宋体" w:cs="Times New Roman"/>
                <w:color w:val="auto"/>
                <w:sz w:val="24"/>
                <w:szCs w:val="24"/>
                <w:lang w:eastAsia="zh-CN"/>
              </w:rPr>
            </w:pPr>
            <w:r>
              <w:rPr>
                <w:rFonts w:hint="eastAsia" w:ascii="宋体" w:hAnsi="宋体" w:eastAsia="宋体" w:cs="Times New Roman"/>
                <w:color w:val="auto"/>
                <w:sz w:val="24"/>
                <w:szCs w:val="24"/>
                <w:lang w:eastAsia="zh-CN"/>
              </w:rPr>
              <w:t>①建设单位对项目产生的固体废物进行分类收集和暂存，设置垃圾桶对厂区生活垃圾进行收集，由环卫部门清运处理。</w:t>
            </w:r>
          </w:p>
          <w:p w14:paraId="1720519B">
            <w:pPr>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firstLine="480" w:firstLineChars="200"/>
              <w:jc w:val="left"/>
              <w:textAlignment w:val="auto"/>
              <w:rPr>
                <w:rFonts w:hint="default" w:ascii="Times New Roman" w:hAnsi="Times New Roman" w:eastAsia="宋体" w:cs="Times New Roman"/>
                <w:color w:val="auto"/>
                <w:sz w:val="24"/>
                <w:lang w:val="en-US" w:eastAsia="zh-CN"/>
              </w:rPr>
            </w:pPr>
            <w:r>
              <w:rPr>
                <w:rFonts w:hint="eastAsia" w:ascii="宋体" w:hAnsi="宋体" w:eastAsia="宋体" w:cs="Times New Roman"/>
                <w:color w:val="auto"/>
                <w:sz w:val="24"/>
                <w:szCs w:val="24"/>
                <w:lang w:eastAsia="zh-CN"/>
              </w:rPr>
              <w:t>②针对厂区产生的一般固体废物应及时分类收集，外售资源回收公司或由环卫部门清运处理。</w:t>
            </w:r>
          </w:p>
          <w:p w14:paraId="23849623">
            <w:pPr>
              <w:spacing w:line="360" w:lineRule="auto"/>
              <w:ind w:firstLine="482" w:firstLineChars="200"/>
              <w:rPr>
                <w:rFonts w:hint="eastAsia"/>
                <w:b/>
                <w:bCs/>
                <w:color w:val="auto"/>
                <w:sz w:val="24"/>
                <w:lang w:val="en-US" w:eastAsia="zh-CN"/>
              </w:rPr>
            </w:pPr>
            <w:r>
              <w:rPr>
                <w:rFonts w:hint="eastAsia"/>
                <w:b/>
                <w:bCs/>
                <w:color w:val="auto"/>
                <w:sz w:val="24"/>
                <w:lang w:val="en-US" w:eastAsia="zh-CN"/>
              </w:rPr>
              <w:t>2）危废库相关管理要求</w:t>
            </w:r>
          </w:p>
          <w:p w14:paraId="0166AB16">
            <w:pPr>
              <w:spacing w:line="360" w:lineRule="auto"/>
              <w:ind w:firstLine="480" w:firstLineChars="200"/>
              <w:rPr>
                <w:rFonts w:ascii="宋体" w:hAnsi="宋体" w:eastAsia="宋体" w:cs="宋体"/>
                <w:color w:val="auto"/>
                <w:sz w:val="24"/>
                <w:szCs w:val="24"/>
              </w:rPr>
            </w:pPr>
            <w:r>
              <w:rPr>
                <w:rFonts w:ascii="宋体" w:hAnsi="宋体" w:eastAsia="宋体" w:cs="宋体"/>
                <w:color w:val="auto"/>
                <w:sz w:val="24"/>
                <w:szCs w:val="24"/>
                <w:shd w:val="clear"/>
              </w:rPr>
              <w:t>本项目</w:t>
            </w:r>
            <w:r>
              <w:rPr>
                <w:rFonts w:hint="eastAsia" w:ascii="Times New Roman" w:hAnsi="Times New Roman" w:eastAsia="宋体" w:cs="Times New Roman"/>
                <w:color w:val="auto"/>
                <w:kern w:val="2"/>
                <w:sz w:val="24"/>
                <w:szCs w:val="24"/>
                <w:shd w:val="clear"/>
                <w:lang w:val="en-US" w:eastAsia="zh-CN" w:bidi="ar-SA"/>
              </w:rPr>
              <w:t>在生产车间内南侧设置1间</w:t>
            </w:r>
            <w:r>
              <w:rPr>
                <w:rFonts w:hint="eastAsia" w:cs="Times New Roman"/>
                <w:color w:val="auto"/>
                <w:kern w:val="2"/>
                <w:sz w:val="24"/>
                <w:szCs w:val="24"/>
                <w:shd w:val="clear"/>
                <w:lang w:val="en-US" w:eastAsia="zh-CN" w:bidi="ar-SA"/>
              </w:rPr>
              <w:t>危废库</w:t>
            </w:r>
            <w:r>
              <w:rPr>
                <w:rFonts w:hint="eastAsia" w:ascii="Times New Roman" w:hAnsi="Times New Roman" w:eastAsia="宋体" w:cs="Times New Roman"/>
                <w:color w:val="auto"/>
                <w:kern w:val="2"/>
                <w:sz w:val="24"/>
                <w:szCs w:val="24"/>
                <w:shd w:val="clear"/>
                <w:lang w:val="en-US" w:eastAsia="zh-CN" w:bidi="ar-SA"/>
              </w:rPr>
              <w:t>（</w:t>
            </w:r>
            <w:r>
              <w:rPr>
                <w:rFonts w:hint="eastAsia" w:cs="Times New Roman"/>
                <w:color w:val="auto"/>
                <w:kern w:val="2"/>
                <w:sz w:val="24"/>
                <w:szCs w:val="24"/>
                <w:shd w:val="clear"/>
                <w:lang w:val="en-US" w:eastAsia="zh-CN" w:bidi="ar-SA"/>
              </w:rPr>
              <w:t>111.99</w:t>
            </w:r>
            <w:r>
              <w:rPr>
                <w:rFonts w:hint="eastAsia" w:ascii="Times New Roman" w:hAnsi="Times New Roman" w:eastAsia="宋体" w:cs="Times New Roman"/>
                <w:color w:val="auto"/>
                <w:kern w:val="2"/>
                <w:sz w:val="24"/>
                <w:szCs w:val="24"/>
                <w:shd w:val="clear"/>
                <w:lang w:val="en-US" w:eastAsia="zh-CN" w:bidi="ar-SA"/>
              </w:rPr>
              <w:t>m</w:t>
            </w:r>
            <w:r>
              <w:rPr>
                <w:rFonts w:hint="eastAsia" w:ascii="Times New Roman" w:hAnsi="Times New Roman" w:eastAsia="宋体" w:cs="Times New Roman"/>
                <w:color w:val="auto"/>
                <w:kern w:val="2"/>
                <w:sz w:val="24"/>
                <w:szCs w:val="24"/>
                <w:shd w:val="clear"/>
                <w:vertAlign w:val="superscript"/>
                <w:lang w:val="en-US" w:eastAsia="zh-CN" w:bidi="ar-SA"/>
              </w:rPr>
              <w:t>2</w:t>
            </w:r>
            <w:r>
              <w:rPr>
                <w:rFonts w:hint="eastAsia" w:ascii="Times New Roman" w:hAnsi="Times New Roman" w:eastAsia="宋体" w:cs="Times New Roman"/>
                <w:color w:val="auto"/>
                <w:kern w:val="2"/>
                <w:sz w:val="24"/>
                <w:szCs w:val="24"/>
                <w:shd w:val="clear"/>
                <w:lang w:val="en-US" w:eastAsia="zh-CN" w:bidi="ar-SA"/>
              </w:rPr>
              <w:t>），用于暂存项目所产生的危</w:t>
            </w:r>
            <w:r>
              <w:rPr>
                <w:rFonts w:hint="default" w:ascii="Times New Roman" w:hAnsi="Times New Roman" w:eastAsia="宋体" w:cs="Times New Roman"/>
                <w:color w:val="auto"/>
                <w:kern w:val="2"/>
                <w:sz w:val="24"/>
                <w:szCs w:val="24"/>
                <w:shd w:val="clear"/>
                <w:lang w:val="en-US" w:eastAsia="zh-CN" w:bidi="ar-SA"/>
              </w:rPr>
              <w:t>险废物</w:t>
            </w:r>
            <w:r>
              <w:rPr>
                <w:rFonts w:hint="eastAsia" w:ascii="Times New Roman" w:hAnsi="Times New Roman" w:eastAsia="宋体" w:cs="Times New Roman"/>
                <w:color w:val="auto"/>
                <w:kern w:val="2"/>
                <w:sz w:val="24"/>
                <w:szCs w:val="24"/>
                <w:shd w:val="clear"/>
                <w:lang w:val="en-US" w:eastAsia="zh-CN" w:bidi="ar-SA"/>
              </w:rPr>
              <w:t>，</w:t>
            </w:r>
            <w:r>
              <w:rPr>
                <w:rFonts w:hint="eastAsia" w:cs="Times New Roman"/>
                <w:color w:val="auto"/>
                <w:sz w:val="24"/>
                <w:szCs w:val="24"/>
                <w:shd w:val="clear"/>
                <w:lang w:val="en-US" w:eastAsia="zh-CN"/>
              </w:rPr>
              <w:t>危废库</w:t>
            </w:r>
            <w:r>
              <w:rPr>
                <w:rFonts w:hint="default" w:ascii="Times New Roman" w:hAnsi="Times New Roman" w:eastAsia="宋体" w:cs="Times New Roman"/>
                <w:color w:val="auto"/>
                <w:sz w:val="24"/>
                <w:szCs w:val="24"/>
              </w:rPr>
              <w:t>必须按照《危险废物贮存污染控制标准》（GB18597-2023）要求执行；危废处置过程必须按照国家《危险废物转移管理办法》（2022年1月1</w:t>
            </w:r>
            <w:r>
              <w:rPr>
                <w:rFonts w:hint="default" w:ascii="宋体" w:hAnsi="宋体" w:eastAsia="宋体" w:cs="宋体"/>
                <w:color w:val="auto"/>
                <w:sz w:val="24"/>
                <w:szCs w:val="24"/>
              </w:rPr>
              <w:t>日）</w:t>
            </w:r>
            <w:r>
              <w:rPr>
                <w:rFonts w:ascii="宋体" w:hAnsi="宋体" w:eastAsia="宋体" w:cs="宋体"/>
                <w:color w:val="auto"/>
                <w:sz w:val="24"/>
                <w:szCs w:val="24"/>
              </w:rPr>
              <w:t>执行。</w:t>
            </w:r>
          </w:p>
          <w:p w14:paraId="50EA2399">
            <w:pPr>
              <w:spacing w:line="360" w:lineRule="auto"/>
              <w:ind w:firstLine="480" w:firstLineChars="200"/>
              <w:rPr>
                <w:rFonts w:hint="default" w:ascii="宋体" w:hAnsi="宋体" w:eastAsia="宋体" w:cs="宋体"/>
                <w:color w:val="auto"/>
                <w:sz w:val="24"/>
                <w:szCs w:val="24"/>
                <w:lang w:val="en-US" w:eastAsia="zh-CN"/>
              </w:rPr>
            </w:pPr>
            <w:r>
              <w:rPr>
                <w:rFonts w:hint="eastAsia" w:ascii="Times New Roman" w:hAnsi="Times New Roman" w:eastAsia="宋体" w:cs="Times New Roman"/>
                <w:color w:val="auto"/>
                <w:sz w:val="24"/>
                <w:szCs w:val="24"/>
                <w:lang w:val="en-US" w:eastAsia="zh-CN"/>
              </w:rPr>
              <w:t>A、</w:t>
            </w:r>
            <w:r>
              <w:rPr>
                <w:rFonts w:hint="eastAsia" w:cs="Times New Roman"/>
                <w:color w:val="auto"/>
                <w:sz w:val="24"/>
                <w:szCs w:val="24"/>
                <w:lang w:val="en-US" w:eastAsia="zh-CN"/>
              </w:rPr>
              <w:t>危废库</w:t>
            </w:r>
            <w:r>
              <w:rPr>
                <w:rFonts w:hint="eastAsia" w:ascii="Times New Roman" w:hAnsi="Times New Roman" w:eastAsia="宋体" w:cs="Times New Roman"/>
                <w:color w:val="auto"/>
                <w:sz w:val="24"/>
                <w:szCs w:val="24"/>
                <w:lang w:val="en-US" w:eastAsia="zh-CN"/>
              </w:rPr>
              <w:t>区域设置要求</w:t>
            </w:r>
          </w:p>
          <w:p w14:paraId="1B984E5A">
            <w:pPr>
              <w:spacing w:line="360" w:lineRule="auto"/>
              <w:ind w:firstLine="480" w:firstLineChars="200"/>
              <w:rPr>
                <w:rFonts w:hint="eastAsia" w:ascii="宋体" w:hAnsi="宋体" w:eastAsia="宋体"/>
                <w:color w:val="auto"/>
                <w:sz w:val="24"/>
                <w:szCs w:val="24"/>
                <w:lang w:eastAsia="zh-CN"/>
              </w:rPr>
            </w:pPr>
            <w:r>
              <w:rPr>
                <w:rFonts w:hint="eastAsia" w:ascii="Times New Roman" w:hAnsi="Times New Roman" w:eastAsia="宋体" w:cs="Times New Roman"/>
                <w:color w:val="auto"/>
                <w:sz w:val="24"/>
                <w:szCs w:val="24"/>
                <w:lang w:val="en-US" w:eastAsia="zh-CN"/>
              </w:rPr>
              <w:t>①贮存设施应根据危险废物的形态、物理化学性质、包装形式和污染物迁移途径，采取必要的</w:t>
            </w:r>
            <w:r>
              <w:rPr>
                <w:rFonts w:hint="eastAsia" w:ascii="宋体" w:hAnsi="宋体" w:eastAsia="宋体"/>
                <w:color w:val="auto"/>
                <w:sz w:val="24"/>
                <w:szCs w:val="24"/>
              </w:rPr>
              <w:t>防风、防晒、防雨、防漏、防渗、防腐以及其他环境污染防治措施，不应露天堆放危险废物</w:t>
            </w:r>
            <w:r>
              <w:rPr>
                <w:rFonts w:hint="eastAsia" w:ascii="宋体" w:hAnsi="宋体" w:eastAsia="宋体"/>
                <w:color w:val="auto"/>
                <w:sz w:val="24"/>
                <w:szCs w:val="24"/>
                <w:lang w:eastAsia="zh-CN"/>
              </w:rPr>
              <w:t>。</w:t>
            </w:r>
          </w:p>
          <w:p w14:paraId="68AD668C">
            <w:pPr>
              <w:spacing w:line="360" w:lineRule="auto"/>
              <w:ind w:firstLine="480" w:firstLineChars="200"/>
              <w:rPr>
                <w:rFonts w:hint="eastAsia" w:ascii="宋体" w:hAnsi="宋体" w:eastAsia="宋体"/>
                <w:color w:val="auto"/>
                <w:sz w:val="24"/>
                <w:szCs w:val="24"/>
                <w:lang w:eastAsia="zh-CN"/>
              </w:rPr>
            </w:pPr>
            <w:r>
              <w:rPr>
                <w:rFonts w:hint="eastAsia" w:ascii="宋体" w:hAnsi="宋体" w:eastAsia="宋体"/>
                <w:color w:val="auto"/>
                <w:sz w:val="24"/>
                <w:szCs w:val="24"/>
              </w:rPr>
              <w:t>②贮存设施应根据危险废物的类别、数量、形态、物理化学性质和污染防治等要求设置必要的贮存分区，避免不相容的危险废物接触、混合</w:t>
            </w:r>
            <w:r>
              <w:rPr>
                <w:rFonts w:hint="eastAsia" w:ascii="宋体" w:hAnsi="宋体" w:eastAsia="宋体"/>
                <w:color w:val="auto"/>
                <w:sz w:val="24"/>
                <w:szCs w:val="24"/>
                <w:lang w:eastAsia="zh-CN"/>
              </w:rPr>
              <w:t>。</w:t>
            </w:r>
          </w:p>
          <w:p w14:paraId="7849D095">
            <w:pPr>
              <w:spacing w:line="360" w:lineRule="auto"/>
              <w:ind w:firstLine="480" w:firstLineChars="200"/>
              <w:rPr>
                <w:rFonts w:hint="eastAsia" w:ascii="宋体" w:hAnsi="宋体" w:eastAsia="宋体"/>
                <w:color w:val="auto"/>
                <w:sz w:val="24"/>
                <w:szCs w:val="24"/>
              </w:rPr>
            </w:pPr>
            <w:r>
              <w:rPr>
                <w:rFonts w:hint="eastAsia" w:ascii="宋体" w:hAnsi="宋体" w:eastAsia="宋体"/>
                <w:color w:val="auto"/>
                <w:sz w:val="24"/>
                <w:szCs w:val="24"/>
              </w:rPr>
              <w:t>③贮存设施或贮存分区内地面、墙面裙脚、堵截泄漏的围堰、接触危险废物的隔板和墙体等应采用坚固的材料建造，表面无裂缝。</w:t>
            </w:r>
          </w:p>
          <w:p w14:paraId="5C107D38">
            <w:pPr>
              <w:spacing w:line="360" w:lineRule="auto"/>
              <w:ind w:firstLine="480" w:firstLineChars="200"/>
              <w:rPr>
                <w:rFonts w:hint="eastAsia" w:ascii="宋体" w:hAnsi="宋体" w:eastAsia="宋体"/>
                <w:color w:val="auto"/>
                <w:sz w:val="24"/>
                <w:szCs w:val="24"/>
                <w:lang w:eastAsia="zh-CN"/>
              </w:rPr>
            </w:pPr>
            <w:r>
              <w:rPr>
                <w:rFonts w:hint="default" w:ascii="Times New Roman" w:hAnsi="Times New Roman" w:eastAsia="宋体" w:cs="Times New Roman"/>
                <w:color w:val="auto"/>
                <w:sz w:val="24"/>
                <w:szCs w:val="24"/>
              </w:rPr>
              <w:t>④</w:t>
            </w:r>
            <w:r>
              <w:rPr>
                <w:rFonts w:hint="eastAsia" w:ascii="宋体" w:hAnsi="宋体" w:eastAsia="宋体"/>
                <w:color w:val="auto"/>
                <w:sz w:val="24"/>
                <w:szCs w:val="24"/>
              </w:rPr>
              <w:t>贮存设施地面与裙脚应采取表面防渗措施；表面防渗材料应与所接触的物料或污染物相容，可采用抗渗混凝土、高密度聚乙烯膜、钠基膨润土防水毯或其他防渗性能等效的材料。贮存的危险废物直接接触地面的，还应进行基础防渗，防渗层为至少</w:t>
            </w:r>
            <w:r>
              <w:rPr>
                <w:rFonts w:hint="eastAsia" w:ascii="TimesNewRomanPSMT" w:hAnsi="TimesNewRomanPSMT" w:eastAsia="TimesNewRomanPSMT"/>
                <w:color w:val="auto"/>
                <w:sz w:val="24"/>
                <w:szCs w:val="24"/>
              </w:rPr>
              <w:t>1m</w:t>
            </w:r>
            <w:r>
              <w:rPr>
                <w:rFonts w:hint="eastAsia" w:ascii="宋体" w:hAnsi="宋体" w:eastAsia="宋体"/>
                <w:color w:val="auto"/>
                <w:sz w:val="24"/>
                <w:szCs w:val="24"/>
              </w:rPr>
              <w:t>厚黏土层（渗透系数不大于</w:t>
            </w:r>
            <w:r>
              <w:rPr>
                <w:rFonts w:hint="eastAsia" w:ascii="TimesNewRomanPSMT" w:hAnsi="TimesNewRomanPSMT" w:eastAsia="TimesNewRomanPSMT"/>
                <w:color w:val="auto"/>
                <w:sz w:val="24"/>
                <w:szCs w:val="24"/>
              </w:rPr>
              <w:t>10</w:t>
            </w:r>
            <w:r>
              <w:rPr>
                <w:rFonts w:hint="eastAsia" w:ascii="TimesNewRomanPSMT" w:hAnsi="TimesNewRomanPSMT" w:eastAsia="TimesNewRomanPSMT"/>
                <w:color w:val="auto"/>
                <w:sz w:val="24"/>
                <w:szCs w:val="24"/>
                <w:vertAlign w:val="superscript"/>
              </w:rPr>
              <w:t>-7</w:t>
            </w:r>
            <w:r>
              <w:rPr>
                <w:rFonts w:hint="eastAsia" w:ascii="TimesNewRomanPSMT" w:hAnsi="TimesNewRomanPSMT" w:eastAsia="TimesNewRomanPSMT"/>
                <w:color w:val="auto"/>
                <w:sz w:val="24"/>
                <w:szCs w:val="24"/>
              </w:rPr>
              <w:t>cm/s</w:t>
            </w:r>
            <w:r>
              <w:rPr>
                <w:rFonts w:hint="eastAsia" w:ascii="宋体" w:hAnsi="宋体" w:eastAsia="宋体"/>
                <w:color w:val="auto"/>
                <w:sz w:val="24"/>
                <w:szCs w:val="24"/>
              </w:rPr>
              <w:t>），或至少</w:t>
            </w:r>
            <w:r>
              <w:rPr>
                <w:rFonts w:hint="eastAsia" w:ascii="TimesNewRomanPSMT" w:hAnsi="TimesNewRomanPSMT" w:eastAsia="TimesNewRomanPSMT"/>
                <w:color w:val="auto"/>
                <w:sz w:val="24"/>
                <w:szCs w:val="24"/>
              </w:rPr>
              <w:t>2mm</w:t>
            </w:r>
            <w:r>
              <w:rPr>
                <w:rFonts w:hint="eastAsia" w:ascii="宋体" w:hAnsi="宋体" w:eastAsia="宋体"/>
                <w:color w:val="auto"/>
                <w:sz w:val="24"/>
                <w:szCs w:val="24"/>
              </w:rPr>
              <w:t>厚高密度聚乙烯膜等人工防渗材料（渗透系数不大于</w:t>
            </w:r>
            <w:r>
              <w:rPr>
                <w:rFonts w:hint="eastAsia" w:ascii="TimesNewRomanPSMT" w:hAnsi="TimesNewRomanPSMT" w:eastAsia="TimesNewRomanPSMT"/>
                <w:color w:val="auto"/>
                <w:sz w:val="24"/>
                <w:szCs w:val="24"/>
              </w:rPr>
              <w:t>10</w:t>
            </w:r>
            <w:r>
              <w:rPr>
                <w:rFonts w:hint="eastAsia" w:ascii="TimesNewRomanPSMT" w:hAnsi="TimesNewRomanPSMT" w:eastAsia="TimesNewRomanPSMT"/>
                <w:color w:val="auto"/>
                <w:sz w:val="24"/>
                <w:szCs w:val="24"/>
                <w:vertAlign w:val="superscript"/>
              </w:rPr>
              <w:t>-10</w:t>
            </w:r>
            <w:r>
              <w:rPr>
                <w:rFonts w:hint="eastAsia" w:ascii="TimesNewRomanPSMT" w:hAnsi="TimesNewRomanPSMT" w:eastAsia="TimesNewRomanPSMT"/>
                <w:color w:val="auto"/>
                <w:sz w:val="24"/>
                <w:szCs w:val="24"/>
              </w:rPr>
              <w:t>cm/s</w:t>
            </w:r>
            <w:r>
              <w:rPr>
                <w:rFonts w:hint="eastAsia" w:ascii="宋体" w:hAnsi="宋体" w:eastAsia="宋体"/>
                <w:color w:val="auto"/>
                <w:sz w:val="24"/>
                <w:szCs w:val="24"/>
              </w:rPr>
              <w:t>），或其他防渗性能等效的材料</w:t>
            </w:r>
            <w:r>
              <w:rPr>
                <w:rFonts w:hint="eastAsia" w:ascii="宋体" w:hAnsi="宋体" w:eastAsia="宋体"/>
                <w:color w:val="auto"/>
                <w:sz w:val="24"/>
                <w:szCs w:val="24"/>
                <w:lang w:eastAsia="zh-CN"/>
              </w:rPr>
              <w:t>。</w:t>
            </w:r>
          </w:p>
          <w:p w14:paraId="17D6254E">
            <w:pPr>
              <w:spacing w:line="360" w:lineRule="auto"/>
              <w:ind w:firstLine="480" w:firstLineChars="200"/>
              <w:rPr>
                <w:color w:val="auto"/>
              </w:rPr>
            </w:pPr>
            <w:r>
              <w:rPr>
                <w:rFonts w:hint="eastAsia" w:ascii="宋体" w:hAnsi="宋体" w:eastAsia="宋体" w:cs="Times New Roman"/>
                <w:color w:val="auto"/>
                <w:sz w:val="24"/>
                <w:szCs w:val="24"/>
              </w:rPr>
              <w:t>⑤贮存设施应采取技术和管理措施防止无关人员进入。</w:t>
            </w:r>
          </w:p>
          <w:p w14:paraId="2E1FB184">
            <w:pPr>
              <w:spacing w:line="360" w:lineRule="auto"/>
              <w:ind w:firstLine="480" w:firstLineChars="200"/>
              <w:rPr>
                <w:rFonts w:hint="default"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B、容器和包装物污染控制要求</w:t>
            </w:r>
          </w:p>
          <w:p w14:paraId="07A1574F">
            <w:pPr>
              <w:spacing w:line="360" w:lineRule="auto"/>
              <w:ind w:firstLine="480" w:firstLineChars="200"/>
              <w:rPr>
                <w:rFonts w:hint="default"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①盛装危废的容器必须符合《危险废物贮存污染控制标准》（GB18597-2023）中附录A中的相关标准；</w:t>
            </w:r>
          </w:p>
          <w:p w14:paraId="518578C2">
            <w:pPr>
              <w:spacing w:line="360" w:lineRule="auto"/>
              <w:ind w:firstLine="480" w:firstLineChars="200"/>
              <w:rPr>
                <w:rFonts w:hint="eastAsia"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②盛装危险废物的容器及材质要满足相应的强度要求；</w:t>
            </w:r>
          </w:p>
          <w:p w14:paraId="766A9DA3">
            <w:pPr>
              <w:spacing w:line="360" w:lineRule="auto"/>
              <w:ind w:firstLine="480" w:firstLineChars="200"/>
              <w:rPr>
                <w:rFonts w:hint="eastAsia"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③盛装危险废物的容器必须完好无损；</w:t>
            </w:r>
          </w:p>
          <w:p w14:paraId="30F51E29">
            <w:pPr>
              <w:spacing w:line="360" w:lineRule="auto"/>
              <w:ind w:firstLine="480" w:firstLineChars="200"/>
              <w:rPr>
                <w:rFonts w:hint="eastAsia"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④盛装危险废物的容器材质和衬里要与危险废物相容（不相互反应）；</w:t>
            </w:r>
          </w:p>
          <w:p w14:paraId="692895A9">
            <w:pPr>
              <w:spacing w:line="360" w:lineRule="auto"/>
              <w:ind w:firstLine="480" w:firstLineChars="200"/>
              <w:rPr>
                <w:rFonts w:hint="eastAsia"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⑤盛装危险废物的容器须加上标签。</w:t>
            </w:r>
          </w:p>
          <w:p w14:paraId="0B558042">
            <w:pPr>
              <w:spacing w:line="360" w:lineRule="auto"/>
              <w:ind w:firstLine="480" w:firstLineChars="200"/>
              <w:rPr>
                <w:rFonts w:hint="eastAsia" w:ascii="宋体" w:hAnsi="宋体" w:eastAsia="宋体"/>
                <w:color w:val="auto"/>
                <w:sz w:val="24"/>
                <w:szCs w:val="24"/>
              </w:rPr>
            </w:pPr>
            <w:r>
              <w:rPr>
                <w:rFonts w:hint="eastAsia" w:ascii="Times New Roman" w:hAnsi="Times New Roman" w:eastAsia="宋体" w:cs="Times New Roman"/>
                <w:color w:val="auto"/>
                <w:sz w:val="24"/>
                <w:szCs w:val="24"/>
                <w:lang w:val="en-US" w:eastAsia="zh-CN"/>
              </w:rPr>
              <w:t>C、</w:t>
            </w:r>
            <w:r>
              <w:rPr>
                <w:rFonts w:hint="eastAsia" w:ascii="宋体" w:hAnsi="宋体" w:eastAsia="宋体"/>
                <w:color w:val="auto"/>
                <w:sz w:val="24"/>
                <w:szCs w:val="24"/>
              </w:rPr>
              <w:t>贮存过程污染控制要求</w:t>
            </w:r>
          </w:p>
          <w:p w14:paraId="3F9C494F">
            <w:pPr>
              <w:spacing w:line="360" w:lineRule="auto"/>
              <w:ind w:firstLine="480" w:firstLineChars="200"/>
              <w:rPr>
                <w:rFonts w:hint="eastAsia" w:ascii="宋体" w:hAnsi="宋体" w:eastAsia="宋体" w:cs="Times New Roman"/>
                <w:color w:val="auto"/>
                <w:sz w:val="24"/>
                <w:szCs w:val="24"/>
              </w:rPr>
            </w:pPr>
            <w:r>
              <w:rPr>
                <w:rFonts w:hint="eastAsia" w:ascii="宋体" w:hAnsi="宋体" w:eastAsia="宋体"/>
                <w:color w:val="auto"/>
                <w:sz w:val="24"/>
                <w:szCs w:val="24"/>
              </w:rPr>
              <w:t>项目危险废物的贮存包括两个方面，一是在危险废物产生节点将危险废物集中</w:t>
            </w:r>
            <w:r>
              <w:rPr>
                <w:rFonts w:hint="eastAsia" w:ascii="宋体" w:hAnsi="宋体" w:eastAsia="宋体" w:cs="Times New Roman"/>
                <w:color w:val="auto"/>
                <w:sz w:val="24"/>
                <w:szCs w:val="24"/>
              </w:rPr>
              <w:t>到包装桶或包装袋中，二是将已包装的危险废物集中到危废库内。在危险废物的收集贮存过程中，项目应采取如下污染防治措施；</w:t>
            </w:r>
          </w:p>
          <w:p w14:paraId="0F630324">
            <w:pPr>
              <w:spacing w:line="360" w:lineRule="auto"/>
              <w:ind w:firstLine="480" w:firstLineChars="200"/>
              <w:rPr>
                <w:rFonts w:hint="eastAsia" w:ascii="宋体" w:hAnsi="宋体" w:eastAsia="宋体" w:cs="Times New Roman"/>
                <w:color w:val="auto"/>
                <w:sz w:val="24"/>
                <w:szCs w:val="24"/>
              </w:rPr>
            </w:pPr>
            <w:r>
              <w:rPr>
                <w:rFonts w:hint="eastAsia" w:ascii="宋体" w:hAnsi="宋体" w:eastAsia="宋体" w:cs="Times New Roman"/>
                <w:color w:val="auto"/>
                <w:sz w:val="24"/>
                <w:szCs w:val="24"/>
              </w:rPr>
              <w:t>①在常温常压下不易水解、不易挥发的固态危险废物可分类堆放贮存，其他固态危险废物应装入容器或包装物内贮存。</w:t>
            </w:r>
          </w:p>
          <w:p w14:paraId="4300B2DB">
            <w:pPr>
              <w:spacing w:line="360" w:lineRule="auto"/>
              <w:ind w:firstLine="480" w:firstLineChars="200"/>
              <w:rPr>
                <w:rFonts w:hint="eastAsia" w:ascii="宋体" w:hAnsi="宋体" w:eastAsia="宋体" w:cs="Times New Roman"/>
                <w:color w:val="auto"/>
                <w:sz w:val="24"/>
                <w:szCs w:val="24"/>
              </w:rPr>
            </w:pPr>
            <w:r>
              <w:rPr>
                <w:rFonts w:hint="eastAsia" w:ascii="宋体" w:hAnsi="宋体" w:eastAsia="宋体" w:cs="Times New Roman"/>
                <w:color w:val="auto"/>
                <w:sz w:val="24"/>
                <w:szCs w:val="24"/>
              </w:rPr>
              <w:t>②液态危险废物应装入容器内贮存，或直接采用贮存池、贮存罐区贮存。</w:t>
            </w:r>
          </w:p>
          <w:p w14:paraId="533E5F66">
            <w:pPr>
              <w:spacing w:line="360" w:lineRule="auto"/>
              <w:ind w:firstLine="480" w:firstLineChars="200"/>
              <w:rPr>
                <w:rFonts w:hint="eastAsia" w:ascii="宋体" w:hAnsi="宋体" w:eastAsia="宋体" w:cs="Times New Roman"/>
                <w:color w:val="auto"/>
                <w:sz w:val="24"/>
                <w:szCs w:val="24"/>
              </w:rPr>
            </w:pPr>
            <w:r>
              <w:rPr>
                <w:rFonts w:hint="eastAsia" w:ascii="宋体" w:hAnsi="宋体" w:eastAsia="宋体" w:cs="Times New Roman"/>
                <w:color w:val="auto"/>
                <w:sz w:val="24"/>
                <w:szCs w:val="24"/>
              </w:rPr>
              <w:t>③易产生</w:t>
            </w:r>
            <w:r>
              <w:rPr>
                <w:rFonts w:hint="default" w:ascii="Times New Roman" w:hAnsi="Times New Roman" w:eastAsia="宋体" w:cs="Times New Roman"/>
                <w:color w:val="auto"/>
                <w:sz w:val="24"/>
                <w:szCs w:val="24"/>
              </w:rPr>
              <w:t>VOCs</w:t>
            </w:r>
            <w:r>
              <w:rPr>
                <w:rFonts w:hint="eastAsia" w:ascii="宋体" w:hAnsi="宋体" w:eastAsia="宋体" w:cs="Times New Roman"/>
                <w:color w:val="auto"/>
                <w:sz w:val="24"/>
                <w:szCs w:val="24"/>
              </w:rPr>
              <w:t>大气污染物和刺激性气味气体的危险废物应装入闭口容器或包装物内贮存。</w:t>
            </w:r>
          </w:p>
          <w:p w14:paraId="181BAB55">
            <w:pPr>
              <w:keepNext w:val="0"/>
              <w:keepLines w:val="0"/>
              <w:pageBreakBefore w:val="0"/>
              <w:widowControl/>
              <w:kinsoku/>
              <w:wordWrap/>
              <w:overflowPunct/>
              <w:topLinePunct w:val="0"/>
              <w:autoSpaceDE/>
              <w:autoSpaceDN/>
              <w:bidi w:val="0"/>
              <w:adjustRightInd/>
              <w:snapToGrid/>
              <w:spacing w:line="348" w:lineRule="auto"/>
              <w:ind w:firstLine="480" w:firstLineChars="200"/>
              <w:contextualSpacing/>
              <w:jc w:val="left"/>
              <w:textAlignment w:val="auto"/>
              <w:rPr>
                <w:rFonts w:hint="eastAsia" w:ascii="Times New Roman" w:hAnsi="Times New Roman" w:eastAsia="宋体" w:cs="Times New Roman"/>
                <w:color w:val="auto"/>
                <w:sz w:val="24"/>
                <w:szCs w:val="24"/>
                <w:lang w:val="en-US" w:eastAsia="zh-CN"/>
              </w:rPr>
            </w:pPr>
            <w:r>
              <w:rPr>
                <w:rFonts w:hint="eastAsia" w:ascii="宋体" w:hAnsi="宋体" w:eastAsia="宋体" w:cs="Times New Roman"/>
                <w:color w:val="auto"/>
                <w:sz w:val="24"/>
                <w:szCs w:val="24"/>
                <w:lang w:eastAsia="zh-CN"/>
              </w:rPr>
              <w:t>⑤</w:t>
            </w:r>
            <w:r>
              <w:rPr>
                <w:rFonts w:hint="eastAsia" w:ascii="Times New Roman" w:hAnsi="Times New Roman" w:eastAsia="宋体" w:cs="Times New Roman"/>
                <w:color w:val="auto"/>
                <w:sz w:val="24"/>
                <w:szCs w:val="24"/>
                <w:lang w:val="en-US" w:eastAsia="zh-CN"/>
              </w:rPr>
              <w:t>危险废物的收集应根据危险废物产生工艺特征、排放周期、危险废物特性、废物管理计划等因素制定收集计划。收集计划应包括收集任务概述、收集目标及原则、危险废物特性评估、危险废物收集量估算、收集作业范围和方法、收集设备与包装容器、安全生产与个人防护、工程防护与事故应急、进度安排与组织管理等。</w:t>
            </w:r>
          </w:p>
          <w:p w14:paraId="50D17455">
            <w:pPr>
              <w:spacing w:line="360" w:lineRule="auto"/>
              <w:ind w:firstLine="480" w:firstLineChars="200"/>
              <w:rPr>
                <w:rFonts w:hint="eastAsia" w:ascii="宋体" w:hAnsi="宋体" w:eastAsia="宋体"/>
                <w:color w:val="auto"/>
                <w:sz w:val="24"/>
                <w:szCs w:val="24"/>
              </w:rPr>
            </w:pPr>
            <w:r>
              <w:rPr>
                <w:rFonts w:hint="eastAsia" w:ascii="Times New Roman" w:hAnsi="Times New Roman" w:eastAsia="宋体" w:cs="Times New Roman"/>
                <w:color w:val="auto"/>
                <w:sz w:val="24"/>
                <w:szCs w:val="24"/>
                <w:lang w:val="en-US" w:eastAsia="zh-CN"/>
              </w:rPr>
              <w:t>4）</w:t>
            </w:r>
            <w:r>
              <w:rPr>
                <w:rFonts w:hint="eastAsia" w:ascii="宋体" w:hAnsi="宋体" w:eastAsia="宋体"/>
                <w:color w:val="auto"/>
                <w:sz w:val="24"/>
                <w:szCs w:val="24"/>
              </w:rPr>
              <w:t>危险废物标签要求</w:t>
            </w:r>
          </w:p>
          <w:p w14:paraId="498292F5">
            <w:pPr>
              <w:spacing w:line="360" w:lineRule="auto"/>
              <w:ind w:firstLine="480" w:firstLineChars="200"/>
              <w:rPr>
                <w:rFonts w:hint="eastAsia" w:ascii="宋体" w:hAnsi="宋体" w:eastAsia="宋体"/>
                <w:color w:val="auto"/>
                <w:sz w:val="24"/>
                <w:szCs w:val="24"/>
              </w:rPr>
            </w:pPr>
            <w:r>
              <w:rPr>
                <w:rFonts w:hint="eastAsia" w:ascii="宋体" w:hAnsi="宋体" w:eastAsia="宋体"/>
                <w:color w:val="auto"/>
                <w:sz w:val="24"/>
                <w:szCs w:val="24"/>
              </w:rPr>
              <w:t>①危险废物标签应以醒目的字样标注“危险废物”。</w:t>
            </w:r>
          </w:p>
          <w:p w14:paraId="67A73FF7">
            <w:pPr>
              <w:spacing w:line="360" w:lineRule="auto"/>
              <w:ind w:firstLine="480" w:firstLineChars="200"/>
              <w:rPr>
                <w:rFonts w:hint="eastAsia" w:ascii="宋体" w:hAnsi="宋体" w:eastAsia="宋体"/>
                <w:color w:val="auto"/>
                <w:sz w:val="24"/>
                <w:szCs w:val="24"/>
              </w:rPr>
            </w:pPr>
            <w:r>
              <w:rPr>
                <w:rFonts w:hint="eastAsia" w:ascii="宋体" w:hAnsi="宋体" w:eastAsia="宋体"/>
                <w:color w:val="auto"/>
                <w:sz w:val="24"/>
                <w:szCs w:val="24"/>
              </w:rPr>
              <w:t>②危险废物标签应包含废物名称、废物类别、废物代码、废物形态、危险特性、主要成分、有害成分、注意事项、产生</w:t>
            </w:r>
            <w:r>
              <w:rPr>
                <w:rFonts w:hint="eastAsia" w:ascii="TimesNewRomanPSMT" w:hAnsi="TimesNewRomanPSMT" w:eastAsia="TimesNewRomanPSMT"/>
                <w:color w:val="auto"/>
                <w:sz w:val="24"/>
                <w:szCs w:val="24"/>
              </w:rPr>
              <w:t>/</w:t>
            </w:r>
            <w:r>
              <w:rPr>
                <w:rFonts w:hint="eastAsia" w:ascii="宋体" w:hAnsi="宋体" w:eastAsia="宋体"/>
                <w:color w:val="auto"/>
                <w:sz w:val="24"/>
                <w:szCs w:val="24"/>
              </w:rPr>
              <w:t>收集单位名称、联系人、联系方式、产生日期、废物重量和备注。</w:t>
            </w:r>
          </w:p>
          <w:p w14:paraId="4E30D629">
            <w:pPr>
              <w:spacing w:line="360" w:lineRule="auto"/>
              <w:ind w:firstLine="480" w:firstLineChars="200"/>
              <w:rPr>
                <w:rFonts w:hint="eastAsia" w:ascii="宋体" w:hAnsi="宋体" w:eastAsia="宋体"/>
                <w:color w:val="auto"/>
                <w:sz w:val="24"/>
                <w:szCs w:val="24"/>
              </w:rPr>
            </w:pPr>
            <w:r>
              <w:rPr>
                <w:rFonts w:hint="eastAsia" w:ascii="宋体" w:hAnsi="宋体" w:eastAsia="宋体"/>
                <w:color w:val="auto"/>
                <w:sz w:val="24"/>
                <w:szCs w:val="24"/>
              </w:rPr>
              <w:t>③危险废物标签宜设置危险废物数字识别码和二维码。</w:t>
            </w:r>
          </w:p>
          <w:tbl>
            <w:tblPr>
              <w:tblStyle w:val="42"/>
              <w:tblW w:w="711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499"/>
              <w:gridCol w:w="3611"/>
            </w:tblGrid>
            <w:tr w14:paraId="3571FE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99" w:type="dxa"/>
                  <w:noWrap w:val="0"/>
                  <w:vAlign w:val="center"/>
                </w:tcPr>
                <w:p w14:paraId="290DDA29">
                  <w:pPr>
                    <w:spacing w:line="360" w:lineRule="auto"/>
                    <w:rPr>
                      <w:rFonts w:hint="eastAsia" w:ascii="宋体" w:hAnsi="宋体" w:eastAsia="宋体"/>
                      <w:color w:val="auto"/>
                      <w:sz w:val="24"/>
                      <w:szCs w:val="24"/>
                      <w:vertAlign w:val="baseline"/>
                      <w:lang w:val="en-US" w:eastAsia="zh-CN"/>
                    </w:rPr>
                  </w:pPr>
                  <w:r>
                    <w:rPr>
                      <w:rFonts w:hint="eastAsia"/>
                      <w:color w:val="auto"/>
                      <w:lang w:val="en-US" w:eastAsia="zh-CN"/>
                    </w:rPr>
                    <w:t xml:space="preserve">  </w:t>
                  </w:r>
                  <w:r>
                    <w:rPr>
                      <w:color w:val="auto"/>
                    </w:rPr>
                    <w:drawing>
                      <wp:inline distT="0" distB="0" distL="114300" distR="114300">
                        <wp:extent cx="1799590" cy="1529715"/>
                        <wp:effectExtent l="0" t="0" r="10160" b="13335"/>
                        <wp:docPr id="15"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8"/>
                                <pic:cNvPicPr>
                                  <a:picLocks noChangeAspect="1"/>
                                </pic:cNvPicPr>
                              </pic:nvPicPr>
                              <pic:blipFill>
                                <a:blip r:embed="rId39"/>
                                <a:stretch>
                                  <a:fillRect/>
                                </a:stretch>
                              </pic:blipFill>
                              <pic:spPr>
                                <a:xfrm>
                                  <a:off x="0" y="0"/>
                                  <a:ext cx="1799590" cy="1529715"/>
                                </a:xfrm>
                                <a:prstGeom prst="rect">
                                  <a:avLst/>
                                </a:prstGeom>
                                <a:noFill/>
                                <a:ln>
                                  <a:noFill/>
                                </a:ln>
                              </pic:spPr>
                            </pic:pic>
                          </a:graphicData>
                        </a:graphic>
                      </wp:inline>
                    </w:drawing>
                  </w:r>
                </w:p>
              </w:tc>
              <w:tc>
                <w:tcPr>
                  <w:tcW w:w="3611" w:type="dxa"/>
                  <w:noWrap w:val="0"/>
                  <w:vAlign w:val="center"/>
                </w:tcPr>
                <w:p w14:paraId="6764E16D">
                  <w:pPr>
                    <w:spacing w:line="360" w:lineRule="auto"/>
                    <w:rPr>
                      <w:rFonts w:hint="eastAsia" w:ascii="宋体" w:hAnsi="宋体" w:eastAsia="宋体"/>
                      <w:color w:val="auto"/>
                      <w:sz w:val="24"/>
                      <w:szCs w:val="24"/>
                      <w:vertAlign w:val="baseline"/>
                      <w:lang w:val="en-US" w:eastAsia="zh-CN"/>
                    </w:rPr>
                  </w:pPr>
                  <w:r>
                    <w:rPr>
                      <w:rFonts w:hint="eastAsia"/>
                      <w:color w:val="auto"/>
                      <w:lang w:val="en-US" w:eastAsia="zh-CN"/>
                    </w:rPr>
                    <w:t xml:space="preserve">     </w:t>
                  </w:r>
                  <w:r>
                    <w:rPr>
                      <w:color w:val="auto"/>
                    </w:rPr>
                    <w:drawing>
                      <wp:inline distT="0" distB="0" distL="114300" distR="114300">
                        <wp:extent cx="1666875" cy="1655445"/>
                        <wp:effectExtent l="0" t="0" r="9525" b="1905"/>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40"/>
                                <a:stretch>
                                  <a:fillRect/>
                                </a:stretch>
                              </pic:blipFill>
                              <pic:spPr>
                                <a:xfrm>
                                  <a:off x="0" y="0"/>
                                  <a:ext cx="1666875" cy="1655445"/>
                                </a:xfrm>
                                <a:prstGeom prst="rect">
                                  <a:avLst/>
                                </a:prstGeom>
                                <a:noFill/>
                                <a:ln>
                                  <a:noFill/>
                                </a:ln>
                              </pic:spPr>
                            </pic:pic>
                          </a:graphicData>
                        </a:graphic>
                      </wp:inline>
                    </w:drawing>
                  </w:r>
                </w:p>
              </w:tc>
            </w:tr>
            <w:tr w14:paraId="13D0FC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99" w:type="dxa"/>
                  <w:noWrap w:val="0"/>
                  <w:vAlign w:val="center"/>
                </w:tcPr>
                <w:p w14:paraId="410FFCD7">
                  <w:pPr>
                    <w:autoSpaceDE w:val="0"/>
                    <w:autoSpaceDN w:val="0"/>
                    <w:adjustRightInd w:val="0"/>
                    <w:snapToGrid w:val="0"/>
                    <w:jc w:val="center"/>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危险废物标识</w:t>
                  </w:r>
                </w:p>
              </w:tc>
              <w:tc>
                <w:tcPr>
                  <w:tcW w:w="3611" w:type="dxa"/>
                  <w:noWrap w:val="0"/>
                  <w:vAlign w:val="center"/>
                </w:tcPr>
                <w:p w14:paraId="70F84A5D">
                  <w:pPr>
                    <w:autoSpaceDE w:val="0"/>
                    <w:autoSpaceDN w:val="0"/>
                    <w:adjustRightInd w:val="0"/>
                    <w:snapToGrid w:val="0"/>
                    <w:jc w:val="center"/>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危险废物标签样式示意图</w:t>
                  </w:r>
                </w:p>
              </w:tc>
            </w:tr>
            <w:tr w14:paraId="65C352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99" w:type="dxa"/>
                  <w:noWrap w:val="0"/>
                  <w:vAlign w:val="center"/>
                </w:tcPr>
                <w:p w14:paraId="2A90BC83">
                  <w:pPr>
                    <w:spacing w:line="360" w:lineRule="auto"/>
                    <w:rPr>
                      <w:rFonts w:hint="eastAsia" w:ascii="宋体" w:hAnsi="宋体" w:eastAsia="宋体"/>
                      <w:color w:val="auto"/>
                      <w:sz w:val="24"/>
                      <w:szCs w:val="24"/>
                      <w:vertAlign w:val="baseline"/>
                      <w:lang w:val="en-US" w:eastAsia="zh-CN"/>
                    </w:rPr>
                  </w:pPr>
                  <w:r>
                    <w:rPr>
                      <w:rFonts w:hint="eastAsia"/>
                      <w:color w:val="auto"/>
                      <w:lang w:val="en-US" w:eastAsia="zh-CN"/>
                    </w:rPr>
                    <w:t xml:space="preserve">     </w:t>
                  </w:r>
                  <w:r>
                    <w:rPr>
                      <w:color w:val="auto"/>
                    </w:rPr>
                    <w:drawing>
                      <wp:inline distT="0" distB="0" distL="114300" distR="114300">
                        <wp:extent cx="1485900" cy="1152525"/>
                        <wp:effectExtent l="0" t="0" r="0" b="9525"/>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41"/>
                                <a:stretch>
                                  <a:fillRect/>
                                </a:stretch>
                              </pic:blipFill>
                              <pic:spPr>
                                <a:xfrm>
                                  <a:off x="0" y="0"/>
                                  <a:ext cx="1485900" cy="1152525"/>
                                </a:xfrm>
                                <a:prstGeom prst="rect">
                                  <a:avLst/>
                                </a:prstGeom>
                                <a:noFill/>
                                <a:ln>
                                  <a:noFill/>
                                </a:ln>
                              </pic:spPr>
                            </pic:pic>
                          </a:graphicData>
                        </a:graphic>
                      </wp:inline>
                    </w:drawing>
                  </w:r>
                </w:p>
              </w:tc>
              <w:tc>
                <w:tcPr>
                  <w:tcW w:w="3611" w:type="dxa"/>
                  <w:noWrap w:val="0"/>
                  <w:vAlign w:val="center"/>
                </w:tcPr>
                <w:p w14:paraId="485CF541">
                  <w:pPr>
                    <w:spacing w:line="360" w:lineRule="auto"/>
                    <w:rPr>
                      <w:rFonts w:hint="eastAsia" w:ascii="宋体" w:hAnsi="宋体" w:eastAsia="宋体"/>
                      <w:color w:val="auto"/>
                      <w:sz w:val="24"/>
                      <w:szCs w:val="24"/>
                      <w:vertAlign w:val="baseline"/>
                      <w:lang w:val="en-US" w:eastAsia="zh-CN"/>
                    </w:rPr>
                  </w:pPr>
                  <w:r>
                    <w:rPr>
                      <w:rFonts w:hint="eastAsia"/>
                      <w:color w:val="auto"/>
                      <w:lang w:val="en-US" w:eastAsia="zh-CN"/>
                    </w:rPr>
                    <w:t xml:space="preserve">    </w:t>
                  </w:r>
                  <w:r>
                    <w:rPr>
                      <w:color w:val="auto"/>
                    </w:rPr>
                    <w:drawing>
                      <wp:inline distT="0" distB="0" distL="114300" distR="114300">
                        <wp:extent cx="1885950" cy="1171575"/>
                        <wp:effectExtent l="0" t="0" r="0" b="9525"/>
                        <wp:docPr id="14"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1"/>
                                <pic:cNvPicPr>
                                  <a:picLocks noChangeAspect="1"/>
                                </pic:cNvPicPr>
                              </pic:nvPicPr>
                              <pic:blipFill>
                                <a:blip r:embed="rId42"/>
                                <a:stretch>
                                  <a:fillRect/>
                                </a:stretch>
                              </pic:blipFill>
                              <pic:spPr>
                                <a:xfrm>
                                  <a:off x="0" y="0"/>
                                  <a:ext cx="1885950" cy="1171575"/>
                                </a:xfrm>
                                <a:prstGeom prst="rect">
                                  <a:avLst/>
                                </a:prstGeom>
                                <a:noFill/>
                                <a:ln>
                                  <a:noFill/>
                                </a:ln>
                              </pic:spPr>
                            </pic:pic>
                          </a:graphicData>
                        </a:graphic>
                      </wp:inline>
                    </w:drawing>
                  </w:r>
                </w:p>
              </w:tc>
            </w:tr>
            <w:tr w14:paraId="63D397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99" w:type="dxa"/>
                  <w:noWrap w:val="0"/>
                  <w:vAlign w:val="center"/>
                </w:tcPr>
                <w:p w14:paraId="612AABDF">
                  <w:pPr>
                    <w:autoSpaceDE w:val="0"/>
                    <w:autoSpaceDN w:val="0"/>
                    <w:adjustRightInd w:val="0"/>
                    <w:snapToGrid w:val="0"/>
                    <w:jc w:val="center"/>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危险废物贮存分区标志样式示意图</w:t>
                  </w:r>
                </w:p>
              </w:tc>
              <w:tc>
                <w:tcPr>
                  <w:tcW w:w="3611" w:type="dxa"/>
                  <w:noWrap w:val="0"/>
                  <w:vAlign w:val="center"/>
                </w:tcPr>
                <w:p w14:paraId="7544754A">
                  <w:pPr>
                    <w:autoSpaceDE w:val="0"/>
                    <w:autoSpaceDN w:val="0"/>
                    <w:adjustRightInd w:val="0"/>
                    <w:snapToGrid w:val="0"/>
                    <w:jc w:val="center"/>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贮存设施标志</w:t>
                  </w:r>
                </w:p>
              </w:tc>
            </w:tr>
          </w:tbl>
          <w:p w14:paraId="6284686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5）</w:t>
            </w:r>
            <w:r>
              <w:rPr>
                <w:rFonts w:hint="default" w:ascii="Times New Roman" w:hAnsi="Times New Roman" w:eastAsia="宋体" w:cs="Times New Roman"/>
                <w:color w:val="auto"/>
                <w:sz w:val="24"/>
                <w:szCs w:val="24"/>
              </w:rPr>
              <w:t>危险废物运输污染防治措施</w:t>
            </w:r>
          </w:p>
          <w:p w14:paraId="4897223B">
            <w:pPr>
              <w:spacing w:line="360" w:lineRule="auto"/>
              <w:ind w:firstLine="480" w:firstLineChars="20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①危险废物运输由持有危险废物经营许可证的单位按照其许可证的经营范围组织实施，承担危险废物运输的单位应获得交通运输部门颁发的危险货物运输资质。</w:t>
            </w:r>
          </w:p>
          <w:p w14:paraId="4D2E8F24">
            <w:pPr>
              <w:spacing w:line="360" w:lineRule="auto"/>
              <w:ind w:firstLine="480" w:firstLineChars="20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②运输单位承运危险废物时，应在危险废物包装上设置标志。</w:t>
            </w:r>
          </w:p>
          <w:p w14:paraId="6347141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③危险废物运输时的中转、装卸过程应遵守如下技术要求：</w:t>
            </w:r>
          </w:p>
          <w:p w14:paraId="0F2EEE4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lang w:val="en-US" w:eastAsia="zh-CN"/>
              </w:rPr>
              <w:t>a、</w:t>
            </w:r>
            <w:r>
              <w:rPr>
                <w:rFonts w:hint="default" w:ascii="Times New Roman" w:hAnsi="Times New Roman" w:eastAsia="宋体" w:cs="Times New Roman"/>
                <w:color w:val="auto"/>
                <w:sz w:val="24"/>
                <w:szCs w:val="24"/>
              </w:rPr>
              <w:t>工作人员应熟悉废物的危险特性，并配备适当个人防护装备；</w:t>
            </w:r>
          </w:p>
          <w:p w14:paraId="6FCDAD3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b、</w:t>
            </w:r>
            <w:r>
              <w:rPr>
                <w:rFonts w:hint="default" w:ascii="Times New Roman" w:hAnsi="Times New Roman" w:eastAsia="宋体" w:cs="Times New Roman"/>
                <w:color w:val="auto"/>
                <w:sz w:val="24"/>
                <w:szCs w:val="24"/>
              </w:rPr>
              <w:t>配备必要消防设备和设施，并设置明显的指示标志；</w:t>
            </w:r>
          </w:p>
          <w:p w14:paraId="49160E1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c、</w:t>
            </w:r>
            <w:r>
              <w:rPr>
                <w:rFonts w:hint="default" w:ascii="Times New Roman" w:hAnsi="Times New Roman" w:eastAsia="宋体" w:cs="Times New Roman"/>
                <w:color w:val="auto"/>
                <w:sz w:val="24"/>
                <w:szCs w:val="24"/>
              </w:rPr>
              <w:t>危险废物装卸区应设置隔离设施；</w:t>
            </w:r>
          </w:p>
          <w:p w14:paraId="67E63B52">
            <w:pPr>
              <w:spacing w:line="360" w:lineRule="auto"/>
              <w:ind w:firstLine="480" w:firstLineChars="200"/>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rPr>
              <w:t>项目对各类固体废弃物进行分类暂存，对危废库做</w:t>
            </w:r>
            <w:r>
              <w:rPr>
                <w:rFonts w:hint="eastAsia" w:ascii="宋体" w:hAnsi="宋体" w:eastAsia="宋体" w:cs="宋体"/>
                <w:color w:val="auto"/>
                <w:sz w:val="24"/>
                <w:szCs w:val="24"/>
              </w:rPr>
              <w:t>好“六防”（</w:t>
            </w:r>
            <w:r>
              <w:rPr>
                <w:rFonts w:hint="default" w:ascii="Times New Roman" w:hAnsi="Times New Roman" w:eastAsia="宋体" w:cs="Times New Roman"/>
                <w:color w:val="auto"/>
                <w:sz w:val="24"/>
                <w:szCs w:val="24"/>
              </w:rPr>
              <w:t>防风、防雨、防晒、防渗、防漏、防腐）措施，避免造成二次污染；危险废物必须严格参照《危险废物收集、贮存、运输技术规范》和《危险废物贮存污染控制标准》中的相关要求执行；</w:t>
            </w:r>
            <w:r>
              <w:rPr>
                <w:rFonts w:hint="eastAsia" w:ascii="Times New Roman" w:hAnsi="Times New Roman" w:eastAsia="宋体" w:cs="Times New Roman"/>
                <w:color w:val="auto"/>
                <w:sz w:val="24"/>
                <w:szCs w:val="24"/>
                <w:lang w:eastAsia="zh-CN"/>
              </w:rPr>
              <w:t>贮存</w:t>
            </w:r>
            <w:r>
              <w:rPr>
                <w:rFonts w:hint="default" w:ascii="Times New Roman" w:hAnsi="Times New Roman" w:eastAsia="宋体" w:cs="Times New Roman"/>
                <w:color w:val="auto"/>
                <w:sz w:val="24"/>
                <w:szCs w:val="24"/>
              </w:rPr>
              <w:t>库平时锁闭，待有出库和</w:t>
            </w:r>
            <w:r>
              <w:rPr>
                <w:rFonts w:hint="eastAsia" w:ascii="宋体" w:hAnsi="宋体" w:eastAsia="宋体"/>
                <w:color w:val="auto"/>
                <w:sz w:val="24"/>
                <w:szCs w:val="24"/>
              </w:rPr>
              <w:t>入库的情况下才开启，在有贮存的情况下应定期检查；在入口处应设置明显的危险废物标志。</w:t>
            </w:r>
          </w:p>
          <w:p w14:paraId="5A3AB61C">
            <w:pPr>
              <w:spacing w:line="360" w:lineRule="auto"/>
              <w:ind w:firstLine="480" w:firstLineChars="200"/>
              <w:rPr>
                <w:rFonts w:hint="eastAsia"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6）</w:t>
            </w:r>
            <w:r>
              <w:rPr>
                <w:rFonts w:hint="eastAsia" w:ascii="宋体" w:hAnsi="宋体" w:eastAsia="宋体"/>
                <w:color w:val="auto"/>
                <w:sz w:val="24"/>
                <w:szCs w:val="24"/>
              </w:rPr>
              <w:t>危险废物转移管理要求</w:t>
            </w:r>
          </w:p>
          <w:p w14:paraId="0AB782C2">
            <w:pPr>
              <w:spacing w:line="360" w:lineRule="auto"/>
              <w:ind w:firstLine="480" w:firstLineChars="200"/>
              <w:rPr>
                <w:rFonts w:hint="eastAsia" w:ascii="宋体" w:hAnsi="宋体" w:eastAsia="宋体"/>
                <w:color w:val="auto"/>
                <w:sz w:val="24"/>
                <w:szCs w:val="24"/>
                <w:lang w:eastAsia="zh-CN"/>
              </w:rPr>
            </w:pPr>
            <w:r>
              <w:rPr>
                <w:rFonts w:hint="eastAsia" w:ascii="宋体" w:hAnsi="宋体" w:eastAsia="宋体"/>
                <w:color w:val="auto"/>
                <w:sz w:val="24"/>
                <w:szCs w:val="24"/>
              </w:rPr>
              <w:t>转移危险废物的应当执行危险废物转移联单制度，应当通过国家危险废物信息系统填写、运行危险废物电子转移联单，并依照国家有关规定公开危险废物转移相关污染环境防治信息</w:t>
            </w:r>
            <w:r>
              <w:rPr>
                <w:rFonts w:hint="eastAsia" w:ascii="宋体" w:hAnsi="宋体" w:eastAsia="宋体"/>
                <w:color w:val="auto"/>
                <w:sz w:val="24"/>
                <w:szCs w:val="24"/>
                <w:lang w:eastAsia="zh-CN"/>
              </w:rPr>
              <w:t>。</w:t>
            </w:r>
          </w:p>
          <w:p w14:paraId="1CFFBD93">
            <w:pPr>
              <w:spacing w:line="360" w:lineRule="auto"/>
              <w:ind w:firstLine="480" w:firstLineChars="200"/>
              <w:rPr>
                <w:rFonts w:hint="eastAsia" w:ascii="宋体" w:hAnsi="宋体" w:eastAsia="宋体"/>
                <w:color w:val="auto"/>
                <w:sz w:val="24"/>
                <w:szCs w:val="24"/>
              </w:rPr>
            </w:pPr>
            <w:r>
              <w:rPr>
                <w:rFonts w:hint="eastAsia" w:ascii="宋体" w:hAnsi="宋体" w:eastAsia="宋体"/>
                <w:color w:val="auto"/>
                <w:sz w:val="24"/>
                <w:szCs w:val="24"/>
              </w:rPr>
              <w:t>危险废物移出人、危险废物承运人、危险废物接收人（以下分别简称移出人、承运人和</w:t>
            </w:r>
            <w:r>
              <w:rPr>
                <w:rFonts w:hint="eastAsia" w:ascii="宋体" w:hAnsi="宋体"/>
                <w:color w:val="auto"/>
                <w:sz w:val="24"/>
                <w:szCs w:val="24"/>
                <w:lang w:eastAsia="zh-CN"/>
              </w:rPr>
              <w:t>接收</w:t>
            </w:r>
            <w:r>
              <w:rPr>
                <w:rFonts w:hint="eastAsia" w:ascii="宋体" w:hAnsi="宋体" w:eastAsia="宋体"/>
                <w:color w:val="auto"/>
                <w:sz w:val="24"/>
                <w:szCs w:val="24"/>
              </w:rPr>
              <w:t>人）在危险废物转移过程中应当采取防扬散、防流失、防渗漏或者其他防止污染环境的措施，不得擅自倾倒、堆放、丢弃、遗撒危险废物，并对所造成的环境污染及生态破坏依法承担责任。移出人、承运人、接收人应当依法制定突发环境事件的防范措施和应急预案，并报有关部门备案；发生危险废物突发环境事件时，应当立即采取有效措施消除或者减轻对环境的污染危害，并按相关规定向事故发生地有关部门报告，接受调查处理。</w:t>
            </w:r>
          </w:p>
          <w:p w14:paraId="26F4D584">
            <w:pPr>
              <w:spacing w:line="360" w:lineRule="auto"/>
              <w:ind w:firstLine="480" w:firstLineChars="200"/>
              <w:rPr>
                <w:rFonts w:hint="eastAsia" w:ascii="宋体" w:hAnsi="宋体" w:eastAsia="宋体"/>
                <w:color w:val="auto"/>
                <w:sz w:val="24"/>
                <w:szCs w:val="24"/>
              </w:rPr>
            </w:pPr>
            <w:r>
              <w:rPr>
                <w:rFonts w:hint="eastAsia" w:ascii="宋体" w:hAnsi="宋体" w:eastAsia="宋体"/>
                <w:color w:val="auto"/>
                <w:sz w:val="24"/>
                <w:szCs w:val="24"/>
              </w:rPr>
              <w:t>本项目建设单位应当履行以下义务：</w:t>
            </w:r>
          </w:p>
          <w:p w14:paraId="0FD42EF5">
            <w:pPr>
              <w:spacing w:line="360" w:lineRule="auto"/>
              <w:ind w:firstLine="480" w:firstLineChars="200"/>
              <w:rPr>
                <w:rFonts w:hint="eastAsia" w:ascii="宋体" w:hAnsi="宋体" w:eastAsia="宋体"/>
                <w:color w:val="auto"/>
                <w:sz w:val="24"/>
                <w:szCs w:val="24"/>
              </w:rPr>
            </w:pPr>
            <w:r>
              <w:rPr>
                <w:rFonts w:hint="eastAsia" w:ascii="宋体" w:hAnsi="宋体" w:eastAsia="宋体"/>
                <w:color w:val="auto"/>
                <w:sz w:val="24"/>
                <w:szCs w:val="24"/>
              </w:rPr>
              <w:t>①对承运人或者接受人的主体资格和技术能力进行核实，依法签订书面合同，并在合同中约定运输、贮存、利用、处置危险废物的污染防治要求及相关责任；</w:t>
            </w:r>
          </w:p>
          <w:p w14:paraId="7FD2E937">
            <w:pPr>
              <w:spacing w:line="360" w:lineRule="auto"/>
              <w:ind w:firstLine="480" w:firstLineChars="200"/>
              <w:rPr>
                <w:rFonts w:hint="eastAsia" w:ascii="宋体" w:hAnsi="宋体" w:eastAsia="宋体"/>
                <w:color w:val="auto"/>
                <w:sz w:val="24"/>
                <w:szCs w:val="24"/>
              </w:rPr>
            </w:pPr>
            <w:r>
              <w:rPr>
                <w:rFonts w:hint="eastAsia" w:ascii="宋体" w:hAnsi="宋体" w:eastAsia="宋体"/>
                <w:color w:val="auto"/>
                <w:sz w:val="24"/>
                <w:szCs w:val="24"/>
              </w:rPr>
              <w:t>②制定危险废物管理计划，明确拟转移危险废物的种类、重量（数量）和流向等信息；</w:t>
            </w:r>
          </w:p>
          <w:p w14:paraId="5E04AC8B">
            <w:pPr>
              <w:spacing w:line="360" w:lineRule="auto"/>
              <w:ind w:firstLine="480" w:firstLineChars="200"/>
              <w:rPr>
                <w:rFonts w:hint="eastAsia" w:ascii="宋体" w:hAnsi="宋体" w:eastAsia="宋体"/>
                <w:color w:val="auto"/>
                <w:sz w:val="24"/>
                <w:szCs w:val="24"/>
              </w:rPr>
            </w:pPr>
            <w:r>
              <w:rPr>
                <w:rFonts w:hint="eastAsia" w:ascii="宋体" w:hAnsi="宋体" w:eastAsia="宋体"/>
                <w:color w:val="auto"/>
                <w:sz w:val="24"/>
                <w:szCs w:val="24"/>
              </w:rPr>
              <w:t>③建立危险废物管理台账，对转移的危险废物进行计量称重，如实记录、妥善保管转移危险废物的种类、重量（数量）和接收人等相关信息；</w:t>
            </w:r>
          </w:p>
          <w:p w14:paraId="34704785">
            <w:pPr>
              <w:spacing w:line="360" w:lineRule="auto"/>
              <w:ind w:firstLine="480" w:firstLineChars="200"/>
              <w:rPr>
                <w:rFonts w:hint="eastAsia" w:ascii="宋体" w:hAnsi="宋体" w:eastAsia="宋体"/>
                <w:color w:val="auto"/>
                <w:sz w:val="24"/>
                <w:szCs w:val="24"/>
              </w:rPr>
            </w:pPr>
            <w:r>
              <w:rPr>
                <w:rFonts w:hint="eastAsia" w:ascii="宋体" w:hAnsi="宋体" w:eastAsia="宋体"/>
                <w:color w:val="auto"/>
                <w:sz w:val="24"/>
                <w:szCs w:val="24"/>
              </w:rPr>
              <w:t>④填写、运行危险废物转移联单，在危险废物转移联单中如实填写移出人、承运人、</w:t>
            </w:r>
            <w:r>
              <w:rPr>
                <w:rFonts w:hint="eastAsia" w:ascii="宋体" w:hAnsi="宋体"/>
                <w:color w:val="auto"/>
                <w:sz w:val="24"/>
                <w:szCs w:val="24"/>
                <w:lang w:eastAsia="zh-CN"/>
              </w:rPr>
              <w:t>接收</w:t>
            </w:r>
            <w:r>
              <w:rPr>
                <w:rFonts w:hint="eastAsia" w:ascii="宋体" w:hAnsi="宋体" w:eastAsia="宋体"/>
                <w:color w:val="auto"/>
                <w:sz w:val="24"/>
                <w:szCs w:val="24"/>
              </w:rPr>
              <w:t>人信息，转移危险废物的种类、重量（数量）、危险特性等信息，以及突发环境事件的防范措施等；</w:t>
            </w:r>
          </w:p>
          <w:p w14:paraId="291A7F00">
            <w:pPr>
              <w:spacing w:line="360" w:lineRule="auto"/>
              <w:ind w:firstLine="480" w:firstLineChars="20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⑤及时核实接收人贮存、利用或者处置相关危险废物情况；</w:t>
            </w:r>
          </w:p>
          <w:p w14:paraId="0DB04154">
            <w:pPr>
              <w:spacing w:line="360" w:lineRule="auto"/>
              <w:ind w:firstLine="480" w:firstLineChars="20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⑥法律法规规定的其他义务。</w:t>
            </w:r>
          </w:p>
          <w:p w14:paraId="5CB0FED5">
            <w:pPr>
              <w:spacing w:line="360" w:lineRule="auto"/>
              <w:ind w:firstLine="480" w:firstLineChars="20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移出人应当按照国家有关要求开展危险废物鉴别。禁止将危险废物以副产品等名义提供或者委托给无危险废物经营许可证的单位或者其他生产经营者从事收集、贮存、利用、处置活动。</w:t>
            </w:r>
          </w:p>
          <w:p w14:paraId="6494C517">
            <w:pPr>
              <w:keepNext w:val="0"/>
              <w:keepLines w:val="0"/>
              <w:pageBreakBefore w:val="0"/>
              <w:widowControl/>
              <w:kinsoku/>
              <w:wordWrap/>
              <w:overflowPunct/>
              <w:topLinePunct w:val="0"/>
              <w:autoSpaceDE/>
              <w:autoSpaceDN/>
              <w:bidi w:val="0"/>
              <w:adjustRightInd/>
              <w:snapToGrid/>
              <w:spacing w:line="348" w:lineRule="auto"/>
              <w:ind w:firstLine="480" w:firstLineChars="200"/>
              <w:contextualSpacing/>
              <w:jc w:val="left"/>
              <w:textAlignment w:val="auto"/>
              <w:rPr>
                <w:rFonts w:hint="eastAsia"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rPr>
              <w:t>综上所述，项目各类固废去</w:t>
            </w:r>
            <w:r>
              <w:rPr>
                <w:rFonts w:hint="eastAsia" w:ascii="宋体" w:hAnsi="宋体" w:eastAsia="宋体"/>
                <w:color w:val="auto"/>
                <w:sz w:val="24"/>
                <w:szCs w:val="24"/>
              </w:rPr>
              <w:t>向明确，暂存妥当，可确保不造成二次污染</w:t>
            </w:r>
            <w:r>
              <w:rPr>
                <w:rFonts w:hint="eastAsia" w:ascii="宋体" w:hAnsi="宋体" w:eastAsia="宋体"/>
                <w:color w:val="auto"/>
                <w:sz w:val="24"/>
                <w:szCs w:val="24"/>
                <w:lang w:eastAsia="zh-CN"/>
              </w:rPr>
              <w:t>。</w:t>
            </w:r>
          </w:p>
          <w:p w14:paraId="013EAFD1">
            <w:pPr>
              <w:keepNext w:val="0"/>
              <w:keepLines w:val="0"/>
              <w:pageBreakBefore w:val="0"/>
              <w:kinsoku/>
              <w:wordWrap/>
              <w:overflowPunct/>
              <w:topLinePunct w:val="0"/>
              <w:autoSpaceDE/>
              <w:autoSpaceDN/>
              <w:bidi w:val="0"/>
              <w:adjustRightInd/>
              <w:snapToGrid/>
              <w:spacing w:line="348" w:lineRule="auto"/>
              <w:ind w:firstLine="482" w:firstLineChars="200"/>
              <w:contextualSpacing/>
              <w:jc w:val="left"/>
              <w:textAlignment w:val="auto"/>
              <w:rPr>
                <w:rFonts w:hint="default" w:ascii="Times New Roman" w:hAnsi="Times New Roman" w:eastAsia="宋体" w:cs="Times New Roman"/>
                <w:b/>
                <w:bCs/>
                <w:color w:val="auto"/>
                <w:sz w:val="24"/>
                <w:lang w:val="en-US" w:eastAsia="zh-CN"/>
              </w:rPr>
            </w:pPr>
            <w:r>
              <w:rPr>
                <w:rFonts w:hint="default" w:ascii="Times New Roman" w:hAnsi="Times New Roman" w:eastAsia="宋体" w:cs="Times New Roman"/>
                <w:b/>
                <w:bCs/>
                <w:color w:val="auto"/>
                <w:sz w:val="24"/>
              </w:rPr>
              <w:t>5、地下水</w:t>
            </w:r>
            <w:r>
              <w:rPr>
                <w:rFonts w:hint="default" w:ascii="Times New Roman" w:hAnsi="Times New Roman" w:eastAsia="宋体" w:cs="Times New Roman"/>
                <w:b/>
                <w:bCs/>
                <w:color w:val="auto"/>
                <w:sz w:val="24"/>
                <w:lang w:eastAsia="zh-CN"/>
              </w:rPr>
              <w:t>、</w:t>
            </w:r>
            <w:r>
              <w:rPr>
                <w:rFonts w:hint="default" w:ascii="Times New Roman" w:hAnsi="Times New Roman" w:eastAsia="宋体" w:cs="Times New Roman"/>
                <w:b/>
                <w:bCs/>
                <w:color w:val="auto"/>
                <w:sz w:val="24"/>
                <w:lang w:val="en-US" w:eastAsia="zh-CN"/>
              </w:rPr>
              <w:t>土壤</w:t>
            </w:r>
          </w:p>
          <w:p w14:paraId="49DEE6B4">
            <w:pPr>
              <w:spacing w:line="360" w:lineRule="auto"/>
              <w:ind w:firstLine="480" w:firstLineChars="200"/>
              <w:rPr>
                <w:rFonts w:hint="default" w:ascii="Times New Roman" w:hAnsi="Times New Roman" w:eastAsia="宋体" w:cs="Times New Roman"/>
                <w:color w:val="auto"/>
                <w:sz w:val="24"/>
                <w:szCs w:val="24"/>
              </w:rPr>
            </w:pPr>
            <w:r>
              <w:rPr>
                <w:rFonts w:hint="eastAsia" w:ascii="宋体" w:hAnsi="宋体" w:eastAsia="宋体"/>
                <w:color w:val="auto"/>
                <w:sz w:val="24"/>
                <w:szCs w:val="24"/>
              </w:rPr>
              <w:t>本项目营运期可能存在的地下水污染的途径包括：污水排水管管理不善，有跑、冒、滴、漏现象而污染地下水；</w:t>
            </w:r>
            <w:r>
              <w:rPr>
                <w:rFonts w:hint="eastAsia" w:ascii="TimesNewRomanPSMT" w:hAnsi="TimesNewRomanPSMT" w:eastAsia="TimesNewRomanPSMT"/>
                <w:color w:val="auto"/>
                <w:sz w:val="24"/>
                <w:szCs w:val="24"/>
              </w:rPr>
              <w:t>NMP</w:t>
            </w:r>
            <w:r>
              <w:rPr>
                <w:rFonts w:hint="eastAsia" w:ascii="宋体" w:hAnsi="宋体" w:eastAsia="宋体"/>
                <w:color w:val="auto"/>
                <w:sz w:val="24"/>
                <w:szCs w:val="24"/>
              </w:rPr>
              <w:t>废液收集罐或</w:t>
            </w:r>
            <w:r>
              <w:rPr>
                <w:rFonts w:hint="eastAsia" w:ascii="TimesNewRomanPSMT" w:hAnsi="TimesNewRomanPSMT" w:eastAsia="TimesNewRomanPSMT"/>
                <w:color w:val="auto"/>
                <w:sz w:val="24"/>
                <w:szCs w:val="24"/>
              </w:rPr>
              <w:t>NMP</w:t>
            </w:r>
            <w:r>
              <w:rPr>
                <w:rFonts w:hint="eastAsia" w:ascii="宋体" w:hAnsi="宋体" w:eastAsia="宋体"/>
                <w:color w:val="auto"/>
                <w:sz w:val="24"/>
                <w:szCs w:val="24"/>
              </w:rPr>
              <w:t>、电解液、机油、废机油其中一种或多种泄漏污染地下水。</w:t>
            </w:r>
          </w:p>
          <w:p w14:paraId="1EE77D20">
            <w:pPr>
              <w:spacing w:line="360" w:lineRule="auto"/>
              <w:ind w:firstLine="480" w:firstLineChars="200"/>
              <w:rPr>
                <w:rFonts w:hint="default" w:ascii="宋体" w:hAnsi="宋体" w:eastAsia="宋体" w:cs="Times New Roman"/>
                <w:color w:val="auto"/>
                <w:sz w:val="24"/>
                <w:szCs w:val="24"/>
              </w:rPr>
            </w:pPr>
            <w:r>
              <w:rPr>
                <w:rFonts w:hint="default" w:ascii="Times New Roman" w:hAnsi="Times New Roman" w:eastAsia="宋体" w:cs="Times New Roman"/>
                <w:color w:val="auto"/>
                <w:sz w:val="24"/>
                <w:szCs w:val="24"/>
              </w:rPr>
              <w:t>项目的地下水污染预防措施应按照</w:t>
            </w:r>
            <w:r>
              <w:rPr>
                <w:rFonts w:hint="eastAsia"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rPr>
              <w:t>源头控制、分区控制、污染监控、应急响应</w:t>
            </w:r>
            <w:r>
              <w:rPr>
                <w:rFonts w:hint="eastAsia"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rPr>
              <w:t>的主动与被动防渗相结合的防渗原则。在做好防止和减少</w:t>
            </w:r>
            <w:r>
              <w:rPr>
                <w:rFonts w:hint="eastAsia"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rPr>
              <w:t>跑、冒、滴、漏</w:t>
            </w:r>
            <w:r>
              <w:rPr>
                <w:rFonts w:hint="eastAsia" w:ascii="Times New Roman" w:hAnsi="Times New Roman" w:eastAsia="宋体" w:cs="Times New Roman"/>
                <w:color w:val="auto"/>
                <w:sz w:val="24"/>
                <w:szCs w:val="24"/>
                <w:lang w:eastAsia="zh-CN"/>
              </w:rPr>
              <w:t>”</w:t>
            </w:r>
            <w:r>
              <w:rPr>
                <w:rFonts w:hint="default" w:ascii="宋体" w:hAnsi="宋体" w:eastAsia="宋体" w:cs="Times New Roman"/>
                <w:color w:val="auto"/>
                <w:sz w:val="24"/>
                <w:szCs w:val="24"/>
              </w:rPr>
              <w:t>等源头防污措施的基础上，对厂区内各单元进行分区防渗处理。</w:t>
            </w:r>
          </w:p>
          <w:p w14:paraId="2A009D39">
            <w:pPr>
              <w:spacing w:line="360" w:lineRule="auto"/>
              <w:ind w:firstLine="480" w:firstLineChars="200"/>
              <w:rPr>
                <w:rFonts w:hint="default" w:ascii="宋体" w:hAnsi="宋体" w:eastAsia="宋体" w:cs="Times New Roman"/>
                <w:color w:val="auto"/>
                <w:sz w:val="24"/>
                <w:szCs w:val="24"/>
              </w:rPr>
            </w:pPr>
            <w:r>
              <w:rPr>
                <w:rFonts w:hint="default" w:ascii="宋体" w:hAnsi="宋体" w:eastAsia="宋体" w:cs="Times New Roman"/>
                <w:color w:val="auto"/>
                <w:sz w:val="24"/>
                <w:szCs w:val="24"/>
              </w:rPr>
              <w:t>（</w:t>
            </w:r>
            <w:r>
              <w:rPr>
                <w:rFonts w:hint="eastAsia" w:ascii="Times New Roman" w:hAnsi="Times New Roman" w:eastAsia="宋体" w:cs="Times New Roman"/>
                <w:color w:val="auto"/>
                <w:sz w:val="24"/>
                <w:szCs w:val="24"/>
                <w:lang w:val="en-US" w:eastAsia="zh-CN"/>
              </w:rPr>
              <w:t>1</w:t>
            </w:r>
            <w:r>
              <w:rPr>
                <w:rFonts w:hint="default" w:ascii="宋体" w:hAnsi="宋体" w:eastAsia="宋体" w:cs="Times New Roman"/>
                <w:color w:val="auto"/>
                <w:sz w:val="24"/>
                <w:szCs w:val="24"/>
              </w:rPr>
              <w:t>）源头控制措施</w:t>
            </w:r>
          </w:p>
          <w:p w14:paraId="300AC9E8">
            <w:pPr>
              <w:spacing w:line="360" w:lineRule="auto"/>
              <w:ind w:firstLine="480" w:firstLineChars="200"/>
              <w:rPr>
                <w:rFonts w:hint="eastAsia" w:ascii="宋体" w:hAnsi="宋体" w:eastAsia="宋体"/>
                <w:color w:val="auto"/>
                <w:sz w:val="24"/>
                <w:szCs w:val="24"/>
                <w:lang w:val="en-US" w:eastAsia="zh-CN"/>
              </w:rPr>
            </w:pPr>
            <w:r>
              <w:rPr>
                <w:rFonts w:hint="eastAsia" w:ascii="宋体" w:hAnsi="宋体" w:eastAsia="宋体"/>
                <w:color w:val="auto"/>
                <w:sz w:val="24"/>
                <w:szCs w:val="24"/>
              </w:rPr>
              <w:t>①项目应根据国家现行相关规范加强环境管理，采取防止和降低污染物</w:t>
            </w:r>
            <w:r>
              <w:rPr>
                <w:rFonts w:hint="eastAsia" w:ascii="宋体" w:hAnsi="宋体" w:eastAsia="宋体"/>
                <w:color w:val="auto"/>
                <w:sz w:val="24"/>
                <w:szCs w:val="24"/>
                <w:lang w:eastAsia="zh-CN"/>
              </w:rPr>
              <w:t>“</w:t>
            </w:r>
            <w:r>
              <w:rPr>
                <w:rFonts w:hint="eastAsia" w:ascii="宋体" w:hAnsi="宋体" w:eastAsia="宋体"/>
                <w:color w:val="auto"/>
                <w:sz w:val="24"/>
                <w:szCs w:val="24"/>
              </w:rPr>
              <w:t>跑、冒、滴、漏</w:t>
            </w:r>
            <w:r>
              <w:rPr>
                <w:rFonts w:hint="eastAsia" w:ascii="宋体" w:hAnsi="宋体" w:eastAsia="宋体"/>
                <w:color w:val="auto"/>
                <w:sz w:val="24"/>
                <w:szCs w:val="24"/>
                <w:lang w:eastAsia="zh-CN"/>
              </w:rPr>
              <w:t>”</w:t>
            </w:r>
            <w:r>
              <w:rPr>
                <w:rFonts w:hint="eastAsia" w:ascii="宋体" w:hAnsi="宋体" w:eastAsia="宋体"/>
                <w:color w:val="auto"/>
                <w:sz w:val="24"/>
                <w:szCs w:val="24"/>
              </w:rPr>
              <w:t>的措施。正常运营过程中应加强巡检及时处理污染物</w:t>
            </w:r>
            <w:r>
              <w:rPr>
                <w:rFonts w:hint="eastAsia" w:ascii="宋体" w:hAnsi="宋体" w:eastAsia="宋体"/>
                <w:color w:val="auto"/>
                <w:sz w:val="24"/>
                <w:szCs w:val="24"/>
                <w:lang w:eastAsia="zh-CN"/>
              </w:rPr>
              <w:t>“</w:t>
            </w:r>
            <w:r>
              <w:rPr>
                <w:rFonts w:hint="eastAsia" w:ascii="宋体" w:hAnsi="宋体" w:eastAsia="宋体"/>
                <w:color w:val="auto"/>
                <w:sz w:val="24"/>
                <w:szCs w:val="24"/>
              </w:rPr>
              <w:t>跑、冒、滴、漏</w:t>
            </w:r>
            <w:r>
              <w:rPr>
                <w:rFonts w:hint="eastAsia" w:ascii="宋体" w:hAnsi="宋体" w:eastAsia="宋体"/>
                <w:color w:val="auto"/>
                <w:sz w:val="24"/>
                <w:szCs w:val="24"/>
                <w:lang w:eastAsia="zh-CN"/>
              </w:rPr>
              <w:t>”</w:t>
            </w:r>
            <w:r>
              <w:rPr>
                <w:rFonts w:hint="eastAsia" w:ascii="宋体" w:hAnsi="宋体" w:eastAsia="宋体"/>
                <w:color w:val="auto"/>
                <w:sz w:val="24"/>
                <w:szCs w:val="24"/>
              </w:rPr>
              <w:t>，同时应加强对防渗工程的检查，若发现防渗密封材料老化或损坏，应及时</w:t>
            </w:r>
            <w:r>
              <w:rPr>
                <w:rFonts w:hint="eastAsia" w:ascii="宋体" w:hAnsi="宋体" w:eastAsia="宋体"/>
                <w:color w:val="auto"/>
                <w:sz w:val="24"/>
                <w:szCs w:val="24"/>
                <w:lang w:val="en-US" w:eastAsia="zh-CN"/>
              </w:rPr>
              <w:t>维修更换；</w:t>
            </w:r>
          </w:p>
          <w:p w14:paraId="79C836E9">
            <w:pPr>
              <w:spacing w:line="360" w:lineRule="auto"/>
              <w:ind w:firstLine="480" w:firstLineChars="200"/>
              <w:rPr>
                <w:rFonts w:hint="default" w:ascii="宋体" w:hAnsi="宋体" w:eastAsia="宋体" w:cs="Times New Roman"/>
                <w:color w:val="auto"/>
                <w:sz w:val="24"/>
                <w:szCs w:val="24"/>
                <w:lang w:val="en-US" w:eastAsia="zh-CN"/>
              </w:rPr>
            </w:pPr>
            <w:r>
              <w:rPr>
                <w:rFonts w:hint="eastAsia" w:ascii="宋体" w:hAnsi="宋体" w:eastAsia="宋体"/>
                <w:color w:val="auto"/>
                <w:sz w:val="24"/>
                <w:szCs w:val="24"/>
              </w:rPr>
              <w:t>②对工艺</w:t>
            </w:r>
            <w:r>
              <w:rPr>
                <w:rFonts w:hint="eastAsia" w:ascii="宋体" w:hAnsi="宋体" w:eastAsia="宋体" w:cs="Times New Roman"/>
                <w:color w:val="auto"/>
                <w:sz w:val="24"/>
                <w:szCs w:val="24"/>
              </w:rPr>
              <w:t>、管道、设备、污水储存及处理构筑物采取控制措施，防止污染物的</w:t>
            </w:r>
            <w:r>
              <w:rPr>
                <w:rFonts w:hint="eastAsia" w:ascii="宋体" w:hAnsi="宋体" w:eastAsia="宋体" w:cs="Times New Roman"/>
                <w:color w:val="auto"/>
                <w:sz w:val="24"/>
                <w:szCs w:val="24"/>
                <w:lang w:eastAsia="zh-CN"/>
              </w:rPr>
              <w:t>“</w:t>
            </w:r>
            <w:r>
              <w:rPr>
                <w:rFonts w:hint="eastAsia" w:ascii="宋体" w:hAnsi="宋体" w:eastAsia="宋体" w:cs="Times New Roman"/>
                <w:color w:val="auto"/>
                <w:sz w:val="24"/>
                <w:szCs w:val="24"/>
              </w:rPr>
              <w:t>跑、冒、滴、漏</w:t>
            </w:r>
            <w:r>
              <w:rPr>
                <w:rFonts w:hint="eastAsia" w:ascii="宋体" w:hAnsi="宋体" w:eastAsia="宋体" w:cs="Times New Roman"/>
                <w:color w:val="auto"/>
                <w:sz w:val="24"/>
                <w:szCs w:val="24"/>
                <w:lang w:eastAsia="zh-CN"/>
              </w:rPr>
              <w:t>”</w:t>
            </w:r>
            <w:r>
              <w:rPr>
                <w:rFonts w:hint="eastAsia" w:ascii="宋体" w:hAnsi="宋体" w:eastAsia="宋体" w:cs="Times New Roman"/>
                <w:color w:val="auto"/>
                <w:sz w:val="24"/>
                <w:szCs w:val="24"/>
              </w:rPr>
              <w:t>，将污染物泄漏的环境风险事故降到最低限度。</w:t>
            </w:r>
          </w:p>
          <w:p w14:paraId="4CFD7F2E">
            <w:pPr>
              <w:spacing w:line="360" w:lineRule="auto"/>
              <w:ind w:firstLine="480" w:firstLineChars="200"/>
              <w:rPr>
                <w:rFonts w:hint="default" w:ascii="宋体" w:hAnsi="宋体" w:eastAsia="宋体" w:cs="Times New Roman"/>
                <w:color w:val="auto"/>
                <w:sz w:val="24"/>
                <w:szCs w:val="24"/>
              </w:rPr>
            </w:pPr>
            <w:r>
              <w:rPr>
                <w:rFonts w:hint="default" w:ascii="宋体" w:hAnsi="宋体" w:eastAsia="宋体" w:cs="Times New Roman"/>
                <w:color w:val="auto"/>
                <w:sz w:val="24"/>
                <w:szCs w:val="24"/>
              </w:rPr>
              <w:t>（</w:t>
            </w:r>
            <w:r>
              <w:rPr>
                <w:rFonts w:hint="default" w:ascii="Times New Roman" w:hAnsi="Times New Roman" w:eastAsia="宋体" w:cs="Times New Roman"/>
                <w:color w:val="auto"/>
                <w:sz w:val="24"/>
                <w:szCs w:val="24"/>
              </w:rPr>
              <w:t>2</w:t>
            </w:r>
            <w:r>
              <w:rPr>
                <w:rFonts w:hint="default" w:ascii="宋体" w:hAnsi="宋体" w:eastAsia="宋体" w:cs="Times New Roman"/>
                <w:color w:val="auto"/>
                <w:sz w:val="24"/>
                <w:szCs w:val="24"/>
              </w:rPr>
              <w:t>）分区防控措施</w:t>
            </w:r>
          </w:p>
          <w:p w14:paraId="3F593678">
            <w:pPr>
              <w:spacing w:line="360" w:lineRule="auto"/>
              <w:ind w:firstLine="480" w:firstLineChars="200"/>
              <w:rPr>
                <w:rFonts w:hint="eastAsia" w:ascii="宋体" w:hAnsi="宋体" w:eastAsia="宋体"/>
                <w:color w:val="auto"/>
                <w:sz w:val="24"/>
                <w:szCs w:val="24"/>
              </w:rPr>
            </w:pPr>
            <w:r>
              <w:rPr>
                <w:rFonts w:hint="eastAsia" w:ascii="宋体" w:hAnsi="宋体" w:eastAsia="宋体"/>
                <w:color w:val="auto"/>
                <w:sz w:val="24"/>
                <w:szCs w:val="24"/>
              </w:rPr>
              <w:t>为了防止项目运营期对周围地下水、土壤的污染，企业将严格按照《环境影响评价技术导则地下水环境》（</w:t>
            </w:r>
            <w:r>
              <w:rPr>
                <w:rFonts w:hint="eastAsia" w:ascii="TimesNewRomanPSMT" w:hAnsi="TimesNewRomanPSMT" w:eastAsia="TimesNewRomanPSMT"/>
                <w:color w:val="auto"/>
                <w:sz w:val="24"/>
                <w:szCs w:val="24"/>
              </w:rPr>
              <w:t>HJ610-2016</w:t>
            </w:r>
            <w:r>
              <w:rPr>
                <w:rFonts w:hint="eastAsia" w:ascii="宋体" w:hAnsi="宋体" w:eastAsia="宋体"/>
                <w:color w:val="auto"/>
                <w:sz w:val="24"/>
                <w:szCs w:val="24"/>
              </w:rPr>
              <w:t>）的要求防渗分区原则， 按各功能单元所处的位置划分为重点防渗区、一般防渗区以及简单防渗区三类地下水污染防治区域，具体分区如下：</w:t>
            </w:r>
          </w:p>
          <w:p w14:paraId="3F1CE4EF">
            <w:pPr>
              <w:pStyle w:val="40"/>
              <w:spacing w:after="0"/>
              <w:ind w:left="0" w:leftChars="0" w:firstLine="0" w:firstLineChars="0"/>
              <w:jc w:val="center"/>
              <w:rPr>
                <w:rFonts w:hint="default" w:ascii="Times New Roman" w:hAnsi="Times New Roman" w:eastAsia="黑体" w:cs="Times New Roman"/>
                <w:color w:val="auto"/>
                <w:sz w:val="24"/>
              </w:rPr>
            </w:pPr>
            <w:r>
              <w:rPr>
                <w:rFonts w:hint="default" w:ascii="Times New Roman" w:hAnsi="Times New Roman" w:eastAsia="宋体" w:cs="Times New Roman"/>
                <w:b/>
                <w:bCs/>
                <w:color w:val="auto"/>
                <w:sz w:val="21"/>
                <w:szCs w:val="21"/>
              </w:rPr>
              <w:t>表4-</w:t>
            </w:r>
            <w:r>
              <w:rPr>
                <w:rFonts w:hint="eastAsia" w:cs="Times New Roman"/>
                <w:b/>
                <w:bCs/>
                <w:color w:val="auto"/>
                <w:sz w:val="21"/>
                <w:szCs w:val="21"/>
                <w:lang w:val="en-US" w:eastAsia="zh-CN"/>
              </w:rPr>
              <w:t>23</w:t>
            </w:r>
            <w:r>
              <w:rPr>
                <w:rFonts w:hint="default" w:ascii="Times New Roman" w:hAnsi="Times New Roman" w:eastAsia="宋体" w:cs="Times New Roman"/>
                <w:b/>
                <w:bCs/>
                <w:color w:val="auto"/>
                <w:sz w:val="21"/>
                <w:szCs w:val="21"/>
                <w:lang w:val="en-US" w:eastAsia="zh-CN"/>
              </w:rPr>
              <w:t xml:space="preserve"> </w:t>
            </w:r>
            <w:r>
              <w:rPr>
                <w:rFonts w:hint="default" w:ascii="Times New Roman" w:hAnsi="Times New Roman" w:eastAsia="宋体" w:cs="Times New Roman"/>
                <w:b/>
                <w:bCs/>
                <w:color w:val="auto"/>
                <w:sz w:val="21"/>
                <w:szCs w:val="21"/>
              </w:rPr>
              <w:t>项目防渗分区表</w:t>
            </w:r>
          </w:p>
          <w:tbl>
            <w:tblPr>
              <w:tblStyle w:val="41"/>
              <w:tblW w:w="8018"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23" w:type="dxa"/>
                <w:bottom w:w="0" w:type="dxa"/>
                <w:right w:w="23" w:type="dxa"/>
              </w:tblCellMar>
            </w:tblPr>
            <w:tblGrid>
              <w:gridCol w:w="968"/>
              <w:gridCol w:w="2058"/>
              <w:gridCol w:w="2520"/>
              <w:gridCol w:w="2472"/>
            </w:tblGrid>
            <w:tr w14:paraId="576AD69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3" w:type="dxa"/>
                  <w:bottom w:w="0" w:type="dxa"/>
                  <w:right w:w="23" w:type="dxa"/>
                </w:tblCellMar>
              </w:tblPrEx>
              <w:trPr>
                <w:trHeight w:val="449" w:hRule="atLeast"/>
                <w:jc w:val="center"/>
              </w:trPr>
              <w:tc>
                <w:tcPr>
                  <w:tcW w:w="968" w:type="dxa"/>
                  <w:noWrap w:val="0"/>
                  <w:vAlign w:val="center"/>
                </w:tcPr>
                <w:p w14:paraId="5729B2E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防渗分区</w:t>
                  </w:r>
                </w:p>
              </w:tc>
              <w:tc>
                <w:tcPr>
                  <w:tcW w:w="2058" w:type="dxa"/>
                  <w:noWrap w:val="0"/>
                  <w:vAlign w:val="center"/>
                </w:tcPr>
                <w:p w14:paraId="10AB744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分区内容</w:t>
                  </w:r>
                </w:p>
              </w:tc>
              <w:tc>
                <w:tcPr>
                  <w:tcW w:w="2520" w:type="dxa"/>
                  <w:noWrap w:val="0"/>
                  <w:vAlign w:val="center"/>
                </w:tcPr>
                <w:p w14:paraId="38E1EC7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auto"/>
                      <w:sz w:val="21"/>
                      <w:szCs w:val="21"/>
                    </w:rPr>
                  </w:pPr>
                  <w:r>
                    <w:rPr>
                      <w:rFonts w:hint="eastAsia" w:ascii="Times New Roman" w:hAnsi="Times New Roman" w:eastAsia="宋体" w:cs="Times New Roman"/>
                      <w:b/>
                      <w:bCs/>
                      <w:color w:val="auto"/>
                      <w:sz w:val="21"/>
                      <w:szCs w:val="21"/>
                      <w:lang w:val="en-US" w:eastAsia="zh-CN"/>
                    </w:rPr>
                    <w:t>防渗</w:t>
                  </w:r>
                  <w:r>
                    <w:rPr>
                      <w:rFonts w:hint="default" w:ascii="Times New Roman" w:hAnsi="Times New Roman" w:eastAsia="宋体" w:cs="Times New Roman"/>
                      <w:b/>
                      <w:bCs/>
                      <w:color w:val="auto"/>
                      <w:sz w:val="21"/>
                      <w:szCs w:val="21"/>
                    </w:rPr>
                    <w:t>措施</w:t>
                  </w:r>
                </w:p>
              </w:tc>
              <w:tc>
                <w:tcPr>
                  <w:tcW w:w="2472" w:type="dxa"/>
                  <w:noWrap w:val="0"/>
                  <w:vAlign w:val="center"/>
                </w:tcPr>
                <w:p w14:paraId="6E7B995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防渗要求</w:t>
                  </w:r>
                </w:p>
              </w:tc>
            </w:tr>
            <w:tr w14:paraId="1500910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3" w:type="dxa"/>
                  <w:bottom w:w="0" w:type="dxa"/>
                  <w:right w:w="23" w:type="dxa"/>
                </w:tblCellMar>
              </w:tblPrEx>
              <w:trPr>
                <w:trHeight w:val="1101" w:hRule="atLeast"/>
                <w:jc w:val="center"/>
              </w:trPr>
              <w:tc>
                <w:tcPr>
                  <w:tcW w:w="968" w:type="dxa"/>
                  <w:vMerge w:val="restart"/>
                  <w:noWrap w:val="0"/>
                  <w:vAlign w:val="center"/>
                </w:tcPr>
                <w:p w14:paraId="41B3D9E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重点防渗区</w:t>
                  </w:r>
                </w:p>
              </w:tc>
              <w:tc>
                <w:tcPr>
                  <w:tcW w:w="2058" w:type="dxa"/>
                  <w:noWrap w:val="0"/>
                  <w:vAlign w:val="center"/>
                </w:tcPr>
                <w:p w14:paraId="777CBED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低温电解液仓库、危废库</w:t>
                  </w:r>
                </w:p>
              </w:tc>
              <w:tc>
                <w:tcPr>
                  <w:tcW w:w="2520" w:type="dxa"/>
                  <w:noWrap w:val="0"/>
                  <w:vAlign w:val="center"/>
                </w:tcPr>
                <w:p w14:paraId="4BA40E2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1"/>
                      <w:szCs w:val="21"/>
                      <w:lang w:eastAsia="zh-CN"/>
                    </w:rPr>
                  </w:pPr>
                  <w:r>
                    <w:rPr>
                      <w:rFonts w:hint="eastAsia" w:ascii="Times New Roman" w:hAnsi="Times New Roman" w:eastAsia="宋体" w:cs="Times New Roman"/>
                      <w:color w:val="auto"/>
                      <w:sz w:val="21"/>
                      <w:szCs w:val="21"/>
                      <w:lang w:eastAsia="zh-CN"/>
                    </w:rPr>
                    <w:t>防渗混凝土+2mm厚HDPE膜，且每个</w:t>
                  </w:r>
                  <w:r>
                    <w:rPr>
                      <w:rFonts w:hint="eastAsia" w:ascii="Times New Roman" w:hAnsi="Times New Roman" w:eastAsia="宋体" w:cs="Times New Roman"/>
                      <w:color w:val="auto"/>
                      <w:sz w:val="21"/>
                      <w:szCs w:val="21"/>
                      <w:lang w:val="en-US" w:eastAsia="zh-CN"/>
                    </w:rPr>
                    <w:t>液态</w:t>
                  </w:r>
                  <w:r>
                    <w:rPr>
                      <w:rFonts w:hint="eastAsia" w:ascii="Times New Roman" w:hAnsi="Times New Roman" w:eastAsia="宋体" w:cs="Times New Roman"/>
                      <w:color w:val="auto"/>
                      <w:sz w:val="21"/>
                      <w:szCs w:val="21"/>
                      <w:lang w:eastAsia="zh-CN"/>
                    </w:rPr>
                    <w:t>危险废物收集桶下方分别设置1个不锈钢托盘</w:t>
                  </w:r>
                </w:p>
              </w:tc>
              <w:tc>
                <w:tcPr>
                  <w:tcW w:w="2472" w:type="dxa"/>
                  <w:noWrap w:val="0"/>
                  <w:vAlign w:val="center"/>
                </w:tcPr>
                <w:p w14:paraId="4395A75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rPr>
                  </w:pPr>
                  <w:r>
                    <w:rPr>
                      <w:rFonts w:hint="eastAsia" w:ascii="宋体" w:hAnsi="宋体" w:eastAsia="宋体"/>
                      <w:color w:val="auto"/>
                      <w:sz w:val="21"/>
                      <w:szCs w:val="24"/>
                    </w:rPr>
                    <w:t>防渗系数</w:t>
                  </w:r>
                  <w:r>
                    <w:rPr>
                      <w:rFonts w:hint="eastAsia" w:ascii="TimesNewRomanPSMT" w:hAnsi="TimesNewRomanPSMT" w:eastAsia="TimesNewRomanPSMT"/>
                      <w:color w:val="auto"/>
                      <w:sz w:val="21"/>
                      <w:szCs w:val="24"/>
                    </w:rPr>
                    <w:t>K≤10</w:t>
                  </w:r>
                  <w:r>
                    <w:rPr>
                      <w:rFonts w:hint="eastAsia" w:ascii="TimesNewRomanPSMT" w:hAnsi="TimesNewRomanPSMT" w:eastAsia="TimesNewRomanPSMT"/>
                      <w:color w:val="auto"/>
                      <w:sz w:val="21"/>
                      <w:szCs w:val="21"/>
                      <w:vertAlign w:val="superscript"/>
                    </w:rPr>
                    <w:t>-10</w:t>
                  </w:r>
                  <w:r>
                    <w:rPr>
                      <w:rFonts w:hint="eastAsia" w:ascii="TimesNewRomanPSMT" w:hAnsi="TimesNewRomanPSMT" w:eastAsia="TimesNewRomanPSMT"/>
                      <w:color w:val="auto"/>
                      <w:sz w:val="21"/>
                      <w:szCs w:val="24"/>
                    </w:rPr>
                    <w:t>cm/s</w:t>
                  </w:r>
                </w:p>
              </w:tc>
            </w:tr>
            <w:tr w14:paraId="44AA9B8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3" w:type="dxa"/>
                  <w:bottom w:w="0" w:type="dxa"/>
                  <w:right w:w="23" w:type="dxa"/>
                </w:tblCellMar>
              </w:tblPrEx>
              <w:trPr>
                <w:trHeight w:val="560" w:hRule="atLeast"/>
                <w:jc w:val="center"/>
              </w:trPr>
              <w:tc>
                <w:tcPr>
                  <w:tcW w:w="968" w:type="dxa"/>
                  <w:vMerge w:val="continue"/>
                  <w:noWrap w:val="0"/>
                  <w:vAlign w:val="center"/>
                </w:tcPr>
                <w:p w14:paraId="04F5300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rPr>
                  </w:pPr>
                </w:p>
              </w:tc>
              <w:tc>
                <w:tcPr>
                  <w:tcW w:w="2058" w:type="dxa"/>
                  <w:noWrap w:val="0"/>
                  <w:vAlign w:val="center"/>
                </w:tcPr>
                <w:p w14:paraId="226921E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shd w:val="clear"/>
                    </w:rPr>
                    <w:t>NMP储罐区</w:t>
                  </w:r>
                  <w:r>
                    <w:rPr>
                      <w:rFonts w:hint="eastAsia" w:cs="Times New Roman"/>
                      <w:color w:val="auto"/>
                      <w:sz w:val="21"/>
                      <w:szCs w:val="21"/>
                      <w:shd w:val="clear"/>
                      <w:lang w:eastAsia="zh-CN"/>
                    </w:rPr>
                    <w:t>、</w:t>
                  </w:r>
                  <w:r>
                    <w:rPr>
                      <w:rFonts w:hint="eastAsia" w:cs="Times New Roman"/>
                      <w:color w:val="auto"/>
                      <w:sz w:val="21"/>
                      <w:szCs w:val="21"/>
                      <w:shd w:val="clear"/>
                      <w:lang w:val="en-US" w:eastAsia="zh-CN"/>
                    </w:rPr>
                    <w:t>NMP暂存间</w:t>
                  </w:r>
                </w:p>
              </w:tc>
              <w:tc>
                <w:tcPr>
                  <w:tcW w:w="2520" w:type="dxa"/>
                  <w:noWrap w:val="0"/>
                  <w:vAlign w:val="center"/>
                </w:tcPr>
                <w:p w14:paraId="47446B8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lang w:eastAsia="zh-CN"/>
                    </w:rPr>
                    <w:t>防渗混凝土+2mm厚HDPE膜</w:t>
                  </w:r>
                </w:p>
              </w:tc>
              <w:tc>
                <w:tcPr>
                  <w:tcW w:w="2472" w:type="dxa"/>
                  <w:vMerge w:val="restart"/>
                  <w:noWrap w:val="0"/>
                  <w:vAlign w:val="center"/>
                </w:tcPr>
                <w:p w14:paraId="2056CB3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color w:val="auto"/>
                      <w:sz w:val="21"/>
                      <w:szCs w:val="21"/>
                    </w:rPr>
                    <w:t>等效黏土防渗层Mb≥6.0m，K≤10</w:t>
                  </w:r>
                  <w:r>
                    <w:rPr>
                      <w:rFonts w:hint="default" w:ascii="Times New Roman" w:hAnsi="Times New Roman" w:eastAsia="宋体" w:cs="Times New Roman"/>
                      <w:color w:val="auto"/>
                      <w:sz w:val="21"/>
                      <w:szCs w:val="21"/>
                      <w:vertAlign w:val="superscript"/>
                    </w:rPr>
                    <w:t>-7</w:t>
                  </w:r>
                  <w:r>
                    <w:rPr>
                      <w:rFonts w:hint="default" w:ascii="Times New Roman" w:hAnsi="Times New Roman" w:eastAsia="宋体" w:cs="Times New Roman"/>
                      <w:color w:val="auto"/>
                      <w:sz w:val="21"/>
                      <w:szCs w:val="21"/>
                    </w:rPr>
                    <w:t>cm/s</w:t>
                  </w:r>
                  <w:r>
                    <w:rPr>
                      <w:rFonts w:hint="default" w:ascii="Times New Roman" w:hAnsi="Times New Roman" w:eastAsia="宋体" w:cs="Times New Roman"/>
                      <w:bCs/>
                      <w:color w:val="auto"/>
                      <w:sz w:val="21"/>
                      <w:szCs w:val="21"/>
                      <w:highlight w:val="none"/>
                    </w:rPr>
                    <w:t>；或参照GB18598执行</w:t>
                  </w:r>
                </w:p>
              </w:tc>
            </w:tr>
            <w:tr w14:paraId="7B446CE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3" w:type="dxa"/>
                  <w:bottom w:w="0" w:type="dxa"/>
                  <w:right w:w="23" w:type="dxa"/>
                </w:tblCellMar>
              </w:tblPrEx>
              <w:trPr>
                <w:trHeight w:val="560" w:hRule="atLeast"/>
                <w:jc w:val="center"/>
              </w:trPr>
              <w:tc>
                <w:tcPr>
                  <w:tcW w:w="968" w:type="dxa"/>
                  <w:vMerge w:val="continue"/>
                  <w:noWrap w:val="0"/>
                  <w:vAlign w:val="center"/>
                </w:tcPr>
                <w:p w14:paraId="2B5E20F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rPr>
                  </w:pPr>
                </w:p>
              </w:tc>
              <w:tc>
                <w:tcPr>
                  <w:tcW w:w="2058" w:type="dxa"/>
                  <w:noWrap w:val="0"/>
                  <w:vAlign w:val="center"/>
                </w:tcPr>
                <w:p w14:paraId="3ACAAE5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shd w:val="clear"/>
                    </w:rPr>
                    <w:t>污水处理设施</w:t>
                  </w:r>
                  <w:r>
                    <w:rPr>
                      <w:rFonts w:hint="default" w:ascii="Times New Roman" w:hAnsi="Times New Roman" w:eastAsia="宋体" w:cs="Times New Roman"/>
                      <w:color w:val="auto"/>
                      <w:sz w:val="21"/>
                      <w:szCs w:val="21"/>
                      <w:shd w:val="clear"/>
                      <w:lang w:eastAsia="zh-CN"/>
                    </w:rPr>
                    <w:t>、</w:t>
                  </w:r>
                  <w:r>
                    <w:rPr>
                      <w:rFonts w:hint="default" w:ascii="Times New Roman" w:hAnsi="Times New Roman" w:eastAsia="宋体" w:cs="Times New Roman"/>
                      <w:color w:val="auto"/>
                      <w:sz w:val="21"/>
                      <w:szCs w:val="21"/>
                      <w:shd w:val="clear"/>
                      <w:lang w:val="en-US" w:eastAsia="zh-CN"/>
                    </w:rPr>
                    <w:t>事故应急池</w:t>
                  </w:r>
                </w:p>
              </w:tc>
              <w:tc>
                <w:tcPr>
                  <w:tcW w:w="2520" w:type="dxa"/>
                  <w:noWrap w:val="0"/>
                  <w:vAlign w:val="center"/>
                </w:tcPr>
                <w:p w14:paraId="536C02D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池底、池壁采用抗渗混凝土+2mm厚HDPE膜</w:t>
                  </w:r>
                </w:p>
              </w:tc>
              <w:tc>
                <w:tcPr>
                  <w:tcW w:w="2472" w:type="dxa"/>
                  <w:vMerge w:val="continue"/>
                  <w:noWrap w:val="0"/>
                  <w:vAlign w:val="center"/>
                </w:tcPr>
                <w:p w14:paraId="2652E83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lang w:val="en-US"/>
                    </w:rPr>
                  </w:pPr>
                </w:p>
              </w:tc>
            </w:tr>
            <w:tr w14:paraId="1652F61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3" w:type="dxa"/>
                  <w:bottom w:w="0" w:type="dxa"/>
                  <w:right w:w="23" w:type="dxa"/>
                </w:tblCellMar>
              </w:tblPrEx>
              <w:trPr>
                <w:trHeight w:val="831" w:hRule="atLeast"/>
                <w:jc w:val="center"/>
              </w:trPr>
              <w:tc>
                <w:tcPr>
                  <w:tcW w:w="968" w:type="dxa"/>
                  <w:noWrap w:val="0"/>
                  <w:vAlign w:val="center"/>
                </w:tcPr>
                <w:p w14:paraId="5C2F388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一般防渗区</w:t>
                  </w:r>
                </w:p>
              </w:tc>
              <w:tc>
                <w:tcPr>
                  <w:tcW w:w="2058" w:type="dxa"/>
                  <w:noWrap w:val="0"/>
                  <w:vAlign w:val="center"/>
                </w:tcPr>
                <w:p w14:paraId="4482465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eastAsia="zh-CN"/>
                    </w:rPr>
                    <w:t>除重点防渗、简单防渗外的其他区域</w:t>
                  </w:r>
                </w:p>
              </w:tc>
              <w:tc>
                <w:tcPr>
                  <w:tcW w:w="2520" w:type="dxa"/>
                  <w:noWrap w:val="0"/>
                  <w:vAlign w:val="center"/>
                </w:tcPr>
                <w:p w14:paraId="6584F28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防渗混凝土</w:t>
                  </w:r>
                </w:p>
              </w:tc>
              <w:tc>
                <w:tcPr>
                  <w:tcW w:w="2472" w:type="dxa"/>
                  <w:noWrap w:val="0"/>
                  <w:vAlign w:val="center"/>
                </w:tcPr>
                <w:p w14:paraId="1C9A0F9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等效黏土防渗层Mb≥1.5m，K≤10</w:t>
                  </w:r>
                  <w:r>
                    <w:rPr>
                      <w:rFonts w:hint="default" w:ascii="Times New Roman" w:hAnsi="Times New Roman" w:eastAsia="宋体" w:cs="Times New Roman"/>
                      <w:color w:val="auto"/>
                      <w:sz w:val="21"/>
                      <w:szCs w:val="21"/>
                      <w:vertAlign w:val="superscript"/>
                    </w:rPr>
                    <w:t>-7</w:t>
                  </w:r>
                  <w:r>
                    <w:rPr>
                      <w:rFonts w:hint="default" w:ascii="Times New Roman" w:hAnsi="Times New Roman" w:eastAsia="宋体" w:cs="Times New Roman"/>
                      <w:color w:val="auto"/>
                      <w:sz w:val="21"/>
                      <w:szCs w:val="21"/>
                    </w:rPr>
                    <w:t>cm/s；或参照GB18598执行</w:t>
                  </w:r>
                </w:p>
              </w:tc>
            </w:tr>
            <w:tr w14:paraId="37D7032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3" w:type="dxa"/>
                  <w:bottom w:w="0" w:type="dxa"/>
                  <w:right w:w="23" w:type="dxa"/>
                </w:tblCellMar>
              </w:tblPrEx>
              <w:trPr>
                <w:trHeight w:val="620" w:hRule="atLeast"/>
                <w:jc w:val="center"/>
              </w:trPr>
              <w:tc>
                <w:tcPr>
                  <w:tcW w:w="968" w:type="dxa"/>
                  <w:noWrap w:val="0"/>
                  <w:vAlign w:val="center"/>
                </w:tcPr>
                <w:p w14:paraId="2487357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简单防渗区</w:t>
                  </w:r>
                </w:p>
              </w:tc>
              <w:tc>
                <w:tcPr>
                  <w:tcW w:w="2058" w:type="dxa"/>
                  <w:noWrap w:val="0"/>
                  <w:vAlign w:val="center"/>
                </w:tcPr>
                <w:p w14:paraId="534B479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门卫室</w:t>
                  </w:r>
                </w:p>
              </w:tc>
              <w:tc>
                <w:tcPr>
                  <w:tcW w:w="2520" w:type="dxa"/>
                  <w:noWrap w:val="0"/>
                  <w:vAlign w:val="center"/>
                </w:tcPr>
                <w:p w14:paraId="2BCEC51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水泥地面硬化</w:t>
                  </w:r>
                </w:p>
              </w:tc>
              <w:tc>
                <w:tcPr>
                  <w:tcW w:w="2472" w:type="dxa"/>
                  <w:noWrap w:val="0"/>
                  <w:vAlign w:val="center"/>
                </w:tcPr>
                <w:p w14:paraId="2E466A8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w:t>
                  </w:r>
                </w:p>
              </w:tc>
            </w:tr>
          </w:tbl>
          <w:p w14:paraId="7105936B">
            <w:pPr>
              <w:keepNext w:val="0"/>
              <w:keepLines w:val="0"/>
              <w:pageBreakBefore w:val="0"/>
              <w:widowControl w:val="0"/>
              <w:kinsoku/>
              <w:wordWrap/>
              <w:overflowPunct/>
              <w:topLinePunct w:val="0"/>
              <w:bidi w:val="0"/>
              <w:adjustRightInd/>
              <w:snapToGrid/>
              <w:spacing w:line="360" w:lineRule="auto"/>
              <w:ind w:firstLine="480" w:firstLineChars="200"/>
              <w:contextualSpacing/>
              <w:jc w:val="left"/>
              <w:textAlignment w:val="auto"/>
              <w:rPr>
                <w:rFonts w:hint="default" w:ascii="Times New Roman" w:hAnsi="Times New Roman" w:eastAsia="宋体" w:cs="Times New Roman"/>
                <w:color w:val="auto"/>
                <w:sz w:val="24"/>
                <w:lang w:val="en-US" w:eastAsia="zh-CN"/>
              </w:rPr>
            </w:pPr>
            <w:r>
              <w:rPr>
                <w:rFonts w:hint="default" w:ascii="Times New Roman" w:hAnsi="Times New Roman" w:cs="Times New Roman"/>
                <w:color w:val="auto"/>
                <w:sz w:val="24"/>
              </w:rPr>
              <w:t>（3）</w:t>
            </w:r>
            <w:r>
              <w:rPr>
                <w:rFonts w:hint="eastAsia" w:cs="Times New Roman"/>
                <w:color w:val="auto"/>
                <w:sz w:val="24"/>
                <w:lang w:val="en-US" w:eastAsia="zh-CN"/>
              </w:rPr>
              <w:t>地下水污染监控</w:t>
            </w:r>
          </w:p>
          <w:p w14:paraId="3276B620">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jc w:val="both"/>
              <w:textAlignment w:val="auto"/>
              <w:rPr>
                <w:rFonts w:hint="default" w:ascii="Times New Roman" w:hAnsi="Times New Roman" w:cs="Times New Roman"/>
                <w:color w:val="auto"/>
                <w:sz w:val="24"/>
              </w:rPr>
            </w:pPr>
            <w:r>
              <w:rPr>
                <w:rFonts w:hint="eastAsia" w:ascii="宋体" w:hAnsi="宋体" w:eastAsia="宋体"/>
                <w:color w:val="auto"/>
                <w:sz w:val="24"/>
                <w:szCs w:val="24"/>
              </w:rPr>
              <w:t>建设单位应设置专人负责企业危险废物管理，作为企业环境管理的重要组成部分，主要负责危险固废的收集、暂存、管理及处置，按月统计企业危险废物种类、产生量、暂存时间、交由处置时间等</w:t>
            </w:r>
            <w:r>
              <w:rPr>
                <w:rFonts w:hint="default" w:ascii="Times New Roman" w:hAnsi="Times New Roman" w:cs="Times New Roman"/>
                <w:color w:val="auto"/>
                <w:sz w:val="24"/>
              </w:rPr>
              <w:t>。</w:t>
            </w:r>
          </w:p>
          <w:p w14:paraId="69D73A4A">
            <w:pPr>
              <w:autoSpaceDE w:val="0"/>
              <w:autoSpaceDN w:val="0"/>
              <w:spacing w:line="360" w:lineRule="auto"/>
              <w:ind w:firstLine="480" w:firstLineChars="200"/>
              <w:jc w:val="both"/>
              <w:rPr>
                <w:rFonts w:hint="eastAsia" w:ascii="宋体" w:hAnsi="宋体" w:eastAsia="宋体"/>
                <w:color w:val="auto"/>
                <w:sz w:val="24"/>
                <w:szCs w:val="24"/>
              </w:rPr>
            </w:pPr>
            <w:r>
              <w:rPr>
                <w:rFonts w:hint="eastAsia" w:ascii="宋体" w:hAnsi="宋体" w:eastAsia="宋体"/>
                <w:color w:val="auto"/>
                <w:sz w:val="24"/>
                <w:szCs w:val="24"/>
              </w:rPr>
              <w:t>若发现</w:t>
            </w:r>
            <w:r>
              <w:rPr>
                <w:rFonts w:hint="eastAsia" w:ascii="宋体" w:hAnsi="宋体" w:eastAsia="宋体"/>
                <w:color w:val="auto"/>
                <w:sz w:val="24"/>
                <w:szCs w:val="24"/>
                <w:lang w:val="en-US" w:eastAsia="zh-CN"/>
              </w:rPr>
              <w:t>危险</w:t>
            </w:r>
            <w:r>
              <w:rPr>
                <w:rFonts w:hint="eastAsia" w:ascii="宋体" w:hAnsi="宋体" w:eastAsia="宋体"/>
                <w:color w:val="auto"/>
                <w:sz w:val="24"/>
                <w:szCs w:val="24"/>
              </w:rPr>
              <w:t>物质泄漏，厂区需启动环境预警和开展应急响应。应急响应措施主要包括阻隔、清除措施。</w:t>
            </w:r>
          </w:p>
          <w:p w14:paraId="6B1999D7">
            <w:pPr>
              <w:autoSpaceDE w:val="0"/>
              <w:autoSpaceDN w:val="0"/>
              <w:spacing w:line="360" w:lineRule="auto"/>
              <w:ind w:firstLine="480" w:firstLineChars="200"/>
              <w:jc w:val="both"/>
              <w:rPr>
                <w:rFonts w:hint="default" w:ascii="宋体" w:hAnsi="宋体" w:eastAsia="宋体"/>
                <w:color w:val="auto"/>
                <w:sz w:val="24"/>
                <w:szCs w:val="24"/>
              </w:rPr>
            </w:pPr>
            <w:r>
              <w:rPr>
                <w:rFonts w:hint="eastAsia" w:ascii="宋体" w:hAnsi="宋体" w:eastAsia="宋体"/>
                <w:color w:val="auto"/>
                <w:sz w:val="24"/>
                <w:szCs w:val="24"/>
              </w:rPr>
              <w:t>综上所述，在确保各项防渗措施得以落实，并加强维护和厂区环境管理的前提下，可有效控制厂区内的污染物下渗现象，避免污染地下水、土壤环境，因此项目不会对区域地下水环境、土壤环境产生明显影响。</w:t>
            </w:r>
          </w:p>
          <w:p w14:paraId="7B8EF64C">
            <w:pPr>
              <w:spacing w:line="360" w:lineRule="auto"/>
              <w:ind w:firstLine="482" w:firstLineChars="200"/>
              <w:jc w:val="both"/>
              <w:rPr>
                <w:rFonts w:hint="default" w:ascii="Times New Roman" w:hAnsi="Times New Roman" w:eastAsia="宋体" w:cs="Times New Roman"/>
                <w:b/>
                <w:bCs/>
                <w:color w:val="auto"/>
                <w:sz w:val="24"/>
              </w:rPr>
            </w:pPr>
            <w:r>
              <w:rPr>
                <w:rFonts w:hint="eastAsia" w:ascii="Times New Roman" w:hAnsi="Times New Roman" w:eastAsia="宋体" w:cs="Times New Roman"/>
                <w:b/>
                <w:bCs/>
                <w:color w:val="auto"/>
                <w:sz w:val="24"/>
                <w:lang w:val="en-US" w:eastAsia="zh-CN"/>
              </w:rPr>
              <w:t>6</w:t>
            </w:r>
            <w:r>
              <w:rPr>
                <w:rFonts w:hint="default" w:ascii="Times New Roman" w:hAnsi="Times New Roman" w:eastAsia="宋体" w:cs="Times New Roman"/>
                <w:b/>
                <w:bCs/>
                <w:color w:val="auto"/>
                <w:sz w:val="24"/>
              </w:rPr>
              <w:t>、生态环境</w:t>
            </w:r>
          </w:p>
          <w:p w14:paraId="08DB4BA4">
            <w:pPr>
              <w:spacing w:line="360" w:lineRule="auto"/>
              <w:ind w:firstLine="480" w:firstLineChars="200"/>
              <w:jc w:val="both"/>
              <w:rPr>
                <w:rFonts w:hint="default" w:ascii="Times New Roman" w:hAnsi="Times New Roman" w:cs="Times New Roman"/>
                <w:color w:val="auto"/>
                <w:sz w:val="24"/>
              </w:rPr>
            </w:pPr>
            <w:r>
              <w:rPr>
                <w:rFonts w:hint="default" w:ascii="Times New Roman" w:hAnsi="Times New Roman" w:cs="Times New Roman"/>
                <w:color w:val="auto"/>
                <w:sz w:val="24"/>
              </w:rPr>
              <w:t>本项目位于</w:t>
            </w:r>
            <w:r>
              <w:rPr>
                <w:rFonts w:hint="eastAsia" w:cs="Times New Roman"/>
                <w:color w:val="auto"/>
                <w:sz w:val="24"/>
                <w:szCs w:val="24"/>
                <w:highlight w:val="none"/>
                <w:lang w:val="en-US" w:eastAsia="zh-CN"/>
              </w:rPr>
              <w:t>工业园区</w:t>
            </w:r>
            <w:r>
              <w:rPr>
                <w:rFonts w:hint="default" w:ascii="Times New Roman" w:hAnsi="Times New Roman" w:cs="Times New Roman"/>
                <w:color w:val="auto"/>
                <w:kern w:val="0"/>
                <w:sz w:val="24"/>
              </w:rPr>
              <w:t>内，不涉及</w:t>
            </w:r>
            <w:r>
              <w:rPr>
                <w:rFonts w:hint="default" w:ascii="Times New Roman" w:hAnsi="Times New Roman" w:cs="Times New Roman"/>
                <w:color w:val="auto"/>
                <w:kern w:val="0"/>
                <w:sz w:val="24"/>
                <w:lang w:eastAsia="zh-CN"/>
              </w:rPr>
              <w:t>生态</w:t>
            </w:r>
            <w:r>
              <w:rPr>
                <w:rFonts w:hint="default" w:ascii="Times New Roman" w:hAnsi="Times New Roman" w:cs="Times New Roman"/>
                <w:color w:val="auto"/>
                <w:kern w:val="0"/>
                <w:sz w:val="24"/>
              </w:rPr>
              <w:t>都市</w:t>
            </w:r>
            <w:r>
              <w:rPr>
                <w:rFonts w:hint="default" w:ascii="Times New Roman" w:hAnsi="Times New Roman" w:cs="Times New Roman"/>
                <w:color w:val="auto"/>
                <w:sz w:val="24"/>
              </w:rPr>
              <w:t>生态红线。同时，项目区域内无自然保护区、风景名胜区、文物古迹、饮用水源保护区，无列入国家和地方保护名录的</w:t>
            </w:r>
            <w:r>
              <w:rPr>
                <w:rFonts w:hint="default" w:ascii="Times New Roman" w:hAnsi="Times New Roman" w:cs="Times New Roman"/>
                <w:color w:val="auto"/>
                <w:sz w:val="24"/>
                <w:lang w:eastAsia="zh-CN"/>
              </w:rPr>
              <w:t>珍稀</w:t>
            </w:r>
            <w:r>
              <w:rPr>
                <w:rFonts w:hint="default" w:ascii="Times New Roman" w:hAnsi="Times New Roman" w:cs="Times New Roman"/>
                <w:color w:val="auto"/>
                <w:sz w:val="24"/>
              </w:rPr>
              <w:t>濒危动植物及古、大、珍树木分布。</w:t>
            </w:r>
          </w:p>
          <w:p w14:paraId="4AA86649">
            <w:pPr>
              <w:spacing w:line="360" w:lineRule="auto"/>
              <w:ind w:firstLine="480" w:firstLineChars="200"/>
              <w:jc w:val="both"/>
              <w:rPr>
                <w:rFonts w:hint="default" w:ascii="Times New Roman" w:hAnsi="Times New Roman" w:cs="Times New Roman"/>
                <w:color w:val="auto"/>
              </w:rPr>
            </w:pPr>
            <w:r>
              <w:rPr>
                <w:rFonts w:hint="default" w:ascii="Times New Roman" w:hAnsi="Times New Roman" w:cs="Times New Roman"/>
                <w:color w:val="auto"/>
                <w:sz w:val="24"/>
              </w:rPr>
              <w:t>本项目不改变项目所在地的土地利用性质，不会对区域生态环境造成明显影响</w:t>
            </w:r>
            <w:r>
              <w:rPr>
                <w:rFonts w:hint="default" w:ascii="Times New Roman" w:hAnsi="Times New Roman" w:cs="Times New Roman"/>
                <w:color w:val="auto"/>
              </w:rPr>
              <w:t>，因此不需生态环境保护措施。</w:t>
            </w:r>
          </w:p>
          <w:p w14:paraId="2584BF35">
            <w:pPr>
              <w:spacing w:line="360" w:lineRule="auto"/>
              <w:ind w:firstLine="482" w:firstLineChars="200"/>
              <w:jc w:val="both"/>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sz w:val="24"/>
                <w:lang w:val="en-US" w:eastAsia="zh-CN"/>
              </w:rPr>
              <w:t>7</w:t>
            </w:r>
            <w:r>
              <w:rPr>
                <w:rFonts w:hint="default" w:ascii="Times New Roman" w:hAnsi="Times New Roman" w:eastAsia="宋体" w:cs="Times New Roman"/>
                <w:b/>
                <w:bCs/>
                <w:color w:val="auto"/>
                <w:sz w:val="24"/>
              </w:rPr>
              <w:t>、环境风险</w:t>
            </w:r>
          </w:p>
          <w:p w14:paraId="7C1E0558">
            <w:pPr>
              <w:spacing w:line="360" w:lineRule="auto"/>
              <w:ind w:firstLine="480" w:firstLineChars="200"/>
              <w:jc w:val="both"/>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（1）环境风险调查</w:t>
            </w:r>
          </w:p>
          <w:p w14:paraId="6845C6BD">
            <w:pPr>
              <w:spacing w:line="360" w:lineRule="auto"/>
              <w:ind w:firstLine="480" w:firstLineChars="200"/>
              <w:jc w:val="both"/>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根据《建设项目环境风险评价技术导则》（HJ169-2018）附录中附录B及《重大危险源辨识》（GB18218-2018），本项目涉及的环境风险物质为NMP溶剂、电解液、</w:t>
            </w:r>
            <w:r>
              <w:rPr>
                <w:rFonts w:hint="eastAsia" w:cs="Times New Roman"/>
                <w:color w:val="auto"/>
                <w:sz w:val="24"/>
                <w:lang w:val="en-US" w:eastAsia="zh-CN"/>
              </w:rPr>
              <w:t>NMP回收液</w:t>
            </w:r>
            <w:r>
              <w:rPr>
                <w:rFonts w:hint="default" w:ascii="Times New Roman" w:hAnsi="Times New Roman" w:eastAsia="宋体" w:cs="Times New Roman"/>
                <w:color w:val="auto"/>
                <w:sz w:val="24"/>
              </w:rPr>
              <w:t>、废机油</w:t>
            </w:r>
            <w:r>
              <w:rPr>
                <w:rFonts w:hint="eastAsia" w:ascii="Times New Roman" w:hAnsi="Times New Roman" w:eastAsia="宋体" w:cs="Times New Roman"/>
                <w:color w:val="auto"/>
                <w:sz w:val="24"/>
                <w:lang w:val="en-US" w:eastAsia="zh-CN"/>
              </w:rPr>
              <w:t>等</w:t>
            </w:r>
            <w:r>
              <w:rPr>
                <w:rFonts w:hint="default" w:ascii="Times New Roman" w:hAnsi="Times New Roman" w:eastAsia="宋体" w:cs="Times New Roman"/>
                <w:color w:val="auto"/>
                <w:sz w:val="24"/>
                <w:lang w:eastAsia="zh-CN"/>
              </w:rPr>
              <w:t>，</w:t>
            </w:r>
            <w:r>
              <w:rPr>
                <w:rFonts w:hint="default" w:ascii="Times New Roman" w:hAnsi="Times New Roman" w:eastAsia="宋体" w:cs="Times New Roman"/>
                <w:color w:val="auto"/>
                <w:sz w:val="24"/>
              </w:rPr>
              <w:t>主要风险类型为泄漏、火灾。</w:t>
            </w:r>
          </w:p>
          <w:p w14:paraId="2AF87CE8">
            <w:pPr>
              <w:spacing w:line="360" w:lineRule="auto"/>
              <w:ind w:firstLine="480" w:firstLineChars="200"/>
              <w:jc w:val="both"/>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（2）风险潜势初判</w:t>
            </w:r>
          </w:p>
          <w:p w14:paraId="0E2859A0">
            <w:pPr>
              <w:spacing w:line="360" w:lineRule="auto"/>
              <w:ind w:firstLine="480" w:firstLineChars="200"/>
              <w:jc w:val="both"/>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建设项目环境风险主要根据建设项目涉及的物质和工艺系统的危险性及其所在地的环境敏感程度，结合事故情形下环境影响途径，按照《建设项目环境风险评价技术导则》（HJ169-2018）</w:t>
            </w:r>
            <w:r>
              <w:rPr>
                <w:rFonts w:hint="eastAsia" w:ascii="Times New Roman" w:hAnsi="Times New Roman" w:eastAsia="宋体" w:cs="Times New Roman"/>
                <w:color w:val="auto"/>
                <w:sz w:val="24"/>
                <w:lang w:val="en-US" w:eastAsia="zh-CN"/>
              </w:rPr>
              <w:t>附录B</w:t>
            </w:r>
            <w:r>
              <w:rPr>
                <w:rFonts w:hint="default" w:ascii="Times New Roman" w:hAnsi="Times New Roman" w:eastAsia="宋体" w:cs="Times New Roman"/>
                <w:color w:val="auto"/>
                <w:sz w:val="24"/>
              </w:rPr>
              <w:t>进行确定</w:t>
            </w:r>
            <w:r>
              <w:rPr>
                <w:rFonts w:hint="default" w:ascii="Times New Roman" w:hAnsi="Times New Roman" w:eastAsia="宋体" w:cs="Times New Roman"/>
                <w:color w:val="auto"/>
                <w:sz w:val="24"/>
                <w:lang w:eastAsia="zh-CN"/>
              </w:rPr>
              <w:t>。</w:t>
            </w:r>
            <w:r>
              <w:rPr>
                <w:rFonts w:hint="default" w:ascii="Times New Roman" w:hAnsi="Times New Roman" w:eastAsia="宋体" w:cs="Times New Roman"/>
                <w:color w:val="auto"/>
                <w:sz w:val="24"/>
              </w:rPr>
              <w:t>其中：危险物质数量与临界量比值（Q）为每种危险物质在厂界内的最大存在总量与其在HJ169-2018附录B中对应临界量的比值，即：</w:t>
            </w:r>
          </w:p>
          <w:p w14:paraId="7C8E948F">
            <w:pPr>
              <w:spacing w:line="360" w:lineRule="auto"/>
              <w:ind w:left="0" w:leftChars="0" w:firstLine="0" w:firstLineChars="0"/>
              <w:jc w:val="center"/>
              <w:rPr>
                <w:rFonts w:hint="default" w:ascii="Times New Roman" w:hAnsi="Times New Roman" w:cs="Times New Roman"/>
                <w:color w:val="auto"/>
                <w:sz w:val="24"/>
              </w:rPr>
            </w:pPr>
            <w:r>
              <w:rPr>
                <w:rFonts w:hint="default" w:ascii="Times New Roman" w:hAnsi="Times New Roman" w:cs="Times New Roman"/>
                <w:color w:val="auto"/>
                <w:sz w:val="24"/>
                <w:szCs w:val="32"/>
              </w:rPr>
              <w:object>
                <v:shape id="_x0000_i1031" o:spt="75" type="#_x0000_t75" style="height:36.3pt;width:100.15pt;" o:ole="t" filled="f" o:preferrelative="t" stroked="f" coordsize="21600,21600">
                  <v:path/>
                  <v:fill on="f" focussize="0,0"/>
                  <v:stroke on="f"/>
                  <v:imagedata r:id="rId44" o:title=""/>
                  <o:lock v:ext="edit" aspectratio="t"/>
                  <w10:wrap type="none"/>
                  <w10:anchorlock/>
                </v:shape>
                <o:OLEObject Type="Embed" ProgID="Equation.DSMT4" ShapeID="_x0000_i1031" DrawAspect="Content" ObjectID="_1468075731" r:id="rId43">
                  <o:LockedField>false</o:LockedField>
                </o:OLEObject>
              </w:object>
            </w:r>
          </w:p>
          <w:p w14:paraId="325DBDD7">
            <w:pPr>
              <w:spacing w:line="360" w:lineRule="auto"/>
              <w:ind w:firstLine="480" w:firstLineChars="200"/>
              <w:jc w:val="left"/>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式中：q</w:t>
            </w:r>
            <w:r>
              <w:rPr>
                <w:rFonts w:hint="default" w:ascii="Times New Roman" w:hAnsi="Times New Roman" w:eastAsia="宋体" w:cs="Times New Roman"/>
                <w:color w:val="auto"/>
                <w:sz w:val="24"/>
                <w:vertAlign w:val="subscript"/>
              </w:rPr>
              <w:t>1</w:t>
            </w:r>
            <w:r>
              <w:rPr>
                <w:rFonts w:hint="default" w:ascii="Times New Roman" w:hAnsi="Times New Roman" w:eastAsia="宋体" w:cs="Times New Roman"/>
                <w:color w:val="auto"/>
                <w:sz w:val="24"/>
              </w:rPr>
              <w:t>，q</w:t>
            </w:r>
            <w:r>
              <w:rPr>
                <w:rFonts w:hint="default" w:ascii="Times New Roman" w:hAnsi="Times New Roman" w:eastAsia="宋体" w:cs="Times New Roman"/>
                <w:color w:val="auto"/>
                <w:sz w:val="24"/>
                <w:vertAlign w:val="subscript"/>
              </w:rPr>
              <w:t>2</w:t>
            </w:r>
            <w:r>
              <w:rPr>
                <w:rFonts w:hint="default" w:ascii="Times New Roman" w:hAnsi="Times New Roman" w:eastAsia="宋体" w:cs="Times New Roman"/>
                <w:color w:val="auto"/>
                <w:sz w:val="24"/>
              </w:rPr>
              <w:t>，···，q</w:t>
            </w:r>
            <w:r>
              <w:rPr>
                <w:rFonts w:hint="default" w:ascii="Times New Roman" w:hAnsi="Times New Roman" w:eastAsia="宋体" w:cs="Times New Roman"/>
                <w:color w:val="auto"/>
                <w:sz w:val="24"/>
                <w:vertAlign w:val="subscript"/>
              </w:rPr>
              <w:t>n</w:t>
            </w:r>
            <w:r>
              <w:rPr>
                <w:rFonts w:hint="default" w:ascii="Times New Roman" w:hAnsi="Times New Roman" w:eastAsia="宋体" w:cs="Times New Roman"/>
                <w:color w:val="auto"/>
                <w:sz w:val="24"/>
              </w:rPr>
              <w:t>——每种危险物质的最大存在总量，t；</w:t>
            </w:r>
          </w:p>
          <w:p w14:paraId="2F1A4ADF">
            <w:pPr>
              <w:spacing w:line="360" w:lineRule="auto"/>
              <w:ind w:firstLine="480" w:firstLineChars="200"/>
              <w:jc w:val="left"/>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 xml:space="preserve">      Q</w:t>
            </w:r>
            <w:r>
              <w:rPr>
                <w:rFonts w:hint="default" w:ascii="Times New Roman" w:hAnsi="Times New Roman" w:eastAsia="宋体" w:cs="Times New Roman"/>
                <w:color w:val="auto"/>
                <w:sz w:val="24"/>
                <w:vertAlign w:val="subscript"/>
              </w:rPr>
              <w:t>1</w:t>
            </w:r>
            <w:r>
              <w:rPr>
                <w:rFonts w:hint="default" w:ascii="Times New Roman" w:hAnsi="Times New Roman" w:eastAsia="宋体" w:cs="Times New Roman"/>
                <w:color w:val="auto"/>
                <w:sz w:val="24"/>
              </w:rPr>
              <w:t>，Q</w:t>
            </w:r>
            <w:r>
              <w:rPr>
                <w:rFonts w:hint="default" w:ascii="Times New Roman" w:hAnsi="Times New Roman" w:eastAsia="宋体" w:cs="Times New Roman"/>
                <w:color w:val="auto"/>
                <w:sz w:val="24"/>
                <w:vertAlign w:val="subscript"/>
              </w:rPr>
              <w:t>2</w:t>
            </w:r>
            <w:r>
              <w:rPr>
                <w:rFonts w:hint="default" w:ascii="Times New Roman" w:hAnsi="Times New Roman" w:eastAsia="宋体" w:cs="Times New Roman"/>
                <w:color w:val="auto"/>
                <w:sz w:val="24"/>
              </w:rPr>
              <w:t>，···，Qn——每种危险物质的临界量，t。</w:t>
            </w:r>
          </w:p>
          <w:p w14:paraId="1C5B6887">
            <w:pPr>
              <w:spacing w:line="360" w:lineRule="auto"/>
              <w:ind w:firstLine="480" w:firstLineChars="200"/>
              <w:jc w:val="left"/>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当Q&lt;1时，该项目环境风险潜势为I；</w:t>
            </w:r>
          </w:p>
          <w:p w14:paraId="3885F839">
            <w:pPr>
              <w:shd w:val="clear"/>
              <w:spacing w:line="360" w:lineRule="auto"/>
              <w:ind w:firstLine="480" w:firstLineChars="200"/>
              <w:jc w:val="left"/>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当Q≥1时，将Q值划分为：a.1≤Q&lt;10；b.10≤Q&lt;100；c.Q≥100。</w:t>
            </w:r>
          </w:p>
          <w:p w14:paraId="43E63D54">
            <w:pPr>
              <w:shd w:val="clear"/>
              <w:spacing w:line="360" w:lineRule="auto"/>
              <w:ind w:firstLine="480" w:firstLineChars="200"/>
              <w:jc w:val="left"/>
              <w:rPr>
                <w:rFonts w:hint="eastAsia" w:ascii="宋体" w:hAnsi="宋体" w:eastAsia="宋体"/>
                <w:color w:val="auto"/>
                <w:sz w:val="24"/>
                <w:szCs w:val="24"/>
                <w:highlight w:val="none"/>
              </w:rPr>
            </w:pPr>
            <w:r>
              <w:rPr>
                <w:rFonts w:hint="eastAsia" w:ascii="宋体" w:hAnsi="宋体" w:eastAsia="宋体"/>
                <w:color w:val="auto"/>
                <w:sz w:val="24"/>
                <w:szCs w:val="24"/>
                <w:highlight w:val="none"/>
              </w:rPr>
              <w:t>本项目使用的</w:t>
            </w:r>
            <w:r>
              <w:rPr>
                <w:rFonts w:hint="eastAsia" w:ascii="TimesNewRomanPSMT" w:hAnsi="TimesNewRomanPSMT" w:eastAsia="TimesNewRomanPSMT"/>
                <w:color w:val="auto"/>
                <w:sz w:val="24"/>
                <w:szCs w:val="24"/>
                <w:highlight w:val="none"/>
              </w:rPr>
              <w:t>NMP</w:t>
            </w:r>
            <w:r>
              <w:rPr>
                <w:rFonts w:hint="eastAsia" w:ascii="宋体" w:hAnsi="宋体" w:eastAsia="宋体"/>
                <w:color w:val="auto"/>
                <w:sz w:val="24"/>
                <w:szCs w:val="24"/>
                <w:highlight w:val="none"/>
              </w:rPr>
              <w:t>相关的危险性有：皮肤腐蚀刺激类别</w:t>
            </w:r>
            <w:r>
              <w:rPr>
                <w:rFonts w:hint="eastAsia" w:ascii="TimesNewRomanPSMT" w:hAnsi="TimesNewRomanPSMT" w:eastAsia="TimesNewRomanPSMT"/>
                <w:color w:val="auto"/>
                <w:sz w:val="24"/>
                <w:szCs w:val="24"/>
                <w:highlight w:val="none"/>
              </w:rPr>
              <w:t>2</w:t>
            </w:r>
            <w:r>
              <w:rPr>
                <w:rFonts w:hint="eastAsia" w:ascii="宋体" w:hAnsi="宋体" w:eastAsia="宋体"/>
                <w:color w:val="auto"/>
                <w:sz w:val="24"/>
                <w:szCs w:val="24"/>
                <w:highlight w:val="none"/>
              </w:rPr>
              <w:t>；严重眼损伤</w:t>
            </w:r>
            <w:r>
              <w:rPr>
                <w:rFonts w:hint="eastAsia" w:ascii="TimesNewRomanPSMT" w:hAnsi="TimesNewRomanPSMT" w:eastAsia="TimesNewRomanPSMT"/>
                <w:color w:val="auto"/>
                <w:sz w:val="24"/>
                <w:szCs w:val="24"/>
                <w:highlight w:val="none"/>
              </w:rPr>
              <w:t>/</w:t>
            </w:r>
            <w:r>
              <w:rPr>
                <w:rFonts w:hint="eastAsia" w:ascii="宋体" w:hAnsi="宋体" w:eastAsia="宋体"/>
                <w:color w:val="auto"/>
                <w:sz w:val="24"/>
                <w:szCs w:val="24"/>
                <w:highlight w:val="none"/>
              </w:rPr>
              <w:t>眼刺激类别</w:t>
            </w:r>
            <w:r>
              <w:rPr>
                <w:rFonts w:hint="eastAsia" w:ascii="TimesNewRomanPSMT" w:hAnsi="TimesNewRomanPSMT" w:eastAsia="TimesNewRomanPSMT"/>
                <w:color w:val="auto"/>
                <w:sz w:val="24"/>
                <w:szCs w:val="24"/>
                <w:highlight w:val="none"/>
              </w:rPr>
              <w:t>2A</w:t>
            </w:r>
            <w:r>
              <w:rPr>
                <w:rFonts w:hint="eastAsia" w:ascii="宋体" w:hAnsi="宋体" w:eastAsia="宋体"/>
                <w:color w:val="auto"/>
                <w:sz w:val="24"/>
                <w:szCs w:val="24"/>
                <w:highlight w:val="none"/>
              </w:rPr>
              <w:t>；特异性靶器官毒性一次接触：呼吸道刺激类别</w:t>
            </w:r>
            <w:r>
              <w:rPr>
                <w:rFonts w:hint="eastAsia" w:ascii="TimesNewRomanPSMT" w:hAnsi="TimesNewRomanPSMT" w:eastAsia="TimesNewRomanPSMT"/>
                <w:color w:val="auto"/>
                <w:sz w:val="24"/>
                <w:szCs w:val="24"/>
                <w:highlight w:val="none"/>
              </w:rPr>
              <w:t>3</w:t>
            </w:r>
            <w:r>
              <w:rPr>
                <w:rFonts w:hint="eastAsia" w:ascii="宋体" w:hAnsi="宋体" w:eastAsia="宋体"/>
                <w:color w:val="auto"/>
                <w:sz w:val="24"/>
                <w:szCs w:val="24"/>
                <w:highlight w:val="none"/>
              </w:rPr>
              <w:t>；生殖毒性类别</w:t>
            </w:r>
            <w:r>
              <w:rPr>
                <w:rFonts w:hint="eastAsia" w:ascii="TimesNewRomanPSMT" w:hAnsi="TimesNewRomanPSMT" w:eastAsia="TimesNewRomanPSMT"/>
                <w:color w:val="auto"/>
                <w:sz w:val="24"/>
                <w:szCs w:val="24"/>
                <w:highlight w:val="none"/>
              </w:rPr>
              <w:t>1</w:t>
            </w:r>
            <w:r>
              <w:rPr>
                <w:rFonts w:hint="eastAsia" w:ascii="宋体" w:hAnsi="宋体" w:eastAsia="宋体"/>
                <w:color w:val="auto"/>
                <w:sz w:val="24"/>
                <w:szCs w:val="24"/>
                <w:highlight w:val="none"/>
              </w:rPr>
              <w:t>四种类型，以上危险性分类不包含风险评价及风险分级方法附录中的“健康急性毒性”“危害水环境类别”等风险类型，因此</w:t>
            </w:r>
            <w:r>
              <w:rPr>
                <w:rFonts w:hint="eastAsia" w:ascii="TimesNewRomanPSMT" w:hAnsi="TimesNewRomanPSMT" w:eastAsia="TimesNewRomanPSMT"/>
                <w:color w:val="auto"/>
                <w:sz w:val="24"/>
                <w:szCs w:val="24"/>
                <w:highlight w:val="none"/>
              </w:rPr>
              <w:t>NMP</w:t>
            </w:r>
            <w:r>
              <w:rPr>
                <w:rFonts w:hint="eastAsia" w:ascii="宋体" w:hAnsi="宋体" w:eastAsia="宋体"/>
                <w:color w:val="auto"/>
                <w:sz w:val="24"/>
                <w:szCs w:val="24"/>
                <w:highlight w:val="none"/>
              </w:rPr>
              <w:t>可不作为风险物质。</w:t>
            </w:r>
          </w:p>
          <w:p w14:paraId="1DB22B84">
            <w:pPr>
              <w:shd w:val="clear"/>
              <w:spacing w:line="360" w:lineRule="auto"/>
              <w:ind w:firstLine="480" w:firstLineChars="200"/>
              <w:jc w:val="left"/>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本项目危险物质存储情况见下表所示。</w:t>
            </w:r>
          </w:p>
          <w:p w14:paraId="2E49F390">
            <w:pPr>
              <w:pStyle w:val="12"/>
              <w:keepNext w:val="0"/>
              <w:keepLines w:val="0"/>
              <w:pageBreakBefore w:val="0"/>
              <w:widowControl w:val="0"/>
              <w:shd w:val="clear"/>
              <w:kinsoku/>
              <w:wordWrap/>
              <w:overflowPunct/>
              <w:topLinePunct w:val="0"/>
              <w:autoSpaceDE w:val="0"/>
              <w:autoSpaceDN w:val="0"/>
              <w:bidi w:val="0"/>
              <w:adjustRightInd/>
              <w:snapToGrid/>
              <w:spacing w:line="240" w:lineRule="auto"/>
              <w:textAlignment w:val="auto"/>
              <w:rPr>
                <w:rFonts w:hint="default" w:ascii="Times New Roman" w:hAnsi="Times New Roman" w:eastAsia="宋体" w:cs="Times New Roman"/>
                <w:b/>
                <w:bCs/>
                <w:color w:val="auto"/>
                <w:highlight w:val="none"/>
              </w:rPr>
            </w:pPr>
            <w:r>
              <w:rPr>
                <w:rFonts w:hint="default" w:ascii="Times New Roman" w:hAnsi="Times New Roman" w:eastAsia="宋体" w:cs="Times New Roman"/>
                <w:b/>
                <w:bCs/>
                <w:color w:val="auto"/>
                <w:highlight w:val="none"/>
              </w:rPr>
              <w:t>表4-</w:t>
            </w:r>
            <w:r>
              <w:rPr>
                <w:rFonts w:hint="eastAsia" w:eastAsia="宋体" w:cs="Times New Roman"/>
                <w:b/>
                <w:bCs/>
                <w:color w:val="auto"/>
                <w:highlight w:val="none"/>
                <w:lang w:val="en-US" w:eastAsia="zh-CN"/>
              </w:rPr>
              <w:t>24</w:t>
            </w:r>
            <w:r>
              <w:rPr>
                <w:rFonts w:hint="default" w:ascii="Times New Roman" w:hAnsi="Times New Roman" w:eastAsia="宋体" w:cs="Times New Roman"/>
                <w:b/>
                <w:bCs/>
                <w:color w:val="auto"/>
                <w:highlight w:val="none"/>
                <w:lang w:val="en-US" w:eastAsia="zh-CN"/>
              </w:rPr>
              <w:t xml:space="preserve"> </w:t>
            </w:r>
            <w:r>
              <w:rPr>
                <w:rFonts w:hint="default" w:ascii="Times New Roman" w:hAnsi="Times New Roman" w:eastAsia="宋体" w:cs="Times New Roman"/>
                <w:b/>
                <w:bCs/>
                <w:color w:val="auto"/>
                <w:highlight w:val="none"/>
              </w:rPr>
              <w:t>项目风险物质最大贮存量及临界量一览表</w:t>
            </w:r>
          </w:p>
          <w:tbl>
            <w:tblPr>
              <w:tblStyle w:val="42"/>
              <w:tblW w:w="7896" w:type="dxa"/>
              <w:tblInd w:w="5"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644"/>
              <w:gridCol w:w="1463"/>
              <w:gridCol w:w="1065"/>
              <w:gridCol w:w="1380"/>
              <w:gridCol w:w="1215"/>
              <w:gridCol w:w="1230"/>
              <w:gridCol w:w="899"/>
            </w:tblGrid>
            <w:tr w14:paraId="4A321E4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43" w:hRule="atLeast"/>
              </w:trPr>
              <w:tc>
                <w:tcPr>
                  <w:tcW w:w="644" w:type="dxa"/>
                  <w:vAlign w:val="center"/>
                </w:tcPr>
                <w:p w14:paraId="2A73AD38">
                  <w:pPr>
                    <w:shd w:val="clear"/>
                    <w:autoSpaceDE w:val="0"/>
                    <w:autoSpaceDN w:val="0"/>
                    <w:adjustRightInd w:val="0"/>
                    <w:snapToGrid w:val="0"/>
                    <w:jc w:val="center"/>
                    <w:rPr>
                      <w:rFonts w:hint="eastAsia" w:ascii="Times New Roman" w:hAnsi="Times New Roman" w:eastAsia="宋体" w:cs="Times New Roman"/>
                      <w:b/>
                      <w:color w:val="auto"/>
                      <w:kern w:val="0"/>
                      <w:sz w:val="21"/>
                      <w:szCs w:val="21"/>
                      <w:highlight w:val="none"/>
                      <w:lang w:val="en-US" w:eastAsia="zh-CN"/>
                    </w:rPr>
                  </w:pPr>
                  <w:r>
                    <w:rPr>
                      <w:rFonts w:hint="eastAsia" w:ascii="Times New Roman" w:hAnsi="Times New Roman" w:eastAsia="宋体" w:cs="Times New Roman"/>
                      <w:b/>
                      <w:color w:val="auto"/>
                      <w:kern w:val="0"/>
                      <w:sz w:val="21"/>
                      <w:szCs w:val="21"/>
                      <w:highlight w:val="none"/>
                      <w:lang w:val="en-US" w:eastAsia="zh-CN"/>
                    </w:rPr>
                    <w:t>序号</w:t>
                  </w:r>
                </w:p>
              </w:tc>
              <w:tc>
                <w:tcPr>
                  <w:tcW w:w="1463" w:type="dxa"/>
                  <w:vAlign w:val="center"/>
                </w:tcPr>
                <w:p w14:paraId="5D8115F3">
                  <w:pPr>
                    <w:shd w:val="clear"/>
                    <w:autoSpaceDE w:val="0"/>
                    <w:autoSpaceDN w:val="0"/>
                    <w:adjustRightInd w:val="0"/>
                    <w:snapToGrid w:val="0"/>
                    <w:jc w:val="center"/>
                    <w:rPr>
                      <w:rFonts w:hint="eastAsia" w:ascii="Times New Roman" w:hAnsi="Times New Roman" w:eastAsia="宋体" w:cs="Times New Roman"/>
                      <w:b/>
                      <w:color w:val="auto"/>
                      <w:kern w:val="0"/>
                      <w:sz w:val="21"/>
                      <w:szCs w:val="21"/>
                      <w:highlight w:val="none"/>
                      <w:lang w:val="en-US" w:eastAsia="zh-CN"/>
                    </w:rPr>
                  </w:pPr>
                  <w:r>
                    <w:rPr>
                      <w:rFonts w:hint="eastAsia" w:ascii="Times New Roman" w:hAnsi="Times New Roman" w:eastAsia="宋体" w:cs="Times New Roman"/>
                      <w:b/>
                      <w:color w:val="auto"/>
                      <w:kern w:val="0"/>
                      <w:sz w:val="21"/>
                      <w:szCs w:val="21"/>
                      <w:highlight w:val="none"/>
                      <w:lang w:val="en-US" w:eastAsia="zh-CN"/>
                    </w:rPr>
                    <w:t>危险物质</w:t>
                  </w:r>
                </w:p>
              </w:tc>
              <w:tc>
                <w:tcPr>
                  <w:tcW w:w="1065" w:type="dxa"/>
                  <w:vAlign w:val="center"/>
                </w:tcPr>
                <w:p w14:paraId="69B5E741">
                  <w:pPr>
                    <w:shd w:val="clear"/>
                    <w:autoSpaceDE w:val="0"/>
                    <w:autoSpaceDN w:val="0"/>
                    <w:adjustRightInd w:val="0"/>
                    <w:snapToGrid w:val="0"/>
                    <w:jc w:val="center"/>
                    <w:rPr>
                      <w:rFonts w:hint="default" w:ascii="Times New Roman" w:hAnsi="Times New Roman" w:eastAsia="宋体" w:cs="Times New Roman"/>
                      <w:b/>
                      <w:color w:val="auto"/>
                      <w:kern w:val="0"/>
                      <w:sz w:val="21"/>
                      <w:szCs w:val="21"/>
                      <w:highlight w:val="none"/>
                      <w:lang w:val="en-US" w:eastAsia="zh-CN"/>
                    </w:rPr>
                  </w:pPr>
                  <w:r>
                    <w:rPr>
                      <w:rFonts w:hint="eastAsia" w:ascii="Times New Roman" w:hAnsi="Times New Roman" w:eastAsia="宋体" w:cs="Times New Roman"/>
                      <w:b/>
                      <w:color w:val="auto"/>
                      <w:kern w:val="0"/>
                      <w:sz w:val="21"/>
                      <w:szCs w:val="21"/>
                      <w:highlight w:val="none"/>
                      <w:lang w:val="en-US" w:eastAsia="zh-CN"/>
                    </w:rPr>
                    <w:t>CAS号</w:t>
                  </w:r>
                </w:p>
              </w:tc>
              <w:tc>
                <w:tcPr>
                  <w:tcW w:w="1380" w:type="dxa"/>
                  <w:vAlign w:val="center"/>
                </w:tcPr>
                <w:p w14:paraId="3E70F678">
                  <w:pPr>
                    <w:shd w:val="clear"/>
                    <w:autoSpaceDE w:val="0"/>
                    <w:autoSpaceDN w:val="0"/>
                    <w:adjustRightInd w:val="0"/>
                    <w:snapToGrid w:val="0"/>
                    <w:jc w:val="center"/>
                    <w:rPr>
                      <w:rFonts w:hint="default" w:ascii="Times New Roman" w:hAnsi="Times New Roman" w:eastAsia="宋体" w:cs="Times New Roman"/>
                      <w:b/>
                      <w:color w:val="auto"/>
                      <w:kern w:val="0"/>
                      <w:sz w:val="21"/>
                      <w:szCs w:val="21"/>
                      <w:highlight w:val="none"/>
                      <w:lang w:val="en-US" w:eastAsia="zh-CN"/>
                    </w:rPr>
                  </w:pPr>
                  <w:r>
                    <w:rPr>
                      <w:rFonts w:hint="eastAsia" w:ascii="Times New Roman" w:hAnsi="Times New Roman" w:eastAsia="宋体" w:cs="Times New Roman"/>
                      <w:b/>
                      <w:color w:val="auto"/>
                      <w:kern w:val="0"/>
                      <w:sz w:val="21"/>
                      <w:szCs w:val="21"/>
                      <w:highlight w:val="none"/>
                      <w:lang w:val="en-US" w:eastAsia="zh-CN"/>
                    </w:rPr>
                    <w:t>最大</w:t>
                  </w:r>
                  <w:r>
                    <w:rPr>
                      <w:rFonts w:hint="eastAsia" w:cs="Times New Roman"/>
                      <w:b/>
                      <w:color w:val="auto"/>
                      <w:kern w:val="0"/>
                      <w:sz w:val="21"/>
                      <w:szCs w:val="21"/>
                      <w:highlight w:val="none"/>
                      <w:lang w:val="en-US" w:eastAsia="zh-CN"/>
                    </w:rPr>
                    <w:t>储存</w:t>
                  </w:r>
                  <w:r>
                    <w:rPr>
                      <w:rFonts w:hint="eastAsia" w:ascii="Times New Roman" w:hAnsi="Times New Roman" w:eastAsia="宋体" w:cs="Times New Roman"/>
                      <w:b/>
                      <w:color w:val="auto"/>
                      <w:kern w:val="0"/>
                      <w:sz w:val="21"/>
                      <w:szCs w:val="21"/>
                      <w:highlight w:val="none"/>
                      <w:lang w:val="en-US" w:eastAsia="zh-CN"/>
                    </w:rPr>
                    <w:t>总量qn（t）</w:t>
                  </w:r>
                  <w:r>
                    <w:rPr>
                      <w:rFonts w:hint="eastAsia" w:ascii="宋体" w:hAnsi="宋体" w:eastAsia="宋体" w:cs="宋体"/>
                      <w:b/>
                      <w:bCs/>
                      <w:i w:val="0"/>
                      <w:iCs w:val="0"/>
                      <w:color w:val="auto"/>
                      <w:kern w:val="0"/>
                      <w:sz w:val="21"/>
                      <w:szCs w:val="21"/>
                      <w:highlight w:val="none"/>
                      <w:u w:val="none"/>
                      <w:lang w:val="en-US" w:eastAsia="zh-CN" w:bidi="ar"/>
                    </w:rPr>
                    <w:t>［</w:t>
                  </w:r>
                  <w:r>
                    <w:rPr>
                      <w:rFonts w:hint="default" w:ascii="Times New Roman" w:hAnsi="Times New Roman" w:cs="Times New Roman"/>
                      <w:b/>
                      <w:bCs/>
                      <w:i w:val="0"/>
                      <w:iCs w:val="0"/>
                      <w:color w:val="auto"/>
                      <w:kern w:val="0"/>
                      <w:sz w:val="21"/>
                      <w:szCs w:val="21"/>
                      <w:highlight w:val="none"/>
                      <w:u w:val="none"/>
                      <w:lang w:val="en-US" w:eastAsia="zh-CN" w:bidi="ar"/>
                    </w:rPr>
                    <w:t>1</w:t>
                  </w:r>
                  <w:r>
                    <w:rPr>
                      <w:rFonts w:hint="eastAsia" w:ascii="宋体" w:hAnsi="宋体" w:eastAsia="宋体" w:cs="宋体"/>
                      <w:b/>
                      <w:bCs/>
                      <w:i w:val="0"/>
                      <w:iCs w:val="0"/>
                      <w:color w:val="auto"/>
                      <w:kern w:val="0"/>
                      <w:sz w:val="21"/>
                      <w:szCs w:val="21"/>
                      <w:highlight w:val="none"/>
                      <w:u w:val="none"/>
                      <w:lang w:val="en-US" w:eastAsia="zh-CN" w:bidi="ar"/>
                    </w:rPr>
                    <w:t>］</w:t>
                  </w:r>
                </w:p>
              </w:tc>
              <w:tc>
                <w:tcPr>
                  <w:tcW w:w="1215" w:type="dxa"/>
                  <w:vAlign w:val="center"/>
                </w:tcPr>
                <w:p w14:paraId="5AA19AFC">
                  <w:pPr>
                    <w:shd w:val="clear"/>
                    <w:autoSpaceDE w:val="0"/>
                    <w:autoSpaceDN w:val="0"/>
                    <w:adjustRightInd w:val="0"/>
                    <w:snapToGrid w:val="0"/>
                    <w:jc w:val="center"/>
                    <w:rPr>
                      <w:rFonts w:hint="default" w:ascii="Times New Roman" w:hAnsi="Times New Roman" w:eastAsia="宋体" w:cs="Times New Roman"/>
                      <w:b/>
                      <w:color w:val="auto"/>
                      <w:kern w:val="0"/>
                      <w:sz w:val="21"/>
                      <w:szCs w:val="21"/>
                      <w:highlight w:val="none"/>
                      <w:lang w:val="en-US" w:eastAsia="zh-CN"/>
                    </w:rPr>
                  </w:pPr>
                  <w:r>
                    <w:rPr>
                      <w:rFonts w:hint="eastAsia" w:cs="Times New Roman"/>
                      <w:b/>
                      <w:color w:val="auto"/>
                      <w:kern w:val="0"/>
                      <w:sz w:val="21"/>
                      <w:szCs w:val="21"/>
                      <w:highlight w:val="none"/>
                      <w:lang w:val="en-US" w:eastAsia="zh-CN"/>
                    </w:rPr>
                    <w:t>最大在线量（t）</w:t>
                  </w:r>
                </w:p>
              </w:tc>
              <w:tc>
                <w:tcPr>
                  <w:tcW w:w="1230" w:type="dxa"/>
                  <w:vAlign w:val="center"/>
                </w:tcPr>
                <w:p w14:paraId="2C2855EF">
                  <w:pPr>
                    <w:shd w:val="clear"/>
                    <w:autoSpaceDE w:val="0"/>
                    <w:autoSpaceDN w:val="0"/>
                    <w:adjustRightInd w:val="0"/>
                    <w:snapToGrid w:val="0"/>
                    <w:jc w:val="center"/>
                    <w:rPr>
                      <w:rFonts w:hint="default" w:ascii="Times New Roman" w:hAnsi="Times New Roman" w:eastAsia="宋体" w:cs="Times New Roman"/>
                      <w:b/>
                      <w:color w:val="auto"/>
                      <w:kern w:val="0"/>
                      <w:sz w:val="21"/>
                      <w:szCs w:val="21"/>
                      <w:highlight w:val="none"/>
                      <w:lang w:val="en-US" w:eastAsia="zh-CN"/>
                    </w:rPr>
                  </w:pPr>
                  <w:r>
                    <w:rPr>
                      <w:rFonts w:hint="eastAsia" w:ascii="Times New Roman" w:hAnsi="Times New Roman" w:eastAsia="宋体" w:cs="Times New Roman"/>
                      <w:b/>
                      <w:color w:val="auto"/>
                      <w:kern w:val="0"/>
                      <w:sz w:val="21"/>
                      <w:szCs w:val="21"/>
                      <w:highlight w:val="none"/>
                      <w:lang w:val="en-US" w:eastAsia="zh-CN"/>
                    </w:rPr>
                    <w:t>临界量Qn（t）</w:t>
                  </w:r>
                </w:p>
              </w:tc>
              <w:tc>
                <w:tcPr>
                  <w:tcW w:w="899" w:type="dxa"/>
                  <w:vAlign w:val="center"/>
                </w:tcPr>
                <w:p w14:paraId="1D36382C">
                  <w:pPr>
                    <w:shd w:val="clear"/>
                    <w:autoSpaceDE w:val="0"/>
                    <w:autoSpaceDN w:val="0"/>
                    <w:adjustRightInd w:val="0"/>
                    <w:snapToGrid w:val="0"/>
                    <w:jc w:val="center"/>
                    <w:rPr>
                      <w:rFonts w:hint="default" w:ascii="Times New Roman" w:hAnsi="Times New Roman" w:eastAsia="宋体" w:cs="Times New Roman"/>
                      <w:b/>
                      <w:color w:val="auto"/>
                      <w:kern w:val="0"/>
                      <w:sz w:val="21"/>
                      <w:szCs w:val="21"/>
                      <w:highlight w:val="none"/>
                      <w:lang w:val="en-US" w:eastAsia="zh-CN"/>
                    </w:rPr>
                  </w:pPr>
                  <w:r>
                    <w:rPr>
                      <w:rFonts w:hint="eastAsia" w:ascii="Times New Roman" w:hAnsi="Times New Roman" w:eastAsia="宋体" w:cs="Times New Roman"/>
                      <w:b/>
                      <w:color w:val="auto"/>
                      <w:kern w:val="0"/>
                      <w:sz w:val="21"/>
                      <w:szCs w:val="21"/>
                      <w:highlight w:val="none"/>
                      <w:lang w:val="en-US" w:eastAsia="zh-CN"/>
                    </w:rPr>
                    <w:t>Q值</w:t>
                  </w:r>
                </w:p>
              </w:tc>
            </w:tr>
            <w:tr w14:paraId="74E11DE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85" w:hRule="atLeast"/>
              </w:trPr>
              <w:tc>
                <w:tcPr>
                  <w:tcW w:w="644" w:type="dxa"/>
                  <w:vAlign w:val="center"/>
                </w:tcPr>
                <w:p w14:paraId="5CEA1D42">
                  <w:pPr>
                    <w:keepNext w:val="0"/>
                    <w:keepLines w:val="0"/>
                    <w:widowControl/>
                    <w:suppressLineNumbers w:val="0"/>
                    <w:shd w:val="clear"/>
                    <w:jc w:val="center"/>
                    <w:textAlignment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1</w:t>
                  </w:r>
                </w:p>
              </w:tc>
              <w:tc>
                <w:tcPr>
                  <w:tcW w:w="1463" w:type="dxa"/>
                  <w:shd w:val="clear" w:color="auto" w:fill="auto"/>
                  <w:vAlign w:val="center"/>
                </w:tcPr>
                <w:p w14:paraId="43762677">
                  <w:pPr>
                    <w:keepNext w:val="0"/>
                    <w:keepLines w:val="0"/>
                    <w:widowControl/>
                    <w:suppressLineNumbers w:val="0"/>
                    <w:shd w:val="clear"/>
                    <w:jc w:val="center"/>
                    <w:textAlignment w:val="center"/>
                    <w:rPr>
                      <w:rFonts w:hint="default" w:ascii="Times New Roman" w:hAnsi="Times New Roman" w:eastAsia="宋体" w:cs="Times New Roman"/>
                      <w:color w:val="auto"/>
                      <w:sz w:val="21"/>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电解液［</w:t>
                  </w:r>
                  <w:r>
                    <w:rPr>
                      <w:rFonts w:hint="eastAsia" w:cs="Times New Roman"/>
                      <w:i w:val="0"/>
                      <w:iCs w:val="0"/>
                      <w:color w:val="auto"/>
                      <w:kern w:val="0"/>
                      <w:sz w:val="21"/>
                      <w:szCs w:val="21"/>
                      <w:highlight w:val="none"/>
                      <w:u w:val="none"/>
                      <w:lang w:val="en-US" w:eastAsia="zh-CN" w:bidi="ar"/>
                    </w:rPr>
                    <w:t>2</w:t>
                  </w:r>
                  <w:r>
                    <w:rPr>
                      <w:rFonts w:hint="eastAsia" w:ascii="宋体" w:hAnsi="宋体" w:eastAsia="宋体" w:cs="宋体"/>
                      <w:i w:val="0"/>
                      <w:iCs w:val="0"/>
                      <w:color w:val="auto"/>
                      <w:kern w:val="0"/>
                      <w:sz w:val="21"/>
                      <w:szCs w:val="21"/>
                      <w:highlight w:val="none"/>
                      <w:u w:val="none"/>
                      <w:lang w:val="en-US" w:eastAsia="zh-CN" w:bidi="ar"/>
                    </w:rPr>
                    <w:t>］</w:t>
                  </w:r>
                </w:p>
              </w:tc>
              <w:tc>
                <w:tcPr>
                  <w:tcW w:w="1065" w:type="dxa"/>
                  <w:shd w:val="clear" w:color="auto" w:fill="auto"/>
                  <w:vAlign w:val="center"/>
                </w:tcPr>
                <w:p w14:paraId="7A98B100">
                  <w:pPr>
                    <w:keepNext w:val="0"/>
                    <w:keepLines w:val="0"/>
                    <w:widowControl/>
                    <w:suppressLineNumbers w:val="0"/>
                    <w:shd w:val="clear"/>
                    <w:jc w:val="center"/>
                    <w:textAlignment w:val="center"/>
                    <w:rPr>
                      <w:rFonts w:hint="eastAsia"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w:t>
                  </w:r>
                </w:p>
              </w:tc>
              <w:tc>
                <w:tcPr>
                  <w:tcW w:w="1380" w:type="dxa"/>
                  <w:shd w:val="clear" w:color="auto" w:fill="auto"/>
                  <w:vAlign w:val="center"/>
                </w:tcPr>
                <w:p w14:paraId="4B5C7A49">
                  <w:pPr>
                    <w:keepNext w:val="0"/>
                    <w:keepLines w:val="0"/>
                    <w:widowControl/>
                    <w:suppressLineNumbers w:val="0"/>
                    <w:shd w:val="clear"/>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12</w:t>
                  </w:r>
                </w:p>
              </w:tc>
              <w:tc>
                <w:tcPr>
                  <w:tcW w:w="1215" w:type="dxa"/>
                  <w:shd w:val="clear" w:color="auto" w:fill="auto"/>
                  <w:vAlign w:val="center"/>
                </w:tcPr>
                <w:p w14:paraId="06407CCE">
                  <w:pPr>
                    <w:keepNext w:val="0"/>
                    <w:keepLines w:val="0"/>
                    <w:widowControl/>
                    <w:suppressLineNumbers w:val="0"/>
                    <w:shd w:val="clear"/>
                    <w:jc w:val="center"/>
                    <w:textAlignment w:val="center"/>
                    <w:rPr>
                      <w:rFonts w:hint="default"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1</w:t>
                  </w:r>
                </w:p>
              </w:tc>
              <w:tc>
                <w:tcPr>
                  <w:tcW w:w="1230" w:type="dxa"/>
                  <w:shd w:val="clear" w:color="auto" w:fill="auto"/>
                  <w:vAlign w:val="center"/>
                </w:tcPr>
                <w:p w14:paraId="0B098C9A">
                  <w:pPr>
                    <w:keepNext w:val="0"/>
                    <w:keepLines w:val="0"/>
                    <w:widowControl/>
                    <w:suppressLineNumbers w:val="0"/>
                    <w:shd w:val="clear"/>
                    <w:jc w:val="center"/>
                    <w:textAlignment w:val="center"/>
                    <w:rPr>
                      <w:rFonts w:hint="default" w:ascii="Times New Roman" w:hAnsi="Times New Roman" w:eastAsia="宋体" w:cs="Times New Roman"/>
                      <w:color w:val="auto"/>
                      <w:sz w:val="21"/>
                      <w:szCs w:val="21"/>
                      <w:highlight w:val="none"/>
                      <w:lang w:val="en-US"/>
                    </w:rPr>
                  </w:pPr>
                  <w:r>
                    <w:rPr>
                      <w:rFonts w:hint="default" w:ascii="Times New Roman" w:hAnsi="Times New Roman" w:eastAsia="宋体" w:cs="Times New Roman"/>
                      <w:i w:val="0"/>
                      <w:iCs w:val="0"/>
                      <w:color w:val="auto"/>
                      <w:kern w:val="0"/>
                      <w:sz w:val="21"/>
                      <w:szCs w:val="21"/>
                      <w:highlight w:val="none"/>
                      <w:u w:val="none"/>
                      <w:lang w:val="en-US" w:eastAsia="zh-CN" w:bidi="ar"/>
                    </w:rPr>
                    <w:t>50</w:t>
                  </w:r>
                </w:p>
              </w:tc>
              <w:tc>
                <w:tcPr>
                  <w:tcW w:w="899" w:type="dxa"/>
                  <w:shd w:val="clear" w:color="auto" w:fill="auto"/>
                  <w:vAlign w:val="center"/>
                </w:tcPr>
                <w:p w14:paraId="0DD48C3C">
                  <w:pPr>
                    <w:keepNext w:val="0"/>
                    <w:keepLines w:val="0"/>
                    <w:widowControl/>
                    <w:suppressLineNumbers w:val="0"/>
                    <w:shd w:val="clear"/>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0.24</w:t>
                  </w:r>
                </w:p>
              </w:tc>
            </w:tr>
            <w:tr w14:paraId="3E43D16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077" w:hRule="atLeast"/>
              </w:trPr>
              <w:tc>
                <w:tcPr>
                  <w:tcW w:w="644" w:type="dxa"/>
                  <w:vAlign w:val="center"/>
                </w:tcPr>
                <w:p w14:paraId="4EBE1B41">
                  <w:pPr>
                    <w:keepNext w:val="0"/>
                    <w:keepLines w:val="0"/>
                    <w:widowControl/>
                    <w:suppressLineNumbers w:val="0"/>
                    <w:shd w:val="clear"/>
                    <w:jc w:val="center"/>
                    <w:textAlignment w:val="center"/>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2</w:t>
                  </w:r>
                </w:p>
              </w:tc>
              <w:tc>
                <w:tcPr>
                  <w:tcW w:w="1463" w:type="dxa"/>
                  <w:shd w:val="clear" w:color="auto" w:fill="auto"/>
                  <w:vAlign w:val="center"/>
                </w:tcPr>
                <w:p w14:paraId="5765C51A">
                  <w:pPr>
                    <w:keepNext w:val="0"/>
                    <w:keepLines w:val="0"/>
                    <w:widowControl/>
                    <w:suppressLineNumbers w:val="0"/>
                    <w:shd w:val="clear"/>
                    <w:jc w:val="center"/>
                    <w:textAlignment w:val="center"/>
                    <w:rPr>
                      <w:rFonts w:hint="eastAsia" w:cs="Times New Roman"/>
                      <w:color w:val="auto"/>
                      <w:sz w:val="21"/>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危险废物（废电解液、废活性炭等）</w:t>
                  </w:r>
                </w:p>
              </w:tc>
              <w:tc>
                <w:tcPr>
                  <w:tcW w:w="1065" w:type="dxa"/>
                  <w:shd w:val="clear" w:color="auto" w:fill="auto"/>
                  <w:vAlign w:val="center"/>
                </w:tcPr>
                <w:p w14:paraId="46C19984">
                  <w:pPr>
                    <w:keepNext w:val="0"/>
                    <w:keepLines w:val="0"/>
                    <w:widowControl/>
                    <w:suppressLineNumbers w:val="0"/>
                    <w:shd w:val="clear"/>
                    <w:jc w:val="center"/>
                    <w:textAlignment w:val="center"/>
                    <w:rPr>
                      <w:rFonts w:hint="eastAsia"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w:t>
                  </w:r>
                </w:p>
              </w:tc>
              <w:tc>
                <w:tcPr>
                  <w:tcW w:w="1380" w:type="dxa"/>
                  <w:shd w:val="clear" w:color="auto" w:fill="auto"/>
                  <w:vAlign w:val="center"/>
                </w:tcPr>
                <w:p w14:paraId="1A808964">
                  <w:pPr>
                    <w:keepNext w:val="0"/>
                    <w:keepLines w:val="0"/>
                    <w:widowControl/>
                    <w:suppressLineNumbers w:val="0"/>
                    <w:shd w:val="clear"/>
                    <w:jc w:val="center"/>
                    <w:textAlignment w:val="center"/>
                    <w:rPr>
                      <w:rFonts w:hint="eastAsia"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3.7</w:t>
                  </w:r>
                </w:p>
              </w:tc>
              <w:tc>
                <w:tcPr>
                  <w:tcW w:w="1215" w:type="dxa"/>
                  <w:shd w:val="clear" w:color="auto" w:fill="auto"/>
                  <w:vAlign w:val="center"/>
                </w:tcPr>
                <w:p w14:paraId="3DD0D647">
                  <w:pPr>
                    <w:keepNext w:val="0"/>
                    <w:keepLines w:val="0"/>
                    <w:widowControl/>
                    <w:suppressLineNumbers w:val="0"/>
                    <w:shd w:val="clear"/>
                    <w:jc w:val="center"/>
                    <w:textAlignment w:val="center"/>
                    <w:rPr>
                      <w:rFonts w:hint="eastAsia"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w:t>
                  </w:r>
                </w:p>
              </w:tc>
              <w:tc>
                <w:tcPr>
                  <w:tcW w:w="1230" w:type="dxa"/>
                  <w:shd w:val="clear" w:color="auto" w:fill="auto"/>
                  <w:vAlign w:val="center"/>
                </w:tcPr>
                <w:p w14:paraId="0BA145A6">
                  <w:pPr>
                    <w:keepNext w:val="0"/>
                    <w:keepLines w:val="0"/>
                    <w:widowControl/>
                    <w:suppressLineNumbers w:val="0"/>
                    <w:shd w:val="clear"/>
                    <w:jc w:val="center"/>
                    <w:textAlignment w:val="center"/>
                    <w:rPr>
                      <w:rFonts w:hint="eastAsia"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50</w:t>
                  </w:r>
                </w:p>
              </w:tc>
              <w:tc>
                <w:tcPr>
                  <w:tcW w:w="899" w:type="dxa"/>
                  <w:shd w:val="clear" w:color="auto" w:fill="auto"/>
                  <w:vAlign w:val="center"/>
                </w:tcPr>
                <w:p w14:paraId="4FCD6DC3">
                  <w:pPr>
                    <w:keepNext w:val="0"/>
                    <w:keepLines w:val="0"/>
                    <w:widowControl/>
                    <w:suppressLineNumbers w:val="0"/>
                    <w:shd w:val="clear"/>
                    <w:jc w:val="center"/>
                    <w:textAlignment w:val="center"/>
                    <w:rPr>
                      <w:rFonts w:hint="eastAsia"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0.074</w:t>
                  </w:r>
                </w:p>
              </w:tc>
            </w:tr>
            <w:tr w14:paraId="5995570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43" w:hRule="atLeast"/>
              </w:trPr>
              <w:tc>
                <w:tcPr>
                  <w:tcW w:w="644" w:type="dxa"/>
                  <w:vAlign w:val="center"/>
                </w:tcPr>
                <w:p w14:paraId="2034EB0B">
                  <w:pPr>
                    <w:keepNext w:val="0"/>
                    <w:keepLines w:val="0"/>
                    <w:widowControl/>
                    <w:suppressLineNumbers w:val="0"/>
                    <w:shd w:val="clear"/>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cs="Times New Roman"/>
                      <w:i w:val="0"/>
                      <w:iCs w:val="0"/>
                      <w:color w:val="auto"/>
                      <w:kern w:val="0"/>
                      <w:sz w:val="21"/>
                      <w:szCs w:val="21"/>
                      <w:highlight w:val="none"/>
                      <w:u w:val="none"/>
                      <w:lang w:val="en-US" w:eastAsia="zh-CN" w:bidi="ar"/>
                    </w:rPr>
                    <w:t>3</w:t>
                  </w:r>
                </w:p>
              </w:tc>
              <w:tc>
                <w:tcPr>
                  <w:tcW w:w="1463" w:type="dxa"/>
                  <w:shd w:val="clear" w:color="auto" w:fill="auto"/>
                  <w:vAlign w:val="center"/>
                </w:tcPr>
                <w:p w14:paraId="7E87A488">
                  <w:pPr>
                    <w:keepNext w:val="0"/>
                    <w:keepLines w:val="0"/>
                    <w:widowControl/>
                    <w:suppressLineNumbers w:val="0"/>
                    <w:shd w:val="clear"/>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NMP</w:t>
                  </w:r>
                  <w:r>
                    <w:rPr>
                      <w:rFonts w:hint="eastAsia" w:ascii="宋体" w:hAnsi="宋体" w:eastAsia="宋体" w:cs="宋体"/>
                      <w:i w:val="0"/>
                      <w:iCs w:val="0"/>
                      <w:color w:val="auto"/>
                      <w:kern w:val="0"/>
                      <w:sz w:val="21"/>
                      <w:szCs w:val="21"/>
                      <w:highlight w:val="none"/>
                      <w:u w:val="none"/>
                      <w:lang w:val="en-US" w:eastAsia="zh-CN" w:bidi="ar"/>
                    </w:rPr>
                    <w:t>回收液［</w:t>
                  </w:r>
                  <w:r>
                    <w:rPr>
                      <w:rFonts w:hint="eastAsia" w:cs="Times New Roman"/>
                      <w:i w:val="0"/>
                      <w:iCs w:val="0"/>
                      <w:color w:val="auto"/>
                      <w:kern w:val="0"/>
                      <w:sz w:val="21"/>
                      <w:szCs w:val="21"/>
                      <w:highlight w:val="none"/>
                      <w:u w:val="none"/>
                      <w:lang w:val="en-US" w:eastAsia="zh-CN" w:bidi="ar"/>
                    </w:rPr>
                    <w:t>3</w:t>
                  </w:r>
                  <w:r>
                    <w:rPr>
                      <w:rFonts w:hint="eastAsia" w:ascii="宋体" w:hAnsi="宋体" w:eastAsia="宋体" w:cs="宋体"/>
                      <w:i w:val="0"/>
                      <w:iCs w:val="0"/>
                      <w:color w:val="auto"/>
                      <w:kern w:val="0"/>
                      <w:sz w:val="21"/>
                      <w:szCs w:val="21"/>
                      <w:highlight w:val="none"/>
                      <w:u w:val="none"/>
                      <w:lang w:val="en-US" w:eastAsia="zh-CN" w:bidi="ar"/>
                    </w:rPr>
                    <w:t>］</w:t>
                  </w:r>
                </w:p>
              </w:tc>
              <w:tc>
                <w:tcPr>
                  <w:tcW w:w="1065" w:type="dxa"/>
                  <w:shd w:val="clear" w:color="auto" w:fill="auto"/>
                  <w:vAlign w:val="center"/>
                </w:tcPr>
                <w:p w14:paraId="4B5E5B7A">
                  <w:pPr>
                    <w:keepNext w:val="0"/>
                    <w:keepLines w:val="0"/>
                    <w:widowControl/>
                    <w:suppressLineNumbers w:val="0"/>
                    <w:shd w:val="clear"/>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default" w:ascii="宋体" w:hAnsi="宋体" w:eastAsia="宋体" w:cs="宋体"/>
                      <w:i w:val="0"/>
                      <w:iCs w:val="0"/>
                      <w:color w:val="auto"/>
                      <w:kern w:val="0"/>
                      <w:sz w:val="21"/>
                      <w:szCs w:val="21"/>
                      <w:highlight w:val="none"/>
                      <w:u w:val="none"/>
                      <w:lang w:val="en-US" w:eastAsia="zh-CN" w:bidi="ar"/>
                    </w:rPr>
                    <w:t>/</w:t>
                  </w:r>
                </w:p>
              </w:tc>
              <w:tc>
                <w:tcPr>
                  <w:tcW w:w="1380" w:type="dxa"/>
                  <w:shd w:val="clear" w:color="auto" w:fill="auto"/>
                  <w:vAlign w:val="center"/>
                </w:tcPr>
                <w:p w14:paraId="210EB141">
                  <w:pPr>
                    <w:keepNext w:val="0"/>
                    <w:keepLines w:val="0"/>
                    <w:widowControl/>
                    <w:suppressLineNumbers w:val="0"/>
                    <w:shd w:val="clear"/>
                    <w:jc w:val="center"/>
                    <w:textAlignment w:val="center"/>
                    <w:rPr>
                      <w:rFonts w:hint="default" w:cs="Times New Roman"/>
                      <w:color w:val="auto"/>
                      <w:sz w:val="21"/>
                      <w:szCs w:val="21"/>
                      <w:highlight w:val="none"/>
                      <w:lang w:val="en-US" w:eastAsia="zh-CN"/>
                    </w:rPr>
                  </w:pPr>
                  <w:r>
                    <w:rPr>
                      <w:rFonts w:hint="eastAsia" w:cs="Times New Roman"/>
                      <w:i w:val="0"/>
                      <w:iCs w:val="0"/>
                      <w:color w:val="auto"/>
                      <w:kern w:val="0"/>
                      <w:sz w:val="21"/>
                      <w:szCs w:val="21"/>
                      <w:highlight w:val="none"/>
                      <w:u w:val="none"/>
                      <w:lang w:val="en-US" w:eastAsia="zh-CN" w:bidi="ar"/>
                    </w:rPr>
                    <w:t>5.0888</w:t>
                  </w:r>
                </w:p>
              </w:tc>
              <w:tc>
                <w:tcPr>
                  <w:tcW w:w="1215" w:type="dxa"/>
                  <w:shd w:val="clear" w:color="auto" w:fill="auto"/>
                  <w:vAlign w:val="center"/>
                </w:tcPr>
                <w:p w14:paraId="599566AD">
                  <w:pPr>
                    <w:keepNext w:val="0"/>
                    <w:keepLines w:val="0"/>
                    <w:widowControl/>
                    <w:suppressLineNumbers w:val="0"/>
                    <w:shd w:val="clear"/>
                    <w:jc w:val="center"/>
                    <w:textAlignment w:val="center"/>
                    <w:rPr>
                      <w:rFonts w:hint="default" w:cs="Times New Roman"/>
                      <w:color w:val="auto"/>
                      <w:sz w:val="21"/>
                      <w:szCs w:val="21"/>
                      <w:highlight w:val="none"/>
                      <w:lang w:val="en-US" w:eastAsia="zh-CN"/>
                    </w:rPr>
                  </w:pPr>
                  <w:r>
                    <w:rPr>
                      <w:rFonts w:hint="eastAsia" w:cs="Times New Roman"/>
                      <w:i w:val="0"/>
                      <w:iCs w:val="0"/>
                      <w:color w:val="auto"/>
                      <w:kern w:val="0"/>
                      <w:sz w:val="21"/>
                      <w:szCs w:val="21"/>
                      <w:highlight w:val="none"/>
                      <w:u w:val="none"/>
                      <w:lang w:val="en-US" w:eastAsia="zh-CN" w:bidi="ar"/>
                    </w:rPr>
                    <w:t>5.0888</w:t>
                  </w:r>
                </w:p>
              </w:tc>
              <w:tc>
                <w:tcPr>
                  <w:tcW w:w="1230" w:type="dxa"/>
                  <w:shd w:val="clear" w:color="auto" w:fill="auto"/>
                  <w:vAlign w:val="center"/>
                </w:tcPr>
                <w:p w14:paraId="39DF648F">
                  <w:pPr>
                    <w:keepNext w:val="0"/>
                    <w:keepLines w:val="0"/>
                    <w:widowControl/>
                    <w:suppressLineNumbers w:val="0"/>
                    <w:shd w:val="clear"/>
                    <w:jc w:val="center"/>
                    <w:textAlignment w:val="center"/>
                    <w:rPr>
                      <w:rFonts w:hint="eastAsia"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10</w:t>
                  </w:r>
                </w:p>
              </w:tc>
              <w:tc>
                <w:tcPr>
                  <w:tcW w:w="899" w:type="dxa"/>
                  <w:shd w:val="clear" w:color="auto" w:fill="auto"/>
                  <w:vAlign w:val="center"/>
                </w:tcPr>
                <w:p w14:paraId="34578E9F">
                  <w:pPr>
                    <w:keepNext w:val="0"/>
                    <w:keepLines w:val="0"/>
                    <w:widowControl/>
                    <w:suppressLineNumbers w:val="0"/>
                    <w:shd w:val="clear"/>
                    <w:jc w:val="center"/>
                    <w:textAlignment w:val="center"/>
                    <w:rPr>
                      <w:rFonts w:hint="default" w:cs="Times New Roman"/>
                      <w:color w:val="auto"/>
                      <w:sz w:val="21"/>
                      <w:szCs w:val="21"/>
                      <w:highlight w:val="none"/>
                      <w:lang w:val="en-US" w:eastAsia="zh-CN"/>
                    </w:rPr>
                  </w:pPr>
                  <w:r>
                    <w:rPr>
                      <w:rFonts w:hint="eastAsia" w:cs="Times New Roman"/>
                      <w:i w:val="0"/>
                      <w:iCs w:val="0"/>
                      <w:color w:val="auto"/>
                      <w:kern w:val="0"/>
                      <w:sz w:val="21"/>
                      <w:szCs w:val="21"/>
                      <w:highlight w:val="none"/>
                      <w:u w:val="none"/>
                      <w:lang w:val="en-US" w:eastAsia="zh-CN" w:bidi="ar"/>
                    </w:rPr>
                    <w:t>0.50888</w:t>
                  </w:r>
                </w:p>
              </w:tc>
            </w:tr>
            <w:tr w14:paraId="5A72348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43" w:hRule="atLeast"/>
              </w:trPr>
              <w:tc>
                <w:tcPr>
                  <w:tcW w:w="6997" w:type="dxa"/>
                  <w:gridSpan w:val="6"/>
                  <w:vAlign w:val="center"/>
                </w:tcPr>
                <w:p w14:paraId="1D406450">
                  <w:pPr>
                    <w:keepNext w:val="0"/>
                    <w:keepLines w:val="0"/>
                    <w:widowControl/>
                    <w:suppressLineNumbers w:val="0"/>
                    <w:shd w:val="clear"/>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合计</w:t>
                  </w:r>
                </w:p>
              </w:tc>
              <w:tc>
                <w:tcPr>
                  <w:tcW w:w="899" w:type="dxa"/>
                  <w:shd w:val="clear" w:color="auto" w:fill="auto"/>
                  <w:vAlign w:val="center"/>
                </w:tcPr>
                <w:p w14:paraId="2F2847D9">
                  <w:pPr>
                    <w:keepNext w:val="0"/>
                    <w:keepLines w:val="0"/>
                    <w:widowControl/>
                    <w:suppressLineNumbers w:val="0"/>
                    <w:shd w:val="clear"/>
                    <w:jc w:val="center"/>
                    <w:textAlignment w:val="center"/>
                    <w:rPr>
                      <w:rFonts w:hint="default"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0.82288</w:t>
                  </w:r>
                </w:p>
              </w:tc>
            </w:tr>
            <w:tr w14:paraId="040A487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79" w:hRule="atLeast"/>
              </w:trPr>
              <w:tc>
                <w:tcPr>
                  <w:tcW w:w="7896" w:type="dxa"/>
                  <w:gridSpan w:val="7"/>
                  <w:vAlign w:val="center"/>
                </w:tcPr>
                <w:p w14:paraId="0FCB9F54">
                  <w:pPr>
                    <w:pStyle w:val="70"/>
                    <w:shd w:val="clear"/>
                    <w:spacing w:line="240" w:lineRule="auto"/>
                    <w:jc w:val="both"/>
                    <w:rPr>
                      <w:rFonts w:hint="default" w:ascii="Times New Roman" w:hAnsi="Times New Roman" w:cs="Times New Roman"/>
                      <w:color w:val="auto"/>
                      <w:sz w:val="21"/>
                      <w:szCs w:val="21"/>
                      <w:highlight w:val="none"/>
                      <w:lang w:val="en-US" w:eastAsia="zh-CN"/>
                    </w:rPr>
                  </w:pPr>
                  <w:r>
                    <w:rPr>
                      <w:rFonts w:hint="eastAsia" w:cs="Times New Roman"/>
                      <w:color w:val="auto"/>
                      <w:sz w:val="21"/>
                      <w:szCs w:val="21"/>
                      <w:highlight w:val="none"/>
                      <w:lang w:val="en-US" w:eastAsia="zh-CN"/>
                    </w:rPr>
                    <w:t>注：</w:t>
                  </w:r>
                  <w:r>
                    <w:rPr>
                      <w:rFonts w:hint="eastAsia" w:ascii="宋体" w:hAnsi="宋体" w:eastAsia="宋体" w:cs="宋体"/>
                      <w:i w:val="0"/>
                      <w:iCs w:val="0"/>
                      <w:color w:val="auto"/>
                      <w:kern w:val="0"/>
                      <w:sz w:val="21"/>
                      <w:szCs w:val="21"/>
                      <w:highlight w:val="none"/>
                      <w:u w:val="none"/>
                      <w:lang w:val="en-US" w:eastAsia="zh-CN" w:bidi="ar"/>
                    </w:rPr>
                    <w:t>［</w:t>
                  </w:r>
                  <w:r>
                    <w:rPr>
                      <w:rFonts w:hint="default" w:ascii="Times New Roman" w:hAnsi="Times New Roman" w:cs="Times New Roman"/>
                      <w:i w:val="0"/>
                      <w:iCs w:val="0"/>
                      <w:color w:val="auto"/>
                      <w:kern w:val="0"/>
                      <w:sz w:val="21"/>
                      <w:szCs w:val="21"/>
                      <w:highlight w:val="none"/>
                      <w:u w:val="none"/>
                      <w:lang w:val="en-US" w:eastAsia="zh-CN" w:bidi="ar"/>
                    </w:rPr>
                    <w:t>1</w:t>
                  </w:r>
                  <w:r>
                    <w:rPr>
                      <w:rFonts w:hint="default" w:ascii="Times New Roman" w:hAnsi="Times New Roman" w:eastAsia="宋体" w:cs="Times New Roman"/>
                      <w:i w:val="0"/>
                      <w:iCs w:val="0"/>
                      <w:color w:val="auto"/>
                      <w:kern w:val="0"/>
                      <w:sz w:val="21"/>
                      <w:szCs w:val="21"/>
                      <w:highlight w:val="none"/>
                      <w:u w:val="none"/>
                      <w:lang w:val="en-US" w:eastAsia="zh-CN" w:bidi="ar"/>
                    </w:rPr>
                    <w:t>］</w:t>
                  </w:r>
                  <w:r>
                    <w:rPr>
                      <w:rFonts w:hint="default" w:ascii="Times New Roman" w:hAnsi="Times New Roman" w:cs="Times New Roman"/>
                      <w:color w:val="auto"/>
                      <w:sz w:val="21"/>
                      <w:szCs w:val="21"/>
                      <w:highlight w:val="none"/>
                      <w:lang w:val="en-US" w:eastAsia="zh-CN"/>
                    </w:rPr>
                    <w:t>最大储存总量包括其设备在线量及车间内储存量。</w:t>
                  </w:r>
                </w:p>
                <w:p w14:paraId="47277FAF">
                  <w:pPr>
                    <w:pStyle w:val="70"/>
                    <w:shd w:val="clear"/>
                    <w:spacing w:line="240" w:lineRule="auto"/>
                    <w:jc w:val="both"/>
                    <w:rPr>
                      <w:rFonts w:hint="eastAsia" w:ascii="宋体" w:hAnsi="宋体" w:eastAsia="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w:t>
                  </w:r>
                  <w:r>
                    <w:rPr>
                      <w:rFonts w:hint="eastAsia" w:cs="Times New Roman"/>
                      <w:i w:val="0"/>
                      <w:iCs w:val="0"/>
                      <w:color w:val="auto"/>
                      <w:kern w:val="0"/>
                      <w:sz w:val="21"/>
                      <w:szCs w:val="21"/>
                      <w:highlight w:val="none"/>
                      <w:u w:val="none"/>
                      <w:lang w:val="en-US" w:eastAsia="zh-CN" w:bidi="ar"/>
                    </w:rPr>
                    <w:t>2</w:t>
                  </w:r>
                  <w:r>
                    <w:rPr>
                      <w:rFonts w:hint="eastAsia" w:ascii="宋体" w:hAnsi="宋体" w:eastAsia="宋体" w:cs="宋体"/>
                      <w:i w:val="0"/>
                      <w:iCs w:val="0"/>
                      <w:color w:val="auto"/>
                      <w:kern w:val="0"/>
                      <w:sz w:val="21"/>
                      <w:szCs w:val="21"/>
                      <w:highlight w:val="none"/>
                      <w:u w:val="none"/>
                      <w:lang w:val="en-US" w:eastAsia="zh-CN" w:bidi="ar"/>
                    </w:rPr>
                    <w:t>］</w:t>
                  </w:r>
                  <w:r>
                    <w:rPr>
                      <w:rFonts w:hint="eastAsia" w:ascii="宋体" w:hAnsi="宋体" w:cs="宋体"/>
                      <w:i w:val="0"/>
                      <w:iCs w:val="0"/>
                      <w:color w:val="auto"/>
                      <w:kern w:val="0"/>
                      <w:sz w:val="21"/>
                      <w:szCs w:val="21"/>
                      <w:highlight w:val="none"/>
                      <w:u w:val="none"/>
                      <w:lang w:val="en-US" w:eastAsia="zh-CN" w:bidi="ar"/>
                    </w:rPr>
                    <w:t>根据建设单位提供资料，</w:t>
                  </w:r>
                  <w:r>
                    <w:rPr>
                      <w:rFonts w:hint="eastAsia" w:ascii="TimesNewRomanPSMT" w:hAnsi="TimesNewRomanPSMT" w:eastAsia="宋体"/>
                      <w:color w:val="auto"/>
                      <w:sz w:val="21"/>
                      <w:szCs w:val="21"/>
                      <w:highlight w:val="none"/>
                      <w:lang w:val="en-US" w:eastAsia="zh-CN"/>
                    </w:rPr>
                    <w:t>电解液涉及健康危险急性毒性物质类别3，其</w:t>
                  </w:r>
                  <w:r>
                    <w:rPr>
                      <w:rFonts w:hint="eastAsia" w:ascii="宋体" w:hAnsi="宋体" w:eastAsia="宋体"/>
                      <w:color w:val="auto"/>
                      <w:sz w:val="21"/>
                      <w:szCs w:val="21"/>
                      <w:highlight w:val="none"/>
                    </w:rPr>
                    <w:t>临界值参考《建设项目环境风险评价技术导则</w:t>
                  </w:r>
                  <w:r>
                    <w:rPr>
                      <w:rFonts w:hint="default" w:ascii="Times New Roman" w:hAnsi="Times New Roman" w:eastAsia="宋体" w:cs="Times New Roman"/>
                      <w:color w:val="auto"/>
                      <w:sz w:val="21"/>
                      <w:szCs w:val="21"/>
                      <w:highlight w:val="none"/>
                    </w:rPr>
                    <w:t>》（HJ/T 169-2018）附录B，临界量为</w:t>
                  </w:r>
                  <w:r>
                    <w:rPr>
                      <w:rFonts w:hint="default" w:ascii="Times New Roman" w:hAnsi="Times New Roman" w:eastAsia="宋体" w:cs="Times New Roman"/>
                      <w:color w:val="auto"/>
                      <w:sz w:val="21"/>
                      <w:szCs w:val="21"/>
                      <w:highlight w:val="none"/>
                      <w:lang w:val="en-US" w:eastAsia="zh-CN"/>
                    </w:rPr>
                    <w:t>5</w:t>
                  </w:r>
                  <w:r>
                    <w:rPr>
                      <w:rFonts w:hint="default" w:ascii="Times New Roman" w:hAnsi="Times New Roman" w:eastAsia="宋体" w:cs="Times New Roman"/>
                      <w:color w:val="auto"/>
                      <w:sz w:val="21"/>
                      <w:szCs w:val="21"/>
                      <w:highlight w:val="none"/>
                    </w:rPr>
                    <w:t>0t</w:t>
                  </w:r>
                  <w:r>
                    <w:rPr>
                      <w:rFonts w:hint="eastAsia" w:ascii="宋体" w:hAnsi="宋体" w:eastAsia="宋体"/>
                      <w:color w:val="auto"/>
                      <w:sz w:val="21"/>
                      <w:szCs w:val="21"/>
                      <w:highlight w:val="none"/>
                    </w:rPr>
                    <w:t>。</w:t>
                  </w:r>
                </w:p>
                <w:p w14:paraId="148DCE93">
                  <w:pPr>
                    <w:pStyle w:val="70"/>
                    <w:shd w:val="clear"/>
                    <w:spacing w:line="240" w:lineRule="auto"/>
                    <w:jc w:val="both"/>
                    <w:rPr>
                      <w:rFonts w:hint="default" w:ascii="宋体" w:hAnsi="宋体" w:eastAsia="宋体"/>
                      <w:color w:val="auto"/>
                      <w:sz w:val="20"/>
                      <w:szCs w:val="24"/>
                      <w:highlight w:val="none"/>
                      <w:lang w:val="en-US" w:eastAsia="zh-CN"/>
                    </w:rPr>
                  </w:pPr>
                  <w:r>
                    <w:rPr>
                      <w:rFonts w:hint="eastAsia" w:ascii="宋体" w:hAnsi="宋体" w:eastAsia="宋体"/>
                      <w:color w:val="auto"/>
                      <w:sz w:val="21"/>
                      <w:szCs w:val="21"/>
                      <w:highlight w:val="none"/>
                      <w:lang w:val="en-US" w:eastAsia="zh-CN"/>
                    </w:rPr>
                    <w:t>［</w:t>
                  </w:r>
                  <w:r>
                    <w:rPr>
                      <w:rFonts w:hint="eastAsia" w:cs="Times New Roman"/>
                      <w:color w:val="auto"/>
                      <w:sz w:val="21"/>
                      <w:szCs w:val="21"/>
                      <w:highlight w:val="none"/>
                      <w:lang w:val="en-US" w:eastAsia="zh-CN"/>
                    </w:rPr>
                    <w:t>3</w:t>
                  </w:r>
                  <w:r>
                    <w:rPr>
                      <w:rFonts w:hint="eastAsia" w:ascii="宋体" w:hAnsi="宋体" w:eastAsia="宋体"/>
                      <w:color w:val="auto"/>
                      <w:sz w:val="21"/>
                      <w:szCs w:val="21"/>
                      <w:highlight w:val="none"/>
                      <w:lang w:val="en-US" w:eastAsia="zh-CN"/>
                    </w:rPr>
                    <w:t>］本项目</w:t>
                  </w:r>
                  <w:r>
                    <w:rPr>
                      <w:rFonts w:hint="default" w:ascii="Times New Roman" w:hAnsi="Times New Roman" w:eastAsia="宋体" w:cs="Times New Roman"/>
                      <w:color w:val="auto"/>
                      <w:sz w:val="21"/>
                      <w:szCs w:val="21"/>
                      <w:highlight w:val="none"/>
                      <w:lang w:val="en-US" w:eastAsia="zh-CN"/>
                    </w:rPr>
                    <w:t>NMP</w:t>
                  </w:r>
                  <w:r>
                    <w:rPr>
                      <w:rFonts w:hint="eastAsia" w:ascii="宋体" w:hAnsi="宋体" w:eastAsia="宋体"/>
                      <w:color w:val="auto"/>
                      <w:sz w:val="21"/>
                      <w:szCs w:val="21"/>
                      <w:highlight w:val="none"/>
                      <w:lang w:val="en-US" w:eastAsia="zh-CN"/>
                    </w:rPr>
                    <w:t>废液最大暂</w:t>
                  </w:r>
                  <w:r>
                    <w:rPr>
                      <w:rFonts w:hint="default" w:ascii="Times New Roman" w:hAnsi="Times New Roman" w:eastAsia="宋体" w:cs="Times New Roman"/>
                      <w:color w:val="auto"/>
                      <w:sz w:val="21"/>
                      <w:szCs w:val="21"/>
                      <w:highlight w:val="none"/>
                      <w:lang w:val="en-US" w:eastAsia="zh-CN"/>
                    </w:rPr>
                    <w:t>存量为4.365t，</w:t>
                  </w:r>
                  <w:r>
                    <w:rPr>
                      <w:rFonts w:hint="default" w:ascii="Times New Roman" w:hAnsi="Times New Roman" w:eastAsia="宋体" w:cs="Times New Roman"/>
                      <w:color w:val="auto"/>
                      <w:sz w:val="21"/>
                      <w:szCs w:val="21"/>
                      <w:highlight w:val="none"/>
                    </w:rPr>
                    <w:t>临界值参考《建设项目环境风险评价技术导则》（HJ/T 169-2018）按COD≥10000mg/L</w:t>
                  </w:r>
                  <w:r>
                    <w:rPr>
                      <w:rFonts w:hint="eastAsia" w:ascii="宋体" w:hAnsi="宋体" w:eastAsia="宋体"/>
                      <w:color w:val="auto"/>
                      <w:sz w:val="21"/>
                      <w:szCs w:val="21"/>
                      <w:highlight w:val="none"/>
                    </w:rPr>
                    <w:t>的有机废液，临界量为</w:t>
                  </w:r>
                  <w:r>
                    <w:rPr>
                      <w:rFonts w:hint="eastAsia" w:ascii="TimesNewRomanPSMT" w:hAnsi="TimesNewRomanPSMT" w:eastAsia="TimesNewRomanPSMT"/>
                      <w:color w:val="auto"/>
                      <w:sz w:val="21"/>
                      <w:szCs w:val="21"/>
                      <w:highlight w:val="none"/>
                    </w:rPr>
                    <w:t>10t</w:t>
                  </w:r>
                  <w:r>
                    <w:rPr>
                      <w:rFonts w:hint="eastAsia" w:ascii="宋体" w:hAnsi="宋体" w:eastAsia="宋体"/>
                      <w:color w:val="auto"/>
                      <w:sz w:val="21"/>
                      <w:szCs w:val="21"/>
                      <w:highlight w:val="none"/>
                    </w:rPr>
                    <w:t>；</w:t>
                  </w:r>
                </w:p>
              </w:tc>
            </w:tr>
          </w:tbl>
          <w:p w14:paraId="1C9566D6">
            <w:pPr>
              <w:shd w:val="clear"/>
              <w:spacing w:line="360" w:lineRule="auto"/>
              <w:ind w:firstLine="480" w:firstLineChars="200"/>
              <w:jc w:val="both"/>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由上表可知，本项目Q=</w:t>
            </w:r>
            <w:r>
              <w:rPr>
                <w:rFonts w:hint="eastAsia" w:ascii="Times New Roman" w:hAnsi="Times New Roman" w:eastAsia="宋体" w:cs="Times New Roman"/>
                <w:color w:val="auto"/>
                <w:sz w:val="24"/>
                <w:highlight w:val="none"/>
                <w:lang w:val="en-US" w:eastAsia="zh-CN"/>
              </w:rPr>
              <w:t>0.</w:t>
            </w:r>
            <w:r>
              <w:rPr>
                <w:rFonts w:hint="eastAsia" w:cs="Times New Roman"/>
                <w:color w:val="auto"/>
                <w:sz w:val="24"/>
                <w:highlight w:val="none"/>
                <w:lang w:val="en-US" w:eastAsia="zh-CN"/>
              </w:rPr>
              <w:t>82288</w:t>
            </w:r>
            <w:r>
              <w:rPr>
                <w:rFonts w:hint="default" w:ascii="Times New Roman" w:hAnsi="Times New Roman" w:eastAsia="宋体" w:cs="Times New Roman"/>
                <w:color w:val="auto"/>
                <w:sz w:val="24"/>
                <w:highlight w:val="none"/>
              </w:rPr>
              <w:t>＜1，</w:t>
            </w:r>
            <w:r>
              <w:rPr>
                <w:rFonts w:hint="default" w:ascii="Times New Roman" w:hAnsi="Times New Roman" w:eastAsia="宋体" w:cs="Times New Roman"/>
                <w:color w:val="auto"/>
                <w:sz w:val="24"/>
                <w:highlight w:val="none"/>
                <w:lang w:val="en-US" w:eastAsia="zh-CN"/>
              </w:rPr>
              <w:t>项目</w:t>
            </w:r>
            <w:r>
              <w:rPr>
                <w:rFonts w:hint="default" w:ascii="Times New Roman" w:hAnsi="Times New Roman" w:eastAsia="宋体" w:cs="Times New Roman"/>
                <w:color w:val="auto"/>
                <w:sz w:val="24"/>
                <w:highlight w:val="none"/>
              </w:rPr>
              <w:t>风险潜势为Ⅰ。环境风险评价进行简单分析即可。</w:t>
            </w:r>
          </w:p>
          <w:p w14:paraId="4898E223">
            <w:pPr>
              <w:shd w:val="clear"/>
              <w:spacing w:line="360" w:lineRule="auto"/>
              <w:ind w:firstLine="480" w:firstLineChars="200"/>
              <w:jc w:val="both"/>
              <w:rPr>
                <w:rFonts w:hint="default" w:ascii="Times New Roman" w:hAnsi="Times New Roman" w:eastAsia="宋体" w:cs="Times New Roman"/>
                <w:color w:val="auto"/>
                <w:sz w:val="24"/>
              </w:rPr>
            </w:pPr>
            <w:r>
              <w:rPr>
                <w:rFonts w:hint="default" w:ascii="Times New Roman" w:hAnsi="Times New Roman" w:eastAsia="宋体" w:cs="Times New Roman"/>
                <w:color w:val="auto"/>
                <w:sz w:val="24"/>
                <w:highlight w:val="none"/>
              </w:rPr>
              <w:t>（3）环境风险识别和环境风险分</w:t>
            </w:r>
            <w:r>
              <w:rPr>
                <w:rFonts w:hint="default" w:ascii="Times New Roman" w:hAnsi="Times New Roman" w:eastAsia="宋体" w:cs="Times New Roman"/>
                <w:color w:val="auto"/>
                <w:sz w:val="24"/>
              </w:rPr>
              <w:t>析</w:t>
            </w:r>
          </w:p>
          <w:p w14:paraId="4D866680">
            <w:pPr>
              <w:spacing w:line="360" w:lineRule="auto"/>
              <w:ind w:firstLine="480" w:firstLineChars="200"/>
              <w:jc w:val="both"/>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环境风险识别内容包括物质危险性识别、生产系统危险性识别和危险物质向环境转移的途径识别。</w:t>
            </w:r>
          </w:p>
          <w:p w14:paraId="446F8A8A">
            <w:pPr>
              <w:spacing w:line="360" w:lineRule="auto"/>
              <w:ind w:firstLine="480" w:firstLineChars="200"/>
              <w:jc w:val="both"/>
              <w:rPr>
                <w:rFonts w:hint="default" w:ascii="Times New Roman" w:hAnsi="Times New Roman" w:eastAsia="宋体" w:cs="Times New Roman"/>
                <w:color w:val="auto"/>
                <w:sz w:val="24"/>
              </w:rPr>
            </w:pPr>
            <w:r>
              <w:rPr>
                <w:rFonts w:hint="eastAsia" w:ascii="Times New Roman" w:hAnsi="Times New Roman" w:eastAsia="宋体" w:cs="Times New Roman"/>
                <w:color w:val="auto"/>
                <w:sz w:val="24"/>
                <w:lang w:val="en-US" w:eastAsia="zh-CN"/>
              </w:rPr>
              <w:t>1）</w:t>
            </w:r>
            <w:r>
              <w:rPr>
                <w:rFonts w:hint="default" w:ascii="Times New Roman" w:hAnsi="Times New Roman" w:eastAsia="宋体" w:cs="Times New Roman"/>
                <w:color w:val="auto"/>
                <w:sz w:val="24"/>
              </w:rPr>
              <w:t>物质危险性识别</w:t>
            </w:r>
          </w:p>
          <w:p w14:paraId="605FE063">
            <w:pPr>
              <w:spacing w:line="360" w:lineRule="auto"/>
              <w:ind w:firstLine="480" w:firstLineChars="200"/>
              <w:jc w:val="both"/>
              <w:rPr>
                <w:rFonts w:hint="default" w:ascii="Times New Roman" w:hAnsi="Times New Roman" w:eastAsia="宋体" w:cs="Times New Roman"/>
                <w:color w:val="auto"/>
                <w:sz w:val="24"/>
              </w:rPr>
            </w:pPr>
            <w:r>
              <w:rPr>
                <w:rFonts w:hint="eastAsia" w:ascii="宋体" w:hAnsi="宋体" w:eastAsia="宋体"/>
                <w:color w:val="auto"/>
                <w:sz w:val="24"/>
                <w:szCs w:val="24"/>
              </w:rPr>
              <w:t>物质危险性识别</w:t>
            </w:r>
            <w:r>
              <w:rPr>
                <w:rFonts w:hint="default" w:ascii="Times New Roman" w:hAnsi="Times New Roman" w:eastAsia="宋体" w:cs="Times New Roman"/>
                <w:color w:val="auto"/>
                <w:sz w:val="24"/>
              </w:rPr>
              <w:t>包括主要原辅材料、燃料、中间产品、固废、最终产品、污染物、火灾和爆炸伴生/次生物等。根据对主要原辅材料进行分析，本项目涉及的环境风险物质为NMP溶剂、电解液、废机油。</w:t>
            </w:r>
          </w:p>
          <w:p w14:paraId="366FA9B6">
            <w:pPr>
              <w:spacing w:line="360" w:lineRule="auto"/>
              <w:ind w:firstLine="480" w:firstLineChars="200"/>
              <w:jc w:val="both"/>
              <w:rPr>
                <w:rFonts w:hint="default" w:ascii="Times New Roman" w:hAnsi="Times New Roman" w:eastAsia="宋体" w:cs="Times New Roman"/>
                <w:color w:val="auto"/>
                <w:sz w:val="24"/>
              </w:rPr>
            </w:pPr>
            <w:r>
              <w:rPr>
                <w:rFonts w:hint="eastAsia" w:ascii="Times New Roman" w:hAnsi="Times New Roman" w:eastAsia="宋体" w:cs="Times New Roman"/>
                <w:color w:val="auto"/>
                <w:sz w:val="24"/>
                <w:lang w:val="en-US" w:eastAsia="zh-CN"/>
              </w:rPr>
              <w:t>2）</w:t>
            </w:r>
            <w:r>
              <w:rPr>
                <w:rFonts w:hint="default" w:ascii="Times New Roman" w:hAnsi="Times New Roman" w:eastAsia="宋体" w:cs="Times New Roman"/>
                <w:color w:val="auto"/>
                <w:sz w:val="24"/>
              </w:rPr>
              <w:t>生产系统危险性识别</w:t>
            </w:r>
          </w:p>
          <w:p w14:paraId="128A798D">
            <w:pPr>
              <w:spacing w:line="360" w:lineRule="auto"/>
              <w:ind w:firstLine="480" w:firstLineChars="200"/>
              <w:jc w:val="both"/>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包括主要生产装置、储运设施、公用工程和辅助生产设施以及环境保护</w:t>
            </w:r>
            <w:r>
              <w:rPr>
                <w:rFonts w:hint="default" w:ascii="Times New Roman" w:hAnsi="Times New Roman" w:eastAsia="宋体" w:cs="Times New Roman"/>
                <w:color w:val="auto"/>
                <w:sz w:val="24"/>
                <w:lang w:eastAsia="zh-CN"/>
              </w:rPr>
              <w:t>设施</w:t>
            </w:r>
            <w:r>
              <w:rPr>
                <w:rFonts w:hint="default" w:ascii="Times New Roman" w:hAnsi="Times New Roman" w:eastAsia="宋体" w:cs="Times New Roman"/>
                <w:color w:val="auto"/>
                <w:sz w:val="24"/>
              </w:rPr>
              <w:t>等。</w:t>
            </w:r>
            <w:r>
              <w:rPr>
                <w:rFonts w:hint="eastAsia" w:ascii="宋体" w:hAnsi="宋体" w:eastAsia="宋体"/>
                <w:color w:val="auto"/>
                <w:sz w:val="24"/>
                <w:szCs w:val="24"/>
              </w:rPr>
              <w:t>厂区的</w:t>
            </w:r>
            <w:r>
              <w:rPr>
                <w:rFonts w:hint="eastAsia" w:ascii="Times New Roman" w:hAnsi="Times New Roman" w:eastAsia="宋体" w:cs="Times New Roman"/>
                <w:color w:val="auto"/>
                <w:sz w:val="24"/>
              </w:rPr>
              <w:t>NMP罐区由于储存回收的NMP废液</w:t>
            </w:r>
            <w:r>
              <w:rPr>
                <w:rFonts w:hint="eastAsia" w:cs="Times New Roman"/>
                <w:color w:val="auto"/>
                <w:sz w:val="24"/>
                <w:lang w:eastAsia="zh-CN"/>
              </w:rPr>
              <w:t>，</w:t>
            </w:r>
            <w:r>
              <w:rPr>
                <w:rFonts w:hint="eastAsia" w:cs="Times New Roman"/>
                <w:color w:val="auto"/>
                <w:sz w:val="24"/>
                <w:lang w:val="en-US" w:eastAsia="zh-CN"/>
              </w:rPr>
              <w:t>NMP暂存间</w:t>
            </w:r>
            <w:r>
              <w:rPr>
                <w:rFonts w:hint="eastAsia" w:ascii="Times New Roman" w:hAnsi="Times New Roman" w:eastAsia="宋体" w:cs="Times New Roman"/>
                <w:color w:val="auto"/>
                <w:sz w:val="24"/>
              </w:rPr>
              <w:t>存储了溶剂（NMP）</w:t>
            </w:r>
            <w:r>
              <w:rPr>
                <w:rFonts w:hint="eastAsia" w:ascii="Times New Roman" w:hAnsi="Times New Roman" w:eastAsia="宋体" w:cs="Times New Roman"/>
                <w:color w:val="auto"/>
                <w:sz w:val="24"/>
                <w:lang w:val="en-US" w:eastAsia="zh-CN"/>
              </w:rPr>
              <w:t>，低温电解液仓库</w:t>
            </w:r>
            <w:r>
              <w:rPr>
                <w:rFonts w:hint="eastAsia" w:ascii="Times New Roman" w:hAnsi="Times New Roman" w:eastAsia="宋体" w:cs="Times New Roman"/>
                <w:color w:val="auto"/>
                <w:sz w:val="24"/>
              </w:rPr>
              <w:t>存储了和电解液，溶剂（NMP）</w:t>
            </w:r>
            <w:r>
              <w:rPr>
                <w:rFonts w:hint="eastAsia" w:cs="Times New Roman"/>
                <w:color w:val="auto"/>
                <w:sz w:val="24"/>
                <w:lang w:eastAsia="zh-CN"/>
              </w:rPr>
              <w:t>属于</w:t>
            </w:r>
            <w:r>
              <w:rPr>
                <w:rFonts w:hint="eastAsia" w:ascii="Times New Roman" w:hAnsi="Times New Roman" w:eastAsia="宋体" w:cs="Times New Roman"/>
                <w:color w:val="auto"/>
                <w:sz w:val="24"/>
              </w:rPr>
              <w:t>可燃物，电解液属于易燃物，因此可判断厂区的NMP罐区</w:t>
            </w:r>
            <w:r>
              <w:rPr>
                <w:rFonts w:hint="eastAsia" w:cs="Times New Roman"/>
                <w:color w:val="auto"/>
                <w:sz w:val="24"/>
                <w:lang w:eastAsia="zh-CN"/>
              </w:rPr>
              <w:t>、</w:t>
            </w:r>
            <w:r>
              <w:rPr>
                <w:rFonts w:hint="eastAsia" w:cs="Times New Roman"/>
                <w:color w:val="auto"/>
                <w:sz w:val="24"/>
                <w:lang w:val="en-US" w:eastAsia="zh-CN"/>
              </w:rPr>
              <w:t>NMP暂存间</w:t>
            </w:r>
            <w:r>
              <w:rPr>
                <w:rFonts w:hint="eastAsia" w:ascii="Times New Roman" w:hAnsi="Times New Roman" w:eastAsia="宋体" w:cs="Times New Roman"/>
                <w:color w:val="auto"/>
                <w:sz w:val="24"/>
              </w:rPr>
              <w:t>和</w:t>
            </w:r>
            <w:r>
              <w:rPr>
                <w:rFonts w:hint="eastAsia" w:ascii="Times New Roman" w:hAnsi="Times New Roman" w:eastAsia="宋体" w:cs="Times New Roman"/>
                <w:color w:val="auto"/>
                <w:sz w:val="24"/>
                <w:szCs w:val="24"/>
                <w:lang w:val="en-US" w:eastAsia="zh-CN"/>
              </w:rPr>
              <w:t>低温电解液仓库</w:t>
            </w:r>
            <w:r>
              <w:rPr>
                <w:rFonts w:hint="eastAsia" w:ascii="Times New Roman" w:hAnsi="Times New Roman" w:eastAsia="宋体" w:cs="Times New Roman"/>
                <w:color w:val="auto"/>
                <w:sz w:val="24"/>
              </w:rPr>
              <w:t>存在火灾风险</w:t>
            </w:r>
            <w:r>
              <w:rPr>
                <w:rFonts w:hint="default" w:ascii="Times New Roman" w:hAnsi="Times New Roman" w:eastAsia="宋体" w:cs="Times New Roman"/>
                <w:color w:val="auto"/>
                <w:sz w:val="24"/>
              </w:rPr>
              <w:t>。</w:t>
            </w:r>
          </w:p>
          <w:p w14:paraId="20F03F0B">
            <w:pPr>
              <w:spacing w:line="360" w:lineRule="auto"/>
              <w:ind w:firstLine="480" w:firstLineChars="200"/>
              <w:jc w:val="both"/>
              <w:rPr>
                <w:rFonts w:hint="eastAsia" w:ascii="宋体" w:hAnsi="宋体" w:eastAsia="宋体"/>
                <w:color w:val="auto"/>
                <w:sz w:val="24"/>
                <w:szCs w:val="24"/>
              </w:rPr>
            </w:pPr>
            <w:r>
              <w:rPr>
                <w:rFonts w:hint="eastAsia" w:ascii="Times New Roman" w:hAnsi="Times New Roman" w:eastAsia="宋体" w:cs="Times New Roman"/>
                <w:color w:val="auto"/>
                <w:sz w:val="24"/>
                <w:lang w:val="en-US" w:eastAsia="zh-CN"/>
              </w:rPr>
              <w:t>①</w:t>
            </w:r>
            <w:r>
              <w:rPr>
                <w:rFonts w:hint="eastAsia" w:ascii="宋体" w:hAnsi="宋体" w:eastAsia="宋体"/>
                <w:color w:val="auto"/>
                <w:sz w:val="24"/>
                <w:szCs w:val="24"/>
              </w:rPr>
              <w:t>生产装置</w:t>
            </w:r>
          </w:p>
          <w:p w14:paraId="73EB9D52">
            <w:pPr>
              <w:spacing w:line="360" w:lineRule="auto"/>
              <w:ind w:firstLine="480" w:firstLineChars="200"/>
              <w:jc w:val="both"/>
              <w:rPr>
                <w:rFonts w:hint="eastAsia" w:ascii="宋体" w:hAnsi="宋体" w:eastAsia="宋体"/>
                <w:color w:val="auto"/>
                <w:sz w:val="24"/>
                <w:szCs w:val="24"/>
              </w:rPr>
            </w:pPr>
            <w:r>
              <w:rPr>
                <w:rFonts w:hint="eastAsia" w:ascii="宋体" w:hAnsi="宋体" w:eastAsia="宋体"/>
                <w:color w:val="auto"/>
                <w:sz w:val="24"/>
                <w:szCs w:val="24"/>
              </w:rPr>
              <w:t>生产过程中配料匀浆、注液工序涉及溶剂、电解液等危险物质。涉及溶剂、电解液的生产装置在生产过程中由于装置发生破裂或密封不严导致液体泄漏，上述情况均可能引发环境风险事故。</w:t>
            </w:r>
          </w:p>
          <w:p w14:paraId="56689CBF">
            <w:pPr>
              <w:shd w:val="clear"/>
              <w:spacing w:line="360" w:lineRule="auto"/>
              <w:ind w:firstLine="480" w:firstLineChars="200"/>
              <w:jc w:val="both"/>
              <w:rPr>
                <w:rFonts w:hint="eastAsia" w:ascii="宋体" w:hAnsi="宋体" w:eastAsia="宋体"/>
                <w:color w:val="auto"/>
                <w:sz w:val="24"/>
                <w:szCs w:val="24"/>
              </w:rPr>
            </w:pPr>
            <w:r>
              <w:rPr>
                <w:rFonts w:hint="eastAsia" w:ascii="宋体" w:hAnsi="宋体" w:eastAsia="宋体"/>
                <w:color w:val="auto"/>
                <w:sz w:val="24"/>
                <w:szCs w:val="24"/>
                <w:lang w:val="en-US" w:eastAsia="zh-CN"/>
              </w:rPr>
              <w:t>②</w:t>
            </w:r>
            <w:r>
              <w:rPr>
                <w:rFonts w:hint="eastAsia" w:ascii="TimesNewRomanPSMT" w:hAnsi="TimesNewRomanPSMT" w:eastAsia="TimesNewRomanPSMT"/>
                <w:color w:val="auto"/>
                <w:sz w:val="24"/>
                <w:szCs w:val="24"/>
              </w:rPr>
              <w:t>NMP</w:t>
            </w:r>
            <w:r>
              <w:rPr>
                <w:rFonts w:hint="eastAsia" w:ascii="宋体" w:hAnsi="宋体" w:eastAsia="宋体"/>
                <w:color w:val="auto"/>
                <w:sz w:val="24"/>
                <w:szCs w:val="24"/>
              </w:rPr>
              <w:t>罐区、</w:t>
            </w:r>
            <w:r>
              <w:rPr>
                <w:rFonts w:hint="eastAsia" w:ascii="Times New Roman" w:hAnsi="Times New Roman" w:eastAsia="宋体" w:cs="Times New Roman"/>
                <w:color w:val="auto"/>
                <w:sz w:val="24"/>
                <w:szCs w:val="24"/>
                <w:lang w:val="en-US" w:eastAsia="zh-CN"/>
              </w:rPr>
              <w:t>低温电解液仓库</w:t>
            </w:r>
            <w:r>
              <w:rPr>
                <w:rFonts w:hint="eastAsia" w:cs="Times New Roman"/>
                <w:color w:val="auto"/>
                <w:sz w:val="24"/>
                <w:szCs w:val="24"/>
                <w:lang w:val="en-US" w:eastAsia="zh-CN"/>
              </w:rPr>
              <w:t>、NMP暂存间</w:t>
            </w:r>
            <w:r>
              <w:rPr>
                <w:rFonts w:hint="eastAsia" w:ascii="宋体" w:hAnsi="宋体" w:eastAsia="宋体"/>
                <w:color w:val="auto"/>
                <w:sz w:val="24"/>
                <w:szCs w:val="24"/>
              </w:rPr>
              <w:t>及</w:t>
            </w:r>
            <w:r>
              <w:rPr>
                <w:rFonts w:hint="eastAsia" w:cs="Times New Roman"/>
                <w:color w:val="auto"/>
                <w:sz w:val="24"/>
                <w:szCs w:val="24"/>
                <w:lang w:val="en-US" w:eastAsia="zh-CN"/>
              </w:rPr>
              <w:t>危废库</w:t>
            </w:r>
          </w:p>
          <w:p w14:paraId="7B6AD934">
            <w:pPr>
              <w:shd w:val="clear"/>
              <w:spacing w:line="360" w:lineRule="auto"/>
              <w:ind w:firstLine="480" w:firstLineChars="200"/>
              <w:jc w:val="both"/>
              <w:rPr>
                <w:rFonts w:hint="eastAsia" w:ascii="宋体" w:hAnsi="宋体" w:eastAsia="宋体"/>
                <w:color w:val="auto"/>
                <w:sz w:val="24"/>
                <w:szCs w:val="24"/>
                <w:lang w:val="en-US" w:eastAsia="zh-CN"/>
              </w:rPr>
            </w:pPr>
            <w:r>
              <w:rPr>
                <w:rFonts w:hint="eastAsia" w:ascii="宋体" w:hAnsi="宋体" w:eastAsia="宋体"/>
                <w:color w:val="auto"/>
                <w:sz w:val="24"/>
                <w:szCs w:val="24"/>
              </w:rPr>
              <w:t>项目</w:t>
            </w:r>
            <w:r>
              <w:rPr>
                <w:rFonts w:hint="eastAsia" w:ascii="TimesNewRomanPSMT" w:hAnsi="TimesNewRomanPSMT" w:eastAsia="TimesNewRomanPSMT"/>
                <w:color w:val="auto"/>
                <w:sz w:val="24"/>
                <w:szCs w:val="24"/>
              </w:rPr>
              <w:t>NMP</w:t>
            </w:r>
            <w:r>
              <w:rPr>
                <w:rFonts w:hint="eastAsia" w:ascii="宋体" w:hAnsi="宋体" w:eastAsia="宋体"/>
                <w:color w:val="auto"/>
                <w:sz w:val="24"/>
                <w:szCs w:val="24"/>
              </w:rPr>
              <w:t>罐区储存回收的</w:t>
            </w:r>
            <w:r>
              <w:rPr>
                <w:rFonts w:hint="eastAsia" w:ascii="TimesNewRomanPSMT" w:hAnsi="TimesNewRomanPSMT" w:eastAsia="TimesNewRomanPSMT"/>
                <w:color w:val="auto"/>
                <w:sz w:val="24"/>
                <w:szCs w:val="24"/>
              </w:rPr>
              <w:t>NMP</w:t>
            </w:r>
            <w:r>
              <w:rPr>
                <w:rFonts w:hint="eastAsia" w:ascii="宋体" w:hAnsi="宋体" w:eastAsia="宋体"/>
                <w:color w:val="auto"/>
                <w:sz w:val="24"/>
                <w:szCs w:val="24"/>
              </w:rPr>
              <w:t>废液，</w:t>
            </w:r>
            <w:r>
              <w:rPr>
                <w:rFonts w:hint="eastAsia" w:ascii="Times New Roman" w:hAnsi="Times New Roman" w:eastAsia="宋体" w:cs="Times New Roman"/>
                <w:color w:val="auto"/>
                <w:sz w:val="24"/>
                <w:szCs w:val="24"/>
                <w:lang w:val="en-US" w:eastAsia="zh-CN"/>
              </w:rPr>
              <w:t>低温电解液仓库</w:t>
            </w:r>
            <w:r>
              <w:rPr>
                <w:rFonts w:hint="eastAsia" w:ascii="宋体" w:hAnsi="宋体" w:eastAsia="宋体"/>
                <w:color w:val="auto"/>
                <w:sz w:val="24"/>
                <w:szCs w:val="24"/>
              </w:rPr>
              <w:t>储存电解液（密闭桶装）</w:t>
            </w:r>
            <w:r>
              <w:rPr>
                <w:rFonts w:hint="eastAsia" w:ascii="宋体" w:hAnsi="宋体"/>
                <w:color w:val="auto"/>
                <w:sz w:val="24"/>
                <w:szCs w:val="24"/>
                <w:lang w:eastAsia="zh-CN"/>
              </w:rPr>
              <w:t>，</w:t>
            </w:r>
            <w:r>
              <w:rPr>
                <w:rFonts w:hint="default" w:ascii="Times New Roman" w:hAnsi="Times New Roman" w:cs="Times New Roman"/>
                <w:color w:val="auto"/>
                <w:sz w:val="24"/>
                <w:szCs w:val="24"/>
                <w:lang w:val="en-US" w:eastAsia="zh-CN"/>
              </w:rPr>
              <w:t>N</w:t>
            </w:r>
            <w:r>
              <w:rPr>
                <w:rFonts w:hint="default" w:ascii="Times New Roman" w:hAnsi="Times New Roman" w:eastAsia="宋体" w:cs="Times New Roman"/>
                <w:color w:val="auto"/>
                <w:sz w:val="24"/>
                <w:szCs w:val="24"/>
                <w:lang w:val="en-US" w:eastAsia="zh-CN"/>
              </w:rPr>
              <w:t>MP</w:t>
            </w:r>
            <w:r>
              <w:rPr>
                <w:rFonts w:hint="eastAsia" w:ascii="宋体" w:hAnsi="宋体"/>
                <w:color w:val="auto"/>
                <w:sz w:val="24"/>
                <w:szCs w:val="24"/>
                <w:lang w:val="en-US" w:eastAsia="zh-CN"/>
              </w:rPr>
              <w:t>暂存间储存</w:t>
            </w:r>
            <w:r>
              <w:rPr>
                <w:rFonts w:hint="eastAsia" w:ascii="宋体" w:hAnsi="宋体" w:eastAsia="宋体"/>
                <w:color w:val="auto"/>
                <w:sz w:val="24"/>
                <w:szCs w:val="24"/>
              </w:rPr>
              <w:t>溶剂（</w:t>
            </w:r>
            <w:r>
              <w:rPr>
                <w:rFonts w:hint="eastAsia" w:ascii="TimesNewRomanPSMT" w:hAnsi="TimesNewRomanPSMT" w:eastAsia="TimesNewRomanPSMT"/>
                <w:color w:val="auto"/>
                <w:sz w:val="24"/>
                <w:szCs w:val="24"/>
              </w:rPr>
              <w:t>NMP</w:t>
            </w:r>
            <w:r>
              <w:rPr>
                <w:rFonts w:hint="eastAsia" w:ascii="宋体" w:hAnsi="宋体" w:eastAsia="宋体"/>
                <w:color w:val="auto"/>
                <w:sz w:val="24"/>
                <w:szCs w:val="24"/>
              </w:rPr>
              <w:t>）（密闭桶装），</w:t>
            </w:r>
            <w:r>
              <w:rPr>
                <w:rFonts w:hint="eastAsia" w:cs="Times New Roman"/>
                <w:color w:val="auto"/>
                <w:sz w:val="24"/>
                <w:szCs w:val="24"/>
                <w:lang w:val="en-US" w:eastAsia="zh-CN"/>
              </w:rPr>
              <w:t>危废库</w:t>
            </w:r>
            <w:r>
              <w:rPr>
                <w:rFonts w:hint="eastAsia" w:ascii="宋体" w:hAnsi="宋体" w:eastAsia="宋体"/>
                <w:color w:val="auto"/>
                <w:sz w:val="24"/>
                <w:szCs w:val="24"/>
              </w:rPr>
              <w:t>储存废油等。</w:t>
            </w:r>
            <w:r>
              <w:rPr>
                <w:rFonts w:hint="eastAsia" w:ascii="TimesNewRomanPSMT" w:hAnsi="TimesNewRomanPSMT" w:eastAsia="TimesNewRomanPSMT"/>
                <w:color w:val="auto"/>
                <w:sz w:val="24"/>
                <w:szCs w:val="24"/>
              </w:rPr>
              <w:t>NM</w:t>
            </w:r>
            <w:r>
              <w:rPr>
                <w:rFonts w:hint="eastAsia" w:ascii="TimesNewRomanPSMT" w:hAnsi="TimesNewRomanPSMT" w:eastAsia="宋体"/>
                <w:color w:val="auto"/>
                <w:sz w:val="24"/>
                <w:szCs w:val="24"/>
                <w:lang w:val="en-US" w:eastAsia="zh-CN"/>
              </w:rPr>
              <w:t>P</w:t>
            </w:r>
            <w:r>
              <w:rPr>
                <w:rFonts w:hint="eastAsia" w:ascii="宋体" w:hAnsi="宋体" w:eastAsia="宋体"/>
                <w:color w:val="auto"/>
                <w:sz w:val="24"/>
                <w:szCs w:val="24"/>
              </w:rPr>
              <w:t>罐区、</w:t>
            </w:r>
            <w:r>
              <w:rPr>
                <w:rFonts w:hint="eastAsia" w:ascii="Times New Roman" w:hAnsi="Times New Roman" w:eastAsia="宋体" w:cs="Times New Roman"/>
                <w:color w:val="auto"/>
                <w:sz w:val="24"/>
                <w:szCs w:val="24"/>
                <w:lang w:val="en-US" w:eastAsia="zh-CN"/>
              </w:rPr>
              <w:t>低温电解液仓库</w:t>
            </w:r>
            <w:r>
              <w:rPr>
                <w:rFonts w:hint="eastAsia" w:cs="Times New Roman"/>
                <w:color w:val="auto"/>
                <w:sz w:val="24"/>
                <w:szCs w:val="24"/>
                <w:lang w:val="en-US" w:eastAsia="zh-CN"/>
              </w:rPr>
              <w:t>、NMP暂存间</w:t>
            </w:r>
            <w:r>
              <w:rPr>
                <w:rFonts w:hint="eastAsia" w:ascii="宋体" w:hAnsi="宋体" w:eastAsia="宋体"/>
                <w:color w:val="auto"/>
                <w:sz w:val="24"/>
                <w:szCs w:val="24"/>
              </w:rPr>
              <w:t>及</w:t>
            </w:r>
            <w:r>
              <w:rPr>
                <w:rFonts w:hint="eastAsia" w:cs="Times New Roman"/>
                <w:color w:val="auto"/>
                <w:sz w:val="24"/>
                <w:szCs w:val="24"/>
                <w:lang w:val="en-US" w:eastAsia="zh-CN"/>
              </w:rPr>
              <w:t>危废库</w:t>
            </w:r>
            <w:r>
              <w:rPr>
                <w:rFonts w:hint="eastAsia" w:ascii="宋体" w:hAnsi="宋体" w:eastAsia="宋体"/>
                <w:color w:val="auto"/>
                <w:sz w:val="24"/>
                <w:szCs w:val="24"/>
              </w:rPr>
              <w:t>内的储桶发生破裂等可能造成危险化学品的泄漏而引发环境风险事故。</w:t>
            </w:r>
          </w:p>
          <w:p w14:paraId="4D604EAB">
            <w:pPr>
              <w:pStyle w:val="218"/>
              <w:shd w:val="clear"/>
              <w:adjustRightInd/>
              <w:ind w:firstLine="480" w:firstLineChars="200"/>
              <w:jc w:val="both"/>
              <w:rPr>
                <w:rFonts w:hint="eastAsia" w:ascii="宋体" w:hAnsi="宋体" w:eastAsia="宋体"/>
                <w:color w:val="auto"/>
                <w:sz w:val="24"/>
                <w:szCs w:val="24"/>
              </w:rPr>
            </w:pPr>
            <w:r>
              <w:rPr>
                <w:rFonts w:hint="eastAsia" w:cs="Times New Roman"/>
                <w:color w:val="auto"/>
                <w:szCs w:val="24"/>
                <w:lang w:val="en-US" w:eastAsia="zh-CN"/>
              </w:rPr>
              <w:t>③</w:t>
            </w:r>
            <w:r>
              <w:rPr>
                <w:rFonts w:hint="eastAsia" w:ascii="宋体" w:hAnsi="宋体" w:eastAsia="宋体"/>
                <w:color w:val="auto"/>
                <w:sz w:val="24"/>
                <w:szCs w:val="24"/>
              </w:rPr>
              <w:t>污水处理系统区</w:t>
            </w:r>
          </w:p>
          <w:p w14:paraId="0837AB27">
            <w:pPr>
              <w:pStyle w:val="218"/>
              <w:shd w:val="clear"/>
              <w:adjustRightInd/>
              <w:ind w:firstLine="480" w:firstLineChars="200"/>
              <w:jc w:val="both"/>
              <w:rPr>
                <w:rFonts w:hint="eastAsia" w:ascii="宋体" w:hAnsi="宋体" w:eastAsia="宋体"/>
                <w:color w:val="auto"/>
                <w:sz w:val="24"/>
                <w:szCs w:val="24"/>
              </w:rPr>
            </w:pPr>
            <w:r>
              <w:rPr>
                <w:rFonts w:hint="eastAsia" w:ascii="宋体" w:hAnsi="宋体" w:eastAsia="宋体"/>
                <w:color w:val="auto"/>
                <w:sz w:val="24"/>
                <w:szCs w:val="24"/>
              </w:rPr>
              <w:t>污水处理系统废水收集池、处理池发生泄漏，而引发环境风险事故。</w:t>
            </w:r>
          </w:p>
          <w:p w14:paraId="39F5C7F9">
            <w:pPr>
              <w:pStyle w:val="218"/>
              <w:adjustRightInd/>
              <w:ind w:firstLine="480" w:firstLineChars="200"/>
              <w:jc w:val="both"/>
              <w:rPr>
                <w:rFonts w:hint="eastAsia" w:ascii="宋体" w:hAnsi="宋体" w:eastAsia="宋体"/>
                <w:color w:val="auto"/>
                <w:sz w:val="24"/>
                <w:szCs w:val="24"/>
                <w:lang w:val="en-US" w:eastAsia="zh-CN"/>
              </w:rPr>
            </w:pPr>
            <w:r>
              <w:rPr>
                <w:rFonts w:hint="eastAsia" w:ascii="宋体" w:hAnsi="宋体" w:eastAsia="宋体"/>
                <w:color w:val="auto"/>
                <w:sz w:val="24"/>
                <w:szCs w:val="24"/>
                <w:lang w:val="en-US" w:eastAsia="zh-CN"/>
              </w:rPr>
              <w:t>④废气处理系统</w:t>
            </w:r>
          </w:p>
          <w:p w14:paraId="164DCDF7">
            <w:pPr>
              <w:pStyle w:val="218"/>
              <w:adjustRightInd/>
              <w:ind w:firstLine="480" w:firstLineChars="200"/>
              <w:jc w:val="both"/>
              <w:rPr>
                <w:rFonts w:hint="eastAsia" w:ascii="宋体" w:hAnsi="宋体" w:eastAsia="宋体"/>
                <w:color w:val="auto"/>
                <w:sz w:val="24"/>
                <w:szCs w:val="24"/>
              </w:rPr>
            </w:pPr>
            <w:r>
              <w:rPr>
                <w:rFonts w:hint="eastAsia" w:ascii="宋体" w:hAnsi="宋体" w:eastAsia="宋体"/>
                <w:color w:val="auto"/>
                <w:sz w:val="24"/>
                <w:szCs w:val="24"/>
              </w:rPr>
              <w:t>当废气设施非正常排放，产生的废气将直接排入大气中，从而对周围的大气环境产生较大的影响，引发环境风险事故。</w:t>
            </w:r>
          </w:p>
          <w:p w14:paraId="40A67733">
            <w:pPr>
              <w:pStyle w:val="218"/>
              <w:adjustRightInd/>
              <w:ind w:firstLine="480" w:firstLineChars="200"/>
              <w:jc w:val="both"/>
              <w:rPr>
                <w:rFonts w:hint="eastAsia" w:ascii="宋体" w:hAnsi="宋体" w:eastAsia="宋体"/>
                <w:color w:val="auto"/>
                <w:sz w:val="24"/>
                <w:szCs w:val="24"/>
                <w:lang w:val="en-US" w:eastAsia="zh-CN"/>
              </w:rPr>
            </w:pPr>
            <w:r>
              <w:rPr>
                <w:rFonts w:hint="default" w:ascii="Times New Roman" w:hAnsi="Times New Roman" w:eastAsia="宋体" w:cs="Times New Roman"/>
                <w:color w:val="auto"/>
                <w:sz w:val="24"/>
                <w:szCs w:val="24"/>
                <w:lang w:val="en-US" w:eastAsia="zh-CN"/>
              </w:rPr>
              <w:t>3</w:t>
            </w:r>
            <w:r>
              <w:rPr>
                <w:rFonts w:hint="eastAsia" w:ascii="宋体" w:hAnsi="宋体" w:eastAsia="宋体"/>
                <w:color w:val="auto"/>
                <w:sz w:val="24"/>
                <w:szCs w:val="24"/>
                <w:lang w:val="en-US" w:eastAsia="zh-CN"/>
              </w:rPr>
              <w:t>）环境风险类型及危害分析</w:t>
            </w:r>
          </w:p>
          <w:p w14:paraId="0F3A7EF0">
            <w:pPr>
              <w:pStyle w:val="218"/>
              <w:adjustRightInd/>
              <w:ind w:firstLine="480" w:firstLineChars="200"/>
              <w:jc w:val="both"/>
              <w:rPr>
                <w:rFonts w:hint="eastAsia" w:ascii="宋体" w:hAnsi="宋体" w:eastAsia="宋体"/>
                <w:color w:val="auto"/>
                <w:sz w:val="24"/>
                <w:szCs w:val="24"/>
                <w:lang w:eastAsia="zh-CN"/>
              </w:rPr>
            </w:pPr>
            <w:r>
              <w:rPr>
                <w:rFonts w:hint="eastAsia" w:ascii="宋体" w:hAnsi="宋体" w:eastAsia="宋体"/>
                <w:color w:val="auto"/>
                <w:sz w:val="24"/>
                <w:szCs w:val="24"/>
              </w:rPr>
              <w:t>本项目可能的风险类型有泄漏、火灾及事故排放等</w:t>
            </w:r>
            <w:r>
              <w:rPr>
                <w:rFonts w:hint="eastAsia" w:ascii="宋体" w:hAnsi="宋体" w:eastAsia="宋体"/>
                <w:color w:val="auto"/>
                <w:sz w:val="24"/>
                <w:szCs w:val="24"/>
                <w:lang w:eastAsia="zh-CN"/>
              </w:rPr>
              <w:t>。</w:t>
            </w:r>
          </w:p>
          <w:p w14:paraId="3E923855">
            <w:pPr>
              <w:pStyle w:val="218"/>
              <w:adjustRightInd/>
              <w:ind w:firstLine="480" w:firstLineChars="200"/>
              <w:jc w:val="both"/>
              <w:rPr>
                <w:rFonts w:hint="eastAsia" w:ascii="宋体" w:hAnsi="宋体" w:eastAsia="宋体"/>
                <w:color w:val="auto"/>
                <w:sz w:val="24"/>
                <w:szCs w:val="24"/>
                <w:lang w:val="en-US" w:eastAsia="zh-CN"/>
              </w:rPr>
            </w:pPr>
            <w:r>
              <w:rPr>
                <w:rFonts w:hint="default" w:ascii="Times New Roman" w:hAnsi="Times New Roman" w:eastAsia="宋体" w:cs="Times New Roman"/>
                <w:color w:val="auto"/>
                <w:sz w:val="24"/>
                <w:szCs w:val="24"/>
                <w:lang w:val="en-US" w:eastAsia="zh-CN"/>
              </w:rPr>
              <w:t>4</w:t>
            </w:r>
            <w:r>
              <w:rPr>
                <w:rFonts w:hint="eastAsia" w:ascii="宋体" w:hAnsi="宋体" w:eastAsia="宋体"/>
                <w:color w:val="auto"/>
                <w:sz w:val="24"/>
                <w:szCs w:val="24"/>
                <w:lang w:val="en-US" w:eastAsia="zh-CN"/>
              </w:rPr>
              <w:t>）事故影响途径</w:t>
            </w:r>
          </w:p>
          <w:p w14:paraId="21415CD5">
            <w:pPr>
              <w:pStyle w:val="218"/>
              <w:adjustRightInd/>
              <w:ind w:firstLine="480" w:firstLineChars="200"/>
              <w:jc w:val="both"/>
              <w:rPr>
                <w:rFonts w:hint="eastAsia" w:ascii="宋体" w:hAnsi="宋体" w:eastAsia="宋体"/>
                <w:color w:val="auto"/>
                <w:sz w:val="24"/>
                <w:szCs w:val="24"/>
              </w:rPr>
            </w:pPr>
            <w:r>
              <w:rPr>
                <w:rFonts w:hint="eastAsia" w:ascii="宋体" w:hAnsi="宋体" w:eastAsia="宋体"/>
                <w:color w:val="auto"/>
                <w:sz w:val="24"/>
                <w:szCs w:val="24"/>
              </w:rPr>
              <w:t>有毒有害原料在泄漏时，如果能及时对泄漏的物料进行收集，则可避免对环境造成污染，如果收集不及时，泄漏物料因蒸发进入大气，部分随地表径流进入地表水体，甚至会渗透进入土壤和地下水环境造成污染。</w:t>
            </w:r>
          </w:p>
          <w:p w14:paraId="2F906979">
            <w:pPr>
              <w:pStyle w:val="218"/>
              <w:adjustRightInd/>
              <w:ind w:firstLine="480" w:firstLineChars="200"/>
              <w:jc w:val="both"/>
              <w:rPr>
                <w:rFonts w:hint="eastAsia" w:ascii="宋体" w:hAnsi="宋体" w:eastAsia="宋体"/>
                <w:color w:val="auto"/>
                <w:sz w:val="24"/>
                <w:szCs w:val="24"/>
              </w:rPr>
            </w:pPr>
            <w:r>
              <w:rPr>
                <w:rFonts w:hint="eastAsia" w:ascii="宋体" w:hAnsi="宋体" w:eastAsia="宋体"/>
                <w:color w:val="auto"/>
                <w:sz w:val="24"/>
                <w:szCs w:val="24"/>
              </w:rPr>
              <w:t>本项目化学品存放区域地面均进行防渗处理，可防止泄漏的液体径流至厂房外以及渗入土壤和地下水。因此泄漏事故主要扩散途径为液体泄漏至房内地面，因蒸发进入大气，对大气环境造成污染。</w:t>
            </w:r>
          </w:p>
          <w:p w14:paraId="01D76232">
            <w:pPr>
              <w:pStyle w:val="218"/>
              <w:adjustRightInd/>
              <w:ind w:firstLine="480" w:firstLineChars="200"/>
              <w:jc w:val="both"/>
              <w:rPr>
                <w:rFonts w:hint="eastAsia" w:ascii="宋体" w:hAnsi="宋体" w:eastAsia="宋体"/>
                <w:color w:val="auto"/>
                <w:sz w:val="24"/>
                <w:szCs w:val="24"/>
              </w:rPr>
            </w:pPr>
            <w:r>
              <w:rPr>
                <w:rFonts w:hint="eastAsia" w:ascii="宋体" w:hAnsi="宋体" w:eastAsia="宋体"/>
                <w:color w:val="auto"/>
                <w:sz w:val="24"/>
                <w:szCs w:val="24"/>
              </w:rPr>
              <w:t>对于火灾燃烧事故，燃烧后次生的主要分解产物</w:t>
            </w:r>
            <w:r>
              <w:rPr>
                <w:rFonts w:hint="eastAsia" w:ascii="TimesNewRomanPSMT" w:hAnsi="TimesNewRomanPSMT" w:eastAsia="TimesNewRomanPSMT"/>
                <w:color w:val="auto"/>
                <w:sz w:val="24"/>
                <w:szCs w:val="24"/>
              </w:rPr>
              <w:t>CO</w:t>
            </w:r>
            <w:r>
              <w:rPr>
                <w:rFonts w:hint="eastAsia" w:ascii="宋体" w:hAnsi="宋体" w:eastAsia="宋体"/>
                <w:color w:val="auto"/>
                <w:sz w:val="24"/>
                <w:szCs w:val="24"/>
              </w:rPr>
              <w:t>，也可能导致人群中毒、窒息甚至死亡。对此，建设单位需制定严格的规章制度，厂区内严禁明火；原料、危险废物分别储存于相应的专用区域并采取防渗措施。</w:t>
            </w:r>
          </w:p>
          <w:p w14:paraId="12CBB060">
            <w:pPr>
              <w:pStyle w:val="218"/>
              <w:adjustRightInd/>
              <w:ind w:firstLine="480" w:firstLineChars="200"/>
              <w:jc w:val="both"/>
              <w:rPr>
                <w:rFonts w:hint="eastAsia" w:ascii="宋体" w:hAnsi="宋体" w:eastAsia="宋体"/>
                <w:color w:val="auto"/>
                <w:sz w:val="24"/>
                <w:szCs w:val="24"/>
                <w:lang w:eastAsia="zh-CN"/>
              </w:rPr>
            </w:pPr>
            <w:r>
              <w:rPr>
                <w:rFonts w:hint="eastAsia" w:ascii="宋体" w:hAnsi="宋体" w:eastAsia="宋体"/>
                <w:color w:val="auto"/>
                <w:sz w:val="24"/>
                <w:szCs w:val="24"/>
              </w:rPr>
              <w:t>对于废气治理设施的事故排放，应加强废气治理设施的定期维修并设置事故应急池</w:t>
            </w:r>
            <w:r>
              <w:rPr>
                <w:rFonts w:hint="eastAsia" w:ascii="宋体" w:hAnsi="宋体" w:eastAsia="宋体"/>
                <w:color w:val="auto"/>
                <w:sz w:val="24"/>
                <w:szCs w:val="24"/>
                <w:lang w:eastAsia="zh-CN"/>
              </w:rPr>
              <w:t>。</w:t>
            </w:r>
          </w:p>
          <w:p w14:paraId="2C2F5EF0">
            <w:pPr>
              <w:pStyle w:val="218"/>
              <w:adjustRightInd/>
              <w:ind w:firstLine="480" w:firstLineChars="200"/>
              <w:jc w:val="both"/>
              <w:rPr>
                <w:rFonts w:hint="eastAsia" w:ascii="宋体" w:hAnsi="宋体" w:eastAsia="宋体"/>
                <w:color w:val="auto"/>
                <w:sz w:val="24"/>
                <w:szCs w:val="24"/>
                <w:lang w:val="en-US" w:eastAsia="zh-CN"/>
              </w:rPr>
            </w:pPr>
            <w:r>
              <w:rPr>
                <w:rFonts w:hint="default" w:ascii="Times New Roman" w:hAnsi="Times New Roman" w:eastAsia="宋体" w:cs="Times New Roman"/>
                <w:color w:val="auto"/>
                <w:sz w:val="24"/>
                <w:szCs w:val="24"/>
                <w:lang w:val="en-US" w:eastAsia="zh-CN"/>
              </w:rPr>
              <w:t>5</w:t>
            </w:r>
            <w:r>
              <w:rPr>
                <w:rFonts w:hint="eastAsia" w:ascii="宋体" w:hAnsi="宋体" w:eastAsia="宋体"/>
                <w:color w:val="auto"/>
                <w:sz w:val="24"/>
                <w:szCs w:val="24"/>
                <w:lang w:val="en-US" w:eastAsia="zh-CN"/>
              </w:rPr>
              <w:t>）识别结果</w:t>
            </w:r>
          </w:p>
          <w:p w14:paraId="4A2965E0">
            <w:pPr>
              <w:pStyle w:val="218"/>
              <w:adjustRightInd/>
              <w:ind w:firstLine="480" w:firstLineChars="200"/>
              <w:jc w:val="both"/>
              <w:rPr>
                <w:rFonts w:hint="eastAsia" w:ascii="宋体" w:hAnsi="宋体" w:eastAsia="宋体"/>
                <w:color w:val="auto"/>
                <w:sz w:val="24"/>
                <w:szCs w:val="24"/>
                <w:lang w:val="en-US" w:eastAsia="zh-CN"/>
              </w:rPr>
            </w:pPr>
            <w:r>
              <w:rPr>
                <w:rFonts w:hint="eastAsia" w:ascii="宋体" w:hAnsi="宋体" w:eastAsia="宋体"/>
                <w:color w:val="auto"/>
                <w:sz w:val="24"/>
                <w:szCs w:val="24"/>
                <w:lang w:val="en-US" w:eastAsia="zh-CN"/>
              </w:rPr>
              <w:t>本项目风险识别及主要危险单元详见下表。</w:t>
            </w:r>
          </w:p>
          <w:p w14:paraId="6261BC6F">
            <w:pPr>
              <w:pStyle w:val="218"/>
              <w:adjustRightInd/>
              <w:spacing w:line="240" w:lineRule="auto"/>
              <w:ind w:left="0" w:leftChars="0" w:firstLine="0" w:firstLineChars="0"/>
              <w:jc w:val="center"/>
              <w:rPr>
                <w:rFonts w:hint="default" w:ascii="Times New Roman" w:hAnsi="Times New Roman" w:eastAsia="宋体" w:cs="Times New Roman"/>
                <w:b/>
                <w:bCs/>
                <w:color w:val="auto"/>
                <w:sz w:val="21"/>
                <w:szCs w:val="21"/>
                <w:lang w:val="en-US" w:eastAsia="zh-CN"/>
              </w:rPr>
            </w:pPr>
            <w:r>
              <w:rPr>
                <w:rFonts w:hint="default" w:ascii="Times New Roman" w:hAnsi="Times New Roman" w:eastAsia="宋体" w:cs="Times New Roman"/>
                <w:b/>
                <w:bCs/>
                <w:color w:val="auto"/>
                <w:sz w:val="21"/>
                <w:szCs w:val="21"/>
                <w:lang w:val="en-US" w:eastAsia="zh-CN"/>
              </w:rPr>
              <w:t>表4-</w:t>
            </w:r>
            <w:r>
              <w:rPr>
                <w:rFonts w:hint="eastAsia" w:cs="Times New Roman"/>
                <w:b/>
                <w:bCs/>
                <w:color w:val="auto"/>
                <w:sz w:val="21"/>
                <w:szCs w:val="21"/>
                <w:lang w:val="en-US" w:eastAsia="zh-CN"/>
              </w:rPr>
              <w:t>25</w:t>
            </w:r>
            <w:r>
              <w:rPr>
                <w:rFonts w:hint="default" w:ascii="Times New Roman" w:hAnsi="Times New Roman" w:eastAsia="宋体" w:cs="Times New Roman"/>
                <w:b/>
                <w:bCs/>
                <w:color w:val="auto"/>
                <w:sz w:val="21"/>
                <w:szCs w:val="21"/>
                <w:lang w:val="en-US" w:eastAsia="zh-CN"/>
              </w:rPr>
              <w:t xml:space="preserve"> 项目环境风险识别表</w:t>
            </w:r>
          </w:p>
          <w:tbl>
            <w:tblPr>
              <w:tblStyle w:val="42"/>
              <w:tblW w:w="7956" w:type="dxa"/>
              <w:tblInd w:w="5"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466"/>
              <w:gridCol w:w="895"/>
              <w:gridCol w:w="1151"/>
              <w:gridCol w:w="1705"/>
              <w:gridCol w:w="1364"/>
              <w:gridCol w:w="1036"/>
              <w:gridCol w:w="1339"/>
            </w:tblGrid>
            <w:tr w14:paraId="78CFBBD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66" w:type="dxa"/>
                  <w:vAlign w:val="center"/>
                </w:tcPr>
                <w:p w14:paraId="34D0BCC6">
                  <w:pPr>
                    <w:pStyle w:val="70"/>
                    <w:spacing w:line="240" w:lineRule="auto"/>
                    <w:rPr>
                      <w:rFonts w:hint="default" w:ascii="Times New Roman" w:hAnsi="Times New Roman" w:eastAsia="宋体" w:cs="Times New Roman"/>
                      <w:b/>
                      <w:color w:val="auto"/>
                      <w:sz w:val="21"/>
                      <w:szCs w:val="21"/>
                      <w:lang w:val="en-US" w:eastAsia="zh-CN"/>
                    </w:rPr>
                  </w:pPr>
                  <w:r>
                    <w:rPr>
                      <w:rFonts w:hint="eastAsia" w:ascii="Times New Roman" w:hAnsi="Times New Roman" w:eastAsia="宋体" w:cs="Times New Roman"/>
                      <w:b/>
                      <w:color w:val="auto"/>
                      <w:sz w:val="21"/>
                      <w:szCs w:val="21"/>
                      <w:lang w:val="en-US" w:eastAsia="zh-CN"/>
                    </w:rPr>
                    <w:t>序号</w:t>
                  </w:r>
                </w:p>
              </w:tc>
              <w:tc>
                <w:tcPr>
                  <w:tcW w:w="895" w:type="dxa"/>
                  <w:vAlign w:val="center"/>
                </w:tcPr>
                <w:p w14:paraId="04F69EC3">
                  <w:pPr>
                    <w:pStyle w:val="70"/>
                    <w:spacing w:line="240" w:lineRule="auto"/>
                    <w:rPr>
                      <w:rFonts w:hint="default" w:ascii="Times New Roman" w:hAnsi="Times New Roman" w:eastAsia="宋体" w:cs="Times New Roman"/>
                      <w:b/>
                      <w:color w:val="auto"/>
                      <w:sz w:val="21"/>
                      <w:szCs w:val="21"/>
                      <w:lang w:val="en-US" w:eastAsia="zh-CN"/>
                    </w:rPr>
                  </w:pPr>
                  <w:r>
                    <w:rPr>
                      <w:rFonts w:hint="eastAsia" w:ascii="Times New Roman" w:hAnsi="Times New Roman" w:eastAsia="宋体" w:cs="Times New Roman"/>
                      <w:b/>
                      <w:color w:val="auto"/>
                      <w:sz w:val="21"/>
                      <w:szCs w:val="21"/>
                      <w:lang w:val="en-US" w:eastAsia="zh-CN"/>
                    </w:rPr>
                    <w:t>危险单元</w:t>
                  </w:r>
                </w:p>
              </w:tc>
              <w:tc>
                <w:tcPr>
                  <w:tcW w:w="1151" w:type="dxa"/>
                  <w:vAlign w:val="center"/>
                </w:tcPr>
                <w:p w14:paraId="5235B27F">
                  <w:pPr>
                    <w:pStyle w:val="70"/>
                    <w:spacing w:line="240" w:lineRule="auto"/>
                    <w:rPr>
                      <w:rFonts w:hint="default" w:ascii="Times New Roman" w:hAnsi="Times New Roman" w:eastAsia="宋体" w:cs="Times New Roman"/>
                      <w:b/>
                      <w:color w:val="auto"/>
                      <w:sz w:val="21"/>
                      <w:szCs w:val="21"/>
                      <w:lang w:val="en-US" w:eastAsia="zh-CN"/>
                    </w:rPr>
                  </w:pPr>
                  <w:r>
                    <w:rPr>
                      <w:rFonts w:hint="eastAsia" w:ascii="Times New Roman" w:hAnsi="Times New Roman" w:eastAsia="宋体" w:cs="Times New Roman"/>
                      <w:b/>
                      <w:color w:val="auto"/>
                      <w:sz w:val="21"/>
                      <w:szCs w:val="21"/>
                      <w:lang w:val="en-US" w:eastAsia="zh-CN"/>
                    </w:rPr>
                    <w:t>风险源</w:t>
                  </w:r>
                </w:p>
              </w:tc>
              <w:tc>
                <w:tcPr>
                  <w:tcW w:w="1705" w:type="dxa"/>
                  <w:vAlign w:val="center"/>
                </w:tcPr>
                <w:p w14:paraId="0F3FC02D">
                  <w:pPr>
                    <w:pStyle w:val="70"/>
                    <w:spacing w:line="240" w:lineRule="auto"/>
                    <w:rPr>
                      <w:rFonts w:hint="default" w:ascii="Times New Roman" w:hAnsi="Times New Roman" w:eastAsia="宋体" w:cs="Times New Roman"/>
                      <w:b/>
                      <w:color w:val="auto"/>
                      <w:sz w:val="21"/>
                      <w:szCs w:val="21"/>
                      <w:lang w:val="en-US" w:eastAsia="zh-CN"/>
                    </w:rPr>
                  </w:pPr>
                  <w:r>
                    <w:rPr>
                      <w:rFonts w:hint="eastAsia" w:ascii="Times New Roman" w:hAnsi="Times New Roman" w:eastAsia="宋体" w:cs="Times New Roman"/>
                      <w:b/>
                      <w:color w:val="auto"/>
                      <w:sz w:val="21"/>
                      <w:szCs w:val="21"/>
                      <w:lang w:val="en-US" w:eastAsia="zh-CN"/>
                    </w:rPr>
                    <w:t>主要危险物质</w:t>
                  </w:r>
                </w:p>
              </w:tc>
              <w:tc>
                <w:tcPr>
                  <w:tcW w:w="1364" w:type="dxa"/>
                  <w:vAlign w:val="center"/>
                </w:tcPr>
                <w:p w14:paraId="00DE1C41">
                  <w:pPr>
                    <w:pStyle w:val="70"/>
                    <w:spacing w:line="240" w:lineRule="auto"/>
                    <w:rPr>
                      <w:rFonts w:hint="default" w:ascii="Times New Roman" w:hAnsi="Times New Roman" w:eastAsia="宋体" w:cs="Times New Roman"/>
                      <w:b/>
                      <w:color w:val="auto"/>
                      <w:sz w:val="21"/>
                      <w:szCs w:val="21"/>
                      <w:lang w:val="en-US" w:eastAsia="zh-CN"/>
                    </w:rPr>
                  </w:pPr>
                  <w:r>
                    <w:rPr>
                      <w:rFonts w:hint="eastAsia" w:ascii="Times New Roman" w:hAnsi="Times New Roman" w:eastAsia="宋体" w:cs="Times New Roman"/>
                      <w:b/>
                      <w:color w:val="auto"/>
                      <w:sz w:val="21"/>
                      <w:szCs w:val="21"/>
                      <w:lang w:val="en-US" w:eastAsia="zh-CN"/>
                    </w:rPr>
                    <w:t>环境风险类型</w:t>
                  </w:r>
                </w:p>
              </w:tc>
              <w:tc>
                <w:tcPr>
                  <w:tcW w:w="1036" w:type="dxa"/>
                  <w:vAlign w:val="center"/>
                </w:tcPr>
                <w:p w14:paraId="3C2A147E">
                  <w:pPr>
                    <w:pStyle w:val="70"/>
                    <w:spacing w:line="240" w:lineRule="auto"/>
                    <w:rPr>
                      <w:rFonts w:hint="default" w:ascii="Times New Roman" w:hAnsi="Times New Roman" w:eastAsia="宋体" w:cs="Times New Roman"/>
                      <w:b/>
                      <w:color w:val="auto"/>
                      <w:sz w:val="21"/>
                      <w:szCs w:val="21"/>
                      <w:lang w:val="en-US" w:eastAsia="zh-CN"/>
                    </w:rPr>
                  </w:pPr>
                  <w:r>
                    <w:rPr>
                      <w:rFonts w:hint="eastAsia" w:ascii="Times New Roman" w:hAnsi="Times New Roman" w:eastAsia="宋体" w:cs="Times New Roman"/>
                      <w:b/>
                      <w:color w:val="auto"/>
                      <w:sz w:val="21"/>
                      <w:szCs w:val="21"/>
                      <w:lang w:val="en-US" w:eastAsia="zh-CN"/>
                    </w:rPr>
                    <w:t>主要环境影响途径</w:t>
                  </w:r>
                </w:p>
              </w:tc>
              <w:tc>
                <w:tcPr>
                  <w:tcW w:w="1339" w:type="dxa"/>
                  <w:vAlign w:val="center"/>
                </w:tcPr>
                <w:p w14:paraId="0483E9AA">
                  <w:pPr>
                    <w:pStyle w:val="70"/>
                    <w:spacing w:line="240" w:lineRule="auto"/>
                    <w:rPr>
                      <w:rFonts w:hint="default" w:ascii="Times New Roman" w:hAnsi="Times New Roman" w:eastAsia="宋体" w:cs="Times New Roman"/>
                      <w:b/>
                      <w:color w:val="auto"/>
                      <w:sz w:val="21"/>
                      <w:szCs w:val="21"/>
                      <w:lang w:val="en-US" w:eastAsia="zh-CN"/>
                    </w:rPr>
                  </w:pPr>
                  <w:r>
                    <w:rPr>
                      <w:rFonts w:hint="eastAsia" w:ascii="Times New Roman" w:hAnsi="Times New Roman" w:eastAsia="宋体" w:cs="Times New Roman"/>
                      <w:b/>
                      <w:color w:val="auto"/>
                      <w:sz w:val="21"/>
                      <w:szCs w:val="21"/>
                      <w:lang w:val="en-US" w:eastAsia="zh-CN"/>
                    </w:rPr>
                    <w:t>可能受影响的环境敏感目标</w:t>
                  </w:r>
                </w:p>
              </w:tc>
            </w:tr>
            <w:tr w14:paraId="2F18276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66" w:type="dxa"/>
                  <w:vAlign w:val="center"/>
                </w:tcPr>
                <w:p w14:paraId="2C8AFC1F">
                  <w:pPr>
                    <w:pStyle w:val="70"/>
                    <w:spacing w:line="240" w:lineRule="auto"/>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1</w:t>
                  </w:r>
                </w:p>
              </w:tc>
              <w:tc>
                <w:tcPr>
                  <w:tcW w:w="895" w:type="dxa"/>
                  <w:vAlign w:val="center"/>
                </w:tcPr>
                <w:p w14:paraId="3B83D470">
                  <w:pPr>
                    <w:pStyle w:val="70"/>
                    <w:spacing w:line="240" w:lineRule="auto"/>
                    <w:jc w:val="center"/>
                    <w:rPr>
                      <w:rFonts w:hint="default" w:ascii="Times New Roman" w:hAnsi="Times New Roman" w:eastAsia="宋体" w:cs="Times New Roman"/>
                      <w:color w:val="auto"/>
                      <w:sz w:val="21"/>
                      <w:szCs w:val="21"/>
                      <w:lang w:val="en-US" w:eastAsia="zh-CN"/>
                    </w:rPr>
                  </w:pPr>
                  <w:r>
                    <w:rPr>
                      <w:rFonts w:hint="eastAsia" w:ascii="TimesNewRomanPSMT" w:hAnsi="TimesNewRomanPSMT" w:eastAsia="TimesNewRomanPSMT"/>
                      <w:color w:val="auto"/>
                      <w:sz w:val="21"/>
                      <w:szCs w:val="24"/>
                    </w:rPr>
                    <w:t>NMP</w:t>
                  </w:r>
                  <w:r>
                    <w:rPr>
                      <w:rFonts w:hint="eastAsia" w:ascii="宋体" w:hAnsi="宋体" w:eastAsia="宋体"/>
                      <w:color w:val="auto"/>
                      <w:sz w:val="21"/>
                      <w:szCs w:val="24"/>
                    </w:rPr>
                    <w:t>储罐区</w:t>
                  </w:r>
                </w:p>
              </w:tc>
              <w:tc>
                <w:tcPr>
                  <w:tcW w:w="1151" w:type="dxa"/>
                  <w:vAlign w:val="center"/>
                </w:tcPr>
                <w:p w14:paraId="476CCB09">
                  <w:pPr>
                    <w:pStyle w:val="70"/>
                    <w:spacing w:line="240" w:lineRule="auto"/>
                    <w:jc w:val="center"/>
                    <w:rPr>
                      <w:rFonts w:hint="default" w:ascii="Times New Roman" w:hAnsi="Times New Roman" w:eastAsia="宋体" w:cs="Times New Roman"/>
                      <w:color w:val="auto"/>
                      <w:sz w:val="21"/>
                      <w:szCs w:val="21"/>
                      <w:lang w:val="en-US" w:eastAsia="zh-CN"/>
                    </w:rPr>
                  </w:pPr>
                  <w:r>
                    <w:rPr>
                      <w:rFonts w:hint="eastAsia" w:ascii="TimesNewRomanPSMT" w:hAnsi="TimesNewRomanPSMT" w:eastAsia="TimesNewRomanPSMT"/>
                      <w:color w:val="auto"/>
                      <w:sz w:val="21"/>
                      <w:szCs w:val="24"/>
                    </w:rPr>
                    <w:t>NMP</w:t>
                  </w:r>
                  <w:r>
                    <w:rPr>
                      <w:rFonts w:hint="eastAsia" w:ascii="TimesNewRomanPSMT" w:hAnsi="TimesNewRomanPSMT" w:eastAsia="宋体"/>
                      <w:color w:val="auto"/>
                      <w:sz w:val="21"/>
                      <w:szCs w:val="24"/>
                      <w:lang w:val="en-US" w:eastAsia="zh-CN"/>
                    </w:rPr>
                    <w:t>回收</w:t>
                  </w:r>
                  <w:r>
                    <w:rPr>
                      <w:rFonts w:hint="eastAsia" w:ascii="宋体" w:hAnsi="宋体" w:eastAsia="宋体"/>
                      <w:color w:val="auto"/>
                      <w:sz w:val="21"/>
                      <w:szCs w:val="24"/>
                    </w:rPr>
                    <w:t>储罐</w:t>
                  </w:r>
                </w:p>
              </w:tc>
              <w:tc>
                <w:tcPr>
                  <w:tcW w:w="1705" w:type="dxa"/>
                  <w:vAlign w:val="center"/>
                </w:tcPr>
                <w:p w14:paraId="12A88ACB">
                  <w:pPr>
                    <w:pStyle w:val="70"/>
                    <w:spacing w:line="240" w:lineRule="auto"/>
                    <w:jc w:val="center"/>
                    <w:rPr>
                      <w:rFonts w:hint="default" w:ascii="Times New Roman" w:hAnsi="Times New Roman" w:eastAsia="宋体" w:cs="Times New Roman"/>
                      <w:color w:val="auto"/>
                      <w:sz w:val="21"/>
                      <w:szCs w:val="21"/>
                      <w:lang w:val="en-US" w:eastAsia="zh-CN"/>
                    </w:rPr>
                  </w:pPr>
                  <w:r>
                    <w:rPr>
                      <w:rFonts w:hint="eastAsia" w:ascii="宋体" w:hAnsi="宋体" w:eastAsia="宋体"/>
                      <w:color w:val="auto"/>
                      <w:sz w:val="21"/>
                      <w:szCs w:val="24"/>
                    </w:rPr>
                    <w:t>回收的废</w:t>
                  </w:r>
                  <w:r>
                    <w:rPr>
                      <w:rFonts w:hint="eastAsia" w:ascii="TimesNewRomanPSMT" w:hAnsi="TimesNewRomanPSMT" w:eastAsia="TimesNewRomanPSMT"/>
                      <w:color w:val="auto"/>
                      <w:sz w:val="21"/>
                      <w:szCs w:val="24"/>
                    </w:rPr>
                    <w:t>NMP</w:t>
                  </w:r>
                  <w:r>
                    <w:rPr>
                      <w:rFonts w:hint="eastAsia" w:ascii="宋体" w:hAnsi="宋体" w:eastAsia="宋体"/>
                      <w:color w:val="auto"/>
                      <w:sz w:val="21"/>
                      <w:szCs w:val="24"/>
                    </w:rPr>
                    <w:t>溶液</w:t>
                  </w:r>
                </w:p>
              </w:tc>
              <w:tc>
                <w:tcPr>
                  <w:tcW w:w="1364" w:type="dxa"/>
                  <w:vMerge w:val="restart"/>
                  <w:vAlign w:val="center"/>
                </w:tcPr>
                <w:p w14:paraId="6785146C">
                  <w:pPr>
                    <w:pStyle w:val="70"/>
                    <w:spacing w:line="240" w:lineRule="auto"/>
                    <w:jc w:val="center"/>
                    <w:rPr>
                      <w:rFonts w:hint="default" w:ascii="Times New Roman" w:hAnsi="Times New Roman" w:eastAsia="宋体" w:cs="Times New Roman"/>
                      <w:color w:val="auto"/>
                      <w:sz w:val="21"/>
                      <w:szCs w:val="21"/>
                      <w:lang w:val="en-US" w:eastAsia="zh-CN"/>
                    </w:rPr>
                  </w:pPr>
                  <w:r>
                    <w:rPr>
                      <w:rFonts w:hint="eastAsia" w:ascii="宋体" w:hAnsi="宋体" w:eastAsia="宋体"/>
                      <w:color w:val="auto"/>
                      <w:sz w:val="21"/>
                      <w:szCs w:val="24"/>
                    </w:rPr>
                    <w:t>泄漏、火灾、爆炸事故产生的衍生大气环境污染事故</w:t>
                  </w:r>
                </w:p>
              </w:tc>
              <w:tc>
                <w:tcPr>
                  <w:tcW w:w="1036" w:type="dxa"/>
                  <w:vMerge w:val="restart"/>
                  <w:vAlign w:val="center"/>
                </w:tcPr>
                <w:p w14:paraId="2EDE17F2">
                  <w:pPr>
                    <w:pStyle w:val="70"/>
                    <w:spacing w:line="240" w:lineRule="auto"/>
                    <w:jc w:val="center"/>
                    <w:rPr>
                      <w:rFonts w:hint="default" w:ascii="Times New Roman" w:hAnsi="Times New Roman" w:eastAsia="宋体" w:cs="Times New Roman"/>
                      <w:color w:val="auto"/>
                      <w:sz w:val="21"/>
                      <w:szCs w:val="21"/>
                      <w:lang w:val="en-US" w:eastAsia="zh-CN"/>
                    </w:rPr>
                  </w:pPr>
                  <w:r>
                    <w:rPr>
                      <w:rFonts w:hint="eastAsia" w:ascii="宋体" w:hAnsi="宋体" w:eastAsia="宋体"/>
                      <w:color w:val="auto"/>
                      <w:sz w:val="21"/>
                      <w:szCs w:val="24"/>
                    </w:rPr>
                    <w:t>大气、地表水、地下水、水、</w:t>
                  </w:r>
                </w:p>
              </w:tc>
              <w:tc>
                <w:tcPr>
                  <w:tcW w:w="1339" w:type="dxa"/>
                  <w:vMerge w:val="restart"/>
                  <w:vAlign w:val="center"/>
                </w:tcPr>
                <w:p w14:paraId="5F0221F8">
                  <w:pPr>
                    <w:pStyle w:val="70"/>
                    <w:spacing w:line="240" w:lineRule="auto"/>
                    <w:jc w:val="center"/>
                    <w:rPr>
                      <w:rFonts w:hint="default" w:ascii="Times New Roman" w:hAnsi="Times New Roman" w:eastAsia="宋体" w:cs="Times New Roman"/>
                      <w:color w:val="auto"/>
                      <w:sz w:val="21"/>
                      <w:szCs w:val="21"/>
                      <w:lang w:val="en-US" w:eastAsia="zh-CN"/>
                    </w:rPr>
                  </w:pPr>
                  <w:r>
                    <w:rPr>
                      <w:rFonts w:hint="eastAsia" w:ascii="宋体" w:hAnsi="宋体" w:eastAsia="宋体"/>
                      <w:color w:val="auto"/>
                      <w:sz w:val="21"/>
                      <w:szCs w:val="24"/>
                    </w:rPr>
                    <w:t>周边村庄等敏感目标、周边地表水、地下水、土壤</w:t>
                  </w:r>
                </w:p>
              </w:tc>
            </w:tr>
            <w:tr w14:paraId="0060EE5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66" w:type="dxa"/>
                  <w:vAlign w:val="center"/>
                </w:tcPr>
                <w:p w14:paraId="04D17A33">
                  <w:pPr>
                    <w:pStyle w:val="70"/>
                    <w:spacing w:line="240" w:lineRule="auto"/>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2</w:t>
                  </w:r>
                </w:p>
              </w:tc>
              <w:tc>
                <w:tcPr>
                  <w:tcW w:w="895" w:type="dxa"/>
                  <w:vAlign w:val="center"/>
                </w:tcPr>
                <w:p w14:paraId="5F3F33D6">
                  <w:pPr>
                    <w:pStyle w:val="70"/>
                    <w:spacing w:line="240" w:lineRule="auto"/>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低温电解液仓库</w:t>
                  </w:r>
                </w:p>
              </w:tc>
              <w:tc>
                <w:tcPr>
                  <w:tcW w:w="1151" w:type="dxa"/>
                  <w:vAlign w:val="center"/>
                </w:tcPr>
                <w:p w14:paraId="565C480F">
                  <w:pPr>
                    <w:pStyle w:val="70"/>
                    <w:spacing w:line="240" w:lineRule="auto"/>
                    <w:jc w:val="center"/>
                    <w:rPr>
                      <w:rFonts w:hint="default" w:ascii="Times New Roman" w:hAnsi="Times New Roman" w:eastAsia="宋体" w:cs="Times New Roman"/>
                      <w:color w:val="auto"/>
                      <w:sz w:val="21"/>
                      <w:szCs w:val="21"/>
                      <w:lang w:val="en-US" w:eastAsia="zh-CN"/>
                    </w:rPr>
                  </w:pPr>
                  <w:r>
                    <w:rPr>
                      <w:rFonts w:hint="eastAsia" w:ascii="宋体" w:hAnsi="宋体" w:eastAsia="宋体"/>
                      <w:color w:val="auto"/>
                      <w:sz w:val="21"/>
                      <w:szCs w:val="24"/>
                    </w:rPr>
                    <w:t>电</w:t>
                  </w:r>
                  <w:r>
                    <w:rPr>
                      <w:rFonts w:hint="eastAsia" w:ascii="TimesNewRomanPSMT" w:hAnsi="TimesNewRomanPSMT" w:eastAsia="TimesNewRomanPSMT" w:cs="Times New Roman"/>
                      <w:color w:val="auto"/>
                      <w:sz w:val="21"/>
                      <w:szCs w:val="24"/>
                    </w:rPr>
                    <w:t>解液储存桶</w:t>
                  </w:r>
                </w:p>
              </w:tc>
              <w:tc>
                <w:tcPr>
                  <w:tcW w:w="1705" w:type="dxa"/>
                  <w:vAlign w:val="center"/>
                </w:tcPr>
                <w:p w14:paraId="09C30887">
                  <w:pPr>
                    <w:pStyle w:val="70"/>
                    <w:spacing w:line="240" w:lineRule="auto"/>
                    <w:jc w:val="center"/>
                    <w:rPr>
                      <w:rFonts w:hint="default" w:ascii="Times New Roman" w:hAnsi="Times New Roman" w:eastAsia="宋体" w:cs="Times New Roman"/>
                      <w:color w:val="auto"/>
                      <w:sz w:val="21"/>
                      <w:szCs w:val="21"/>
                      <w:lang w:val="en-US" w:eastAsia="zh-CN"/>
                    </w:rPr>
                  </w:pPr>
                  <w:r>
                    <w:rPr>
                      <w:rFonts w:hint="eastAsia" w:ascii="宋体" w:hAnsi="宋体" w:eastAsia="宋体"/>
                      <w:color w:val="auto"/>
                      <w:sz w:val="21"/>
                      <w:szCs w:val="24"/>
                    </w:rPr>
                    <w:t>电解液</w:t>
                  </w:r>
                </w:p>
              </w:tc>
              <w:tc>
                <w:tcPr>
                  <w:tcW w:w="1364" w:type="dxa"/>
                  <w:vMerge w:val="continue"/>
                  <w:vAlign w:val="center"/>
                </w:tcPr>
                <w:p w14:paraId="31820B7D">
                  <w:pPr>
                    <w:pStyle w:val="70"/>
                    <w:spacing w:line="240" w:lineRule="auto"/>
                    <w:jc w:val="center"/>
                    <w:rPr>
                      <w:rFonts w:hint="default" w:ascii="Times New Roman" w:hAnsi="Times New Roman" w:eastAsia="宋体" w:cs="Times New Roman"/>
                      <w:color w:val="auto"/>
                      <w:sz w:val="21"/>
                      <w:szCs w:val="21"/>
                      <w:lang w:val="en-US" w:eastAsia="zh-CN"/>
                    </w:rPr>
                  </w:pPr>
                </w:p>
              </w:tc>
              <w:tc>
                <w:tcPr>
                  <w:tcW w:w="1036" w:type="dxa"/>
                  <w:vMerge w:val="continue"/>
                  <w:vAlign w:val="center"/>
                </w:tcPr>
                <w:p w14:paraId="283830F2">
                  <w:pPr>
                    <w:pStyle w:val="70"/>
                    <w:spacing w:line="240" w:lineRule="auto"/>
                    <w:jc w:val="center"/>
                    <w:rPr>
                      <w:rFonts w:hint="default" w:ascii="Times New Roman" w:hAnsi="Times New Roman" w:eastAsia="宋体" w:cs="Times New Roman"/>
                      <w:color w:val="auto"/>
                      <w:sz w:val="21"/>
                      <w:szCs w:val="21"/>
                      <w:lang w:val="en-US" w:eastAsia="zh-CN"/>
                    </w:rPr>
                  </w:pPr>
                </w:p>
              </w:tc>
              <w:tc>
                <w:tcPr>
                  <w:tcW w:w="1339" w:type="dxa"/>
                  <w:vMerge w:val="continue"/>
                  <w:vAlign w:val="center"/>
                </w:tcPr>
                <w:p w14:paraId="45D2CCAA">
                  <w:pPr>
                    <w:pStyle w:val="70"/>
                    <w:spacing w:line="240" w:lineRule="auto"/>
                    <w:jc w:val="center"/>
                    <w:rPr>
                      <w:rFonts w:hint="default" w:ascii="Times New Roman" w:hAnsi="Times New Roman" w:eastAsia="宋体" w:cs="Times New Roman"/>
                      <w:color w:val="auto"/>
                      <w:sz w:val="21"/>
                      <w:szCs w:val="21"/>
                      <w:lang w:val="en-US" w:eastAsia="zh-CN"/>
                    </w:rPr>
                  </w:pPr>
                </w:p>
              </w:tc>
            </w:tr>
            <w:tr w14:paraId="4B24C11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66" w:type="dxa"/>
                  <w:vAlign w:val="center"/>
                </w:tcPr>
                <w:p w14:paraId="7B405F76">
                  <w:pPr>
                    <w:pStyle w:val="70"/>
                    <w:spacing w:line="240" w:lineRule="auto"/>
                    <w:jc w:val="center"/>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3</w:t>
                  </w:r>
                </w:p>
              </w:tc>
              <w:tc>
                <w:tcPr>
                  <w:tcW w:w="895" w:type="dxa"/>
                  <w:vAlign w:val="center"/>
                </w:tcPr>
                <w:p w14:paraId="4490EEA7">
                  <w:pPr>
                    <w:pStyle w:val="70"/>
                    <w:spacing w:line="240" w:lineRule="auto"/>
                    <w:jc w:val="center"/>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NMP暂存间</w:t>
                  </w:r>
                </w:p>
              </w:tc>
              <w:tc>
                <w:tcPr>
                  <w:tcW w:w="1151" w:type="dxa"/>
                  <w:vAlign w:val="center"/>
                </w:tcPr>
                <w:p w14:paraId="64A382BA">
                  <w:pPr>
                    <w:pStyle w:val="70"/>
                    <w:spacing w:line="240" w:lineRule="auto"/>
                    <w:jc w:val="center"/>
                    <w:rPr>
                      <w:rFonts w:hint="eastAsia" w:ascii="宋体" w:hAnsi="宋体" w:eastAsia="宋体"/>
                      <w:color w:val="auto"/>
                      <w:sz w:val="21"/>
                      <w:szCs w:val="24"/>
                    </w:rPr>
                  </w:pPr>
                  <w:r>
                    <w:rPr>
                      <w:rFonts w:hint="eastAsia" w:ascii="TimesNewRomanPSMT" w:hAnsi="TimesNewRomanPSMT" w:eastAsia="TimesNewRomanPSMT" w:cs="Times New Roman"/>
                      <w:color w:val="auto"/>
                      <w:sz w:val="21"/>
                      <w:szCs w:val="24"/>
                      <w:lang w:val="en-US" w:eastAsia="zh-CN"/>
                    </w:rPr>
                    <w:t>NMP储罐</w:t>
                  </w:r>
                  <w:r>
                    <w:rPr>
                      <w:rFonts w:hint="eastAsia" w:ascii="TimesNewRomanPSMT" w:hAnsi="TimesNewRomanPSMT" w:eastAsia="TimesNewRomanPSMT" w:cs="Times New Roman"/>
                      <w:color w:val="auto"/>
                      <w:sz w:val="21"/>
                      <w:szCs w:val="24"/>
                      <w:lang w:eastAsia="zh-CN"/>
                    </w:rPr>
                    <w:t>、</w:t>
                  </w:r>
                  <w:r>
                    <w:rPr>
                      <w:rFonts w:hint="eastAsia" w:ascii="TimesNewRomanPSMT" w:hAnsi="TimesNewRomanPSMT" w:eastAsia="TimesNewRomanPSMT" w:cs="Times New Roman"/>
                      <w:color w:val="auto"/>
                      <w:sz w:val="21"/>
                      <w:szCs w:val="24"/>
                      <w:lang w:val="en-US" w:eastAsia="zh-CN"/>
                    </w:rPr>
                    <w:t>NMP溶剂储存桶</w:t>
                  </w:r>
                </w:p>
              </w:tc>
              <w:tc>
                <w:tcPr>
                  <w:tcW w:w="1705" w:type="dxa"/>
                  <w:vAlign w:val="center"/>
                </w:tcPr>
                <w:p w14:paraId="4E35D664">
                  <w:pPr>
                    <w:pStyle w:val="70"/>
                    <w:spacing w:line="240" w:lineRule="auto"/>
                    <w:jc w:val="center"/>
                    <w:rPr>
                      <w:rFonts w:hint="eastAsia" w:ascii="TimesNewRomanPSMT" w:hAnsi="TimesNewRomanPSMT" w:eastAsia="TimesNewRomanPSMT"/>
                      <w:color w:val="auto"/>
                      <w:sz w:val="21"/>
                      <w:szCs w:val="24"/>
                    </w:rPr>
                  </w:pPr>
                  <w:r>
                    <w:rPr>
                      <w:rFonts w:hint="eastAsia" w:ascii="TimesNewRomanPSMT" w:hAnsi="TimesNewRomanPSMT" w:eastAsia="TimesNewRomanPSMT"/>
                      <w:color w:val="auto"/>
                      <w:sz w:val="21"/>
                      <w:szCs w:val="24"/>
                    </w:rPr>
                    <w:t>NMP</w:t>
                  </w:r>
                  <w:r>
                    <w:rPr>
                      <w:rFonts w:hint="eastAsia" w:ascii="宋体" w:hAnsi="宋体" w:eastAsia="宋体"/>
                      <w:color w:val="auto"/>
                      <w:sz w:val="21"/>
                      <w:szCs w:val="24"/>
                    </w:rPr>
                    <w:t>溶液</w:t>
                  </w:r>
                </w:p>
              </w:tc>
              <w:tc>
                <w:tcPr>
                  <w:tcW w:w="1364" w:type="dxa"/>
                  <w:vMerge w:val="continue"/>
                  <w:vAlign w:val="center"/>
                </w:tcPr>
                <w:p w14:paraId="588F3C37">
                  <w:pPr>
                    <w:pStyle w:val="70"/>
                    <w:spacing w:line="240" w:lineRule="auto"/>
                    <w:jc w:val="center"/>
                    <w:rPr>
                      <w:rFonts w:hint="default" w:ascii="Times New Roman" w:hAnsi="Times New Roman" w:eastAsia="宋体" w:cs="Times New Roman"/>
                      <w:color w:val="auto"/>
                      <w:sz w:val="21"/>
                      <w:szCs w:val="21"/>
                      <w:lang w:val="en-US" w:eastAsia="zh-CN"/>
                    </w:rPr>
                  </w:pPr>
                </w:p>
              </w:tc>
              <w:tc>
                <w:tcPr>
                  <w:tcW w:w="1036" w:type="dxa"/>
                  <w:vMerge w:val="continue"/>
                  <w:vAlign w:val="center"/>
                </w:tcPr>
                <w:p w14:paraId="36BFD928">
                  <w:pPr>
                    <w:pStyle w:val="70"/>
                    <w:spacing w:line="240" w:lineRule="auto"/>
                    <w:jc w:val="center"/>
                    <w:rPr>
                      <w:rFonts w:hint="default" w:ascii="Times New Roman" w:hAnsi="Times New Roman" w:eastAsia="宋体" w:cs="Times New Roman"/>
                      <w:color w:val="auto"/>
                      <w:sz w:val="21"/>
                      <w:szCs w:val="21"/>
                      <w:lang w:val="en-US" w:eastAsia="zh-CN"/>
                    </w:rPr>
                  </w:pPr>
                </w:p>
              </w:tc>
              <w:tc>
                <w:tcPr>
                  <w:tcW w:w="1339" w:type="dxa"/>
                  <w:vMerge w:val="continue"/>
                  <w:vAlign w:val="center"/>
                </w:tcPr>
                <w:p w14:paraId="63130F43">
                  <w:pPr>
                    <w:pStyle w:val="70"/>
                    <w:spacing w:line="240" w:lineRule="auto"/>
                    <w:jc w:val="center"/>
                    <w:rPr>
                      <w:rFonts w:hint="default" w:ascii="Times New Roman" w:hAnsi="Times New Roman" w:eastAsia="宋体" w:cs="Times New Roman"/>
                      <w:color w:val="auto"/>
                      <w:sz w:val="21"/>
                      <w:szCs w:val="21"/>
                      <w:lang w:val="en-US" w:eastAsia="zh-CN"/>
                    </w:rPr>
                  </w:pPr>
                </w:p>
              </w:tc>
            </w:tr>
            <w:tr w14:paraId="35B15FA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66" w:type="dxa"/>
                  <w:vAlign w:val="center"/>
                </w:tcPr>
                <w:p w14:paraId="06FEC8E0">
                  <w:pPr>
                    <w:pStyle w:val="70"/>
                    <w:spacing w:line="240" w:lineRule="auto"/>
                    <w:jc w:val="center"/>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4</w:t>
                  </w:r>
                </w:p>
              </w:tc>
              <w:tc>
                <w:tcPr>
                  <w:tcW w:w="895" w:type="dxa"/>
                  <w:vAlign w:val="center"/>
                </w:tcPr>
                <w:p w14:paraId="288E9530">
                  <w:pPr>
                    <w:pStyle w:val="70"/>
                    <w:spacing w:line="240" w:lineRule="auto"/>
                    <w:jc w:val="center"/>
                    <w:rPr>
                      <w:rFonts w:hint="default" w:ascii="宋体" w:hAnsi="宋体" w:eastAsia="宋体"/>
                      <w:color w:val="auto"/>
                      <w:sz w:val="21"/>
                      <w:szCs w:val="24"/>
                      <w:lang w:val="en-US" w:eastAsia="zh-CN"/>
                    </w:rPr>
                  </w:pPr>
                  <w:r>
                    <w:rPr>
                      <w:rFonts w:hint="eastAsia" w:ascii="宋体" w:hAnsi="宋体" w:eastAsia="宋体"/>
                      <w:color w:val="auto"/>
                      <w:sz w:val="21"/>
                      <w:szCs w:val="24"/>
                      <w:lang w:val="en-US" w:eastAsia="zh-CN"/>
                    </w:rPr>
                    <w:t>危废库</w:t>
                  </w:r>
                </w:p>
              </w:tc>
              <w:tc>
                <w:tcPr>
                  <w:tcW w:w="1151" w:type="dxa"/>
                  <w:vAlign w:val="center"/>
                </w:tcPr>
                <w:p w14:paraId="1398C8B1">
                  <w:pPr>
                    <w:pStyle w:val="70"/>
                    <w:spacing w:line="240" w:lineRule="auto"/>
                    <w:jc w:val="center"/>
                    <w:rPr>
                      <w:rFonts w:hint="default" w:ascii="Times New Roman" w:hAnsi="Times New Roman" w:eastAsia="宋体" w:cs="Times New Roman"/>
                      <w:color w:val="auto"/>
                      <w:sz w:val="21"/>
                      <w:szCs w:val="21"/>
                      <w:lang w:val="en-US" w:eastAsia="zh-CN"/>
                    </w:rPr>
                  </w:pPr>
                  <w:r>
                    <w:rPr>
                      <w:rFonts w:hint="eastAsia" w:ascii="宋体" w:hAnsi="宋体" w:eastAsia="宋体"/>
                      <w:color w:val="auto"/>
                      <w:sz w:val="21"/>
                      <w:szCs w:val="24"/>
                    </w:rPr>
                    <w:t>废机油、废电解液、废活性炭等</w:t>
                  </w:r>
                </w:p>
              </w:tc>
              <w:tc>
                <w:tcPr>
                  <w:tcW w:w="1705" w:type="dxa"/>
                  <w:vAlign w:val="center"/>
                </w:tcPr>
                <w:p w14:paraId="7A874F94">
                  <w:pPr>
                    <w:pStyle w:val="70"/>
                    <w:spacing w:line="240" w:lineRule="auto"/>
                    <w:jc w:val="center"/>
                    <w:rPr>
                      <w:rFonts w:hint="default" w:ascii="Times New Roman" w:hAnsi="Times New Roman" w:eastAsia="宋体" w:cs="Times New Roman"/>
                      <w:color w:val="auto"/>
                      <w:sz w:val="21"/>
                      <w:szCs w:val="21"/>
                      <w:lang w:val="en-US" w:eastAsia="zh-CN"/>
                    </w:rPr>
                  </w:pPr>
                  <w:r>
                    <w:rPr>
                      <w:rFonts w:hint="eastAsia" w:ascii="宋体" w:hAnsi="宋体" w:eastAsia="宋体"/>
                      <w:color w:val="auto"/>
                      <w:sz w:val="21"/>
                      <w:szCs w:val="24"/>
                    </w:rPr>
                    <w:t>废机油、废电解液、废活性炭等</w:t>
                  </w:r>
                </w:p>
              </w:tc>
              <w:tc>
                <w:tcPr>
                  <w:tcW w:w="1364" w:type="dxa"/>
                  <w:vMerge w:val="continue"/>
                  <w:vAlign w:val="center"/>
                </w:tcPr>
                <w:p w14:paraId="00A4A386">
                  <w:pPr>
                    <w:pStyle w:val="70"/>
                    <w:spacing w:line="240" w:lineRule="auto"/>
                    <w:jc w:val="center"/>
                    <w:rPr>
                      <w:rFonts w:hint="default" w:ascii="Times New Roman" w:hAnsi="Times New Roman" w:eastAsia="宋体" w:cs="Times New Roman"/>
                      <w:color w:val="auto"/>
                      <w:sz w:val="21"/>
                      <w:szCs w:val="21"/>
                      <w:lang w:val="en-US" w:eastAsia="zh-CN"/>
                    </w:rPr>
                  </w:pPr>
                </w:p>
              </w:tc>
              <w:tc>
                <w:tcPr>
                  <w:tcW w:w="1036" w:type="dxa"/>
                  <w:vMerge w:val="continue"/>
                  <w:vAlign w:val="center"/>
                </w:tcPr>
                <w:p w14:paraId="6FF200A7">
                  <w:pPr>
                    <w:pStyle w:val="70"/>
                    <w:spacing w:line="240" w:lineRule="auto"/>
                    <w:jc w:val="center"/>
                    <w:rPr>
                      <w:rFonts w:hint="default" w:ascii="Times New Roman" w:hAnsi="Times New Roman" w:eastAsia="宋体" w:cs="Times New Roman"/>
                      <w:color w:val="auto"/>
                      <w:sz w:val="21"/>
                      <w:szCs w:val="21"/>
                      <w:lang w:val="en-US" w:eastAsia="zh-CN"/>
                    </w:rPr>
                  </w:pPr>
                </w:p>
              </w:tc>
              <w:tc>
                <w:tcPr>
                  <w:tcW w:w="1339" w:type="dxa"/>
                  <w:vMerge w:val="continue"/>
                  <w:vAlign w:val="center"/>
                </w:tcPr>
                <w:p w14:paraId="18FECC26">
                  <w:pPr>
                    <w:pStyle w:val="70"/>
                    <w:spacing w:line="240" w:lineRule="auto"/>
                    <w:jc w:val="center"/>
                    <w:rPr>
                      <w:rFonts w:hint="default" w:ascii="Times New Roman" w:hAnsi="Times New Roman" w:eastAsia="宋体" w:cs="Times New Roman"/>
                      <w:color w:val="auto"/>
                      <w:sz w:val="21"/>
                      <w:szCs w:val="21"/>
                      <w:lang w:val="en-US" w:eastAsia="zh-CN"/>
                    </w:rPr>
                  </w:pPr>
                </w:p>
              </w:tc>
            </w:tr>
            <w:tr w14:paraId="4342D48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66" w:type="dxa"/>
                  <w:vAlign w:val="center"/>
                </w:tcPr>
                <w:p w14:paraId="6C628B9B">
                  <w:pPr>
                    <w:pStyle w:val="70"/>
                    <w:spacing w:line="240" w:lineRule="auto"/>
                    <w:jc w:val="center"/>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5</w:t>
                  </w:r>
                </w:p>
              </w:tc>
              <w:tc>
                <w:tcPr>
                  <w:tcW w:w="895" w:type="dxa"/>
                  <w:shd w:val="clear" w:color="auto" w:fill="auto"/>
                  <w:vAlign w:val="center"/>
                </w:tcPr>
                <w:p w14:paraId="55B93C4E">
                  <w:pPr>
                    <w:pStyle w:val="70"/>
                    <w:spacing w:line="240" w:lineRule="auto"/>
                    <w:jc w:val="center"/>
                    <w:rPr>
                      <w:rFonts w:hint="default" w:ascii="宋体" w:hAnsi="宋体" w:eastAsia="宋体"/>
                      <w:color w:val="auto"/>
                      <w:sz w:val="21"/>
                      <w:szCs w:val="24"/>
                      <w:lang w:val="en-US" w:eastAsia="zh-CN"/>
                    </w:rPr>
                  </w:pPr>
                  <w:r>
                    <w:rPr>
                      <w:rFonts w:hint="eastAsia" w:ascii="宋体" w:hAnsi="宋体" w:eastAsia="宋体"/>
                      <w:color w:val="auto"/>
                      <w:sz w:val="21"/>
                      <w:szCs w:val="24"/>
                    </w:rPr>
                    <w:t>污水处理系统</w:t>
                  </w:r>
                </w:p>
              </w:tc>
              <w:tc>
                <w:tcPr>
                  <w:tcW w:w="1151" w:type="dxa"/>
                  <w:shd w:val="clear" w:color="auto" w:fill="auto"/>
                  <w:vAlign w:val="center"/>
                </w:tcPr>
                <w:p w14:paraId="2C8AF580">
                  <w:pPr>
                    <w:spacing w:beforeLines="0" w:afterLines="0" w:line="240" w:lineRule="auto"/>
                    <w:jc w:val="left"/>
                    <w:rPr>
                      <w:rFonts w:hint="default" w:ascii="Times New Roman" w:hAnsi="Times New Roman" w:eastAsia="宋体" w:cs="Times New Roman"/>
                      <w:color w:val="auto"/>
                      <w:sz w:val="21"/>
                      <w:szCs w:val="21"/>
                      <w:lang w:val="en-US" w:eastAsia="zh-CN"/>
                    </w:rPr>
                  </w:pPr>
                  <w:r>
                    <w:rPr>
                      <w:rFonts w:hint="eastAsia" w:ascii="宋体" w:hAnsi="宋体" w:eastAsia="宋体"/>
                      <w:color w:val="auto"/>
                      <w:sz w:val="21"/>
                      <w:szCs w:val="24"/>
                    </w:rPr>
                    <w:t>废水收集池、处理池等</w:t>
                  </w:r>
                </w:p>
              </w:tc>
              <w:tc>
                <w:tcPr>
                  <w:tcW w:w="1705" w:type="dxa"/>
                  <w:vAlign w:val="center"/>
                </w:tcPr>
                <w:p w14:paraId="61099DF3">
                  <w:pPr>
                    <w:pStyle w:val="70"/>
                    <w:spacing w:line="240" w:lineRule="auto"/>
                    <w:jc w:val="center"/>
                    <w:rPr>
                      <w:rFonts w:hint="default" w:ascii="Times New Roman" w:hAnsi="Times New Roman" w:eastAsia="宋体" w:cs="Times New Roman"/>
                      <w:color w:val="auto"/>
                      <w:sz w:val="21"/>
                      <w:szCs w:val="21"/>
                      <w:lang w:val="en-US" w:eastAsia="zh-CN"/>
                    </w:rPr>
                  </w:pPr>
                  <w:r>
                    <w:rPr>
                      <w:rFonts w:hint="eastAsia" w:ascii="宋体" w:hAnsi="宋体" w:eastAsia="宋体"/>
                      <w:color w:val="auto"/>
                      <w:sz w:val="21"/>
                      <w:szCs w:val="24"/>
                    </w:rPr>
                    <w:t>化学需氧量、氨氮等</w:t>
                  </w:r>
                </w:p>
              </w:tc>
              <w:tc>
                <w:tcPr>
                  <w:tcW w:w="1364" w:type="dxa"/>
                  <w:vAlign w:val="center"/>
                </w:tcPr>
                <w:p w14:paraId="166AB301">
                  <w:pPr>
                    <w:pStyle w:val="70"/>
                    <w:spacing w:line="240" w:lineRule="auto"/>
                    <w:jc w:val="center"/>
                    <w:rPr>
                      <w:rFonts w:hint="default" w:ascii="Times New Roman" w:hAnsi="Times New Roman" w:eastAsia="宋体" w:cs="Times New Roman"/>
                      <w:color w:val="auto"/>
                      <w:sz w:val="21"/>
                      <w:szCs w:val="21"/>
                      <w:lang w:val="en-US" w:eastAsia="zh-CN"/>
                    </w:rPr>
                  </w:pPr>
                  <w:r>
                    <w:rPr>
                      <w:rFonts w:hint="eastAsia" w:ascii="宋体" w:hAnsi="宋体" w:eastAsia="宋体"/>
                      <w:color w:val="auto"/>
                      <w:sz w:val="21"/>
                      <w:szCs w:val="24"/>
                    </w:rPr>
                    <w:t>泄漏、事故排放</w:t>
                  </w:r>
                </w:p>
              </w:tc>
              <w:tc>
                <w:tcPr>
                  <w:tcW w:w="1036" w:type="dxa"/>
                  <w:vAlign w:val="center"/>
                </w:tcPr>
                <w:p w14:paraId="6C8D517F">
                  <w:pPr>
                    <w:pStyle w:val="70"/>
                    <w:spacing w:line="240" w:lineRule="auto"/>
                    <w:jc w:val="center"/>
                    <w:rPr>
                      <w:rFonts w:hint="default" w:ascii="Times New Roman" w:hAnsi="Times New Roman" w:eastAsia="宋体" w:cs="Times New Roman"/>
                      <w:color w:val="auto"/>
                      <w:sz w:val="21"/>
                      <w:szCs w:val="21"/>
                      <w:lang w:val="en-US" w:eastAsia="zh-CN"/>
                    </w:rPr>
                  </w:pPr>
                  <w:r>
                    <w:rPr>
                      <w:rFonts w:hint="eastAsia" w:ascii="宋体" w:hAnsi="宋体" w:eastAsia="宋体"/>
                      <w:color w:val="auto"/>
                      <w:sz w:val="21"/>
                      <w:szCs w:val="24"/>
                    </w:rPr>
                    <w:t>地表水、地下水、土壤</w:t>
                  </w:r>
                </w:p>
              </w:tc>
              <w:tc>
                <w:tcPr>
                  <w:tcW w:w="1339" w:type="dxa"/>
                  <w:vAlign w:val="center"/>
                </w:tcPr>
                <w:p w14:paraId="51D2CEB9">
                  <w:pPr>
                    <w:pStyle w:val="70"/>
                    <w:spacing w:line="240" w:lineRule="auto"/>
                    <w:jc w:val="center"/>
                    <w:rPr>
                      <w:rFonts w:hint="default" w:ascii="Times New Roman" w:hAnsi="Times New Roman" w:eastAsia="宋体" w:cs="Times New Roman"/>
                      <w:color w:val="auto"/>
                      <w:sz w:val="21"/>
                      <w:szCs w:val="21"/>
                      <w:lang w:val="en-US" w:eastAsia="zh-CN"/>
                    </w:rPr>
                  </w:pPr>
                  <w:r>
                    <w:rPr>
                      <w:rFonts w:hint="eastAsia" w:ascii="宋体" w:hAnsi="宋体" w:eastAsia="宋体"/>
                      <w:color w:val="auto"/>
                      <w:sz w:val="21"/>
                      <w:szCs w:val="24"/>
                    </w:rPr>
                    <w:t>周边地表水、地下水、土壤</w:t>
                  </w:r>
                </w:p>
              </w:tc>
            </w:tr>
            <w:tr w14:paraId="12D5618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66" w:type="dxa"/>
                  <w:vAlign w:val="center"/>
                </w:tcPr>
                <w:p w14:paraId="1ECDCAEC">
                  <w:pPr>
                    <w:pStyle w:val="70"/>
                    <w:spacing w:line="240" w:lineRule="auto"/>
                    <w:jc w:val="center"/>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6</w:t>
                  </w:r>
                </w:p>
              </w:tc>
              <w:tc>
                <w:tcPr>
                  <w:tcW w:w="895" w:type="dxa"/>
                  <w:vAlign w:val="center"/>
                </w:tcPr>
                <w:p w14:paraId="3EA89272">
                  <w:pPr>
                    <w:pStyle w:val="70"/>
                    <w:spacing w:line="240" w:lineRule="auto"/>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废气处理系统</w:t>
                  </w:r>
                </w:p>
              </w:tc>
              <w:tc>
                <w:tcPr>
                  <w:tcW w:w="1151" w:type="dxa"/>
                  <w:vAlign w:val="center"/>
                </w:tcPr>
                <w:p w14:paraId="4C2811E3">
                  <w:pPr>
                    <w:pStyle w:val="70"/>
                    <w:spacing w:line="240" w:lineRule="auto"/>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非甲烷总烃</w:t>
                  </w:r>
                </w:p>
              </w:tc>
              <w:tc>
                <w:tcPr>
                  <w:tcW w:w="1705" w:type="dxa"/>
                  <w:vAlign w:val="center"/>
                </w:tcPr>
                <w:p w14:paraId="06F227D2">
                  <w:pPr>
                    <w:pStyle w:val="70"/>
                    <w:spacing w:line="240" w:lineRule="auto"/>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非甲烷总烃</w:t>
                  </w:r>
                </w:p>
              </w:tc>
              <w:tc>
                <w:tcPr>
                  <w:tcW w:w="1364" w:type="dxa"/>
                  <w:vAlign w:val="center"/>
                </w:tcPr>
                <w:p w14:paraId="3FB00FFB">
                  <w:pPr>
                    <w:pStyle w:val="70"/>
                    <w:spacing w:line="240" w:lineRule="auto"/>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非正常排放</w:t>
                  </w:r>
                </w:p>
              </w:tc>
              <w:tc>
                <w:tcPr>
                  <w:tcW w:w="1036" w:type="dxa"/>
                  <w:vAlign w:val="center"/>
                </w:tcPr>
                <w:p w14:paraId="78712BB2">
                  <w:pPr>
                    <w:pStyle w:val="70"/>
                    <w:spacing w:line="240" w:lineRule="auto"/>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大气</w:t>
                  </w:r>
                </w:p>
              </w:tc>
              <w:tc>
                <w:tcPr>
                  <w:tcW w:w="1339" w:type="dxa"/>
                  <w:vAlign w:val="center"/>
                </w:tcPr>
                <w:p w14:paraId="026604AA">
                  <w:pPr>
                    <w:pStyle w:val="70"/>
                    <w:spacing w:line="240" w:lineRule="auto"/>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周边环境敏感目标</w:t>
                  </w:r>
                </w:p>
              </w:tc>
            </w:tr>
          </w:tbl>
          <w:p w14:paraId="2AE33326">
            <w:pPr>
              <w:spacing w:line="360" w:lineRule="auto"/>
              <w:ind w:firstLine="480" w:firstLineChars="200"/>
              <w:jc w:val="both"/>
              <w:rPr>
                <w:rFonts w:hint="default" w:ascii="Times New Roman" w:hAnsi="Times New Roman" w:eastAsia="宋体" w:cs="Times New Roman"/>
                <w:b w:val="0"/>
                <w:bCs w:val="0"/>
                <w:color w:val="auto"/>
                <w:sz w:val="24"/>
              </w:rPr>
            </w:pPr>
            <w:r>
              <w:rPr>
                <w:rFonts w:hint="default" w:ascii="Times New Roman" w:hAnsi="Times New Roman" w:eastAsia="宋体" w:cs="Times New Roman"/>
                <w:b w:val="0"/>
                <w:bCs w:val="0"/>
                <w:color w:val="auto"/>
                <w:sz w:val="24"/>
              </w:rPr>
              <w:t>（4）环境风险防范措施</w:t>
            </w:r>
          </w:p>
          <w:p w14:paraId="4CC8387F">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rPr>
                <w:rFonts w:hint="eastAsia" w:ascii="宋体" w:hAnsi="宋体" w:eastAsia="宋体"/>
                <w:color w:val="auto"/>
                <w:sz w:val="24"/>
                <w:szCs w:val="24"/>
              </w:rPr>
            </w:pPr>
            <w:r>
              <w:rPr>
                <w:rFonts w:hint="eastAsia" w:cs="Times New Roman"/>
                <w:color w:val="auto"/>
                <w:lang w:val="en-US" w:eastAsia="zh-CN"/>
              </w:rPr>
              <w:t>1）</w:t>
            </w:r>
            <w:r>
              <w:rPr>
                <w:rFonts w:hint="eastAsia" w:ascii="宋体" w:hAnsi="宋体" w:eastAsia="宋体"/>
                <w:color w:val="auto"/>
                <w:sz w:val="24"/>
                <w:szCs w:val="24"/>
              </w:rPr>
              <w:t>消防、火灾报警系统及消防废水处置</w:t>
            </w:r>
          </w:p>
          <w:p w14:paraId="69381333">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rPr>
                <w:rFonts w:hint="eastAsia" w:ascii="宋体" w:hAnsi="宋体" w:eastAsia="宋体"/>
                <w:color w:val="auto"/>
                <w:sz w:val="24"/>
                <w:szCs w:val="24"/>
                <w:lang w:eastAsia="zh-CN"/>
              </w:rPr>
            </w:pPr>
            <w:r>
              <w:rPr>
                <w:rFonts w:hint="eastAsia" w:cs="Times New Roman"/>
                <w:color w:val="auto"/>
                <w:lang w:val="en-US" w:eastAsia="zh-CN"/>
              </w:rPr>
              <w:t>a.</w:t>
            </w:r>
            <w:r>
              <w:rPr>
                <w:rFonts w:hint="eastAsia" w:ascii="宋体" w:hAnsi="宋体" w:eastAsia="宋体"/>
                <w:color w:val="auto"/>
                <w:sz w:val="24"/>
                <w:szCs w:val="24"/>
              </w:rPr>
              <w:t>根据火灾危险性等级和防火、防爆要求，建筑物的防火等级均采用了国家现行规范要求的耐火等级设计，满足建筑防火要求</w:t>
            </w:r>
            <w:r>
              <w:rPr>
                <w:rFonts w:hint="eastAsia" w:ascii="宋体" w:hAnsi="宋体" w:eastAsia="宋体"/>
                <w:color w:val="auto"/>
                <w:sz w:val="24"/>
                <w:szCs w:val="24"/>
                <w:lang w:eastAsia="zh-CN"/>
              </w:rPr>
              <w:t>；</w:t>
            </w:r>
          </w:p>
          <w:p w14:paraId="0EA3E129">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rPr>
                <w:rFonts w:hint="eastAsia"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b.</w:t>
            </w:r>
            <w:r>
              <w:rPr>
                <w:rFonts w:hint="eastAsia" w:ascii="宋体" w:hAnsi="宋体" w:eastAsia="宋体"/>
                <w:color w:val="auto"/>
                <w:sz w:val="24"/>
                <w:szCs w:val="24"/>
              </w:rPr>
              <w:t>消防水采用独立的稳高压消防水管网，消防水管道沿装置及辅助生产设施周围布置，在管道上按照规范要求配置消火栓</w:t>
            </w:r>
            <w:r>
              <w:rPr>
                <w:rFonts w:hint="eastAsia" w:ascii="宋体" w:hAnsi="宋体" w:eastAsia="宋体"/>
                <w:color w:val="auto"/>
                <w:sz w:val="24"/>
                <w:szCs w:val="24"/>
                <w:lang w:eastAsia="zh-CN"/>
              </w:rPr>
              <w:t>。</w:t>
            </w:r>
          </w:p>
          <w:p w14:paraId="718B5EE5">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rPr>
                <w:rFonts w:hint="eastAsia" w:cs="Times New Roman"/>
                <w:color w:val="auto"/>
                <w:sz w:val="24"/>
                <w:szCs w:val="24"/>
                <w:lang w:val="en-US" w:eastAsia="zh-CN"/>
              </w:rPr>
            </w:pPr>
            <w:r>
              <w:rPr>
                <w:rFonts w:hint="eastAsia" w:cs="Times New Roman"/>
                <w:color w:val="auto"/>
                <w:sz w:val="24"/>
                <w:szCs w:val="24"/>
                <w:lang w:val="en-US" w:eastAsia="zh-CN"/>
              </w:rPr>
              <w:t>2）NMP泄漏预防措施</w:t>
            </w:r>
          </w:p>
          <w:p w14:paraId="25AD59BE">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rPr>
                <w:rFonts w:hint="eastAsia" w:ascii="宋体" w:hAnsi="宋体" w:eastAsia="宋体"/>
                <w:color w:val="auto"/>
                <w:sz w:val="24"/>
                <w:szCs w:val="24"/>
                <w:lang w:eastAsia="zh-CN"/>
              </w:rPr>
            </w:pPr>
            <w:r>
              <w:rPr>
                <w:rFonts w:hint="eastAsia" w:ascii="宋体" w:hAnsi="宋体" w:eastAsia="宋体"/>
                <w:color w:val="auto"/>
                <w:sz w:val="24"/>
                <w:szCs w:val="24"/>
              </w:rPr>
              <w:t>泄漏事故的预防是物料储运中最重要的环节，发生泄漏事故可能引起火灾、爆炸等一系列重大事故，设备失灵和人为的操作失误是引发泄漏的主要原因。因此选用较好的设备、精心设计、认真管理和操作人员的责任心是减少泄漏事故的关键</w:t>
            </w:r>
            <w:r>
              <w:rPr>
                <w:rFonts w:hint="eastAsia" w:ascii="宋体" w:hAnsi="宋体" w:eastAsia="宋体"/>
                <w:color w:val="auto"/>
                <w:sz w:val="24"/>
                <w:szCs w:val="24"/>
                <w:lang w:eastAsia="zh-CN"/>
              </w:rPr>
              <w:t>。</w:t>
            </w:r>
          </w:p>
          <w:p w14:paraId="56E6A8B6">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rPr>
                <w:rFonts w:hint="eastAsia" w:ascii="宋体" w:hAnsi="宋体" w:eastAsia="宋体"/>
                <w:color w:val="auto"/>
                <w:sz w:val="24"/>
                <w:szCs w:val="24"/>
              </w:rPr>
            </w:pPr>
            <w:r>
              <w:rPr>
                <w:rFonts w:hint="eastAsia" w:ascii="宋体" w:hAnsi="宋体" w:eastAsia="宋体"/>
                <w:color w:val="auto"/>
                <w:sz w:val="24"/>
                <w:szCs w:val="24"/>
              </w:rPr>
              <w:t>①加强对罐区的科学管理，避免储罐泄漏，远离火源</w:t>
            </w:r>
            <w:r>
              <w:rPr>
                <w:rFonts w:hint="eastAsia" w:ascii="宋体" w:hAnsi="宋体"/>
                <w:color w:val="auto"/>
                <w:sz w:val="24"/>
                <w:szCs w:val="24"/>
                <w:lang w:eastAsia="zh-CN"/>
              </w:rPr>
              <w:t>以</w:t>
            </w:r>
            <w:r>
              <w:rPr>
                <w:rFonts w:hint="eastAsia" w:ascii="宋体" w:hAnsi="宋体" w:eastAsia="宋体"/>
                <w:color w:val="auto"/>
                <w:sz w:val="24"/>
                <w:szCs w:val="24"/>
              </w:rPr>
              <w:t>防止引起火灾爆炸事故。</w:t>
            </w:r>
          </w:p>
          <w:p w14:paraId="1A38CBD3">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rPr>
                <w:rFonts w:hint="eastAsia" w:ascii="宋体" w:hAnsi="宋体" w:eastAsia="宋体"/>
                <w:color w:val="auto"/>
                <w:sz w:val="24"/>
                <w:szCs w:val="24"/>
              </w:rPr>
            </w:pPr>
            <w:r>
              <w:rPr>
                <w:rFonts w:hint="eastAsia" w:ascii="宋体" w:hAnsi="宋体" w:eastAsia="宋体"/>
                <w:color w:val="auto"/>
                <w:sz w:val="24"/>
                <w:szCs w:val="24"/>
              </w:rPr>
              <w:t>②罐区地面做好防腐防渗措施，并在周围</w:t>
            </w:r>
            <w:r>
              <w:rPr>
                <w:rFonts w:hint="eastAsia" w:ascii="宋体" w:hAnsi="宋体"/>
                <w:color w:val="auto"/>
                <w:sz w:val="24"/>
                <w:szCs w:val="24"/>
                <w:lang w:eastAsia="zh-CN"/>
              </w:rPr>
              <w:t>设置</w:t>
            </w:r>
            <w:r>
              <w:rPr>
                <w:rFonts w:hint="eastAsia" w:ascii="宋体" w:hAnsi="宋体" w:eastAsia="宋体"/>
                <w:color w:val="auto"/>
                <w:sz w:val="24"/>
                <w:szCs w:val="24"/>
              </w:rPr>
              <w:t>围堰。</w:t>
            </w:r>
          </w:p>
          <w:p w14:paraId="63A488FF">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rPr>
                <w:rFonts w:hint="eastAsia" w:ascii="宋体" w:hAnsi="宋体" w:eastAsia="宋体"/>
                <w:color w:val="auto"/>
                <w:sz w:val="24"/>
                <w:szCs w:val="24"/>
              </w:rPr>
            </w:pPr>
            <w:r>
              <w:rPr>
                <w:rFonts w:hint="eastAsia" w:ascii="宋体" w:hAnsi="宋体" w:eastAsia="宋体"/>
                <w:color w:val="auto"/>
                <w:sz w:val="24"/>
                <w:szCs w:val="24"/>
              </w:rPr>
              <w:t>③加强罐体检查和维护，确保其完好。</w:t>
            </w:r>
          </w:p>
          <w:p w14:paraId="003457C2">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rPr>
                <w:rFonts w:hint="eastAsia" w:ascii="宋体" w:hAnsi="宋体" w:eastAsia="宋体"/>
                <w:color w:val="auto"/>
                <w:sz w:val="24"/>
                <w:szCs w:val="24"/>
              </w:rPr>
            </w:pPr>
            <w:r>
              <w:rPr>
                <w:rFonts w:hint="eastAsia" w:ascii="宋体" w:hAnsi="宋体" w:eastAsia="宋体"/>
                <w:color w:val="auto"/>
                <w:sz w:val="24"/>
                <w:szCs w:val="24"/>
              </w:rPr>
              <w:t>④严防罐体超温、超压、超装。</w:t>
            </w:r>
          </w:p>
          <w:p w14:paraId="61213F10">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rPr>
                <w:rFonts w:hint="eastAsia" w:ascii="宋体" w:hAnsi="宋体" w:eastAsia="宋体"/>
                <w:color w:val="auto"/>
                <w:sz w:val="24"/>
                <w:szCs w:val="24"/>
              </w:rPr>
            </w:pPr>
            <w:r>
              <w:rPr>
                <w:rFonts w:hint="eastAsia" w:ascii="宋体" w:hAnsi="宋体" w:eastAsia="宋体"/>
                <w:color w:val="auto"/>
                <w:sz w:val="24"/>
                <w:szCs w:val="24"/>
              </w:rPr>
              <w:t>⑤定期对罐体进行检测，确保其符合安全质量要求。</w:t>
            </w:r>
          </w:p>
          <w:p w14:paraId="07FB97A7">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rPr>
                <w:rFonts w:hint="eastAsia" w:ascii="宋体" w:hAnsi="宋体" w:eastAsia="宋体"/>
                <w:color w:val="auto"/>
                <w:sz w:val="24"/>
                <w:szCs w:val="24"/>
                <w:lang w:val="en-US" w:eastAsia="zh-CN"/>
              </w:rPr>
            </w:pPr>
            <w:r>
              <w:rPr>
                <w:rFonts w:hint="eastAsia" w:ascii="宋体" w:hAnsi="宋体" w:eastAsia="宋体"/>
                <w:color w:val="auto"/>
                <w:sz w:val="24"/>
                <w:szCs w:val="24"/>
              </w:rPr>
              <w:t>⑥进出料线上设立快速切断阀，设立快速切断阀后可遥控关闭阀门，及时切断物料的进出，有效控制事故的蔓延，为事故处理提供保障。</w:t>
            </w:r>
          </w:p>
          <w:p w14:paraId="1A97D190">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rPr>
                <w:rFonts w:hint="eastAsia" w:cs="Times New Roman"/>
                <w:color w:val="auto"/>
                <w:sz w:val="24"/>
                <w:szCs w:val="24"/>
                <w:lang w:val="en-US" w:eastAsia="zh-CN"/>
              </w:rPr>
            </w:pPr>
            <w:r>
              <w:rPr>
                <w:rFonts w:hint="eastAsia" w:cs="Times New Roman"/>
                <w:color w:val="auto"/>
                <w:sz w:val="24"/>
                <w:szCs w:val="24"/>
                <w:lang w:val="en-US" w:eastAsia="zh-CN"/>
              </w:rPr>
              <w:t>3）电解液、NMP溶剂泄漏，火灾、爆炸事故防范措施</w:t>
            </w:r>
          </w:p>
          <w:p w14:paraId="578B96AF">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rPr>
                <w:rFonts w:hint="default" w:ascii="Times New Roman" w:hAnsi="Times New Roman" w:cs="Times New Roman"/>
                <w:color w:val="auto"/>
                <w:sz w:val="24"/>
                <w:szCs w:val="24"/>
                <w:lang w:val="en-US" w:eastAsia="zh-CN"/>
              </w:rPr>
            </w:pPr>
            <w:r>
              <w:rPr>
                <w:rFonts w:hint="eastAsia" w:ascii="宋体" w:hAnsi="宋体" w:eastAsia="宋体"/>
                <w:color w:val="auto"/>
                <w:sz w:val="24"/>
                <w:szCs w:val="24"/>
              </w:rPr>
              <w:t>根据对项目的分析，电解液</w:t>
            </w: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lang w:val="en-US" w:eastAsia="zh-CN"/>
              </w:rPr>
              <w:t>NMP溶</w:t>
            </w:r>
            <w:r>
              <w:rPr>
                <w:rFonts w:hint="eastAsia" w:ascii="宋体" w:hAnsi="宋体" w:eastAsia="宋体"/>
                <w:color w:val="auto"/>
                <w:sz w:val="24"/>
                <w:szCs w:val="24"/>
                <w:lang w:val="en-US" w:eastAsia="zh-CN"/>
              </w:rPr>
              <w:t>剂</w:t>
            </w:r>
            <w:r>
              <w:rPr>
                <w:rFonts w:hint="eastAsia" w:ascii="宋体" w:hAnsi="宋体" w:eastAsia="宋体"/>
                <w:color w:val="auto"/>
                <w:sz w:val="24"/>
                <w:szCs w:val="24"/>
              </w:rPr>
              <w:t>由于储桶破裂泄漏，遇明火容易发生火灾爆炸事故。一旦发生火灾、爆炸，将会对环境产生影响。主要表现为：一是爆炸可重创建筑物，可使人员受伤甚至死亡，产生大量气体污染物，对厂区环境产生影响；二是在救火过程中将会产生大量的消防废水，如果这些废水不注意收集很容易直接</w:t>
            </w:r>
            <w:r>
              <w:rPr>
                <w:rFonts w:hint="default" w:ascii="Times New Roman" w:hAnsi="Times New Roman" w:eastAsia="宋体" w:cs="Times New Roman"/>
                <w:color w:val="auto"/>
                <w:sz w:val="24"/>
                <w:szCs w:val="24"/>
              </w:rPr>
              <w:t>外排入周围水体，对项目周围水环境造成影响。</w:t>
            </w:r>
          </w:p>
          <w:p w14:paraId="1093E50D">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rPr>
                <w:rFonts w:hint="default" w:ascii="Times New Roman" w:hAnsi="Times New Roman" w:eastAsia="宋体" w:cs="Times New Roman"/>
                <w:color w:val="auto"/>
                <w:sz w:val="24"/>
                <w:szCs w:val="24"/>
              </w:rPr>
            </w:pPr>
            <w:r>
              <w:rPr>
                <w:rFonts w:hint="default" w:ascii="Times New Roman" w:hAnsi="Times New Roman" w:cs="Times New Roman"/>
                <w:color w:val="auto"/>
                <w:sz w:val="24"/>
                <w:szCs w:val="24"/>
                <w:lang w:val="en-US" w:eastAsia="zh-CN"/>
              </w:rPr>
              <w:t>①</w:t>
            </w:r>
            <w:r>
              <w:rPr>
                <w:rFonts w:hint="default" w:ascii="Times New Roman" w:hAnsi="Times New Roman" w:eastAsia="宋体" w:cs="Times New Roman"/>
                <w:color w:val="auto"/>
                <w:sz w:val="24"/>
                <w:szCs w:val="24"/>
              </w:rPr>
              <w:t>泄漏事故的防范</w:t>
            </w:r>
          </w:p>
          <w:p w14:paraId="7E5E1724">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本项目拟采取以下预防</w:t>
            </w:r>
            <w:r>
              <w:rPr>
                <w:rFonts w:hint="eastAsia" w:cs="Times New Roman"/>
                <w:color w:val="auto"/>
                <w:sz w:val="24"/>
                <w:szCs w:val="24"/>
                <w:lang w:eastAsia="zh-CN"/>
              </w:rPr>
              <w:t>泄漏</w:t>
            </w:r>
            <w:r>
              <w:rPr>
                <w:rFonts w:hint="default" w:ascii="Times New Roman" w:hAnsi="Times New Roman" w:eastAsia="宋体" w:cs="Times New Roman"/>
                <w:color w:val="auto"/>
                <w:sz w:val="24"/>
                <w:szCs w:val="24"/>
              </w:rPr>
              <w:t>事故的措施：</w:t>
            </w:r>
          </w:p>
          <w:p w14:paraId="448A6B1A">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rPr>
                <w:rFonts w:hint="eastAsia" w:ascii="宋体" w:hAnsi="宋体" w:eastAsia="宋体"/>
                <w:color w:val="auto"/>
                <w:sz w:val="24"/>
                <w:szCs w:val="24"/>
                <w:lang w:val="en-US" w:eastAsia="zh-CN"/>
              </w:rPr>
            </w:pPr>
            <w:r>
              <w:rPr>
                <w:rFonts w:hint="default" w:ascii="Times New Roman" w:hAnsi="Times New Roman" w:eastAsia="宋体" w:cs="Times New Roman"/>
                <w:color w:val="auto"/>
                <w:sz w:val="24"/>
                <w:szCs w:val="24"/>
                <w:lang w:val="en-US" w:eastAsia="zh-CN"/>
              </w:rPr>
              <w:t>a.</w:t>
            </w:r>
            <w:r>
              <w:rPr>
                <w:rFonts w:hint="default" w:ascii="Times New Roman" w:hAnsi="Times New Roman" w:eastAsia="宋体" w:cs="Times New Roman"/>
                <w:color w:val="auto"/>
                <w:sz w:val="24"/>
                <w:szCs w:val="24"/>
              </w:rPr>
              <w:t>严格管</w:t>
            </w:r>
            <w:r>
              <w:rPr>
                <w:rFonts w:hint="eastAsia" w:ascii="宋体" w:hAnsi="宋体" w:eastAsia="宋体"/>
                <w:color w:val="auto"/>
                <w:sz w:val="24"/>
                <w:szCs w:val="24"/>
              </w:rPr>
              <w:t>理，按章操作，尽量避免事故的发生；</w:t>
            </w:r>
          </w:p>
          <w:p w14:paraId="0CA5A116">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rPr>
                <w:rFonts w:hint="default" w:ascii="Times New Roman" w:hAnsi="Times New Roman" w:eastAsia="宋体" w:cs="Times New Roman"/>
                <w:color w:val="auto"/>
                <w:sz w:val="24"/>
                <w:szCs w:val="24"/>
                <w:lang w:eastAsia="zh-CN"/>
              </w:rPr>
            </w:pPr>
            <w:r>
              <w:rPr>
                <w:rFonts w:hint="default" w:ascii="Times New Roman" w:hAnsi="Times New Roman" w:eastAsia="宋体" w:cs="Times New Roman"/>
                <w:color w:val="auto"/>
                <w:sz w:val="24"/>
                <w:szCs w:val="24"/>
                <w:lang w:val="en-US" w:eastAsia="zh-CN"/>
              </w:rPr>
              <w:t>b.</w:t>
            </w:r>
            <w:r>
              <w:rPr>
                <w:rFonts w:hint="default" w:ascii="Times New Roman" w:hAnsi="Times New Roman" w:eastAsia="宋体" w:cs="Times New Roman"/>
                <w:color w:val="auto"/>
                <w:sz w:val="24"/>
                <w:szCs w:val="24"/>
              </w:rPr>
              <w:t>经常检查电解液</w:t>
            </w:r>
            <w:r>
              <w:rPr>
                <w:rFonts w:hint="eastAsia" w:ascii="Times New Roman" w:hAnsi="Times New Roman" w:eastAsia="宋体" w:cs="Times New Roman"/>
                <w:color w:val="auto"/>
                <w:sz w:val="24"/>
                <w:szCs w:val="24"/>
                <w:lang w:eastAsia="zh-CN"/>
              </w:rPr>
              <w:t>、</w:t>
            </w:r>
            <w:r>
              <w:rPr>
                <w:rFonts w:hint="eastAsia" w:ascii="Times New Roman" w:hAnsi="Times New Roman" w:eastAsia="宋体" w:cs="Times New Roman"/>
                <w:color w:val="auto"/>
                <w:sz w:val="24"/>
                <w:szCs w:val="24"/>
                <w:lang w:val="en-US" w:eastAsia="zh-CN"/>
              </w:rPr>
              <w:t>NMP溶剂</w:t>
            </w:r>
            <w:r>
              <w:rPr>
                <w:rFonts w:hint="eastAsia" w:cs="Times New Roman"/>
                <w:color w:val="auto"/>
                <w:sz w:val="24"/>
                <w:szCs w:val="24"/>
                <w:lang w:val="en-US" w:eastAsia="zh-CN"/>
              </w:rPr>
              <w:t>储存容器</w:t>
            </w:r>
            <w:r>
              <w:rPr>
                <w:rFonts w:hint="default" w:ascii="Times New Roman" w:hAnsi="Times New Roman" w:eastAsia="宋体" w:cs="Times New Roman"/>
                <w:color w:val="auto"/>
                <w:sz w:val="24"/>
                <w:szCs w:val="24"/>
              </w:rPr>
              <w:t>，</w:t>
            </w:r>
            <w:r>
              <w:rPr>
                <w:rFonts w:hint="eastAsia" w:cs="Times New Roman"/>
                <w:color w:val="auto"/>
                <w:sz w:val="24"/>
                <w:szCs w:val="24"/>
                <w:lang w:eastAsia="zh-CN"/>
              </w:rPr>
              <w:t>防止</w:t>
            </w:r>
            <w:r>
              <w:rPr>
                <w:rFonts w:hint="eastAsia" w:cs="Times New Roman"/>
                <w:color w:val="auto"/>
                <w:sz w:val="24"/>
                <w:szCs w:val="24"/>
                <w:lang w:val="en-US" w:eastAsia="zh-CN"/>
              </w:rPr>
              <w:t>泄漏</w:t>
            </w:r>
            <w:r>
              <w:rPr>
                <w:rFonts w:hint="default" w:ascii="Times New Roman" w:hAnsi="Times New Roman" w:eastAsia="宋体" w:cs="Times New Roman"/>
                <w:color w:val="auto"/>
                <w:sz w:val="24"/>
                <w:szCs w:val="24"/>
                <w:lang w:eastAsia="zh-CN"/>
              </w:rPr>
              <w:t>。</w:t>
            </w:r>
          </w:p>
          <w:p w14:paraId="12E5D76D">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rPr>
                <w:rFonts w:hint="default" w:ascii="Times New Roman" w:hAnsi="Times New Roman" w:eastAsia="宋体" w:cs="Times New Roman"/>
                <w:color w:val="auto"/>
                <w:sz w:val="24"/>
                <w:szCs w:val="24"/>
                <w:lang w:val="en-US" w:eastAsia="zh-CN"/>
              </w:rPr>
            </w:pPr>
            <w:r>
              <w:rPr>
                <w:rFonts w:hint="default" w:ascii="Times New Roman" w:hAnsi="Times New Roman" w:cs="Times New Roman"/>
                <w:color w:val="auto"/>
                <w:sz w:val="24"/>
                <w:szCs w:val="24"/>
                <w:lang w:val="en-US" w:eastAsia="zh-CN"/>
              </w:rPr>
              <w:t>②</w:t>
            </w:r>
            <w:r>
              <w:rPr>
                <w:rFonts w:hint="default" w:ascii="Times New Roman" w:hAnsi="Times New Roman" w:eastAsia="宋体" w:cs="Times New Roman"/>
                <w:color w:val="auto"/>
                <w:sz w:val="24"/>
                <w:szCs w:val="24"/>
              </w:rPr>
              <w:t>火灾爆炸事故的防范</w:t>
            </w:r>
          </w:p>
          <w:p w14:paraId="5CF73DA2">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lang w:val="en-US" w:eastAsia="zh-CN"/>
              </w:rPr>
              <w:t>a.</w:t>
            </w:r>
            <w:r>
              <w:rPr>
                <w:rFonts w:hint="default" w:ascii="Times New Roman" w:hAnsi="Times New Roman" w:eastAsia="宋体" w:cs="Times New Roman"/>
                <w:color w:val="auto"/>
                <w:sz w:val="24"/>
                <w:szCs w:val="24"/>
              </w:rPr>
              <w:t>设备的安全管理：定期对储桶进行安全检测，检测内容、时间、人员有记录保存。安全检测根据设备的安全性、危险性设定检测频次；</w:t>
            </w:r>
          </w:p>
          <w:p w14:paraId="00D8459B">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lang w:val="en-US" w:eastAsia="zh-CN"/>
              </w:rPr>
              <w:t>b.</w:t>
            </w:r>
            <w:r>
              <w:rPr>
                <w:rFonts w:hint="default" w:ascii="Times New Roman" w:hAnsi="Times New Roman" w:eastAsia="宋体" w:cs="Times New Roman"/>
                <w:color w:val="auto"/>
                <w:sz w:val="24"/>
                <w:szCs w:val="24"/>
              </w:rPr>
              <w:t>加强火源的管理，生产车间严禁烟火带入；</w:t>
            </w:r>
          </w:p>
          <w:p w14:paraId="203349AC">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lang w:val="en-US" w:eastAsia="zh-CN"/>
              </w:rPr>
              <w:t>c.</w:t>
            </w:r>
            <w:r>
              <w:rPr>
                <w:rFonts w:hint="default" w:ascii="Times New Roman" w:hAnsi="Times New Roman" w:eastAsia="宋体" w:cs="Times New Roman"/>
                <w:color w:val="auto"/>
                <w:sz w:val="24"/>
                <w:szCs w:val="24"/>
              </w:rPr>
              <w:t>要有完善的安全</w:t>
            </w:r>
            <w:r>
              <w:rPr>
                <w:rFonts w:hint="eastAsia" w:ascii="宋体" w:hAnsi="宋体" w:eastAsia="宋体"/>
                <w:color w:val="auto"/>
                <w:sz w:val="24"/>
                <w:szCs w:val="24"/>
              </w:rPr>
              <w:t>消防措施。电解液</w:t>
            </w:r>
            <w:r>
              <w:rPr>
                <w:rFonts w:hint="eastAsia" w:ascii="宋体" w:hAnsi="宋体"/>
                <w:color w:val="auto"/>
                <w:sz w:val="24"/>
                <w:szCs w:val="24"/>
                <w:lang w:val="en-US" w:eastAsia="zh-CN"/>
              </w:rPr>
              <w:t>仓库</w:t>
            </w:r>
            <w:r>
              <w:rPr>
                <w:rFonts w:hint="eastAsia" w:ascii="宋体" w:hAnsi="宋体"/>
                <w:color w:val="auto"/>
                <w:sz w:val="24"/>
                <w:szCs w:val="24"/>
                <w:lang w:eastAsia="zh-CN"/>
              </w:rPr>
              <w:t>、</w:t>
            </w:r>
            <w:r>
              <w:rPr>
                <w:rFonts w:hint="eastAsia" w:ascii="宋体" w:hAnsi="宋体"/>
                <w:color w:val="auto"/>
                <w:sz w:val="24"/>
                <w:szCs w:val="24"/>
                <w:lang w:val="en-US" w:eastAsia="zh-CN"/>
              </w:rPr>
              <w:t>原材料仓库</w:t>
            </w:r>
            <w:r>
              <w:rPr>
                <w:rFonts w:hint="eastAsia" w:ascii="宋体" w:hAnsi="宋体" w:eastAsia="宋体"/>
                <w:color w:val="auto"/>
                <w:sz w:val="24"/>
                <w:szCs w:val="24"/>
              </w:rPr>
              <w:t>以及生产车间应设置抗溶性泡沫、干粉</w:t>
            </w:r>
            <w:r>
              <w:rPr>
                <w:rFonts w:hint="default" w:ascii="Times New Roman" w:hAnsi="Times New Roman" w:eastAsia="宋体" w:cs="Times New Roman"/>
                <w:color w:val="auto"/>
                <w:sz w:val="24"/>
                <w:szCs w:val="24"/>
              </w:rPr>
              <w:t>或二氧化碳灭火器。</w:t>
            </w:r>
          </w:p>
          <w:p w14:paraId="265D695D">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4）</w:t>
            </w:r>
            <w:r>
              <w:rPr>
                <w:rFonts w:hint="default" w:ascii="Times New Roman" w:hAnsi="Times New Roman" w:eastAsia="宋体" w:cs="Times New Roman"/>
                <w:color w:val="auto"/>
                <w:sz w:val="24"/>
                <w:szCs w:val="24"/>
              </w:rPr>
              <w:t>人员管理要求</w:t>
            </w:r>
          </w:p>
          <w:p w14:paraId="63468A2D">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lang w:val="en-US" w:eastAsia="zh-CN"/>
              </w:rPr>
              <w:t>a.</w:t>
            </w:r>
            <w:r>
              <w:rPr>
                <w:rFonts w:hint="default" w:ascii="Times New Roman" w:hAnsi="Times New Roman" w:eastAsia="宋体" w:cs="Times New Roman"/>
                <w:color w:val="auto"/>
                <w:sz w:val="24"/>
                <w:szCs w:val="24"/>
              </w:rPr>
              <w:t>企业从业人员应接受安全培训，未经安全生产培训合格的从业人员，不得上岗作业；</w:t>
            </w:r>
          </w:p>
          <w:p w14:paraId="1E858453">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rPr>
                <w:rFonts w:hint="default" w:ascii="Times New Roman" w:hAnsi="Times New Roman" w:eastAsia="宋体" w:cs="Times New Roman"/>
                <w:color w:val="auto"/>
                <w:sz w:val="24"/>
                <w:szCs w:val="24"/>
                <w:lang w:eastAsia="zh-CN"/>
              </w:rPr>
            </w:pPr>
            <w:r>
              <w:rPr>
                <w:rFonts w:hint="default" w:ascii="Times New Roman" w:hAnsi="Times New Roman" w:eastAsia="宋体" w:cs="Times New Roman"/>
                <w:color w:val="auto"/>
                <w:sz w:val="24"/>
                <w:szCs w:val="24"/>
                <w:lang w:val="en-US" w:eastAsia="zh-CN"/>
              </w:rPr>
              <w:t>b.</w:t>
            </w:r>
            <w:r>
              <w:rPr>
                <w:rFonts w:hint="default" w:ascii="Times New Roman" w:hAnsi="Times New Roman" w:eastAsia="宋体" w:cs="Times New Roman"/>
                <w:color w:val="auto"/>
                <w:sz w:val="24"/>
                <w:szCs w:val="24"/>
              </w:rPr>
              <w:t>企业应配备至少</w:t>
            </w:r>
            <w:r>
              <w:rPr>
                <w:rFonts w:hint="default" w:ascii="Times New Roman" w:hAnsi="Times New Roman" w:eastAsia="TimesNewRomanPSMT" w:cs="Times New Roman"/>
                <w:color w:val="auto"/>
                <w:sz w:val="24"/>
                <w:szCs w:val="24"/>
              </w:rPr>
              <w:t>2</w:t>
            </w:r>
            <w:r>
              <w:rPr>
                <w:rFonts w:hint="default" w:ascii="Times New Roman" w:hAnsi="Times New Roman" w:eastAsia="宋体" w:cs="Times New Roman"/>
                <w:color w:val="auto"/>
                <w:sz w:val="24"/>
                <w:szCs w:val="24"/>
              </w:rPr>
              <w:t>名在班管理岗位安全生产管理人员，负责电解液暂存间的安全生产管理工作</w:t>
            </w:r>
            <w:r>
              <w:rPr>
                <w:rFonts w:hint="default" w:ascii="Times New Roman" w:hAnsi="Times New Roman" w:eastAsia="宋体" w:cs="Times New Roman"/>
                <w:color w:val="auto"/>
                <w:sz w:val="24"/>
                <w:szCs w:val="24"/>
                <w:lang w:eastAsia="zh-CN"/>
              </w:rPr>
              <w:t>。</w:t>
            </w:r>
          </w:p>
          <w:p w14:paraId="66D0533B">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lang w:val="en-US" w:eastAsia="zh-CN"/>
              </w:rPr>
              <w:t>5）</w:t>
            </w:r>
            <w:r>
              <w:rPr>
                <w:rFonts w:hint="default" w:ascii="Times New Roman" w:hAnsi="Times New Roman" w:eastAsia="宋体" w:cs="Times New Roman"/>
                <w:color w:val="auto"/>
                <w:sz w:val="24"/>
                <w:szCs w:val="24"/>
              </w:rPr>
              <w:t>使用安全要求</w:t>
            </w:r>
          </w:p>
          <w:p w14:paraId="3C71FD25">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电解液</w:t>
            </w:r>
            <w:r>
              <w:rPr>
                <w:rFonts w:hint="eastAsia" w:ascii="Times New Roman" w:hAnsi="Times New Roman" w:eastAsia="宋体" w:cs="Times New Roman"/>
                <w:color w:val="auto"/>
                <w:sz w:val="24"/>
                <w:szCs w:val="24"/>
                <w:lang w:eastAsia="zh-CN"/>
              </w:rPr>
              <w:t>、</w:t>
            </w:r>
            <w:r>
              <w:rPr>
                <w:rFonts w:hint="eastAsia" w:ascii="Times New Roman" w:hAnsi="Times New Roman" w:eastAsia="宋体" w:cs="Times New Roman"/>
                <w:color w:val="auto"/>
                <w:sz w:val="24"/>
                <w:szCs w:val="24"/>
                <w:lang w:val="en-US" w:eastAsia="zh-CN"/>
              </w:rPr>
              <w:t>NMP溶剂</w:t>
            </w:r>
            <w:r>
              <w:rPr>
                <w:rFonts w:hint="default" w:ascii="Times New Roman" w:hAnsi="Times New Roman" w:eastAsia="宋体" w:cs="Times New Roman"/>
                <w:color w:val="auto"/>
                <w:sz w:val="24"/>
                <w:szCs w:val="24"/>
              </w:rPr>
              <w:t>应远离火源，使用电解液的车间严禁用明火取暖，其安全出口不得小于两个。</w:t>
            </w:r>
          </w:p>
          <w:p w14:paraId="7D5A9752">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rPr>
                <w:rFonts w:hint="default"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eastAsia="zh-CN"/>
              </w:rPr>
              <w:t>（</w:t>
            </w:r>
            <w:r>
              <w:rPr>
                <w:rFonts w:hint="eastAsia" w:ascii="Times New Roman" w:hAnsi="Times New Roman" w:eastAsia="宋体" w:cs="Times New Roman"/>
                <w:color w:val="auto"/>
                <w:sz w:val="24"/>
                <w:szCs w:val="24"/>
                <w:lang w:val="en-US" w:eastAsia="zh-CN"/>
              </w:rPr>
              <w:t>5</w:t>
            </w:r>
            <w:r>
              <w:rPr>
                <w:rFonts w:hint="eastAsia" w:ascii="Times New Roman" w:hAnsi="Times New Roman" w:eastAsia="宋体" w:cs="Times New Roman"/>
                <w:color w:val="auto"/>
                <w:sz w:val="24"/>
                <w:szCs w:val="24"/>
                <w:lang w:eastAsia="zh-CN"/>
              </w:rPr>
              <w:t>）</w:t>
            </w:r>
            <w:r>
              <w:rPr>
                <w:rFonts w:hint="eastAsia" w:ascii="Times New Roman" w:hAnsi="Times New Roman" w:eastAsia="宋体" w:cs="Times New Roman"/>
                <w:color w:val="auto"/>
                <w:sz w:val="24"/>
                <w:szCs w:val="24"/>
                <w:lang w:val="en-US" w:eastAsia="zh-CN"/>
              </w:rPr>
              <w:t>废气处理装置事故预防措施</w:t>
            </w:r>
          </w:p>
          <w:p w14:paraId="52D75E47">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olor w:val="auto"/>
                <w:sz w:val="24"/>
                <w:szCs w:val="24"/>
              </w:rPr>
            </w:pPr>
            <w:r>
              <w:rPr>
                <w:rFonts w:hint="eastAsia" w:ascii="宋体" w:hAnsi="宋体" w:eastAsia="宋体"/>
                <w:color w:val="auto"/>
                <w:sz w:val="24"/>
                <w:szCs w:val="24"/>
                <w:shd w:val="clear"/>
              </w:rPr>
              <w:t>当</w:t>
            </w:r>
            <w:r>
              <w:rPr>
                <w:rFonts w:hint="eastAsia" w:ascii="TimesNewRomanPSMT" w:hAnsi="TimesNewRomanPSMT" w:eastAsia="TimesNewRomanPSMT"/>
                <w:color w:val="auto"/>
                <w:sz w:val="24"/>
                <w:szCs w:val="24"/>
                <w:shd w:val="clear"/>
              </w:rPr>
              <w:t>NMP</w:t>
            </w:r>
            <w:r>
              <w:rPr>
                <w:rFonts w:hint="eastAsia" w:ascii="宋体" w:hAnsi="宋体" w:eastAsia="宋体"/>
                <w:color w:val="auto"/>
                <w:sz w:val="24"/>
                <w:szCs w:val="24"/>
                <w:shd w:val="clear"/>
              </w:rPr>
              <w:t>冷凝回收系统、活性炭吸附装置等废气治理设施发生故障时，会造成大量未处理废气直接排入空气中，会对环境空气造成较大的影响。导致废气治理设施运行故障的原因主要有：设备故障、人员操作失误。项</w:t>
            </w:r>
            <w:r>
              <w:rPr>
                <w:rFonts w:hint="eastAsia" w:ascii="宋体" w:hAnsi="宋体" w:eastAsia="宋体"/>
                <w:color w:val="auto"/>
                <w:sz w:val="24"/>
                <w:szCs w:val="24"/>
              </w:rPr>
              <w:t>目在生产过程中必须加强管理。</w:t>
            </w:r>
          </w:p>
          <w:p w14:paraId="3B5DB79B">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eastAsia="宋体" w:cs="Times New Roman"/>
                <w:color w:val="auto"/>
                <w:sz w:val="24"/>
                <w:szCs w:val="24"/>
                <w:lang w:eastAsia="zh-CN"/>
              </w:rPr>
            </w:pPr>
            <w:r>
              <w:rPr>
                <w:rFonts w:hint="default" w:ascii="Times New Roman" w:hAnsi="Times New Roman" w:eastAsia="宋体" w:cs="Times New Roman"/>
                <w:color w:val="auto"/>
                <w:sz w:val="24"/>
                <w:szCs w:val="24"/>
                <w:lang w:val="en-US" w:eastAsia="zh-CN"/>
              </w:rPr>
              <w:t>1</w:t>
            </w:r>
            <w:r>
              <w:rPr>
                <w:rFonts w:hint="default" w:ascii="Times New Roman" w:hAnsi="Times New Roman" w:eastAsia="宋体" w:cs="Times New Roman"/>
                <w:color w:val="auto"/>
                <w:sz w:val="24"/>
                <w:szCs w:val="24"/>
              </w:rPr>
              <w:t>）应加强对废气处理系统等的日常管理，及时保养与维修。建立严格的操作规程</w:t>
            </w: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rPr>
              <w:t>实行目标责任制，保证环境保护设施的正常运行</w:t>
            </w:r>
            <w:r>
              <w:rPr>
                <w:rFonts w:hint="default" w:ascii="Times New Roman" w:hAnsi="Times New Roman" w:eastAsia="宋体" w:cs="Times New Roman"/>
                <w:color w:val="auto"/>
                <w:sz w:val="24"/>
                <w:szCs w:val="24"/>
                <w:lang w:eastAsia="zh-CN"/>
              </w:rPr>
              <w:t>；</w:t>
            </w:r>
          </w:p>
          <w:p w14:paraId="7FE4E5E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lang w:val="en-US" w:eastAsia="zh-CN"/>
              </w:rPr>
              <w:t>2）</w:t>
            </w:r>
            <w:r>
              <w:rPr>
                <w:rFonts w:hint="default" w:ascii="Times New Roman" w:hAnsi="Times New Roman" w:eastAsia="宋体" w:cs="Times New Roman"/>
                <w:color w:val="auto"/>
                <w:sz w:val="24"/>
                <w:szCs w:val="24"/>
              </w:rPr>
              <w:t>应严格按工艺规程进行操作，特别在易发生事故工序，应坚决杜绝为了提高产量等而不严格按要求配料、操作等情况，同时，操作人员应穿戴好劳动防护用品。</w:t>
            </w:r>
          </w:p>
          <w:p w14:paraId="4E1DCB5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olor w:val="auto"/>
                <w:sz w:val="24"/>
                <w:szCs w:val="24"/>
              </w:rPr>
            </w:pPr>
            <w:r>
              <w:rPr>
                <w:rFonts w:hint="default" w:ascii="Times New Roman" w:hAnsi="Times New Roman" w:eastAsia="宋体" w:cs="Times New Roman"/>
                <w:color w:val="auto"/>
                <w:sz w:val="24"/>
                <w:szCs w:val="24"/>
                <w:lang w:val="en-US" w:eastAsia="zh-CN"/>
              </w:rPr>
              <w:t>3</w:t>
            </w:r>
            <w:r>
              <w:rPr>
                <w:rFonts w:hint="eastAsia" w:ascii="宋体" w:hAnsi="宋体" w:eastAsia="宋体"/>
                <w:color w:val="auto"/>
                <w:sz w:val="24"/>
                <w:szCs w:val="24"/>
                <w:lang w:val="en-US" w:eastAsia="zh-CN"/>
              </w:rPr>
              <w:t>）</w:t>
            </w:r>
            <w:r>
              <w:rPr>
                <w:rFonts w:hint="eastAsia" w:ascii="宋体" w:hAnsi="宋体" w:eastAsia="宋体"/>
                <w:color w:val="auto"/>
                <w:sz w:val="24"/>
                <w:szCs w:val="24"/>
              </w:rPr>
              <w:t>当废气处理设备出现故障不能正常运行时，应尽快停产进行维修，避免对周围环境造成污染影响。</w:t>
            </w:r>
          </w:p>
          <w:p w14:paraId="6002469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olor w:val="auto"/>
                <w:sz w:val="24"/>
                <w:szCs w:val="24"/>
                <w:lang w:val="en-US" w:eastAsia="zh-CN"/>
              </w:rPr>
            </w:pPr>
            <w:r>
              <w:rPr>
                <w:rFonts w:hint="eastAsia" w:ascii="宋体" w:hAnsi="宋体" w:eastAsia="宋体"/>
                <w:color w:val="auto"/>
                <w:sz w:val="24"/>
                <w:szCs w:val="24"/>
                <w:lang w:eastAsia="zh-CN"/>
              </w:rPr>
              <w:t>（</w:t>
            </w:r>
            <w:r>
              <w:rPr>
                <w:rFonts w:hint="default" w:ascii="Times New Roman" w:hAnsi="Times New Roman" w:eastAsia="宋体" w:cs="Times New Roman"/>
                <w:color w:val="auto"/>
                <w:sz w:val="24"/>
                <w:szCs w:val="24"/>
                <w:lang w:val="en-US" w:eastAsia="zh-CN"/>
              </w:rPr>
              <w:t>6</w:t>
            </w:r>
            <w:r>
              <w:rPr>
                <w:rFonts w:hint="eastAsia" w:ascii="宋体" w:hAnsi="宋体" w:eastAsia="宋体"/>
                <w:color w:val="auto"/>
                <w:sz w:val="24"/>
                <w:szCs w:val="24"/>
                <w:lang w:eastAsia="zh-CN"/>
              </w:rPr>
              <w:t>）</w:t>
            </w:r>
            <w:r>
              <w:rPr>
                <w:rFonts w:hint="eastAsia" w:ascii="宋体" w:hAnsi="宋体" w:eastAsia="宋体"/>
                <w:color w:val="auto"/>
                <w:sz w:val="24"/>
                <w:szCs w:val="24"/>
                <w:lang w:val="en-US" w:eastAsia="zh-CN"/>
              </w:rPr>
              <w:t>水环境污染事故防范措施</w:t>
            </w:r>
          </w:p>
          <w:p w14:paraId="307B661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olor w:val="auto"/>
                <w:sz w:val="24"/>
                <w:szCs w:val="24"/>
                <w:lang w:eastAsia="zh-CN"/>
              </w:rPr>
            </w:pPr>
            <w:r>
              <w:rPr>
                <w:rFonts w:hint="eastAsia" w:ascii="宋体" w:hAnsi="宋体" w:eastAsia="宋体"/>
                <w:color w:val="auto"/>
                <w:sz w:val="24"/>
                <w:szCs w:val="24"/>
              </w:rPr>
              <w:t>事故废水环境风险防范应</w:t>
            </w:r>
            <w:r>
              <w:rPr>
                <w:rFonts w:hint="eastAsia" w:ascii="宋体" w:hAnsi="宋体" w:eastAsia="宋体" w:cs="宋体"/>
                <w:color w:val="auto"/>
                <w:sz w:val="24"/>
                <w:szCs w:val="24"/>
              </w:rPr>
              <w:t>明确“单元一厂区一园区/区域”的环</w:t>
            </w:r>
            <w:r>
              <w:rPr>
                <w:rFonts w:hint="eastAsia" w:ascii="宋体" w:hAnsi="宋体" w:eastAsia="宋体"/>
                <w:color w:val="auto"/>
                <w:sz w:val="24"/>
                <w:szCs w:val="24"/>
              </w:rPr>
              <w:t>境风险防控体系要求，设置事故废水收集储存设施，以满足事故状态下收集泄漏物料和消防废水等的需要。应急储存设施应根据发生事故的设备容量、事故时消防用水量及可能进入应急储存设施的雨水量等因素综合确定。应急储存设施内的事故废水，应及时进行有效处置，做到回用或达标排放</w:t>
            </w:r>
            <w:r>
              <w:rPr>
                <w:rFonts w:hint="eastAsia" w:ascii="宋体" w:hAnsi="宋体" w:eastAsia="宋体"/>
                <w:color w:val="auto"/>
                <w:sz w:val="24"/>
                <w:szCs w:val="24"/>
                <w:lang w:eastAsia="zh-CN"/>
              </w:rPr>
              <w:t>。</w:t>
            </w:r>
          </w:p>
          <w:p w14:paraId="3102D73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olor w:val="auto"/>
                <w:sz w:val="24"/>
                <w:szCs w:val="24"/>
                <w:lang w:val="en-US" w:eastAsia="zh-CN"/>
              </w:rPr>
            </w:pPr>
            <w:r>
              <w:rPr>
                <w:rFonts w:hint="default" w:ascii="Times New Roman" w:hAnsi="Times New Roman" w:eastAsia="宋体" w:cs="Times New Roman"/>
                <w:color w:val="auto"/>
                <w:sz w:val="24"/>
                <w:szCs w:val="24"/>
                <w:lang w:val="en-US" w:eastAsia="zh-CN"/>
              </w:rPr>
              <w:t>1</w:t>
            </w:r>
            <w:r>
              <w:rPr>
                <w:rFonts w:hint="eastAsia" w:ascii="宋体" w:hAnsi="宋体" w:eastAsia="宋体"/>
                <w:color w:val="auto"/>
                <w:sz w:val="24"/>
                <w:szCs w:val="24"/>
                <w:lang w:val="en-US" w:eastAsia="zh-CN"/>
              </w:rPr>
              <w:t>）厂区</w:t>
            </w:r>
          </w:p>
          <w:p w14:paraId="1324C82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olor w:val="auto"/>
                <w:sz w:val="24"/>
                <w:szCs w:val="24"/>
              </w:rPr>
            </w:pPr>
            <w:r>
              <w:rPr>
                <w:rFonts w:hint="eastAsia" w:ascii="宋体" w:hAnsi="宋体" w:eastAsia="宋体"/>
                <w:color w:val="auto"/>
                <w:sz w:val="24"/>
                <w:szCs w:val="24"/>
              </w:rPr>
              <w:t>当生产过程中因为槽体破裂发生事故，导致槽液泄漏而未及时收集，则会对建设项目场地的土壤和地下水环境产生严重影响；废水管道破裂导致废水泄漏事故而未及时处理，则会对沿线地下水环境产生影响。因此，必须采取严格措施防止泄漏事故对周边环境造成不利影响。</w:t>
            </w:r>
          </w:p>
          <w:p w14:paraId="6640609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olor w:val="auto"/>
                <w:sz w:val="24"/>
                <w:szCs w:val="24"/>
              </w:rPr>
            </w:pPr>
            <w:r>
              <w:rPr>
                <w:rFonts w:hint="eastAsia" w:ascii="宋体" w:hAnsi="宋体" w:eastAsia="宋体"/>
                <w:color w:val="auto"/>
                <w:sz w:val="24"/>
                <w:szCs w:val="24"/>
              </w:rPr>
              <w:t>①万一发生危害性事故，应立即通知有关部门，组织附近居民、工厂工人疏散、抢险和应急监测等善后处理事宜。</w:t>
            </w:r>
          </w:p>
          <w:p w14:paraId="083377F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olor w:val="auto"/>
                <w:sz w:val="24"/>
                <w:szCs w:val="24"/>
              </w:rPr>
            </w:pPr>
            <w:r>
              <w:rPr>
                <w:rFonts w:hint="eastAsia" w:ascii="宋体" w:hAnsi="宋体" w:eastAsia="宋体"/>
                <w:color w:val="auto"/>
                <w:sz w:val="24"/>
                <w:szCs w:val="24"/>
                <w:lang w:val="en-US" w:eastAsia="zh-CN"/>
              </w:rPr>
              <w:t>②</w:t>
            </w:r>
            <w:r>
              <w:rPr>
                <w:rFonts w:hint="eastAsia" w:ascii="宋体" w:hAnsi="宋体" w:eastAsia="宋体"/>
                <w:color w:val="auto"/>
                <w:sz w:val="24"/>
                <w:szCs w:val="24"/>
              </w:rPr>
              <w:t>事件处理过程中产生的消防废水、事故废水进入厂区内的事故应急池；关闭雨水排放口阀门，防止污染物通过排口流入厂外，造成污染，待事故现场污染物得到控制并消除已产生的污染物后方可启动正常排放口。</w:t>
            </w:r>
          </w:p>
          <w:p w14:paraId="5E86DDC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olor w:val="auto"/>
                <w:sz w:val="24"/>
                <w:szCs w:val="24"/>
              </w:rPr>
            </w:pPr>
            <w:r>
              <w:rPr>
                <w:rFonts w:hint="eastAsia" w:ascii="宋体" w:hAnsi="宋体" w:eastAsia="宋体"/>
                <w:color w:val="auto"/>
                <w:sz w:val="24"/>
                <w:szCs w:val="24"/>
              </w:rPr>
              <w:t>③废水输送管道架空建设且必须满足防腐、防渗漏要求，管道连接处必须采取措施密封牢固，以防渗漏。</w:t>
            </w:r>
          </w:p>
          <w:p w14:paraId="596EC2F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olor w:val="auto"/>
                <w:sz w:val="24"/>
                <w:szCs w:val="24"/>
              </w:rPr>
            </w:pPr>
            <w:r>
              <w:rPr>
                <w:rFonts w:hint="eastAsia" w:ascii="TimesNewRomanPSMT" w:hAnsi="TimesNewRomanPSMT" w:eastAsia="TimesNewRomanPSMT"/>
                <w:color w:val="auto"/>
                <w:sz w:val="24"/>
                <w:szCs w:val="24"/>
              </w:rPr>
              <w:t>2</w:t>
            </w:r>
            <w:r>
              <w:rPr>
                <w:rFonts w:hint="eastAsia" w:ascii="宋体" w:hAnsi="宋体" w:eastAsia="宋体"/>
                <w:color w:val="auto"/>
                <w:sz w:val="24"/>
                <w:szCs w:val="24"/>
              </w:rPr>
              <w:t>）水环境风险三级防控体系</w:t>
            </w:r>
          </w:p>
          <w:p w14:paraId="507E9D2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olor w:val="auto"/>
                <w:sz w:val="24"/>
                <w:szCs w:val="24"/>
              </w:rPr>
            </w:pPr>
            <w:r>
              <w:rPr>
                <w:rFonts w:hint="eastAsia" w:ascii="宋体" w:hAnsi="宋体" w:eastAsia="宋体"/>
                <w:color w:val="auto"/>
                <w:sz w:val="24"/>
                <w:szCs w:val="24"/>
              </w:rPr>
              <w:t>①一级防控措施：</w:t>
            </w:r>
          </w:p>
          <w:p w14:paraId="486A66B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olor w:val="auto"/>
                <w:sz w:val="24"/>
                <w:szCs w:val="24"/>
              </w:rPr>
            </w:pPr>
            <w:r>
              <w:rPr>
                <w:rFonts w:hint="eastAsia" w:ascii="宋体" w:hAnsi="宋体" w:eastAsia="宋体"/>
                <w:color w:val="auto"/>
                <w:sz w:val="24"/>
                <w:szCs w:val="24"/>
                <w:lang w:val="en-US" w:eastAsia="zh-CN"/>
              </w:rPr>
              <w:t>厂区</w:t>
            </w:r>
            <w:r>
              <w:rPr>
                <w:rFonts w:hint="eastAsia" w:ascii="宋体" w:hAnsi="宋体" w:eastAsia="宋体"/>
                <w:color w:val="auto"/>
                <w:sz w:val="24"/>
                <w:szCs w:val="24"/>
              </w:rPr>
              <w:t>设置排水口。</w:t>
            </w:r>
          </w:p>
          <w:p w14:paraId="6E4BF4F5">
            <w:pPr>
              <w:keepNext w:val="0"/>
              <w:keepLines w:val="0"/>
              <w:pageBreakBefore w:val="0"/>
              <w:widowControl w:val="0"/>
              <w:numPr>
                <w:ilvl w:val="0"/>
                <w:numId w:val="0"/>
              </w:numPr>
              <w:shd w:val="clear"/>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olor w:val="auto"/>
                <w:sz w:val="24"/>
                <w:szCs w:val="24"/>
              </w:rPr>
            </w:pPr>
            <w:r>
              <w:rPr>
                <w:rFonts w:hint="eastAsia" w:ascii="宋体" w:hAnsi="宋体" w:eastAsia="宋体"/>
                <w:color w:val="auto"/>
                <w:sz w:val="24"/>
                <w:szCs w:val="24"/>
              </w:rPr>
              <w:t>②二级防控措施：</w:t>
            </w:r>
          </w:p>
          <w:p w14:paraId="6DC81DF7">
            <w:pPr>
              <w:keepNext w:val="0"/>
              <w:keepLines w:val="0"/>
              <w:pageBreakBefore w:val="0"/>
              <w:widowControl w:val="0"/>
              <w:numPr>
                <w:ilvl w:val="0"/>
                <w:numId w:val="0"/>
              </w:numPr>
              <w:shd w:val="clear"/>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olor w:val="auto"/>
                <w:sz w:val="24"/>
                <w:szCs w:val="24"/>
              </w:rPr>
            </w:pPr>
            <w:r>
              <w:rPr>
                <w:rFonts w:hint="eastAsia" w:ascii="宋体" w:hAnsi="宋体" w:eastAsia="宋体"/>
                <w:color w:val="auto"/>
                <w:sz w:val="24"/>
                <w:szCs w:val="24"/>
              </w:rPr>
              <w:t>建议建设单位</w:t>
            </w:r>
            <w:r>
              <w:rPr>
                <w:rFonts w:hint="eastAsia" w:ascii="宋体" w:hAnsi="宋体" w:eastAsia="宋体"/>
                <w:color w:val="auto"/>
                <w:sz w:val="24"/>
                <w:szCs w:val="24"/>
                <w:lang w:val="en-US" w:eastAsia="zh-CN"/>
              </w:rPr>
              <w:t>拟</w:t>
            </w:r>
            <w:r>
              <w:rPr>
                <w:rFonts w:hint="eastAsia" w:ascii="宋体" w:hAnsi="宋体" w:eastAsia="宋体"/>
                <w:color w:val="auto"/>
                <w:sz w:val="24"/>
                <w:szCs w:val="24"/>
              </w:rPr>
              <w:t>建设一定容量的事故应急池，以接纳事故情况下排放的污水及消防废水。在事故结束之后，将应急事故池中的污水在保证不会导致项目废水处理站负荷过载的情况下将污水逐步排入废水处理站进行处理。</w:t>
            </w:r>
          </w:p>
          <w:p w14:paraId="5DAF0B6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olor w:val="auto"/>
                <w:sz w:val="24"/>
                <w:szCs w:val="24"/>
              </w:rPr>
            </w:pPr>
            <w:r>
              <w:rPr>
                <w:rFonts w:hint="eastAsia" w:ascii="宋体" w:hAnsi="宋体" w:eastAsia="宋体"/>
                <w:color w:val="auto"/>
                <w:sz w:val="24"/>
                <w:szCs w:val="24"/>
              </w:rPr>
              <w:t>③三级防控措施：</w:t>
            </w:r>
          </w:p>
          <w:p w14:paraId="0BC9F5A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olor w:val="auto"/>
                <w:sz w:val="24"/>
                <w:szCs w:val="24"/>
              </w:rPr>
            </w:pPr>
            <w:r>
              <w:rPr>
                <w:rFonts w:hint="eastAsia" w:ascii="宋体" w:hAnsi="宋体" w:eastAsia="宋体"/>
                <w:color w:val="auto"/>
                <w:sz w:val="24"/>
                <w:szCs w:val="24"/>
              </w:rPr>
              <w:t>厂区在雨水总排口处设置切断措施，防止事故情况下物料经雨水管线进入地表水水体。事故应急池满足全厂三级防控要求。事故应急池采取防渗、防腐、防冻、防洪、抗浮、抗震等措施。</w:t>
            </w:r>
          </w:p>
          <w:p w14:paraId="7431FE2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olor w:val="auto"/>
                <w:sz w:val="24"/>
                <w:szCs w:val="24"/>
              </w:rPr>
            </w:pPr>
            <w:r>
              <w:rPr>
                <w:rFonts w:hint="eastAsia" w:ascii="TimesNewRomanPSMT" w:hAnsi="TimesNewRomanPSMT" w:eastAsia="TimesNewRomanPSMT"/>
                <w:color w:val="auto"/>
                <w:sz w:val="24"/>
                <w:szCs w:val="24"/>
              </w:rPr>
              <w:t>3</w:t>
            </w:r>
            <w:r>
              <w:rPr>
                <w:rFonts w:hint="eastAsia" w:ascii="宋体" w:hAnsi="宋体" w:eastAsia="宋体"/>
                <w:color w:val="auto"/>
                <w:sz w:val="24"/>
                <w:szCs w:val="24"/>
              </w:rPr>
              <w:t>）事故废水暂存措施</w:t>
            </w:r>
          </w:p>
          <w:p w14:paraId="2D608B3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olor w:val="auto"/>
                <w:sz w:val="24"/>
                <w:szCs w:val="24"/>
              </w:rPr>
            </w:pPr>
            <w:r>
              <w:rPr>
                <w:rFonts w:hint="eastAsia" w:ascii="宋体" w:hAnsi="宋体" w:eastAsia="宋体"/>
                <w:color w:val="auto"/>
                <w:sz w:val="24"/>
                <w:szCs w:val="24"/>
              </w:rPr>
              <w:t>项目在厂区</w:t>
            </w:r>
            <w:r>
              <w:rPr>
                <w:rFonts w:hint="eastAsia" w:ascii="宋体" w:hAnsi="宋体" w:eastAsia="宋体"/>
                <w:color w:val="auto"/>
                <w:sz w:val="24"/>
                <w:szCs w:val="24"/>
                <w:lang w:val="en-US" w:eastAsia="zh-CN"/>
              </w:rPr>
              <w:t>西侧</w:t>
            </w:r>
            <w:r>
              <w:rPr>
                <w:rFonts w:hint="eastAsia" w:ascii="宋体" w:hAnsi="宋体" w:eastAsia="宋体"/>
                <w:color w:val="auto"/>
                <w:sz w:val="24"/>
                <w:szCs w:val="24"/>
              </w:rPr>
              <w:t>设置一座容积为</w:t>
            </w:r>
            <w:r>
              <w:rPr>
                <w:rFonts w:hint="eastAsia" w:ascii="TimesNewRomanPSMT" w:hAnsi="TimesNewRomanPSMT" w:eastAsia="宋体"/>
                <w:color w:val="auto"/>
                <w:sz w:val="24"/>
                <w:szCs w:val="24"/>
                <w:lang w:val="en-US" w:eastAsia="zh-CN"/>
              </w:rPr>
              <w:t>2380</w:t>
            </w:r>
            <w:r>
              <w:rPr>
                <w:rFonts w:hint="eastAsia" w:ascii="TimesNewRomanPSMT" w:hAnsi="TimesNewRomanPSMT" w:eastAsia="TimesNewRomanPSMT"/>
                <w:color w:val="auto"/>
                <w:sz w:val="24"/>
                <w:szCs w:val="24"/>
              </w:rPr>
              <w:t>m</w:t>
            </w:r>
            <w:r>
              <w:rPr>
                <w:rFonts w:hint="eastAsia" w:ascii="TimesNewRomanPSMT" w:hAnsi="TimesNewRomanPSMT" w:eastAsia="宋体"/>
                <w:color w:val="auto"/>
                <w:sz w:val="24"/>
                <w:szCs w:val="24"/>
                <w:vertAlign w:val="superscript"/>
                <w:lang w:val="en-US" w:eastAsia="zh-CN"/>
              </w:rPr>
              <w:t>3</w:t>
            </w:r>
            <w:r>
              <w:rPr>
                <w:rFonts w:hint="eastAsia" w:ascii="宋体" w:hAnsi="宋体" w:eastAsia="宋体"/>
                <w:color w:val="auto"/>
                <w:sz w:val="24"/>
                <w:szCs w:val="24"/>
              </w:rPr>
              <w:t>的事故应急池，并配套建设完善的排水系统和切换系统后，可以应对因管道破裂、泵设备损坏或失效、人为操作失误、火灾、污水处理系统故障等事故，确保发生事故时废水可收集至事故应急池暂存。</w:t>
            </w:r>
          </w:p>
          <w:p w14:paraId="24D479B3">
            <w:pPr>
              <w:spacing w:line="360" w:lineRule="auto"/>
              <w:ind w:firstLine="482"/>
              <w:rPr>
                <w:rFonts w:hint="eastAsia" w:cs="Times New Roman"/>
                <w:color w:val="auto"/>
                <w:sz w:val="24"/>
                <w:szCs w:val="24"/>
                <w:highlight w:val="none"/>
                <w:lang w:val="en-US" w:eastAsia="zh-CN"/>
              </w:rPr>
            </w:pPr>
            <w:r>
              <w:rPr>
                <w:rFonts w:hint="eastAsia" w:cs="Times New Roman"/>
                <w:color w:val="auto"/>
                <w:sz w:val="24"/>
                <w:szCs w:val="24"/>
                <w:highlight w:val="none"/>
                <w:lang w:val="en-US" w:eastAsia="zh-CN"/>
              </w:rPr>
              <w:t>事故应急池参照</w:t>
            </w:r>
            <w:r>
              <w:rPr>
                <w:rFonts w:hint="default" w:ascii="Times New Roman" w:hAnsi="Times New Roman" w:eastAsia="宋体" w:cs="Times New Roman"/>
                <w:color w:val="auto"/>
                <w:sz w:val="24"/>
                <w:szCs w:val="24"/>
                <w:highlight w:val="none"/>
              </w:rPr>
              <w:t>《水体污染防控紧急措施设计导则》</w:t>
            </w:r>
            <w:r>
              <w:rPr>
                <w:rFonts w:hint="eastAsia" w:cs="Times New Roman"/>
                <w:color w:val="auto"/>
                <w:sz w:val="24"/>
                <w:szCs w:val="24"/>
                <w:highlight w:val="none"/>
                <w:lang w:eastAsia="zh-CN"/>
              </w:rPr>
              <w:t>（</w:t>
            </w:r>
            <w:r>
              <w:rPr>
                <w:rFonts w:hint="eastAsia" w:ascii="宋体" w:hAnsi="宋体" w:eastAsia="宋体"/>
                <w:color w:val="auto"/>
                <w:sz w:val="24"/>
                <w:szCs w:val="24"/>
              </w:rPr>
              <w:t>中国石化建标〔</w:t>
            </w:r>
            <w:r>
              <w:rPr>
                <w:rFonts w:hint="eastAsia" w:ascii="TimesNewRomanPSMT" w:hAnsi="TimesNewRomanPSMT" w:eastAsia="TimesNewRomanPSMT"/>
                <w:color w:val="auto"/>
                <w:sz w:val="24"/>
                <w:szCs w:val="24"/>
              </w:rPr>
              <w:t>2006</w:t>
            </w:r>
            <w:r>
              <w:rPr>
                <w:rFonts w:hint="eastAsia" w:ascii="宋体" w:hAnsi="宋体" w:eastAsia="宋体"/>
                <w:color w:val="auto"/>
                <w:sz w:val="24"/>
                <w:szCs w:val="24"/>
              </w:rPr>
              <w:t>〕</w:t>
            </w:r>
            <w:r>
              <w:rPr>
                <w:rFonts w:hint="eastAsia" w:ascii="TimesNewRomanPSMT" w:hAnsi="TimesNewRomanPSMT" w:eastAsia="TimesNewRomanPSMT"/>
                <w:color w:val="auto"/>
                <w:sz w:val="24"/>
                <w:szCs w:val="24"/>
              </w:rPr>
              <w:t>43</w:t>
            </w:r>
            <w:r>
              <w:rPr>
                <w:rFonts w:hint="eastAsia" w:ascii="宋体" w:hAnsi="宋体" w:eastAsia="宋体"/>
                <w:color w:val="auto"/>
                <w:sz w:val="24"/>
                <w:szCs w:val="24"/>
              </w:rPr>
              <w:t>号）</w:t>
            </w:r>
            <w:r>
              <w:rPr>
                <w:rFonts w:hint="eastAsia" w:cs="Times New Roman"/>
                <w:color w:val="auto"/>
                <w:sz w:val="24"/>
                <w:szCs w:val="24"/>
                <w:highlight w:val="none"/>
                <w:lang w:eastAsia="zh-CN"/>
              </w:rPr>
              <w:t>）</w:t>
            </w:r>
            <w:r>
              <w:rPr>
                <w:rFonts w:hint="eastAsia" w:cs="Times New Roman"/>
                <w:color w:val="auto"/>
                <w:sz w:val="24"/>
                <w:szCs w:val="24"/>
                <w:highlight w:val="none"/>
                <w:lang w:val="en-US" w:eastAsia="zh-CN"/>
              </w:rPr>
              <w:t>中的相关规定设置。</w:t>
            </w:r>
          </w:p>
          <w:p w14:paraId="1F34A717">
            <w:pPr>
              <w:spacing w:line="360" w:lineRule="auto"/>
              <w:ind w:firstLine="482"/>
              <w:rPr>
                <w:rFonts w:hint="eastAsia" w:cs="Times New Roman"/>
                <w:color w:val="auto"/>
                <w:sz w:val="24"/>
                <w:szCs w:val="24"/>
                <w:highlight w:val="none"/>
                <w:lang w:val="en-US" w:eastAsia="zh-CN"/>
              </w:rPr>
            </w:pPr>
            <w:r>
              <w:rPr>
                <w:rFonts w:hint="eastAsia" w:cs="Times New Roman"/>
                <w:color w:val="auto"/>
                <w:sz w:val="24"/>
                <w:szCs w:val="24"/>
                <w:highlight w:val="none"/>
                <w:lang w:val="en-US" w:eastAsia="zh-CN"/>
              </w:rPr>
              <w:t>①计算公式</w:t>
            </w:r>
          </w:p>
          <w:p w14:paraId="099610B1">
            <w:pPr>
              <w:spacing w:line="360" w:lineRule="auto"/>
              <w:ind w:firstLine="482"/>
              <w:rPr>
                <w:rFonts w:hint="default" w:ascii="Times New Roman" w:hAnsi="Times New Roman" w:eastAsia="宋体" w:cs="Times New Roman"/>
                <w:color w:val="auto"/>
                <w:sz w:val="24"/>
                <w:szCs w:val="24"/>
                <w:highlight w:val="none"/>
              </w:rPr>
            </w:pPr>
            <w:r>
              <w:rPr>
                <w:rFonts w:hint="eastAsia" w:cs="Times New Roman"/>
                <w:color w:val="auto"/>
                <w:sz w:val="24"/>
                <w:szCs w:val="24"/>
                <w:highlight w:val="none"/>
                <w:lang w:val="en-US" w:eastAsia="zh-CN"/>
              </w:rPr>
              <w:t>根据</w:t>
            </w:r>
            <w:r>
              <w:rPr>
                <w:rFonts w:hint="default" w:ascii="Times New Roman" w:hAnsi="Times New Roman" w:eastAsia="宋体" w:cs="Times New Roman"/>
                <w:color w:val="auto"/>
                <w:sz w:val="24"/>
                <w:szCs w:val="24"/>
                <w:highlight w:val="none"/>
              </w:rPr>
              <w:t>《水体污染防控紧急措施设计导则》</w:t>
            </w:r>
            <w:r>
              <w:rPr>
                <w:rFonts w:hint="eastAsia" w:cs="Times New Roman"/>
                <w:color w:val="auto"/>
                <w:sz w:val="24"/>
                <w:szCs w:val="24"/>
                <w:highlight w:val="none"/>
                <w:lang w:eastAsia="zh-CN"/>
              </w:rPr>
              <w:t>（</w:t>
            </w:r>
            <w:r>
              <w:rPr>
                <w:rFonts w:hint="eastAsia" w:ascii="宋体" w:hAnsi="宋体" w:eastAsia="宋体"/>
                <w:color w:val="auto"/>
                <w:sz w:val="24"/>
                <w:szCs w:val="24"/>
              </w:rPr>
              <w:t>中国石化建标〔</w:t>
            </w:r>
            <w:r>
              <w:rPr>
                <w:rFonts w:hint="eastAsia" w:ascii="TimesNewRomanPSMT" w:hAnsi="TimesNewRomanPSMT" w:eastAsia="TimesNewRomanPSMT"/>
                <w:color w:val="auto"/>
                <w:sz w:val="24"/>
                <w:szCs w:val="24"/>
              </w:rPr>
              <w:t>2006</w:t>
            </w:r>
            <w:r>
              <w:rPr>
                <w:rFonts w:hint="eastAsia" w:ascii="宋体" w:hAnsi="宋体" w:eastAsia="宋体"/>
                <w:color w:val="auto"/>
                <w:sz w:val="24"/>
                <w:szCs w:val="24"/>
              </w:rPr>
              <w:t>〕</w:t>
            </w:r>
            <w:r>
              <w:rPr>
                <w:rFonts w:hint="eastAsia" w:ascii="TimesNewRomanPSMT" w:hAnsi="TimesNewRomanPSMT" w:eastAsia="TimesNewRomanPSMT"/>
                <w:color w:val="auto"/>
                <w:sz w:val="24"/>
                <w:szCs w:val="24"/>
              </w:rPr>
              <w:t>43</w:t>
            </w:r>
            <w:r>
              <w:rPr>
                <w:rFonts w:hint="eastAsia" w:ascii="宋体" w:hAnsi="宋体" w:eastAsia="宋体"/>
                <w:color w:val="auto"/>
                <w:sz w:val="24"/>
                <w:szCs w:val="24"/>
              </w:rPr>
              <w:t>号）</w:t>
            </w:r>
            <w:r>
              <w:rPr>
                <w:rFonts w:hint="eastAsia" w:cs="Times New Roman"/>
                <w:color w:val="auto"/>
                <w:sz w:val="24"/>
                <w:szCs w:val="24"/>
                <w:highlight w:val="none"/>
                <w:lang w:eastAsia="zh-CN"/>
              </w:rPr>
              <w:t>）</w:t>
            </w:r>
            <w:r>
              <w:rPr>
                <w:rFonts w:hint="eastAsia" w:cs="Times New Roman"/>
                <w:color w:val="auto"/>
                <w:sz w:val="24"/>
                <w:szCs w:val="24"/>
                <w:highlight w:val="none"/>
                <w:lang w:val="en-US" w:eastAsia="zh-CN"/>
              </w:rPr>
              <w:t>中</w:t>
            </w:r>
            <w:r>
              <w:rPr>
                <w:rFonts w:hint="default" w:ascii="Times New Roman" w:hAnsi="Times New Roman" w:eastAsia="宋体" w:cs="Times New Roman"/>
                <w:color w:val="auto"/>
                <w:sz w:val="24"/>
                <w:szCs w:val="24"/>
                <w:highlight w:val="none"/>
              </w:rPr>
              <w:t>事故储存设施总有效容积为：</w:t>
            </w:r>
          </w:p>
          <w:p w14:paraId="14BA7AE6">
            <w:pPr>
              <w:spacing w:line="360" w:lineRule="auto"/>
              <w:ind w:firstLine="482"/>
              <w:jc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V总=（V</w:t>
            </w:r>
            <w:r>
              <w:rPr>
                <w:rFonts w:hint="default" w:ascii="Times New Roman" w:hAnsi="Times New Roman" w:eastAsia="宋体" w:cs="Times New Roman"/>
                <w:color w:val="auto"/>
                <w:sz w:val="24"/>
                <w:szCs w:val="24"/>
                <w:highlight w:val="none"/>
                <w:vertAlign w:val="subscript"/>
              </w:rPr>
              <w:t>1</w:t>
            </w:r>
            <w:r>
              <w:rPr>
                <w:rFonts w:hint="default" w:ascii="Times New Roman" w:hAnsi="Times New Roman" w:eastAsia="宋体" w:cs="Times New Roman"/>
                <w:color w:val="auto"/>
                <w:sz w:val="24"/>
                <w:szCs w:val="24"/>
                <w:highlight w:val="none"/>
              </w:rPr>
              <w:t>+V</w:t>
            </w:r>
            <w:r>
              <w:rPr>
                <w:rFonts w:hint="default" w:ascii="Times New Roman" w:hAnsi="Times New Roman" w:eastAsia="宋体" w:cs="Times New Roman"/>
                <w:color w:val="auto"/>
                <w:sz w:val="24"/>
                <w:szCs w:val="24"/>
                <w:highlight w:val="none"/>
                <w:vertAlign w:val="subscript"/>
              </w:rPr>
              <w:t>2</w:t>
            </w:r>
            <w:r>
              <w:rPr>
                <w:rFonts w:hint="default" w:ascii="Times New Roman" w:hAnsi="Times New Roman" w:eastAsia="宋体" w:cs="Times New Roman"/>
                <w:color w:val="auto"/>
                <w:sz w:val="24"/>
                <w:szCs w:val="24"/>
                <w:highlight w:val="none"/>
              </w:rPr>
              <w:t>-V</w:t>
            </w:r>
            <w:r>
              <w:rPr>
                <w:rFonts w:hint="default" w:ascii="Times New Roman" w:hAnsi="Times New Roman" w:eastAsia="宋体" w:cs="Times New Roman"/>
                <w:color w:val="auto"/>
                <w:sz w:val="24"/>
                <w:szCs w:val="24"/>
                <w:highlight w:val="none"/>
                <w:vertAlign w:val="subscript"/>
              </w:rPr>
              <w:t>3</w:t>
            </w:r>
            <w:r>
              <w:rPr>
                <w:rFonts w:hint="default" w:ascii="Times New Roman" w:hAnsi="Times New Roman" w:eastAsia="宋体" w:cs="Times New Roman"/>
                <w:color w:val="auto"/>
                <w:sz w:val="24"/>
                <w:szCs w:val="24"/>
                <w:highlight w:val="none"/>
              </w:rPr>
              <w:t>）max+V</w:t>
            </w:r>
            <w:r>
              <w:rPr>
                <w:rFonts w:hint="default" w:ascii="Times New Roman" w:hAnsi="Times New Roman" w:eastAsia="宋体" w:cs="Times New Roman"/>
                <w:color w:val="auto"/>
                <w:sz w:val="24"/>
                <w:szCs w:val="24"/>
                <w:highlight w:val="none"/>
                <w:vertAlign w:val="subscript"/>
              </w:rPr>
              <w:t>4</w:t>
            </w:r>
            <w:r>
              <w:rPr>
                <w:rFonts w:hint="default" w:ascii="Times New Roman" w:hAnsi="Times New Roman" w:eastAsia="宋体" w:cs="Times New Roman"/>
                <w:color w:val="auto"/>
                <w:sz w:val="24"/>
                <w:szCs w:val="24"/>
                <w:highlight w:val="none"/>
              </w:rPr>
              <w:t>+V</w:t>
            </w:r>
            <w:r>
              <w:rPr>
                <w:rFonts w:hint="default" w:ascii="Times New Roman" w:hAnsi="Times New Roman" w:eastAsia="宋体" w:cs="Times New Roman"/>
                <w:color w:val="auto"/>
                <w:sz w:val="24"/>
                <w:szCs w:val="24"/>
                <w:highlight w:val="none"/>
                <w:vertAlign w:val="subscript"/>
              </w:rPr>
              <w:t>5</w:t>
            </w:r>
          </w:p>
          <w:p w14:paraId="7484F99D">
            <w:pPr>
              <w:spacing w:line="360" w:lineRule="auto"/>
              <w:ind w:firstLine="482"/>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式中：V</w:t>
            </w:r>
            <w:r>
              <w:rPr>
                <w:rFonts w:hint="default" w:ascii="Times New Roman" w:hAnsi="Times New Roman" w:eastAsia="宋体" w:cs="Times New Roman"/>
                <w:color w:val="auto"/>
                <w:sz w:val="24"/>
                <w:szCs w:val="24"/>
                <w:highlight w:val="none"/>
                <w:vertAlign w:val="subscript"/>
              </w:rPr>
              <w:t>1</w:t>
            </w:r>
            <w:r>
              <w:rPr>
                <w:rFonts w:hint="default" w:ascii="Times New Roman" w:hAnsi="Times New Roman" w:eastAsia="宋体" w:cs="Times New Roman"/>
                <w:color w:val="auto"/>
                <w:sz w:val="24"/>
                <w:szCs w:val="24"/>
                <w:highlight w:val="none"/>
              </w:rPr>
              <w:t>——收集系统范围内发生事故的一个罐组或一套装置的物料量，</w:t>
            </w:r>
            <w:r>
              <w:rPr>
                <w:rFonts w:hint="default" w:ascii="Times New Roman" w:hAnsi="Times New Roman" w:eastAsia="宋体" w:cs="Times New Roman"/>
                <w:color w:val="auto"/>
                <w:sz w:val="24"/>
                <w:szCs w:val="24"/>
                <w:highlight w:val="none"/>
                <w:lang w:eastAsia="zh-CN"/>
              </w:rPr>
              <w:t>m</w:t>
            </w:r>
            <w:r>
              <w:rPr>
                <w:rFonts w:hint="default" w:ascii="Times New Roman" w:hAnsi="Times New Roman" w:eastAsia="宋体" w:cs="Times New Roman"/>
                <w:color w:val="auto"/>
                <w:sz w:val="24"/>
                <w:szCs w:val="24"/>
                <w:highlight w:val="none"/>
                <w:vertAlign w:val="superscript"/>
                <w:lang w:eastAsia="zh-CN"/>
              </w:rPr>
              <w:t>3</w:t>
            </w:r>
            <w:r>
              <w:rPr>
                <w:rFonts w:hint="default" w:ascii="Times New Roman" w:hAnsi="Times New Roman" w:eastAsia="宋体" w:cs="Times New Roman"/>
                <w:color w:val="auto"/>
                <w:sz w:val="24"/>
                <w:szCs w:val="24"/>
                <w:highlight w:val="none"/>
              </w:rPr>
              <w:t>；</w:t>
            </w:r>
          </w:p>
          <w:p w14:paraId="27F22E12">
            <w:pPr>
              <w:spacing w:line="360" w:lineRule="auto"/>
              <w:ind w:firstLine="482"/>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V</w:t>
            </w:r>
            <w:r>
              <w:rPr>
                <w:rFonts w:hint="default" w:ascii="Times New Roman" w:hAnsi="Times New Roman" w:eastAsia="宋体" w:cs="Times New Roman"/>
                <w:color w:val="auto"/>
                <w:sz w:val="24"/>
                <w:szCs w:val="24"/>
                <w:highlight w:val="none"/>
                <w:vertAlign w:val="subscript"/>
              </w:rPr>
              <w:t>2</w:t>
            </w:r>
            <w:r>
              <w:rPr>
                <w:rFonts w:hint="default" w:ascii="Times New Roman" w:hAnsi="Times New Roman" w:eastAsia="宋体" w:cs="Times New Roman"/>
                <w:color w:val="auto"/>
                <w:sz w:val="24"/>
                <w:szCs w:val="24"/>
                <w:highlight w:val="none"/>
              </w:rPr>
              <w:t>——发生事故的储罐或装置的消防水量，</w:t>
            </w:r>
            <w:r>
              <w:rPr>
                <w:rFonts w:hint="default" w:ascii="Times New Roman" w:hAnsi="Times New Roman" w:eastAsia="宋体" w:cs="Times New Roman"/>
                <w:color w:val="auto"/>
                <w:sz w:val="24"/>
                <w:szCs w:val="24"/>
                <w:highlight w:val="none"/>
                <w:lang w:eastAsia="zh-CN"/>
              </w:rPr>
              <w:t>m</w:t>
            </w:r>
            <w:r>
              <w:rPr>
                <w:rFonts w:hint="default" w:ascii="Times New Roman" w:hAnsi="Times New Roman" w:eastAsia="宋体" w:cs="Times New Roman"/>
                <w:color w:val="auto"/>
                <w:sz w:val="24"/>
                <w:szCs w:val="24"/>
                <w:highlight w:val="none"/>
                <w:vertAlign w:val="superscript"/>
                <w:lang w:eastAsia="zh-CN"/>
              </w:rPr>
              <w:t>3</w:t>
            </w:r>
            <w:r>
              <w:rPr>
                <w:rFonts w:hint="default" w:ascii="Times New Roman" w:hAnsi="Times New Roman" w:eastAsia="宋体" w:cs="Times New Roman"/>
                <w:color w:val="auto"/>
                <w:sz w:val="24"/>
                <w:szCs w:val="24"/>
                <w:highlight w:val="none"/>
              </w:rPr>
              <w:t>；</w:t>
            </w:r>
          </w:p>
          <w:p w14:paraId="47CB5946">
            <w:pPr>
              <w:spacing w:line="360" w:lineRule="auto"/>
              <w:ind w:firstLine="482"/>
              <w:jc w:val="center"/>
              <w:rPr>
                <w:rFonts w:hint="default" w:ascii="Times New Roman" w:hAnsi="Times New Roman" w:eastAsia="宋体" w:cs="Times New Roman"/>
                <w:color w:val="auto"/>
                <w:sz w:val="24"/>
                <w:szCs w:val="24"/>
                <w:vertAlign w:val="subscript"/>
              </w:rPr>
            </w:pPr>
            <w:r>
              <w:rPr>
                <w:rFonts w:hint="default" w:ascii="Times New Roman" w:hAnsi="Times New Roman" w:eastAsia="宋体" w:cs="Times New Roman"/>
                <w:color w:val="auto"/>
                <w:sz w:val="24"/>
                <w:szCs w:val="24"/>
              </w:rPr>
              <w:t>V2​=∑Q</w:t>
            </w:r>
            <w:r>
              <w:rPr>
                <w:rFonts w:hint="default" w:ascii="Times New Roman" w:hAnsi="Times New Roman" w:eastAsia="宋体" w:cs="Times New Roman"/>
                <w:color w:val="auto"/>
                <w:sz w:val="24"/>
                <w:szCs w:val="24"/>
                <w:vertAlign w:val="subscript"/>
              </w:rPr>
              <w:t>消</w:t>
            </w:r>
            <w:r>
              <w:rPr>
                <w:rFonts w:hint="default" w:ascii="Times New Roman" w:hAnsi="Times New Roman" w:eastAsia="宋体" w:cs="Times New Roman"/>
                <w:color w:val="auto"/>
                <w:sz w:val="24"/>
                <w:szCs w:val="24"/>
              </w:rPr>
              <w:t>t</w:t>
            </w:r>
            <w:r>
              <w:rPr>
                <w:rFonts w:hint="default" w:ascii="Times New Roman" w:hAnsi="Times New Roman" w:eastAsia="宋体" w:cs="Times New Roman"/>
                <w:color w:val="auto"/>
                <w:sz w:val="24"/>
                <w:szCs w:val="24"/>
                <w:vertAlign w:val="subscript"/>
              </w:rPr>
              <w:t>消</w:t>
            </w:r>
          </w:p>
          <w:p w14:paraId="09514529">
            <w:pPr>
              <w:spacing w:line="360" w:lineRule="auto"/>
              <w:ind w:firstLine="482"/>
              <w:jc w:val="both"/>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rPr>
              <w:t>Q</w:t>
            </w:r>
            <w:r>
              <w:rPr>
                <w:rFonts w:hint="default" w:ascii="Times New Roman" w:hAnsi="Times New Roman" w:eastAsia="宋体" w:cs="Times New Roman"/>
                <w:color w:val="auto"/>
                <w:sz w:val="24"/>
                <w:szCs w:val="24"/>
                <w:vertAlign w:val="subscript"/>
              </w:rPr>
              <w:t>消</w:t>
            </w:r>
            <w:r>
              <w:rPr>
                <w:rFonts w:hint="default" w:ascii="Times New Roman" w:hAnsi="Times New Roman" w:eastAsia="宋体" w:cs="Times New Roman"/>
                <w:color w:val="auto"/>
                <w:sz w:val="24"/>
                <w:szCs w:val="24"/>
                <w:highlight w:val="none"/>
              </w:rPr>
              <w:t>——</w:t>
            </w:r>
            <w:r>
              <w:rPr>
                <w:rFonts w:hint="eastAsia" w:ascii="Times New Roman" w:hAnsi="Times New Roman" w:eastAsia="宋体" w:cs="Times New Roman"/>
                <w:color w:val="auto"/>
                <w:sz w:val="24"/>
                <w:szCs w:val="24"/>
                <w:highlight w:val="none"/>
                <w:lang w:val="en-US" w:eastAsia="zh-CN"/>
              </w:rPr>
              <w:t>发生事故的储罐或装置的同时使用的消防设施给水流量</w:t>
            </w:r>
            <w:r>
              <w:rPr>
                <w:rFonts w:hint="default" w:ascii="Times New Roman" w:hAnsi="Times New Roman" w:eastAsia="宋体" w:cs="Times New Roman"/>
                <w:color w:val="auto"/>
                <w:sz w:val="24"/>
                <w:szCs w:val="24"/>
                <w:highlight w:val="none"/>
              </w:rPr>
              <w:t>，</w:t>
            </w:r>
            <w:r>
              <w:rPr>
                <w:rFonts w:hint="default" w:ascii="Times New Roman" w:hAnsi="Times New Roman" w:eastAsia="宋体" w:cs="Times New Roman"/>
                <w:color w:val="auto"/>
                <w:sz w:val="24"/>
                <w:szCs w:val="24"/>
                <w:highlight w:val="none"/>
                <w:lang w:eastAsia="zh-CN"/>
              </w:rPr>
              <w:t>m</w:t>
            </w:r>
            <w:r>
              <w:rPr>
                <w:rFonts w:hint="default" w:ascii="Times New Roman" w:hAnsi="Times New Roman" w:eastAsia="宋体" w:cs="Times New Roman"/>
                <w:color w:val="auto"/>
                <w:sz w:val="24"/>
                <w:szCs w:val="24"/>
                <w:highlight w:val="none"/>
                <w:vertAlign w:val="superscript"/>
                <w:lang w:eastAsia="zh-CN"/>
              </w:rPr>
              <w:t>3</w:t>
            </w:r>
            <w:r>
              <w:rPr>
                <w:rFonts w:hint="eastAsia" w:ascii="Times New Roman" w:hAnsi="Times New Roman" w:eastAsia="宋体" w:cs="Times New Roman"/>
                <w:color w:val="auto"/>
                <w:sz w:val="24"/>
                <w:szCs w:val="24"/>
                <w:highlight w:val="none"/>
                <w:vertAlign w:val="baseline"/>
                <w:lang w:val="en-US" w:eastAsia="zh-CN"/>
              </w:rPr>
              <w:t>/h</w:t>
            </w:r>
            <w:r>
              <w:rPr>
                <w:rFonts w:hint="default" w:ascii="Times New Roman" w:hAnsi="Times New Roman" w:eastAsia="宋体" w:cs="Times New Roman"/>
                <w:color w:val="auto"/>
                <w:sz w:val="24"/>
                <w:szCs w:val="24"/>
                <w:highlight w:val="none"/>
              </w:rPr>
              <w:t>；</w:t>
            </w:r>
          </w:p>
          <w:p w14:paraId="4F65D6C8">
            <w:pPr>
              <w:spacing w:line="360" w:lineRule="auto"/>
              <w:ind w:firstLine="482"/>
              <w:jc w:val="both"/>
              <w:rPr>
                <w:rFonts w:hint="default" w:ascii="Times New Roman" w:hAnsi="Times New Roman" w:eastAsia="宋体" w:cs="Times New Roman"/>
                <w:color w:val="auto"/>
                <w:sz w:val="24"/>
                <w:szCs w:val="24"/>
                <w:vertAlign w:val="subscript"/>
              </w:rPr>
            </w:pPr>
            <w:r>
              <w:rPr>
                <w:rFonts w:hint="eastAsia" w:ascii="Times New Roman" w:hAnsi="Times New Roman" w:eastAsia="宋体" w:cs="Times New Roman"/>
                <w:color w:val="auto"/>
                <w:sz w:val="24"/>
                <w:szCs w:val="24"/>
                <w:lang w:val="en-US" w:eastAsia="zh-CN"/>
              </w:rPr>
              <w:t>t</w:t>
            </w:r>
            <w:r>
              <w:rPr>
                <w:rFonts w:hint="default" w:ascii="Times New Roman" w:hAnsi="Times New Roman" w:eastAsia="宋体" w:cs="Times New Roman"/>
                <w:color w:val="auto"/>
                <w:sz w:val="24"/>
                <w:szCs w:val="24"/>
                <w:vertAlign w:val="subscript"/>
              </w:rPr>
              <w:t>消</w:t>
            </w:r>
            <w:r>
              <w:rPr>
                <w:rFonts w:hint="default" w:ascii="Times New Roman" w:hAnsi="Times New Roman" w:eastAsia="宋体" w:cs="Times New Roman"/>
                <w:color w:val="auto"/>
                <w:sz w:val="24"/>
                <w:szCs w:val="24"/>
                <w:highlight w:val="none"/>
              </w:rPr>
              <w:t>——</w:t>
            </w:r>
            <w:r>
              <w:rPr>
                <w:rFonts w:hint="eastAsia" w:ascii="Times New Roman" w:hAnsi="Times New Roman" w:eastAsia="宋体" w:cs="Times New Roman"/>
                <w:color w:val="auto"/>
                <w:sz w:val="24"/>
                <w:szCs w:val="24"/>
                <w:highlight w:val="none"/>
                <w:lang w:val="en-US" w:eastAsia="zh-CN"/>
              </w:rPr>
              <w:t>消防设施对应的设计消防历时，</w:t>
            </w:r>
            <w:r>
              <w:rPr>
                <w:rFonts w:hint="eastAsia" w:ascii="Times New Roman" w:hAnsi="Times New Roman" w:eastAsia="宋体" w:cs="Times New Roman"/>
                <w:color w:val="auto"/>
                <w:sz w:val="24"/>
                <w:szCs w:val="24"/>
                <w:highlight w:val="none"/>
                <w:vertAlign w:val="baseline"/>
                <w:lang w:val="en-US" w:eastAsia="zh-CN"/>
              </w:rPr>
              <w:t>h</w:t>
            </w:r>
            <w:r>
              <w:rPr>
                <w:rFonts w:hint="default" w:ascii="Times New Roman" w:hAnsi="Times New Roman" w:eastAsia="宋体" w:cs="Times New Roman"/>
                <w:color w:val="auto"/>
                <w:sz w:val="24"/>
                <w:szCs w:val="24"/>
                <w:highlight w:val="none"/>
              </w:rPr>
              <w:t>；</w:t>
            </w:r>
          </w:p>
          <w:p w14:paraId="4969ABB5">
            <w:pPr>
              <w:spacing w:line="360" w:lineRule="auto"/>
              <w:ind w:firstLine="482"/>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V</w:t>
            </w:r>
            <w:r>
              <w:rPr>
                <w:rFonts w:hint="default" w:ascii="Times New Roman" w:hAnsi="Times New Roman" w:eastAsia="宋体" w:cs="Times New Roman"/>
                <w:color w:val="auto"/>
                <w:sz w:val="24"/>
                <w:szCs w:val="24"/>
                <w:highlight w:val="none"/>
                <w:vertAlign w:val="subscript"/>
              </w:rPr>
              <w:t>3</w:t>
            </w:r>
            <w:r>
              <w:rPr>
                <w:rFonts w:hint="default" w:ascii="Times New Roman" w:hAnsi="Times New Roman" w:eastAsia="宋体" w:cs="Times New Roman"/>
                <w:color w:val="auto"/>
                <w:sz w:val="24"/>
                <w:szCs w:val="24"/>
                <w:highlight w:val="none"/>
              </w:rPr>
              <w:t>——发生事故时可以</w:t>
            </w:r>
            <w:r>
              <w:rPr>
                <w:rFonts w:hint="default" w:ascii="Times New Roman" w:hAnsi="Times New Roman" w:eastAsia="宋体" w:cs="Times New Roman"/>
                <w:color w:val="auto"/>
                <w:sz w:val="24"/>
                <w:szCs w:val="24"/>
                <w:highlight w:val="none"/>
                <w:lang w:eastAsia="zh-CN"/>
              </w:rPr>
              <w:t>传输</w:t>
            </w:r>
            <w:r>
              <w:rPr>
                <w:rFonts w:hint="default" w:ascii="Times New Roman" w:hAnsi="Times New Roman" w:eastAsia="宋体" w:cs="Times New Roman"/>
                <w:color w:val="auto"/>
                <w:sz w:val="24"/>
                <w:szCs w:val="24"/>
                <w:highlight w:val="none"/>
              </w:rPr>
              <w:t>到其他储存或处理设施的物料量，</w:t>
            </w:r>
            <w:r>
              <w:rPr>
                <w:rFonts w:hint="default" w:ascii="Times New Roman" w:hAnsi="Times New Roman" w:eastAsia="宋体" w:cs="Times New Roman"/>
                <w:color w:val="auto"/>
                <w:sz w:val="24"/>
                <w:szCs w:val="24"/>
                <w:highlight w:val="none"/>
                <w:lang w:eastAsia="zh-CN"/>
              </w:rPr>
              <w:t>m</w:t>
            </w:r>
            <w:r>
              <w:rPr>
                <w:rFonts w:hint="default" w:ascii="Times New Roman" w:hAnsi="Times New Roman" w:eastAsia="宋体" w:cs="Times New Roman"/>
                <w:color w:val="auto"/>
                <w:sz w:val="24"/>
                <w:szCs w:val="24"/>
                <w:highlight w:val="none"/>
                <w:vertAlign w:val="superscript"/>
                <w:lang w:eastAsia="zh-CN"/>
              </w:rPr>
              <w:t>3</w:t>
            </w:r>
            <w:r>
              <w:rPr>
                <w:rFonts w:hint="default" w:ascii="Times New Roman" w:hAnsi="Times New Roman" w:eastAsia="宋体" w:cs="Times New Roman"/>
                <w:color w:val="auto"/>
                <w:sz w:val="24"/>
                <w:szCs w:val="24"/>
                <w:highlight w:val="none"/>
              </w:rPr>
              <w:t>；</w:t>
            </w:r>
          </w:p>
          <w:p w14:paraId="6E7BC258">
            <w:pPr>
              <w:spacing w:line="360" w:lineRule="auto"/>
              <w:ind w:firstLine="482"/>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V</w:t>
            </w:r>
            <w:r>
              <w:rPr>
                <w:rFonts w:hint="default" w:ascii="Times New Roman" w:hAnsi="Times New Roman" w:eastAsia="宋体" w:cs="Times New Roman"/>
                <w:color w:val="auto"/>
                <w:sz w:val="24"/>
                <w:szCs w:val="24"/>
                <w:highlight w:val="none"/>
                <w:vertAlign w:val="subscript"/>
              </w:rPr>
              <w:t>4</w:t>
            </w:r>
            <w:r>
              <w:rPr>
                <w:rFonts w:hint="default" w:ascii="Times New Roman" w:hAnsi="Times New Roman" w:eastAsia="宋体" w:cs="Times New Roman"/>
                <w:color w:val="auto"/>
                <w:sz w:val="24"/>
                <w:szCs w:val="24"/>
                <w:highlight w:val="none"/>
              </w:rPr>
              <w:t>——发生事故时仍必须进入该收集系统的生产废水量，</w:t>
            </w:r>
            <w:r>
              <w:rPr>
                <w:rFonts w:hint="default" w:ascii="Times New Roman" w:hAnsi="Times New Roman" w:eastAsia="宋体" w:cs="Times New Roman"/>
                <w:color w:val="auto"/>
                <w:sz w:val="24"/>
                <w:szCs w:val="24"/>
                <w:highlight w:val="none"/>
                <w:lang w:eastAsia="zh-CN"/>
              </w:rPr>
              <w:t>m</w:t>
            </w:r>
            <w:r>
              <w:rPr>
                <w:rFonts w:hint="default" w:ascii="Times New Roman" w:hAnsi="Times New Roman" w:eastAsia="宋体" w:cs="Times New Roman"/>
                <w:color w:val="auto"/>
                <w:sz w:val="24"/>
                <w:szCs w:val="24"/>
                <w:highlight w:val="none"/>
                <w:vertAlign w:val="superscript"/>
                <w:lang w:eastAsia="zh-CN"/>
              </w:rPr>
              <w:t>3</w:t>
            </w:r>
            <w:r>
              <w:rPr>
                <w:rFonts w:hint="default" w:ascii="Times New Roman" w:hAnsi="Times New Roman" w:eastAsia="宋体" w:cs="Times New Roman"/>
                <w:color w:val="auto"/>
                <w:sz w:val="24"/>
                <w:szCs w:val="24"/>
                <w:highlight w:val="none"/>
              </w:rPr>
              <w:t>；</w:t>
            </w:r>
          </w:p>
          <w:p w14:paraId="3CE70D7B">
            <w:pPr>
              <w:spacing w:line="360" w:lineRule="auto"/>
              <w:ind w:firstLine="482"/>
              <w:jc w:val="left"/>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V</w:t>
            </w:r>
            <w:r>
              <w:rPr>
                <w:rFonts w:hint="default" w:ascii="Times New Roman" w:hAnsi="Times New Roman" w:eastAsia="宋体" w:cs="Times New Roman"/>
                <w:color w:val="auto"/>
                <w:sz w:val="24"/>
                <w:szCs w:val="24"/>
                <w:highlight w:val="none"/>
                <w:vertAlign w:val="subscript"/>
              </w:rPr>
              <w:t>5</w:t>
            </w:r>
            <w:r>
              <w:rPr>
                <w:rFonts w:hint="default" w:ascii="Times New Roman" w:hAnsi="Times New Roman" w:eastAsia="宋体" w:cs="Times New Roman"/>
                <w:color w:val="auto"/>
                <w:sz w:val="24"/>
                <w:szCs w:val="24"/>
                <w:highlight w:val="none"/>
              </w:rPr>
              <w:t>——发生事故时可能进入该收集系统的降雨量，</w:t>
            </w:r>
            <w:r>
              <w:rPr>
                <w:rFonts w:hint="default" w:ascii="Times New Roman" w:hAnsi="Times New Roman" w:eastAsia="宋体" w:cs="Times New Roman"/>
                <w:color w:val="auto"/>
                <w:sz w:val="24"/>
                <w:szCs w:val="24"/>
                <w:highlight w:val="none"/>
                <w:lang w:eastAsia="zh-CN"/>
              </w:rPr>
              <w:t>m</w:t>
            </w:r>
            <w:r>
              <w:rPr>
                <w:rFonts w:hint="default" w:ascii="Times New Roman" w:hAnsi="Times New Roman" w:eastAsia="宋体" w:cs="Times New Roman"/>
                <w:color w:val="auto"/>
                <w:sz w:val="24"/>
                <w:szCs w:val="24"/>
                <w:highlight w:val="none"/>
                <w:vertAlign w:val="superscript"/>
                <w:lang w:eastAsia="zh-CN"/>
              </w:rPr>
              <w:t>3</w:t>
            </w:r>
            <w:r>
              <w:rPr>
                <w:rFonts w:hint="default" w:ascii="Times New Roman" w:hAnsi="Times New Roman" w:eastAsia="宋体" w:cs="Times New Roman"/>
                <w:color w:val="auto"/>
                <w:sz w:val="24"/>
                <w:szCs w:val="24"/>
                <w:highlight w:val="none"/>
              </w:rPr>
              <w:t>。</w:t>
            </w:r>
          </w:p>
          <w:p w14:paraId="4D8D4B90">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V</w:t>
            </w:r>
            <w:r>
              <w:rPr>
                <w:rFonts w:hint="default" w:ascii="Times New Roman" w:hAnsi="Times New Roman" w:eastAsia="宋体" w:cs="Times New Roman"/>
                <w:color w:val="auto"/>
                <w:sz w:val="24"/>
                <w:szCs w:val="24"/>
                <w:highlight w:val="none"/>
                <w:vertAlign w:val="subscript"/>
              </w:rPr>
              <w:t>5</w:t>
            </w:r>
            <w:r>
              <w:rPr>
                <w:rFonts w:hint="default" w:ascii="Times New Roman" w:hAnsi="Times New Roman" w:eastAsia="宋体" w:cs="Times New Roman"/>
                <w:color w:val="auto"/>
                <w:sz w:val="24"/>
                <w:szCs w:val="24"/>
                <w:highlight w:val="none"/>
              </w:rPr>
              <w:t>=10qF</w:t>
            </w:r>
          </w:p>
          <w:p w14:paraId="2C51EA7D">
            <w:pPr>
              <w:spacing w:line="360" w:lineRule="auto"/>
              <w:ind w:firstLine="48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q——降雨强度，mm；按平均日降雨量；</w:t>
            </w:r>
          </w:p>
          <w:p w14:paraId="01C6BF3C">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q=q</w:t>
            </w:r>
            <w:r>
              <w:rPr>
                <w:rFonts w:hint="default" w:ascii="Times New Roman" w:hAnsi="Times New Roman" w:eastAsia="宋体" w:cs="Times New Roman"/>
                <w:color w:val="auto"/>
                <w:sz w:val="24"/>
                <w:szCs w:val="24"/>
                <w:highlight w:val="none"/>
                <w:vertAlign w:val="subscript"/>
              </w:rPr>
              <w:t>a</w:t>
            </w:r>
            <w:r>
              <w:rPr>
                <w:rFonts w:hint="default" w:ascii="Times New Roman" w:hAnsi="Times New Roman" w:eastAsia="宋体" w:cs="Times New Roman"/>
                <w:color w:val="auto"/>
                <w:sz w:val="24"/>
                <w:szCs w:val="24"/>
                <w:highlight w:val="none"/>
              </w:rPr>
              <w:t>/n</w:t>
            </w:r>
          </w:p>
          <w:p w14:paraId="660AE2D9">
            <w:pPr>
              <w:spacing w:line="360" w:lineRule="auto"/>
              <w:ind w:firstLine="48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q</w:t>
            </w:r>
            <w:r>
              <w:rPr>
                <w:rFonts w:hint="default" w:ascii="Times New Roman" w:hAnsi="Times New Roman" w:eastAsia="宋体" w:cs="Times New Roman"/>
                <w:color w:val="auto"/>
                <w:sz w:val="24"/>
                <w:szCs w:val="24"/>
                <w:highlight w:val="none"/>
                <w:vertAlign w:val="subscript"/>
              </w:rPr>
              <w:t>a</w:t>
            </w:r>
            <w:r>
              <w:rPr>
                <w:rFonts w:hint="default" w:ascii="Times New Roman" w:hAnsi="Times New Roman" w:eastAsia="宋体" w:cs="Times New Roman"/>
                <w:color w:val="auto"/>
                <w:sz w:val="24"/>
                <w:szCs w:val="24"/>
                <w:highlight w:val="none"/>
              </w:rPr>
              <w:t>——年平均降雨量，mm；</w:t>
            </w:r>
            <w:r>
              <w:rPr>
                <w:rFonts w:hint="default" w:ascii="Times New Roman" w:hAnsi="Times New Roman" w:eastAsia="宋体" w:cs="Times New Roman"/>
                <w:color w:val="auto"/>
                <w:sz w:val="24"/>
                <w:szCs w:val="24"/>
                <w:highlight w:val="none"/>
                <w:lang w:val="en-US" w:eastAsia="zh-CN"/>
              </w:rPr>
              <w:t>巴中市</w:t>
            </w:r>
            <w:r>
              <w:rPr>
                <w:rFonts w:hint="default" w:ascii="Times New Roman" w:hAnsi="Times New Roman" w:eastAsia="宋体" w:cs="Times New Roman"/>
                <w:color w:val="auto"/>
                <w:sz w:val="24"/>
                <w:szCs w:val="24"/>
                <w:highlight w:val="none"/>
              </w:rPr>
              <w:t>多年平均降雨量</w:t>
            </w:r>
            <w:r>
              <w:rPr>
                <w:rFonts w:hint="default" w:ascii="Times New Roman" w:hAnsi="Times New Roman" w:eastAsia="宋体" w:cs="Times New Roman"/>
                <w:color w:val="auto"/>
                <w:sz w:val="24"/>
                <w:szCs w:val="24"/>
                <w:highlight w:val="none"/>
                <w:lang w:val="en-US" w:eastAsia="zh-CN"/>
              </w:rPr>
              <w:t>1194.3</w:t>
            </w:r>
            <w:r>
              <w:rPr>
                <w:rFonts w:hint="default" w:ascii="Times New Roman" w:hAnsi="Times New Roman" w:eastAsia="宋体" w:cs="Times New Roman"/>
                <w:color w:val="auto"/>
                <w:sz w:val="24"/>
                <w:szCs w:val="24"/>
                <w:highlight w:val="none"/>
              </w:rPr>
              <w:t>mm。</w:t>
            </w:r>
          </w:p>
          <w:p w14:paraId="340B9CCA">
            <w:pPr>
              <w:spacing w:line="360" w:lineRule="auto"/>
              <w:ind w:firstLine="48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n——年平均降雨日数，天；年平均降雨日数</w:t>
            </w:r>
            <w:r>
              <w:rPr>
                <w:rFonts w:hint="default" w:ascii="Times New Roman" w:hAnsi="Times New Roman" w:eastAsia="宋体" w:cs="Times New Roman"/>
                <w:color w:val="auto"/>
                <w:sz w:val="24"/>
                <w:szCs w:val="24"/>
                <w:highlight w:val="none"/>
                <w:lang w:val="en-US" w:eastAsia="zh-CN"/>
              </w:rPr>
              <w:t>140</w:t>
            </w:r>
            <w:r>
              <w:rPr>
                <w:rFonts w:hint="default" w:ascii="Times New Roman" w:hAnsi="Times New Roman" w:eastAsia="宋体" w:cs="Times New Roman"/>
                <w:color w:val="auto"/>
                <w:sz w:val="24"/>
                <w:szCs w:val="24"/>
                <w:highlight w:val="none"/>
              </w:rPr>
              <w:t>天。</w:t>
            </w:r>
          </w:p>
          <w:p w14:paraId="7FE4F4D3">
            <w:pPr>
              <w:spacing w:line="360" w:lineRule="auto"/>
              <w:ind w:firstLine="48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F——必须进入事故废水收集系统的雨水汇水面积，ha。汇水面积约</w:t>
            </w:r>
            <w:r>
              <w:rPr>
                <w:rFonts w:hint="default" w:ascii="Times New Roman" w:hAnsi="Times New Roman" w:eastAsia="宋体" w:cs="Times New Roman"/>
                <w:color w:val="auto"/>
                <w:sz w:val="24"/>
                <w:szCs w:val="24"/>
                <w:highlight w:val="none"/>
                <w:lang w:val="en-US" w:eastAsia="zh-CN"/>
              </w:rPr>
              <w:t>2.</w:t>
            </w:r>
            <w:r>
              <w:rPr>
                <w:rFonts w:hint="eastAsia" w:cs="Times New Roman"/>
                <w:color w:val="auto"/>
                <w:sz w:val="24"/>
                <w:szCs w:val="24"/>
                <w:highlight w:val="none"/>
                <w:lang w:val="en-US" w:eastAsia="zh-CN"/>
              </w:rPr>
              <w:t>0</w:t>
            </w:r>
            <w:r>
              <w:rPr>
                <w:rFonts w:hint="default" w:ascii="Times New Roman" w:hAnsi="Times New Roman" w:eastAsia="宋体" w:cs="Times New Roman"/>
                <w:color w:val="auto"/>
                <w:sz w:val="24"/>
                <w:szCs w:val="24"/>
                <w:highlight w:val="none"/>
              </w:rPr>
              <w:t>ha。</w:t>
            </w:r>
          </w:p>
          <w:p w14:paraId="53844B2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val="0"/>
                <w:color w:val="auto"/>
                <w:sz w:val="21"/>
                <w:szCs w:val="21"/>
                <w:highlight w:val="none"/>
              </w:rPr>
            </w:pPr>
            <w:r>
              <w:rPr>
                <w:rFonts w:hint="default" w:ascii="Times New Roman" w:hAnsi="Times New Roman" w:eastAsia="宋体" w:cs="Times New Roman"/>
                <w:b/>
                <w:bCs w:val="0"/>
                <w:color w:val="auto"/>
                <w:sz w:val="21"/>
                <w:szCs w:val="21"/>
                <w:highlight w:val="none"/>
              </w:rPr>
              <w:t>表</w:t>
            </w:r>
            <w:r>
              <w:rPr>
                <w:rFonts w:hint="default" w:ascii="Times New Roman" w:hAnsi="Times New Roman" w:eastAsia="宋体" w:cs="Times New Roman"/>
                <w:b/>
                <w:bCs w:val="0"/>
                <w:color w:val="auto"/>
                <w:sz w:val="21"/>
                <w:szCs w:val="21"/>
                <w:highlight w:val="none"/>
                <w:lang w:val="en-US" w:eastAsia="zh-CN"/>
              </w:rPr>
              <w:t>4-2</w:t>
            </w:r>
            <w:r>
              <w:rPr>
                <w:rFonts w:hint="eastAsia" w:cs="Times New Roman"/>
                <w:b/>
                <w:bCs w:val="0"/>
                <w:color w:val="auto"/>
                <w:sz w:val="21"/>
                <w:szCs w:val="21"/>
                <w:highlight w:val="none"/>
                <w:lang w:val="en-US" w:eastAsia="zh-CN"/>
              </w:rPr>
              <w:t>6</w:t>
            </w:r>
            <w:r>
              <w:rPr>
                <w:rFonts w:hint="default" w:ascii="Times New Roman" w:hAnsi="Times New Roman" w:eastAsia="宋体" w:cs="Times New Roman"/>
                <w:b/>
                <w:bCs w:val="0"/>
                <w:color w:val="auto"/>
                <w:sz w:val="21"/>
                <w:szCs w:val="21"/>
                <w:highlight w:val="none"/>
              </w:rPr>
              <w:t xml:space="preserve"> 本项目V取值情况表</w:t>
            </w:r>
          </w:p>
          <w:tbl>
            <w:tblPr>
              <w:tblStyle w:val="41"/>
              <w:tblW w:w="7978"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28" w:type="dxa"/>
                <w:bottom w:w="0" w:type="dxa"/>
                <w:right w:w="28" w:type="dxa"/>
              </w:tblCellMar>
            </w:tblPr>
            <w:tblGrid>
              <w:gridCol w:w="566"/>
              <w:gridCol w:w="6384"/>
              <w:gridCol w:w="1028"/>
            </w:tblGrid>
            <w:tr w14:paraId="7287064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597" w:hRule="atLeast"/>
                <w:tblHeader/>
                <w:jc w:val="center"/>
              </w:trPr>
              <w:tc>
                <w:tcPr>
                  <w:tcW w:w="566" w:type="dxa"/>
                  <w:noWrap w:val="0"/>
                  <w:vAlign w:val="center"/>
                </w:tcPr>
                <w:p w14:paraId="1BE76C75">
                  <w:pPr>
                    <w:pStyle w:val="209"/>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V</w:t>
                  </w:r>
                </w:p>
              </w:tc>
              <w:tc>
                <w:tcPr>
                  <w:tcW w:w="6384" w:type="dxa"/>
                  <w:noWrap w:val="0"/>
                  <w:vAlign w:val="center"/>
                </w:tcPr>
                <w:p w14:paraId="6862892B">
                  <w:pPr>
                    <w:pStyle w:val="209"/>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取值情况</w:t>
                  </w:r>
                </w:p>
              </w:tc>
              <w:tc>
                <w:tcPr>
                  <w:tcW w:w="1028" w:type="dxa"/>
                  <w:noWrap w:val="0"/>
                  <w:vAlign w:val="center"/>
                </w:tcPr>
                <w:p w14:paraId="733603B7">
                  <w:pPr>
                    <w:pStyle w:val="209"/>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取值（</w:t>
                  </w:r>
                  <w:r>
                    <w:rPr>
                      <w:rFonts w:hint="eastAsia" w:eastAsia="宋体" w:cs="Times New Roman"/>
                      <w:b/>
                      <w:bCs/>
                      <w:color w:val="auto"/>
                      <w:sz w:val="21"/>
                      <w:szCs w:val="21"/>
                      <w:highlight w:val="none"/>
                      <w:lang w:eastAsia="zh-CN"/>
                    </w:rPr>
                    <w:t>m</w:t>
                  </w:r>
                  <w:r>
                    <w:rPr>
                      <w:rFonts w:hint="eastAsia" w:eastAsia="宋体" w:cs="Times New Roman"/>
                      <w:b/>
                      <w:bCs/>
                      <w:color w:val="auto"/>
                      <w:sz w:val="21"/>
                      <w:szCs w:val="21"/>
                      <w:highlight w:val="none"/>
                      <w:vertAlign w:val="superscript"/>
                      <w:lang w:eastAsia="zh-CN"/>
                    </w:rPr>
                    <w:t>3</w:t>
                  </w:r>
                  <w:r>
                    <w:rPr>
                      <w:rFonts w:hint="default" w:ascii="Times New Roman" w:hAnsi="Times New Roman" w:eastAsia="宋体" w:cs="Times New Roman"/>
                      <w:b/>
                      <w:bCs/>
                      <w:color w:val="auto"/>
                      <w:sz w:val="21"/>
                      <w:szCs w:val="21"/>
                      <w:highlight w:val="none"/>
                    </w:rPr>
                    <w:t>）</w:t>
                  </w:r>
                </w:p>
              </w:tc>
            </w:tr>
            <w:tr w14:paraId="132732C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38" w:hRule="atLeast"/>
                <w:jc w:val="center"/>
              </w:trPr>
              <w:tc>
                <w:tcPr>
                  <w:tcW w:w="566" w:type="dxa"/>
                  <w:noWrap w:val="0"/>
                  <w:vAlign w:val="center"/>
                </w:tcPr>
                <w:p w14:paraId="76D3B559">
                  <w:pPr>
                    <w:pStyle w:val="209"/>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b w:val="0"/>
                      <w:bCs/>
                      <w:color w:val="auto"/>
                      <w:sz w:val="21"/>
                      <w:szCs w:val="21"/>
                      <w:highlight w:val="none"/>
                    </w:rPr>
                  </w:pPr>
                  <w:r>
                    <w:rPr>
                      <w:rFonts w:hint="default" w:ascii="Times New Roman" w:hAnsi="Times New Roman" w:eastAsia="宋体" w:cs="Times New Roman"/>
                      <w:b w:val="0"/>
                      <w:bCs/>
                      <w:color w:val="auto"/>
                      <w:sz w:val="21"/>
                      <w:szCs w:val="21"/>
                      <w:highlight w:val="none"/>
                    </w:rPr>
                    <w:t>V</w:t>
                  </w:r>
                  <w:r>
                    <w:rPr>
                      <w:rFonts w:hint="default" w:ascii="Times New Roman" w:hAnsi="Times New Roman" w:eastAsia="宋体" w:cs="Times New Roman"/>
                      <w:b w:val="0"/>
                      <w:bCs/>
                      <w:color w:val="auto"/>
                      <w:sz w:val="21"/>
                      <w:szCs w:val="21"/>
                      <w:highlight w:val="none"/>
                      <w:vertAlign w:val="subscript"/>
                    </w:rPr>
                    <w:t>1</w:t>
                  </w:r>
                </w:p>
              </w:tc>
              <w:tc>
                <w:tcPr>
                  <w:tcW w:w="6384" w:type="dxa"/>
                  <w:noWrap w:val="0"/>
                  <w:vAlign w:val="center"/>
                </w:tcPr>
                <w:p w14:paraId="23551816">
                  <w:pPr>
                    <w:pStyle w:val="209"/>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b w:val="0"/>
                      <w:bCs/>
                      <w:color w:val="auto"/>
                      <w:sz w:val="21"/>
                      <w:szCs w:val="21"/>
                      <w:highlight w:val="none"/>
                    </w:rPr>
                  </w:pPr>
                  <w:r>
                    <w:rPr>
                      <w:rFonts w:hint="default" w:ascii="Times New Roman" w:hAnsi="Times New Roman" w:eastAsia="宋体" w:cs="Times New Roman"/>
                      <w:b w:val="0"/>
                      <w:bCs/>
                      <w:color w:val="auto"/>
                      <w:sz w:val="21"/>
                      <w:szCs w:val="21"/>
                      <w:highlight w:val="none"/>
                    </w:rPr>
                    <w:t>项目</w:t>
                  </w:r>
                  <w:r>
                    <w:rPr>
                      <w:rFonts w:hint="default" w:ascii="Times New Roman" w:hAnsi="Times New Roman" w:eastAsia="宋体" w:cs="Times New Roman"/>
                      <w:b w:val="0"/>
                      <w:bCs/>
                      <w:color w:val="auto"/>
                      <w:sz w:val="21"/>
                      <w:szCs w:val="21"/>
                      <w:highlight w:val="none"/>
                      <w:lang w:val="en-US" w:eastAsia="zh-CN"/>
                    </w:rPr>
                    <w:t>NMP储罐区单个储罐</w:t>
                  </w:r>
                  <w:r>
                    <w:rPr>
                      <w:rFonts w:hint="eastAsia" w:eastAsia="宋体" w:cs="Times New Roman"/>
                      <w:b w:val="0"/>
                      <w:bCs/>
                      <w:color w:val="auto"/>
                      <w:sz w:val="21"/>
                      <w:szCs w:val="21"/>
                      <w:highlight w:val="none"/>
                      <w:lang w:val="en-US" w:eastAsia="zh-CN"/>
                    </w:rPr>
                    <w:t>最大为6m</w:t>
                  </w:r>
                  <w:r>
                    <w:rPr>
                      <w:rFonts w:hint="eastAsia" w:eastAsia="宋体" w:cs="Times New Roman"/>
                      <w:b w:val="0"/>
                      <w:bCs/>
                      <w:color w:val="auto"/>
                      <w:sz w:val="21"/>
                      <w:szCs w:val="21"/>
                      <w:highlight w:val="none"/>
                      <w:vertAlign w:val="superscript"/>
                      <w:lang w:val="en-US" w:eastAsia="zh-CN"/>
                    </w:rPr>
                    <w:t>3</w:t>
                  </w:r>
                  <w:r>
                    <w:rPr>
                      <w:rFonts w:hint="eastAsia" w:eastAsia="宋体" w:cs="Times New Roman"/>
                      <w:b w:val="0"/>
                      <w:bCs/>
                      <w:color w:val="auto"/>
                      <w:sz w:val="21"/>
                      <w:szCs w:val="21"/>
                      <w:highlight w:val="none"/>
                      <w:lang w:val="en-US" w:eastAsia="zh-CN"/>
                    </w:rPr>
                    <w:t>，</w:t>
                  </w:r>
                  <w:r>
                    <w:rPr>
                      <w:rFonts w:hint="default" w:ascii="Times New Roman" w:hAnsi="Times New Roman" w:eastAsia="宋体" w:cs="Times New Roman"/>
                      <w:b w:val="0"/>
                      <w:bCs/>
                      <w:color w:val="auto"/>
                      <w:sz w:val="21"/>
                      <w:szCs w:val="21"/>
                      <w:highlight w:val="none"/>
                      <w:lang w:val="en-US" w:eastAsia="zh-CN"/>
                    </w:rPr>
                    <w:t>最大贮存量为</w:t>
                  </w:r>
                  <w:r>
                    <w:rPr>
                      <w:rFonts w:hint="eastAsia" w:eastAsia="宋体" w:cs="Times New Roman"/>
                      <w:b w:val="0"/>
                      <w:bCs/>
                      <w:color w:val="auto"/>
                      <w:sz w:val="21"/>
                      <w:szCs w:val="21"/>
                      <w:highlight w:val="none"/>
                      <w:lang w:val="en-US" w:eastAsia="zh-CN"/>
                    </w:rPr>
                    <w:t>5.0888m</w:t>
                  </w:r>
                  <w:r>
                    <w:rPr>
                      <w:rFonts w:hint="eastAsia" w:eastAsia="宋体" w:cs="Times New Roman"/>
                      <w:b w:val="0"/>
                      <w:bCs/>
                      <w:color w:val="auto"/>
                      <w:sz w:val="21"/>
                      <w:szCs w:val="21"/>
                      <w:highlight w:val="none"/>
                      <w:vertAlign w:val="superscript"/>
                      <w:lang w:val="en-US" w:eastAsia="zh-CN"/>
                    </w:rPr>
                    <w:t>3</w:t>
                  </w:r>
                  <w:r>
                    <w:rPr>
                      <w:rFonts w:hint="default" w:ascii="Times New Roman" w:hAnsi="Times New Roman" w:eastAsia="宋体" w:cs="Times New Roman"/>
                      <w:b w:val="0"/>
                      <w:bCs/>
                      <w:color w:val="auto"/>
                      <w:sz w:val="21"/>
                      <w:szCs w:val="21"/>
                      <w:highlight w:val="none"/>
                      <w:vertAlign w:val="baseline"/>
                      <w:lang w:val="en-US" w:eastAsia="zh-CN"/>
                    </w:rPr>
                    <w:t>。</w:t>
                  </w:r>
                </w:p>
              </w:tc>
              <w:tc>
                <w:tcPr>
                  <w:tcW w:w="1028" w:type="dxa"/>
                  <w:noWrap w:val="0"/>
                  <w:vAlign w:val="center"/>
                </w:tcPr>
                <w:p w14:paraId="5B6C6DF7">
                  <w:pPr>
                    <w:pStyle w:val="209"/>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b w:val="0"/>
                      <w:bCs/>
                      <w:color w:val="auto"/>
                      <w:sz w:val="21"/>
                      <w:szCs w:val="21"/>
                      <w:highlight w:val="none"/>
                      <w:lang w:val="en-US" w:eastAsia="zh-CN"/>
                    </w:rPr>
                  </w:pPr>
                  <w:r>
                    <w:rPr>
                      <w:rFonts w:hint="eastAsia" w:eastAsia="宋体" w:cs="Times New Roman"/>
                      <w:b w:val="0"/>
                      <w:bCs/>
                      <w:color w:val="auto"/>
                      <w:sz w:val="21"/>
                      <w:szCs w:val="21"/>
                      <w:highlight w:val="none"/>
                      <w:lang w:val="en-US" w:eastAsia="zh-CN"/>
                    </w:rPr>
                    <w:t>6</w:t>
                  </w:r>
                </w:p>
              </w:tc>
            </w:tr>
            <w:tr w14:paraId="702C5D9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1095" w:hRule="atLeast"/>
                <w:jc w:val="center"/>
              </w:trPr>
              <w:tc>
                <w:tcPr>
                  <w:tcW w:w="566" w:type="dxa"/>
                  <w:noWrap w:val="0"/>
                  <w:vAlign w:val="center"/>
                </w:tcPr>
                <w:p w14:paraId="2F0619D0">
                  <w:pPr>
                    <w:pStyle w:val="209"/>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b w:val="0"/>
                      <w:bCs/>
                      <w:color w:val="auto"/>
                      <w:sz w:val="21"/>
                      <w:szCs w:val="21"/>
                      <w:highlight w:val="none"/>
                    </w:rPr>
                  </w:pPr>
                  <w:r>
                    <w:rPr>
                      <w:rFonts w:hint="default" w:ascii="Times New Roman" w:hAnsi="Times New Roman" w:eastAsia="宋体" w:cs="Times New Roman"/>
                      <w:b w:val="0"/>
                      <w:bCs/>
                      <w:color w:val="auto"/>
                      <w:sz w:val="21"/>
                      <w:szCs w:val="21"/>
                      <w:highlight w:val="none"/>
                    </w:rPr>
                    <w:t>V</w:t>
                  </w:r>
                  <w:r>
                    <w:rPr>
                      <w:rFonts w:hint="default" w:ascii="Times New Roman" w:hAnsi="Times New Roman" w:eastAsia="宋体" w:cs="Times New Roman"/>
                      <w:b w:val="0"/>
                      <w:bCs/>
                      <w:color w:val="auto"/>
                      <w:sz w:val="21"/>
                      <w:szCs w:val="21"/>
                      <w:highlight w:val="none"/>
                      <w:vertAlign w:val="subscript"/>
                    </w:rPr>
                    <w:t>2</w:t>
                  </w:r>
                </w:p>
              </w:tc>
              <w:tc>
                <w:tcPr>
                  <w:tcW w:w="6384" w:type="dxa"/>
                  <w:noWrap w:val="0"/>
                  <w:vAlign w:val="center"/>
                </w:tcPr>
                <w:p w14:paraId="400438F0">
                  <w:pPr>
                    <w:pStyle w:val="209"/>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b w:val="0"/>
                      <w:bCs/>
                      <w:color w:val="auto"/>
                      <w:sz w:val="21"/>
                      <w:szCs w:val="21"/>
                      <w:highlight w:val="none"/>
                    </w:rPr>
                  </w:pPr>
                  <w:r>
                    <w:rPr>
                      <w:rFonts w:hint="eastAsia" w:ascii="Times New Roman" w:hAnsi="Times New Roman" w:eastAsia="宋体" w:cs="Times New Roman"/>
                      <w:b w:val="0"/>
                      <w:bCs/>
                      <w:color w:val="auto"/>
                      <w:sz w:val="21"/>
                      <w:szCs w:val="21"/>
                      <w:highlight w:val="none"/>
                      <w:lang w:val="en-US" w:eastAsia="zh-CN"/>
                    </w:rPr>
                    <w:t>根据《消防给水及消防栓系统技术规范》（GB50974-2014）</w:t>
                  </w:r>
                  <w:r>
                    <w:rPr>
                      <w:rFonts w:hint="default" w:ascii="Times New Roman" w:hAnsi="Times New Roman" w:eastAsia="宋体" w:cs="Times New Roman"/>
                      <w:b w:val="0"/>
                      <w:bCs/>
                      <w:color w:val="auto"/>
                      <w:sz w:val="21"/>
                      <w:szCs w:val="21"/>
                      <w:highlight w:val="none"/>
                      <w:lang w:val="en-US" w:eastAsia="zh-CN"/>
                    </w:rPr>
                    <w:t>，本项目消防用水最大区域为生产车间</w:t>
                  </w:r>
                  <w:r>
                    <w:rPr>
                      <w:rFonts w:hint="default" w:ascii="Times New Roman" w:hAnsi="Times New Roman" w:eastAsia="宋体" w:cs="Times New Roman"/>
                      <w:b w:val="0"/>
                      <w:bCs/>
                      <w:color w:val="auto"/>
                      <w:sz w:val="21"/>
                      <w:szCs w:val="21"/>
                      <w:highlight w:val="none"/>
                    </w:rPr>
                    <w:t>（丙类）</w:t>
                  </w:r>
                  <w:r>
                    <w:rPr>
                      <w:rFonts w:hint="default" w:ascii="Times New Roman" w:hAnsi="Times New Roman" w:eastAsia="宋体" w:cs="Times New Roman"/>
                      <w:b w:val="0"/>
                      <w:bCs/>
                      <w:color w:val="auto"/>
                      <w:sz w:val="21"/>
                      <w:szCs w:val="21"/>
                      <w:highlight w:val="none"/>
                      <w:lang w:eastAsia="zh-CN"/>
                    </w:rPr>
                    <w:t>，</w:t>
                  </w:r>
                  <w:r>
                    <w:rPr>
                      <w:rFonts w:hint="default" w:ascii="Times New Roman" w:hAnsi="Times New Roman" w:eastAsia="宋体" w:cs="Times New Roman"/>
                      <w:b w:val="0"/>
                      <w:bCs/>
                      <w:color w:val="auto"/>
                      <w:sz w:val="21"/>
                      <w:szCs w:val="21"/>
                      <w:highlight w:val="none"/>
                      <w:lang w:val="en-US" w:eastAsia="zh-CN"/>
                    </w:rPr>
                    <w:t>其</w:t>
                  </w:r>
                  <w:r>
                    <w:rPr>
                      <w:rFonts w:hint="default" w:ascii="Times New Roman" w:hAnsi="Times New Roman" w:eastAsia="宋体" w:cs="Times New Roman"/>
                      <w:b w:val="0"/>
                      <w:bCs/>
                      <w:color w:val="auto"/>
                      <w:sz w:val="21"/>
                      <w:szCs w:val="21"/>
                      <w:highlight w:val="none"/>
                    </w:rPr>
                    <w:t>消防用水量为室内消火栓用水量20L/s，室外消火栓用水量40L/s</w:t>
                  </w:r>
                  <w:r>
                    <w:rPr>
                      <w:rFonts w:hint="default" w:ascii="Times New Roman" w:hAnsi="Times New Roman" w:eastAsia="宋体" w:cs="Times New Roman"/>
                      <w:b w:val="0"/>
                      <w:bCs/>
                      <w:color w:val="auto"/>
                      <w:sz w:val="21"/>
                      <w:szCs w:val="21"/>
                      <w:highlight w:val="none"/>
                      <w:lang w:eastAsia="zh-CN"/>
                    </w:rPr>
                    <w:t>（</w:t>
                  </w:r>
                  <w:r>
                    <w:rPr>
                      <w:rFonts w:hint="default" w:ascii="Times New Roman" w:hAnsi="Times New Roman" w:eastAsia="宋体" w:cs="Times New Roman"/>
                      <w:b w:val="0"/>
                      <w:bCs/>
                      <w:color w:val="auto"/>
                      <w:sz w:val="21"/>
                      <w:szCs w:val="21"/>
                      <w:highlight w:val="none"/>
                    </w:rPr>
                    <w:t>合计消火栓总用水量60L/s，灭火延续时间3小时</w:t>
                  </w:r>
                  <w:r>
                    <w:rPr>
                      <w:rFonts w:hint="default" w:ascii="Times New Roman" w:hAnsi="Times New Roman" w:eastAsia="宋体" w:cs="Times New Roman"/>
                      <w:b w:val="0"/>
                      <w:bCs/>
                      <w:color w:val="auto"/>
                      <w:sz w:val="21"/>
                      <w:szCs w:val="21"/>
                      <w:highlight w:val="none"/>
                      <w:lang w:eastAsia="zh-CN"/>
                    </w:rPr>
                    <w:t>）</w:t>
                  </w:r>
                  <w:r>
                    <w:rPr>
                      <w:rFonts w:hint="default" w:ascii="Times New Roman" w:hAnsi="Times New Roman" w:eastAsia="宋体" w:cs="Times New Roman"/>
                      <w:b w:val="0"/>
                      <w:bCs/>
                      <w:color w:val="auto"/>
                      <w:sz w:val="21"/>
                      <w:szCs w:val="21"/>
                      <w:highlight w:val="none"/>
                    </w:rPr>
                    <w:t>，</w:t>
                  </w:r>
                  <w:r>
                    <w:rPr>
                      <w:rFonts w:hint="default" w:ascii="Times New Roman" w:hAnsi="Times New Roman" w:eastAsia="宋体" w:cs="Times New Roman"/>
                      <w:b w:val="0"/>
                      <w:bCs/>
                      <w:color w:val="auto"/>
                      <w:sz w:val="21"/>
                      <w:szCs w:val="21"/>
                      <w:highlight w:val="none"/>
                      <w:lang w:val="en-US" w:eastAsia="zh-CN"/>
                    </w:rPr>
                    <w:t>则</w:t>
                  </w:r>
                  <w:r>
                    <w:rPr>
                      <w:rFonts w:hint="default" w:ascii="Times New Roman" w:hAnsi="Times New Roman" w:eastAsia="宋体" w:cs="Times New Roman"/>
                      <w:b w:val="0"/>
                      <w:bCs/>
                      <w:color w:val="auto"/>
                      <w:sz w:val="21"/>
                      <w:szCs w:val="21"/>
                      <w:highlight w:val="none"/>
                    </w:rPr>
                    <w:t>消防水量为</w:t>
                  </w:r>
                  <w:r>
                    <w:rPr>
                      <w:rFonts w:hint="default" w:ascii="Times New Roman" w:hAnsi="Times New Roman" w:eastAsia="宋体" w:cs="Times New Roman"/>
                      <w:b w:val="0"/>
                      <w:bCs/>
                      <w:color w:val="auto"/>
                      <w:sz w:val="21"/>
                      <w:szCs w:val="21"/>
                      <w:highlight w:val="none"/>
                      <w:lang w:val="en-US" w:eastAsia="zh-CN"/>
                    </w:rPr>
                    <w:t>648</w:t>
                  </w:r>
                  <w:r>
                    <w:rPr>
                      <w:rFonts w:hint="eastAsia" w:eastAsia="宋体" w:cs="Times New Roman"/>
                      <w:b w:val="0"/>
                      <w:bCs/>
                      <w:color w:val="auto"/>
                      <w:sz w:val="21"/>
                      <w:szCs w:val="21"/>
                      <w:highlight w:val="none"/>
                      <w:lang w:eastAsia="zh-CN"/>
                    </w:rPr>
                    <w:t>m</w:t>
                  </w:r>
                  <w:r>
                    <w:rPr>
                      <w:rFonts w:hint="eastAsia" w:eastAsia="宋体" w:cs="Times New Roman"/>
                      <w:b w:val="0"/>
                      <w:bCs/>
                      <w:color w:val="auto"/>
                      <w:sz w:val="21"/>
                      <w:szCs w:val="21"/>
                      <w:highlight w:val="none"/>
                      <w:vertAlign w:val="superscript"/>
                      <w:lang w:eastAsia="zh-CN"/>
                    </w:rPr>
                    <w:t>3</w:t>
                  </w:r>
                  <w:r>
                    <w:rPr>
                      <w:rFonts w:hint="default" w:ascii="Times New Roman" w:hAnsi="Times New Roman" w:eastAsia="宋体" w:cs="Times New Roman"/>
                      <w:b w:val="0"/>
                      <w:bCs/>
                      <w:color w:val="auto"/>
                      <w:sz w:val="21"/>
                      <w:szCs w:val="21"/>
                      <w:highlight w:val="none"/>
                    </w:rPr>
                    <w:t>。</w:t>
                  </w:r>
                </w:p>
              </w:tc>
              <w:tc>
                <w:tcPr>
                  <w:tcW w:w="1028" w:type="dxa"/>
                  <w:noWrap w:val="0"/>
                  <w:vAlign w:val="center"/>
                </w:tcPr>
                <w:p w14:paraId="558EB690">
                  <w:pPr>
                    <w:pStyle w:val="209"/>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648</w:t>
                  </w:r>
                </w:p>
              </w:tc>
            </w:tr>
            <w:tr w14:paraId="20CCF6C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558" w:hRule="atLeast"/>
                <w:jc w:val="center"/>
              </w:trPr>
              <w:tc>
                <w:tcPr>
                  <w:tcW w:w="566" w:type="dxa"/>
                  <w:noWrap w:val="0"/>
                  <w:vAlign w:val="center"/>
                </w:tcPr>
                <w:p w14:paraId="60CC0656">
                  <w:pPr>
                    <w:pStyle w:val="209"/>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b w:val="0"/>
                      <w:bCs/>
                      <w:color w:val="auto"/>
                      <w:sz w:val="21"/>
                      <w:szCs w:val="21"/>
                      <w:highlight w:val="none"/>
                    </w:rPr>
                  </w:pPr>
                  <w:r>
                    <w:rPr>
                      <w:rFonts w:hint="default" w:ascii="Times New Roman" w:hAnsi="Times New Roman" w:eastAsia="宋体" w:cs="Times New Roman"/>
                      <w:b w:val="0"/>
                      <w:bCs/>
                      <w:color w:val="auto"/>
                      <w:sz w:val="21"/>
                      <w:szCs w:val="21"/>
                      <w:highlight w:val="none"/>
                    </w:rPr>
                    <w:t>V</w:t>
                  </w:r>
                  <w:r>
                    <w:rPr>
                      <w:rFonts w:hint="default" w:ascii="Times New Roman" w:hAnsi="Times New Roman" w:eastAsia="宋体" w:cs="Times New Roman"/>
                      <w:b w:val="0"/>
                      <w:bCs/>
                      <w:color w:val="auto"/>
                      <w:sz w:val="21"/>
                      <w:szCs w:val="21"/>
                      <w:highlight w:val="none"/>
                      <w:vertAlign w:val="subscript"/>
                    </w:rPr>
                    <w:t>3</w:t>
                  </w:r>
                </w:p>
              </w:tc>
              <w:tc>
                <w:tcPr>
                  <w:tcW w:w="6384" w:type="dxa"/>
                  <w:noWrap w:val="0"/>
                  <w:vAlign w:val="center"/>
                </w:tcPr>
                <w:p w14:paraId="5B8A2160">
                  <w:pPr>
                    <w:pStyle w:val="209"/>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b w:val="0"/>
                      <w:bCs/>
                      <w:color w:val="auto"/>
                      <w:sz w:val="21"/>
                      <w:szCs w:val="21"/>
                      <w:highlight w:val="none"/>
                      <w:lang w:val="en-US" w:eastAsia="zh-CN"/>
                    </w:rPr>
                  </w:pPr>
                  <w:r>
                    <w:rPr>
                      <w:rFonts w:hint="eastAsia" w:eastAsia="宋体" w:cs="Times New Roman"/>
                      <w:b w:val="0"/>
                      <w:bCs/>
                      <w:color w:val="auto"/>
                      <w:sz w:val="21"/>
                      <w:szCs w:val="21"/>
                      <w:highlight w:val="none"/>
                      <w:lang w:val="en-US" w:eastAsia="zh-CN"/>
                    </w:rPr>
                    <w:t>/</w:t>
                  </w:r>
                </w:p>
              </w:tc>
              <w:tc>
                <w:tcPr>
                  <w:tcW w:w="1028" w:type="dxa"/>
                  <w:noWrap w:val="0"/>
                  <w:vAlign w:val="center"/>
                </w:tcPr>
                <w:p w14:paraId="73F3F1F2">
                  <w:pPr>
                    <w:pStyle w:val="209"/>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b w:val="0"/>
                      <w:bCs/>
                      <w:color w:val="auto"/>
                      <w:sz w:val="21"/>
                      <w:szCs w:val="21"/>
                      <w:highlight w:val="none"/>
                      <w:lang w:val="en-US" w:eastAsia="zh-CN"/>
                    </w:rPr>
                  </w:pPr>
                  <w:r>
                    <w:rPr>
                      <w:rFonts w:hint="eastAsia" w:eastAsia="宋体" w:cs="Times New Roman"/>
                      <w:b w:val="0"/>
                      <w:bCs/>
                      <w:color w:val="auto"/>
                      <w:sz w:val="21"/>
                      <w:szCs w:val="21"/>
                      <w:highlight w:val="none"/>
                      <w:lang w:val="en-US" w:eastAsia="zh-CN"/>
                    </w:rPr>
                    <w:t>0</w:t>
                  </w:r>
                </w:p>
              </w:tc>
            </w:tr>
            <w:tr w14:paraId="103E0A0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827" w:hRule="atLeast"/>
                <w:jc w:val="center"/>
              </w:trPr>
              <w:tc>
                <w:tcPr>
                  <w:tcW w:w="566" w:type="dxa"/>
                  <w:noWrap w:val="0"/>
                  <w:vAlign w:val="center"/>
                </w:tcPr>
                <w:p w14:paraId="0922CF27">
                  <w:pPr>
                    <w:pStyle w:val="209"/>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b w:val="0"/>
                      <w:bCs/>
                      <w:color w:val="auto"/>
                      <w:sz w:val="21"/>
                      <w:szCs w:val="21"/>
                      <w:highlight w:val="none"/>
                    </w:rPr>
                  </w:pPr>
                  <w:r>
                    <w:rPr>
                      <w:rFonts w:hint="default" w:ascii="Times New Roman" w:hAnsi="Times New Roman" w:eastAsia="宋体" w:cs="Times New Roman"/>
                      <w:b w:val="0"/>
                      <w:bCs/>
                      <w:color w:val="auto"/>
                      <w:sz w:val="21"/>
                      <w:szCs w:val="21"/>
                      <w:highlight w:val="none"/>
                    </w:rPr>
                    <w:t>V</w:t>
                  </w:r>
                  <w:r>
                    <w:rPr>
                      <w:rFonts w:hint="default" w:ascii="Times New Roman" w:hAnsi="Times New Roman" w:eastAsia="宋体" w:cs="Times New Roman"/>
                      <w:b w:val="0"/>
                      <w:bCs/>
                      <w:color w:val="auto"/>
                      <w:sz w:val="21"/>
                      <w:szCs w:val="21"/>
                      <w:highlight w:val="none"/>
                      <w:vertAlign w:val="subscript"/>
                    </w:rPr>
                    <w:t>4</w:t>
                  </w:r>
                </w:p>
              </w:tc>
              <w:tc>
                <w:tcPr>
                  <w:tcW w:w="6384" w:type="dxa"/>
                  <w:noWrap w:val="0"/>
                  <w:vAlign w:val="center"/>
                </w:tcPr>
                <w:p w14:paraId="31F59526">
                  <w:pPr>
                    <w:pStyle w:val="209"/>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b w:val="0"/>
                      <w:bCs/>
                      <w:color w:val="auto"/>
                      <w:sz w:val="21"/>
                      <w:szCs w:val="21"/>
                      <w:highlight w:val="none"/>
                    </w:rPr>
                  </w:pPr>
                  <w:r>
                    <w:rPr>
                      <w:rFonts w:hint="default" w:ascii="Times New Roman" w:hAnsi="Times New Roman" w:eastAsia="宋体" w:cs="Times New Roman"/>
                      <w:b w:val="0"/>
                      <w:bCs/>
                      <w:color w:val="auto"/>
                      <w:sz w:val="21"/>
                      <w:szCs w:val="21"/>
                      <w:highlight w:val="none"/>
                    </w:rPr>
                    <w:t>本项目综合废水产生量为51.534</w:t>
                  </w:r>
                  <w:r>
                    <w:rPr>
                      <w:rFonts w:hint="eastAsia" w:eastAsia="宋体" w:cs="Times New Roman"/>
                      <w:b w:val="0"/>
                      <w:bCs/>
                      <w:color w:val="auto"/>
                      <w:sz w:val="21"/>
                      <w:szCs w:val="21"/>
                      <w:highlight w:val="none"/>
                      <w:lang w:eastAsia="zh-CN"/>
                    </w:rPr>
                    <w:t>m</w:t>
                  </w:r>
                  <w:r>
                    <w:rPr>
                      <w:rFonts w:hint="eastAsia" w:eastAsia="宋体" w:cs="Times New Roman"/>
                      <w:b w:val="0"/>
                      <w:bCs/>
                      <w:color w:val="auto"/>
                      <w:sz w:val="21"/>
                      <w:szCs w:val="21"/>
                      <w:highlight w:val="none"/>
                      <w:vertAlign w:val="superscript"/>
                      <w:lang w:eastAsia="zh-CN"/>
                    </w:rPr>
                    <w:t>3</w:t>
                  </w:r>
                  <w:r>
                    <w:rPr>
                      <w:rFonts w:hint="default" w:ascii="Times New Roman" w:hAnsi="Times New Roman" w:eastAsia="宋体" w:cs="Times New Roman"/>
                      <w:b w:val="0"/>
                      <w:bCs/>
                      <w:color w:val="auto"/>
                      <w:sz w:val="21"/>
                      <w:szCs w:val="21"/>
                      <w:highlight w:val="none"/>
                    </w:rPr>
                    <w:t>/d，通过园区污水管网进入巴中经开区污水处理厂，厂区污水管网发生故障持续时间假定为</w:t>
                  </w:r>
                  <w:r>
                    <w:rPr>
                      <w:rFonts w:hint="default" w:ascii="Times New Roman" w:hAnsi="Times New Roman" w:eastAsia="宋体" w:cs="Times New Roman"/>
                      <w:b w:val="0"/>
                      <w:bCs/>
                      <w:color w:val="auto"/>
                      <w:sz w:val="21"/>
                      <w:szCs w:val="21"/>
                      <w:highlight w:val="none"/>
                      <w:lang w:val="en-US" w:eastAsia="zh-CN"/>
                    </w:rPr>
                    <w:t>4</w:t>
                  </w:r>
                  <w:r>
                    <w:rPr>
                      <w:rFonts w:hint="default" w:ascii="Times New Roman" w:hAnsi="Times New Roman" w:eastAsia="宋体" w:cs="Times New Roman"/>
                      <w:b w:val="0"/>
                      <w:bCs/>
                      <w:color w:val="auto"/>
                      <w:sz w:val="21"/>
                      <w:szCs w:val="21"/>
                      <w:highlight w:val="none"/>
                    </w:rPr>
                    <w:t>小时，则发生事故时，废水进入事故池的量</w:t>
                  </w:r>
                  <w:r>
                    <w:rPr>
                      <w:rFonts w:hint="default" w:ascii="Times New Roman" w:hAnsi="Times New Roman" w:eastAsia="宋体" w:cs="Times New Roman"/>
                      <w:b w:val="0"/>
                      <w:bCs/>
                      <w:color w:val="auto"/>
                      <w:sz w:val="21"/>
                      <w:szCs w:val="21"/>
                      <w:highlight w:val="none"/>
                      <w:lang w:val="en-US" w:eastAsia="zh-CN"/>
                    </w:rPr>
                    <w:t>约为8.6</w:t>
                  </w:r>
                  <w:r>
                    <w:rPr>
                      <w:rFonts w:hint="eastAsia" w:eastAsia="宋体" w:cs="Times New Roman"/>
                      <w:b w:val="0"/>
                      <w:bCs/>
                      <w:color w:val="auto"/>
                      <w:sz w:val="21"/>
                      <w:szCs w:val="21"/>
                      <w:highlight w:val="none"/>
                      <w:lang w:eastAsia="zh-CN"/>
                    </w:rPr>
                    <w:t>m</w:t>
                  </w:r>
                  <w:r>
                    <w:rPr>
                      <w:rFonts w:hint="eastAsia" w:eastAsia="宋体" w:cs="Times New Roman"/>
                      <w:b w:val="0"/>
                      <w:bCs/>
                      <w:color w:val="auto"/>
                      <w:sz w:val="21"/>
                      <w:szCs w:val="21"/>
                      <w:highlight w:val="none"/>
                      <w:vertAlign w:val="superscript"/>
                      <w:lang w:eastAsia="zh-CN"/>
                    </w:rPr>
                    <w:t>3</w:t>
                  </w:r>
                  <w:r>
                    <w:rPr>
                      <w:rFonts w:hint="default" w:ascii="Times New Roman" w:hAnsi="Times New Roman" w:eastAsia="宋体" w:cs="Times New Roman"/>
                      <w:b w:val="0"/>
                      <w:bCs/>
                      <w:color w:val="auto"/>
                      <w:sz w:val="21"/>
                      <w:szCs w:val="21"/>
                      <w:highlight w:val="none"/>
                    </w:rPr>
                    <w:t>。</w:t>
                  </w:r>
                </w:p>
              </w:tc>
              <w:tc>
                <w:tcPr>
                  <w:tcW w:w="1028" w:type="dxa"/>
                  <w:noWrap w:val="0"/>
                  <w:vAlign w:val="center"/>
                </w:tcPr>
                <w:p w14:paraId="409F8F02">
                  <w:pPr>
                    <w:pStyle w:val="209"/>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8.6</w:t>
                  </w:r>
                </w:p>
              </w:tc>
            </w:tr>
            <w:tr w14:paraId="0FC44C9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38" w:hRule="atLeast"/>
                <w:jc w:val="center"/>
              </w:trPr>
              <w:tc>
                <w:tcPr>
                  <w:tcW w:w="566" w:type="dxa"/>
                  <w:noWrap w:val="0"/>
                  <w:vAlign w:val="center"/>
                </w:tcPr>
                <w:p w14:paraId="495823E6">
                  <w:pPr>
                    <w:pStyle w:val="209"/>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b w:val="0"/>
                      <w:bCs/>
                      <w:color w:val="auto"/>
                      <w:sz w:val="21"/>
                      <w:szCs w:val="21"/>
                      <w:highlight w:val="none"/>
                    </w:rPr>
                  </w:pPr>
                  <w:r>
                    <w:rPr>
                      <w:rFonts w:hint="default" w:ascii="Times New Roman" w:hAnsi="Times New Roman" w:eastAsia="宋体" w:cs="Times New Roman"/>
                      <w:b w:val="0"/>
                      <w:bCs/>
                      <w:color w:val="auto"/>
                      <w:sz w:val="21"/>
                      <w:szCs w:val="21"/>
                      <w:highlight w:val="none"/>
                    </w:rPr>
                    <w:t>V</w:t>
                  </w:r>
                  <w:r>
                    <w:rPr>
                      <w:rFonts w:hint="default" w:ascii="Times New Roman" w:hAnsi="Times New Roman" w:eastAsia="宋体" w:cs="Times New Roman"/>
                      <w:b w:val="0"/>
                      <w:bCs/>
                      <w:color w:val="auto"/>
                      <w:sz w:val="21"/>
                      <w:szCs w:val="21"/>
                      <w:highlight w:val="none"/>
                      <w:vertAlign w:val="subscript"/>
                    </w:rPr>
                    <w:t>5</w:t>
                  </w:r>
                </w:p>
              </w:tc>
              <w:tc>
                <w:tcPr>
                  <w:tcW w:w="6384" w:type="dxa"/>
                  <w:noWrap w:val="0"/>
                  <w:vAlign w:val="center"/>
                </w:tcPr>
                <w:p w14:paraId="2D3CFF47">
                  <w:pPr>
                    <w:pStyle w:val="209"/>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发生事故时可能进入该收集系统的降雨量，约215</w:t>
                  </w:r>
                  <w:r>
                    <w:rPr>
                      <w:rFonts w:hint="eastAsia" w:eastAsia="宋体" w:cs="Times New Roman"/>
                      <w:b w:val="0"/>
                      <w:bCs/>
                      <w:color w:val="auto"/>
                      <w:sz w:val="21"/>
                      <w:szCs w:val="21"/>
                      <w:highlight w:val="none"/>
                      <w:lang w:val="en-US" w:eastAsia="zh-CN"/>
                    </w:rPr>
                    <w:t>m</w:t>
                  </w:r>
                  <w:r>
                    <w:rPr>
                      <w:rFonts w:hint="eastAsia" w:eastAsia="宋体" w:cs="Times New Roman"/>
                      <w:b w:val="0"/>
                      <w:bCs/>
                      <w:color w:val="auto"/>
                      <w:sz w:val="21"/>
                      <w:szCs w:val="21"/>
                      <w:highlight w:val="none"/>
                      <w:vertAlign w:val="superscript"/>
                      <w:lang w:val="en-US" w:eastAsia="zh-CN"/>
                    </w:rPr>
                    <w:t>3</w:t>
                  </w:r>
                </w:p>
              </w:tc>
              <w:tc>
                <w:tcPr>
                  <w:tcW w:w="1028" w:type="dxa"/>
                  <w:noWrap w:val="0"/>
                  <w:vAlign w:val="center"/>
                </w:tcPr>
                <w:p w14:paraId="291139AB">
                  <w:pPr>
                    <w:pStyle w:val="209"/>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215</w:t>
                  </w:r>
                </w:p>
              </w:tc>
            </w:tr>
            <w:tr w14:paraId="43E6FDD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442" w:hRule="atLeast"/>
                <w:jc w:val="center"/>
              </w:trPr>
              <w:tc>
                <w:tcPr>
                  <w:tcW w:w="6950" w:type="dxa"/>
                  <w:gridSpan w:val="2"/>
                  <w:noWrap w:val="0"/>
                  <w:vAlign w:val="center"/>
                </w:tcPr>
                <w:p w14:paraId="0662B6F6">
                  <w:pPr>
                    <w:pStyle w:val="209"/>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b w:val="0"/>
                      <w:bCs/>
                      <w:color w:val="auto"/>
                      <w:sz w:val="21"/>
                      <w:szCs w:val="21"/>
                      <w:highlight w:val="none"/>
                    </w:rPr>
                  </w:pPr>
                  <w:r>
                    <w:rPr>
                      <w:rFonts w:hint="default" w:ascii="Times New Roman" w:hAnsi="Times New Roman" w:eastAsia="宋体" w:cs="Times New Roman"/>
                      <w:b w:val="0"/>
                      <w:bCs/>
                      <w:color w:val="auto"/>
                      <w:sz w:val="21"/>
                      <w:szCs w:val="21"/>
                      <w:highlight w:val="none"/>
                    </w:rPr>
                    <w:t>V总=（V</w:t>
                  </w:r>
                  <w:r>
                    <w:rPr>
                      <w:rFonts w:hint="default" w:ascii="Times New Roman" w:hAnsi="Times New Roman" w:eastAsia="宋体" w:cs="Times New Roman"/>
                      <w:b w:val="0"/>
                      <w:bCs/>
                      <w:color w:val="auto"/>
                      <w:sz w:val="21"/>
                      <w:szCs w:val="21"/>
                      <w:highlight w:val="none"/>
                      <w:vertAlign w:val="subscript"/>
                    </w:rPr>
                    <w:t>1</w:t>
                  </w:r>
                  <w:r>
                    <w:rPr>
                      <w:rFonts w:hint="default" w:ascii="Times New Roman" w:hAnsi="Times New Roman" w:eastAsia="宋体" w:cs="Times New Roman"/>
                      <w:b w:val="0"/>
                      <w:bCs/>
                      <w:color w:val="auto"/>
                      <w:sz w:val="21"/>
                      <w:szCs w:val="21"/>
                      <w:highlight w:val="none"/>
                    </w:rPr>
                    <w:t>+V</w:t>
                  </w:r>
                  <w:r>
                    <w:rPr>
                      <w:rFonts w:hint="default" w:ascii="Times New Roman" w:hAnsi="Times New Roman" w:eastAsia="宋体" w:cs="Times New Roman"/>
                      <w:b w:val="0"/>
                      <w:bCs/>
                      <w:color w:val="auto"/>
                      <w:sz w:val="21"/>
                      <w:szCs w:val="21"/>
                      <w:highlight w:val="none"/>
                      <w:vertAlign w:val="subscript"/>
                    </w:rPr>
                    <w:t>2</w:t>
                  </w:r>
                  <w:r>
                    <w:rPr>
                      <w:rFonts w:hint="default" w:ascii="Times New Roman" w:hAnsi="Times New Roman" w:eastAsia="宋体" w:cs="Times New Roman"/>
                      <w:b w:val="0"/>
                      <w:bCs/>
                      <w:color w:val="auto"/>
                      <w:sz w:val="21"/>
                      <w:szCs w:val="21"/>
                      <w:highlight w:val="none"/>
                    </w:rPr>
                    <w:t>-V</w:t>
                  </w:r>
                  <w:r>
                    <w:rPr>
                      <w:rFonts w:hint="default" w:ascii="Times New Roman" w:hAnsi="Times New Roman" w:eastAsia="宋体" w:cs="Times New Roman"/>
                      <w:b w:val="0"/>
                      <w:bCs/>
                      <w:color w:val="auto"/>
                      <w:sz w:val="21"/>
                      <w:szCs w:val="21"/>
                      <w:highlight w:val="none"/>
                      <w:vertAlign w:val="subscript"/>
                    </w:rPr>
                    <w:t>3</w:t>
                  </w:r>
                  <w:r>
                    <w:rPr>
                      <w:rFonts w:hint="default" w:ascii="Times New Roman" w:hAnsi="Times New Roman" w:eastAsia="宋体" w:cs="Times New Roman"/>
                      <w:b w:val="0"/>
                      <w:bCs/>
                      <w:color w:val="auto"/>
                      <w:sz w:val="21"/>
                      <w:szCs w:val="21"/>
                      <w:highlight w:val="none"/>
                    </w:rPr>
                    <w:t>）</w:t>
                  </w:r>
                  <w:r>
                    <w:rPr>
                      <w:rFonts w:hint="default" w:ascii="Times New Roman" w:hAnsi="Times New Roman" w:eastAsia="宋体" w:cs="Times New Roman"/>
                      <w:b w:val="0"/>
                      <w:bCs/>
                      <w:color w:val="auto"/>
                      <w:sz w:val="21"/>
                      <w:szCs w:val="21"/>
                      <w:highlight w:val="none"/>
                      <w:vertAlign w:val="subscript"/>
                    </w:rPr>
                    <w:t>max</w:t>
                  </w:r>
                  <w:r>
                    <w:rPr>
                      <w:rFonts w:hint="default" w:ascii="Times New Roman" w:hAnsi="Times New Roman" w:eastAsia="宋体" w:cs="Times New Roman"/>
                      <w:b w:val="0"/>
                      <w:bCs/>
                      <w:color w:val="auto"/>
                      <w:sz w:val="21"/>
                      <w:szCs w:val="21"/>
                      <w:highlight w:val="none"/>
                    </w:rPr>
                    <w:t>+V</w:t>
                  </w:r>
                  <w:r>
                    <w:rPr>
                      <w:rFonts w:hint="default" w:ascii="Times New Roman" w:hAnsi="Times New Roman" w:eastAsia="宋体" w:cs="Times New Roman"/>
                      <w:b w:val="0"/>
                      <w:bCs/>
                      <w:color w:val="auto"/>
                      <w:sz w:val="21"/>
                      <w:szCs w:val="21"/>
                      <w:highlight w:val="none"/>
                      <w:vertAlign w:val="subscript"/>
                    </w:rPr>
                    <w:t>4</w:t>
                  </w:r>
                  <w:r>
                    <w:rPr>
                      <w:rFonts w:hint="default" w:ascii="Times New Roman" w:hAnsi="Times New Roman" w:eastAsia="宋体" w:cs="Times New Roman"/>
                      <w:b w:val="0"/>
                      <w:bCs/>
                      <w:color w:val="auto"/>
                      <w:sz w:val="21"/>
                      <w:szCs w:val="21"/>
                      <w:highlight w:val="none"/>
                    </w:rPr>
                    <w:t>+V</w:t>
                  </w:r>
                  <w:r>
                    <w:rPr>
                      <w:rFonts w:hint="default" w:ascii="Times New Roman" w:hAnsi="Times New Roman" w:eastAsia="宋体" w:cs="Times New Roman"/>
                      <w:b w:val="0"/>
                      <w:bCs/>
                      <w:color w:val="auto"/>
                      <w:sz w:val="21"/>
                      <w:szCs w:val="21"/>
                      <w:highlight w:val="none"/>
                      <w:vertAlign w:val="subscript"/>
                    </w:rPr>
                    <w:t>5</w:t>
                  </w:r>
                </w:p>
              </w:tc>
              <w:tc>
                <w:tcPr>
                  <w:tcW w:w="1028" w:type="dxa"/>
                  <w:noWrap w:val="0"/>
                  <w:vAlign w:val="center"/>
                </w:tcPr>
                <w:p w14:paraId="1ADE9054">
                  <w:pPr>
                    <w:pStyle w:val="209"/>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b w:val="0"/>
                      <w:bCs/>
                      <w:color w:val="auto"/>
                      <w:sz w:val="21"/>
                      <w:szCs w:val="21"/>
                      <w:highlight w:val="none"/>
                      <w:lang w:val="en-US" w:eastAsia="zh-CN"/>
                    </w:rPr>
                  </w:pPr>
                  <w:r>
                    <w:rPr>
                      <w:rFonts w:hint="eastAsia" w:eastAsia="宋体" w:cs="Times New Roman"/>
                      <w:b w:val="0"/>
                      <w:bCs/>
                      <w:color w:val="auto"/>
                      <w:sz w:val="21"/>
                      <w:szCs w:val="21"/>
                      <w:highlight w:val="none"/>
                      <w:lang w:val="en-US" w:eastAsia="zh-CN"/>
                    </w:rPr>
                    <w:t>877.6</w:t>
                  </w:r>
                </w:p>
              </w:tc>
            </w:tr>
          </w:tbl>
          <w:p w14:paraId="6C042C8A">
            <w:pPr>
              <w:spacing w:line="360" w:lineRule="auto"/>
              <w:ind w:firstLine="480" w:firstLineChars="200"/>
              <w:jc w:val="both"/>
              <w:rPr>
                <w:rFonts w:hint="default" w:ascii="Times New Roman" w:hAnsi="Times New Roman" w:cs="Times New Roman"/>
                <w:color w:val="auto"/>
                <w:sz w:val="24"/>
                <w:highlight w:val="none"/>
                <w:lang w:val="en-US" w:eastAsia="zh-CN"/>
              </w:rPr>
            </w:pPr>
            <w:r>
              <w:rPr>
                <w:rFonts w:hint="default" w:ascii="Times New Roman" w:hAnsi="Times New Roman" w:cs="Times New Roman"/>
                <w:color w:val="auto"/>
                <w:sz w:val="24"/>
                <w:highlight w:val="none"/>
              </w:rPr>
              <w:t>经计算，由事故水池收集的废水量</w:t>
            </w:r>
            <w:r>
              <w:rPr>
                <w:rFonts w:hint="default" w:ascii="Times New Roman" w:hAnsi="Times New Roman" w:cs="Times New Roman"/>
                <w:color w:val="auto"/>
                <w:sz w:val="24"/>
                <w:highlight w:val="none"/>
                <w:lang w:val="en-US" w:eastAsia="zh-CN"/>
              </w:rPr>
              <w:t>为</w:t>
            </w:r>
            <w:r>
              <w:rPr>
                <w:rFonts w:hint="eastAsia" w:cs="Times New Roman"/>
                <w:color w:val="auto"/>
                <w:sz w:val="24"/>
                <w:highlight w:val="none"/>
                <w:lang w:val="en-US" w:eastAsia="zh-CN"/>
              </w:rPr>
              <w:t>877.6</w:t>
            </w:r>
            <w:r>
              <w:rPr>
                <w:rFonts w:hint="eastAsia" w:cs="Times New Roman"/>
                <w:color w:val="auto"/>
                <w:sz w:val="24"/>
                <w:highlight w:val="none"/>
                <w:lang w:eastAsia="zh-CN"/>
              </w:rPr>
              <w:t>m</w:t>
            </w:r>
            <w:r>
              <w:rPr>
                <w:rFonts w:hint="eastAsia" w:cs="Times New Roman"/>
                <w:color w:val="auto"/>
                <w:sz w:val="24"/>
                <w:highlight w:val="none"/>
                <w:vertAlign w:val="superscript"/>
                <w:lang w:eastAsia="zh-CN"/>
              </w:rPr>
              <w:t>3</w:t>
            </w:r>
            <w:r>
              <w:rPr>
                <w:rFonts w:hint="default" w:ascii="Times New Roman" w:hAnsi="Times New Roman" w:cs="Times New Roman"/>
                <w:color w:val="auto"/>
                <w:sz w:val="24"/>
                <w:highlight w:val="none"/>
                <w:lang w:eastAsia="zh-CN"/>
              </w:rPr>
              <w:t>。</w:t>
            </w:r>
            <w:r>
              <w:rPr>
                <w:rFonts w:hint="default" w:ascii="Times New Roman" w:hAnsi="Times New Roman" w:cs="Times New Roman"/>
                <w:color w:val="auto"/>
                <w:sz w:val="24"/>
                <w:highlight w:val="none"/>
                <w:lang w:val="en-US" w:eastAsia="zh-CN"/>
              </w:rPr>
              <w:t>考虑收集设施10%的预留量，则收集设施最小有效容积</w:t>
            </w:r>
            <w:r>
              <w:rPr>
                <w:rFonts w:hint="eastAsia" w:cs="Times New Roman"/>
                <w:color w:val="auto"/>
                <w:sz w:val="24"/>
                <w:highlight w:val="none"/>
                <w:lang w:val="en-US" w:eastAsia="zh-CN"/>
              </w:rPr>
              <w:t>约为965.4</w:t>
            </w:r>
            <w:r>
              <w:rPr>
                <w:rFonts w:hint="eastAsia" w:cs="Times New Roman"/>
                <w:color w:val="auto"/>
                <w:sz w:val="24"/>
                <w:highlight w:val="none"/>
                <w:lang w:eastAsia="zh-CN"/>
              </w:rPr>
              <w:t>m</w:t>
            </w:r>
            <w:r>
              <w:rPr>
                <w:rFonts w:hint="eastAsia" w:cs="Times New Roman"/>
                <w:color w:val="auto"/>
                <w:sz w:val="24"/>
                <w:highlight w:val="none"/>
                <w:vertAlign w:val="superscript"/>
                <w:lang w:eastAsia="zh-CN"/>
              </w:rPr>
              <w:t>3</w:t>
            </w:r>
            <w:r>
              <w:rPr>
                <w:rFonts w:hint="default" w:ascii="Times New Roman" w:hAnsi="Times New Roman" w:cs="Times New Roman"/>
                <w:color w:val="auto"/>
                <w:sz w:val="24"/>
                <w:highlight w:val="none"/>
                <w:lang w:eastAsia="zh-CN"/>
              </w:rPr>
              <w:t>。</w:t>
            </w:r>
          </w:p>
          <w:p w14:paraId="4699760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color w:val="auto"/>
                <w:sz w:val="24"/>
                <w:szCs w:val="24"/>
                <w:highlight w:val="none"/>
                <w:lang w:bidi="en-US"/>
              </w:rPr>
            </w:pPr>
            <w:r>
              <w:rPr>
                <w:rFonts w:hint="default" w:ascii="Times New Roman" w:hAnsi="Times New Roman" w:cs="Times New Roman"/>
                <w:color w:val="auto"/>
                <w:sz w:val="24"/>
                <w:highlight w:val="none"/>
                <w:lang w:val="en-US" w:eastAsia="zh-CN"/>
              </w:rPr>
              <w:t>根</w:t>
            </w:r>
            <w:r>
              <w:rPr>
                <w:rFonts w:hint="default" w:ascii="Times New Roman" w:hAnsi="Times New Roman" w:cs="Times New Roman"/>
                <w:color w:val="auto"/>
                <w:sz w:val="24"/>
                <w:szCs w:val="24"/>
                <w:highlight w:val="none"/>
                <w:lang w:val="en-US" w:eastAsia="zh-CN"/>
              </w:rPr>
              <w:t>据设计资料，项目在</w:t>
            </w:r>
            <w:r>
              <w:rPr>
                <w:rFonts w:hint="eastAsia" w:cs="Times New Roman"/>
                <w:color w:val="auto"/>
                <w:sz w:val="24"/>
                <w:szCs w:val="24"/>
                <w:highlight w:val="none"/>
                <w:lang w:val="en-US" w:eastAsia="zh-CN"/>
              </w:rPr>
              <w:t>集成车间西侧</w:t>
            </w:r>
            <w:r>
              <w:rPr>
                <w:rFonts w:hint="default" w:ascii="Times New Roman" w:hAnsi="Times New Roman" w:cs="Times New Roman"/>
                <w:color w:val="auto"/>
                <w:sz w:val="24"/>
                <w:szCs w:val="24"/>
                <w:highlight w:val="none"/>
                <w:lang w:val="en-US" w:eastAsia="zh-CN"/>
              </w:rPr>
              <w:t>设置1座埋地事故应急池（</w:t>
            </w:r>
            <w:r>
              <w:rPr>
                <w:rFonts w:hint="default" w:ascii="Times New Roman" w:hAnsi="Times New Roman" w:cs="Times New Roman"/>
                <w:color w:val="auto"/>
                <w:sz w:val="24"/>
                <w:szCs w:val="24"/>
                <w:highlight w:val="none"/>
              </w:rPr>
              <w:t>有效容积</w:t>
            </w:r>
            <w:r>
              <w:rPr>
                <w:rFonts w:hint="eastAsia" w:ascii="TimesNewRomanPSMT" w:hAnsi="TimesNewRomanPSMT" w:eastAsia="宋体"/>
                <w:color w:val="auto"/>
                <w:sz w:val="24"/>
                <w:szCs w:val="24"/>
                <w:lang w:val="en-US" w:eastAsia="zh-CN"/>
              </w:rPr>
              <w:t>2380</w:t>
            </w:r>
            <w:r>
              <w:rPr>
                <w:rFonts w:hint="eastAsia" w:ascii="TimesNewRomanPSMT" w:hAnsi="TimesNewRomanPSMT" w:eastAsia="TimesNewRomanPSMT"/>
                <w:color w:val="auto"/>
                <w:sz w:val="24"/>
                <w:szCs w:val="24"/>
              </w:rPr>
              <w:t>m</w:t>
            </w:r>
            <w:r>
              <w:rPr>
                <w:rFonts w:hint="eastAsia" w:ascii="TimesNewRomanPSMT" w:hAnsi="TimesNewRomanPSMT" w:eastAsia="宋体"/>
                <w:color w:val="auto"/>
                <w:sz w:val="24"/>
                <w:szCs w:val="24"/>
                <w:vertAlign w:val="superscript"/>
                <w:lang w:val="en-US" w:eastAsia="zh-CN"/>
              </w:rPr>
              <w:t>3</w:t>
            </w:r>
            <w:r>
              <w:rPr>
                <w:rFonts w:hint="default" w:ascii="Times New Roman" w:hAnsi="Times New Roman" w:cs="Times New Roman"/>
                <w:color w:val="auto"/>
                <w:sz w:val="24"/>
                <w:szCs w:val="24"/>
                <w:highlight w:val="none"/>
                <w:lang w:val="en-US" w:eastAsia="zh-CN"/>
              </w:rPr>
              <w:t>），以便</w:t>
            </w:r>
            <w:r>
              <w:rPr>
                <w:rFonts w:hint="default" w:ascii="Times New Roman" w:hAnsi="Times New Roman" w:cs="Times New Roman"/>
                <w:color w:val="auto"/>
                <w:sz w:val="24"/>
                <w:szCs w:val="24"/>
                <w:highlight w:val="none"/>
              </w:rPr>
              <w:t>满足事故状态下废水收集要求。</w:t>
            </w:r>
            <w:r>
              <w:rPr>
                <w:rFonts w:hint="default" w:ascii="Times New Roman" w:hAnsi="Times New Roman" w:cs="Times New Roman"/>
                <w:color w:val="auto"/>
                <w:sz w:val="24"/>
                <w:szCs w:val="24"/>
                <w:highlight w:val="none"/>
                <w:lang w:bidi="en-US"/>
              </w:rPr>
              <w:t>本次评价要求，各区域围堰之间设置连接沟，并设置切断阀。发生泄漏事故时关闭切断阀，物料经所在区域的围堰收集处理；当发生火灾事故时，打开切断阀，使消防废水能够全部进入围堰、事故水池内收集。</w:t>
            </w:r>
          </w:p>
          <w:p w14:paraId="557FADD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eastAsia" w:ascii="Times New Roman" w:hAnsi="Times New Roman" w:cs="Times New Roman"/>
                <w:color w:val="auto"/>
                <w:sz w:val="24"/>
                <w:szCs w:val="24"/>
                <w:highlight w:val="none"/>
                <w:lang w:val="en-US" w:eastAsia="zh-CN" w:bidi="en-US"/>
              </w:rPr>
            </w:pPr>
            <w:r>
              <w:rPr>
                <w:rFonts w:hint="eastAsia" w:ascii="Times New Roman" w:hAnsi="Times New Roman" w:cs="Times New Roman"/>
                <w:color w:val="auto"/>
                <w:sz w:val="24"/>
                <w:szCs w:val="24"/>
                <w:highlight w:val="none"/>
                <w:lang w:eastAsia="zh-CN" w:bidi="en-US"/>
              </w:rPr>
              <w:t>（</w:t>
            </w:r>
            <w:r>
              <w:rPr>
                <w:rFonts w:hint="eastAsia" w:ascii="Times New Roman" w:hAnsi="Times New Roman" w:cs="Times New Roman"/>
                <w:color w:val="auto"/>
                <w:sz w:val="24"/>
                <w:szCs w:val="24"/>
                <w:highlight w:val="none"/>
                <w:lang w:val="en-US" w:eastAsia="zh-CN" w:bidi="en-US"/>
              </w:rPr>
              <w:t>7</w:t>
            </w:r>
            <w:r>
              <w:rPr>
                <w:rFonts w:hint="eastAsia" w:ascii="Times New Roman" w:hAnsi="Times New Roman" w:cs="Times New Roman"/>
                <w:color w:val="auto"/>
                <w:sz w:val="24"/>
                <w:szCs w:val="24"/>
                <w:highlight w:val="none"/>
                <w:lang w:eastAsia="zh-CN" w:bidi="en-US"/>
              </w:rPr>
              <w:t>）</w:t>
            </w:r>
            <w:r>
              <w:rPr>
                <w:rFonts w:hint="eastAsia" w:ascii="Times New Roman" w:hAnsi="Times New Roman" w:cs="Times New Roman"/>
                <w:color w:val="auto"/>
                <w:sz w:val="24"/>
                <w:szCs w:val="24"/>
                <w:highlight w:val="none"/>
                <w:lang w:val="en-US" w:eastAsia="zh-CN" w:bidi="en-US"/>
              </w:rPr>
              <w:t>环境风险防范与管理</w:t>
            </w:r>
          </w:p>
          <w:p w14:paraId="5A1EBB8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olor w:val="auto"/>
                <w:sz w:val="24"/>
                <w:szCs w:val="24"/>
              </w:rPr>
            </w:pPr>
            <w:r>
              <w:rPr>
                <w:rFonts w:hint="eastAsia" w:ascii="宋体" w:hAnsi="宋体" w:eastAsia="宋体"/>
                <w:color w:val="auto"/>
                <w:sz w:val="24"/>
                <w:szCs w:val="24"/>
              </w:rPr>
              <w:t>项目一旦出现环境风险事故，将会对一</w:t>
            </w:r>
            <w:r>
              <w:rPr>
                <w:rFonts w:hint="eastAsia" w:ascii="宋体" w:hAnsi="宋体"/>
                <w:color w:val="auto"/>
                <w:sz w:val="24"/>
                <w:szCs w:val="24"/>
                <w:lang w:eastAsia="zh-CN"/>
              </w:rPr>
              <w:t>定范</w:t>
            </w:r>
            <w:r>
              <w:rPr>
                <w:rFonts w:hint="eastAsia" w:ascii="宋体" w:hAnsi="宋体" w:eastAsia="宋体"/>
                <w:color w:val="auto"/>
                <w:sz w:val="24"/>
                <w:szCs w:val="24"/>
              </w:rPr>
              <w:t>围内的人员和环境产生较为严重的影响。在生产中安全管理问题是十分重要的。</w:t>
            </w:r>
          </w:p>
          <w:p w14:paraId="7419D4B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eastAsia"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1</w:t>
            </w:r>
            <w:r>
              <w:rPr>
                <w:rFonts w:hint="eastAsia" w:ascii="宋体" w:hAnsi="宋体" w:eastAsia="宋体"/>
                <w:color w:val="auto"/>
                <w:sz w:val="24"/>
                <w:szCs w:val="24"/>
                <w:lang w:val="en-US" w:eastAsia="zh-CN"/>
              </w:rPr>
              <w:t>）</w:t>
            </w:r>
            <w:r>
              <w:rPr>
                <w:rFonts w:hint="eastAsia" w:ascii="宋体" w:hAnsi="宋体" w:eastAsia="宋体"/>
                <w:color w:val="auto"/>
                <w:sz w:val="24"/>
                <w:szCs w:val="24"/>
              </w:rPr>
              <w:t>强化管理是防范风险事故最有效途径。从发生事故原因来看，事故的发生多为违反操作规程，疏于管理所致。因此本项目建设及生产运行过程中，必须加强对全体职工的安全和技术的定期培训，在项目进行的各个</w:t>
            </w:r>
            <w:r>
              <w:rPr>
                <w:rFonts w:hint="eastAsia" w:ascii="Times New Roman" w:hAnsi="Times New Roman" w:eastAsia="宋体" w:cs="Times New Roman"/>
                <w:color w:val="auto"/>
                <w:sz w:val="24"/>
                <w:szCs w:val="24"/>
                <w:lang w:val="en-US" w:eastAsia="zh-CN"/>
              </w:rPr>
              <w:t>环节均采取有效的安全监控措施，使出现事故的概率降至最低。</w:t>
            </w:r>
          </w:p>
          <w:p w14:paraId="0E8AC10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lang w:val="en-US" w:eastAsia="zh-CN"/>
              </w:rPr>
              <w:t>2）</w:t>
            </w:r>
            <w:r>
              <w:rPr>
                <w:rFonts w:hint="eastAsia" w:ascii="宋体" w:hAnsi="宋体" w:eastAsia="宋体"/>
                <w:color w:val="auto"/>
                <w:sz w:val="24"/>
                <w:szCs w:val="24"/>
              </w:rPr>
              <w:t>本项目应</w:t>
            </w:r>
            <w:r>
              <w:rPr>
                <w:rFonts w:hint="eastAsia" w:ascii="宋体" w:hAnsi="宋体"/>
                <w:color w:val="auto"/>
                <w:sz w:val="24"/>
                <w:szCs w:val="24"/>
                <w:lang w:eastAsia="zh-CN"/>
              </w:rPr>
              <w:t>健全</w:t>
            </w:r>
            <w:r>
              <w:rPr>
                <w:rFonts w:hint="eastAsia" w:ascii="宋体" w:hAnsi="宋体" w:eastAsia="宋体"/>
                <w:color w:val="auto"/>
                <w:sz w:val="24"/>
                <w:szCs w:val="24"/>
              </w:rPr>
              <w:t>一套事故风险应急管理组织机构，制定安全规程、事故防范措施及应急预案。管理人员应职责、权限分明，清楚生产工艺技术和事</w:t>
            </w:r>
            <w:r>
              <w:rPr>
                <w:rFonts w:hint="default" w:ascii="Times New Roman" w:hAnsi="Times New Roman" w:eastAsia="宋体" w:cs="Times New Roman"/>
                <w:color w:val="auto"/>
                <w:sz w:val="24"/>
                <w:szCs w:val="24"/>
              </w:rPr>
              <w:t>故风险发生后果，具备解除事故和减缓事故的能力。</w:t>
            </w:r>
          </w:p>
          <w:p w14:paraId="17BDA778">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lang w:val="en-US" w:eastAsia="zh-CN"/>
              </w:rPr>
              <w:t>3）</w:t>
            </w:r>
            <w:r>
              <w:rPr>
                <w:rFonts w:hint="eastAsia" w:ascii="宋体" w:hAnsi="宋体" w:eastAsia="宋体"/>
                <w:color w:val="auto"/>
                <w:sz w:val="24"/>
                <w:szCs w:val="24"/>
              </w:rPr>
              <w:t>严格执行设备的维护保养制度，定期对设备装置进行检查，及时处理不安全因素，将其消灭在萌芽状态。各项应急处理器材与设施（如提升泵、灭火器</w:t>
            </w:r>
            <w:r>
              <w:rPr>
                <w:rFonts w:hint="default" w:ascii="Times New Roman" w:hAnsi="Times New Roman" w:eastAsia="宋体" w:cs="Times New Roman"/>
                <w:color w:val="auto"/>
                <w:sz w:val="24"/>
                <w:szCs w:val="24"/>
              </w:rPr>
              <w:t>，防毒面具、呼吸器等）也必须经常保持完好状态。</w:t>
            </w:r>
          </w:p>
          <w:p w14:paraId="7A2903B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olor w:val="auto"/>
                <w:sz w:val="24"/>
                <w:szCs w:val="24"/>
              </w:rPr>
            </w:pPr>
            <w:r>
              <w:rPr>
                <w:rFonts w:hint="default" w:ascii="Times New Roman" w:hAnsi="Times New Roman" w:eastAsia="宋体" w:cs="Times New Roman"/>
                <w:color w:val="auto"/>
                <w:sz w:val="24"/>
                <w:szCs w:val="24"/>
                <w:lang w:val="en-US" w:eastAsia="zh-CN"/>
              </w:rPr>
              <w:t>4）</w:t>
            </w:r>
            <w:r>
              <w:rPr>
                <w:rFonts w:hint="eastAsia" w:ascii="宋体" w:hAnsi="宋体" w:eastAsia="宋体"/>
                <w:color w:val="auto"/>
                <w:sz w:val="24"/>
                <w:szCs w:val="24"/>
              </w:rPr>
              <w:t>若发生突发事故，应及时</w:t>
            </w:r>
            <w:r>
              <w:rPr>
                <w:rFonts w:hint="eastAsia" w:ascii="宋体" w:hAnsi="宋体"/>
                <w:color w:val="auto"/>
                <w:sz w:val="24"/>
                <w:szCs w:val="24"/>
                <w:lang w:eastAsia="zh-CN"/>
              </w:rPr>
              <w:t>发出</w:t>
            </w:r>
            <w:r>
              <w:rPr>
                <w:rFonts w:hint="eastAsia" w:ascii="宋体" w:hAnsi="宋体" w:eastAsia="宋体"/>
                <w:color w:val="auto"/>
                <w:sz w:val="24"/>
                <w:szCs w:val="24"/>
              </w:rPr>
              <w:t>报警信号，请有关部门（消防队，急救中心，环保监测站等）前来救援、救护和监测。事故如可能波及周围环境时，应及时通知影响区域的群众撤离到安全地带或采取有效的保护措施，使事故的危害和影响降到最低限度。</w:t>
            </w:r>
          </w:p>
          <w:p w14:paraId="6533D56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olor w:val="auto"/>
                <w:sz w:val="24"/>
                <w:szCs w:val="24"/>
              </w:rPr>
            </w:pPr>
            <w:r>
              <w:rPr>
                <w:rFonts w:hint="eastAsia" w:ascii="宋体" w:hAnsi="宋体" w:eastAsia="宋体"/>
                <w:color w:val="auto"/>
                <w:sz w:val="24"/>
                <w:szCs w:val="24"/>
              </w:rPr>
              <w:t>事故一旦得到控制，要对事故的原因进行详细分析，对涉及的各种因素的影响进行评价，并对今后消除和最大限度地减少这些因素提出建议。</w:t>
            </w:r>
          </w:p>
          <w:p w14:paraId="6A1129C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olor w:val="auto"/>
                <w:sz w:val="24"/>
                <w:szCs w:val="24"/>
                <w:lang w:val="en-US" w:eastAsia="zh-CN"/>
              </w:rPr>
            </w:pPr>
            <w:r>
              <w:rPr>
                <w:rFonts w:hint="eastAsia" w:ascii="宋体" w:hAnsi="宋体" w:eastAsia="宋体"/>
                <w:color w:val="auto"/>
                <w:sz w:val="24"/>
                <w:szCs w:val="24"/>
                <w:lang w:val="en-US" w:eastAsia="zh-CN"/>
              </w:rPr>
              <w:t>①原</w:t>
            </w:r>
            <w:r>
              <w:rPr>
                <w:rFonts w:hint="default" w:ascii="Times New Roman" w:hAnsi="Times New Roman" w:eastAsia="宋体" w:cs="Times New Roman"/>
                <w:color w:val="auto"/>
                <w:sz w:val="24"/>
                <w:szCs w:val="24"/>
                <w:lang w:val="en-US" w:eastAsia="zh-CN"/>
              </w:rPr>
              <w:t>料及NMP回收储</w:t>
            </w:r>
            <w:r>
              <w:rPr>
                <w:rFonts w:hint="eastAsia" w:ascii="宋体" w:hAnsi="宋体" w:eastAsia="宋体"/>
                <w:color w:val="auto"/>
                <w:sz w:val="24"/>
                <w:szCs w:val="24"/>
                <w:lang w:val="en-US" w:eastAsia="zh-CN"/>
              </w:rPr>
              <w:t>存区域事故防范措施</w:t>
            </w:r>
          </w:p>
          <w:p w14:paraId="7FDACD7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A、NMP储罐区及</w:t>
            </w:r>
            <w:r>
              <w:rPr>
                <w:rFonts w:hint="eastAsia" w:ascii="Times New Roman" w:hAnsi="Times New Roman" w:eastAsia="宋体" w:cs="Times New Roman"/>
                <w:color w:val="auto"/>
                <w:sz w:val="24"/>
                <w:szCs w:val="24"/>
                <w:lang w:val="en-US" w:eastAsia="zh-CN"/>
              </w:rPr>
              <w:t>低温电解液仓库</w:t>
            </w:r>
            <w:r>
              <w:rPr>
                <w:rFonts w:hint="eastAsia" w:cs="Times New Roman"/>
                <w:color w:val="auto"/>
                <w:sz w:val="24"/>
                <w:szCs w:val="24"/>
                <w:lang w:val="en-US" w:eastAsia="zh-CN"/>
              </w:rPr>
              <w:t>、NMP暂存间</w:t>
            </w:r>
            <w:r>
              <w:rPr>
                <w:rFonts w:hint="default" w:ascii="Times New Roman" w:hAnsi="Times New Roman" w:eastAsia="宋体" w:cs="Times New Roman"/>
                <w:color w:val="auto"/>
                <w:sz w:val="24"/>
                <w:szCs w:val="24"/>
                <w:lang w:val="en-US" w:eastAsia="zh-CN"/>
              </w:rPr>
              <w:t>分别进行重点防渗，并分别设置围堰，若发生泄漏，泄漏物可有效截</w:t>
            </w:r>
            <w:r>
              <w:rPr>
                <w:rFonts w:hint="eastAsia" w:cs="Times New Roman"/>
                <w:color w:val="auto"/>
                <w:sz w:val="24"/>
                <w:szCs w:val="24"/>
                <w:lang w:val="en-US" w:eastAsia="zh-CN"/>
              </w:rPr>
              <w:t>流于</w:t>
            </w:r>
            <w:r>
              <w:rPr>
                <w:rFonts w:hint="default" w:ascii="Times New Roman" w:hAnsi="Times New Roman" w:eastAsia="宋体" w:cs="Times New Roman"/>
                <w:color w:val="auto"/>
                <w:sz w:val="24"/>
                <w:szCs w:val="24"/>
                <w:lang w:val="en-US" w:eastAsia="zh-CN"/>
              </w:rPr>
              <w:t>围堰范围内；</w:t>
            </w:r>
          </w:p>
          <w:p w14:paraId="140660F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olor w:val="auto"/>
                <w:sz w:val="24"/>
                <w:szCs w:val="24"/>
              </w:rPr>
            </w:pPr>
            <w:r>
              <w:rPr>
                <w:rFonts w:hint="default" w:ascii="Times New Roman" w:hAnsi="Times New Roman" w:eastAsia="宋体" w:cs="Times New Roman"/>
                <w:color w:val="auto"/>
                <w:sz w:val="24"/>
                <w:szCs w:val="24"/>
                <w:lang w:val="en-US" w:eastAsia="zh-CN"/>
              </w:rPr>
              <w:t>B、</w:t>
            </w:r>
            <w:r>
              <w:rPr>
                <w:rFonts w:hint="eastAsia" w:ascii="宋体" w:hAnsi="宋体" w:eastAsia="宋体"/>
                <w:color w:val="auto"/>
                <w:sz w:val="24"/>
                <w:szCs w:val="24"/>
              </w:rPr>
              <w:t>场地附近不得有明火或热源，同时，配置相应的应急救援和处理设施，如灭火器等。设置禁火区明显标志牌，远离火源。</w:t>
            </w:r>
          </w:p>
          <w:p w14:paraId="596876C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olor w:val="auto"/>
                <w:sz w:val="24"/>
                <w:szCs w:val="24"/>
                <w:lang w:val="en-US" w:eastAsia="zh-CN"/>
              </w:rPr>
            </w:pPr>
            <w:r>
              <w:rPr>
                <w:rFonts w:hint="eastAsia" w:ascii="宋体" w:hAnsi="宋体" w:eastAsia="宋体"/>
                <w:color w:val="auto"/>
                <w:sz w:val="24"/>
                <w:szCs w:val="24"/>
                <w:lang w:val="en-US" w:eastAsia="zh-CN"/>
              </w:rPr>
              <w:t>②其他风险防范措施</w:t>
            </w:r>
          </w:p>
          <w:p w14:paraId="70B9D32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olor w:val="auto"/>
                <w:sz w:val="24"/>
                <w:szCs w:val="24"/>
                <w:lang w:eastAsia="zh-CN"/>
              </w:rPr>
            </w:pPr>
            <w:r>
              <w:rPr>
                <w:rFonts w:hint="default" w:ascii="Times New Roman" w:hAnsi="Times New Roman" w:eastAsia="宋体" w:cs="Times New Roman"/>
                <w:color w:val="auto"/>
                <w:sz w:val="24"/>
                <w:szCs w:val="24"/>
                <w:lang w:val="en-US" w:eastAsia="zh-CN"/>
              </w:rPr>
              <w:t>A、</w:t>
            </w:r>
            <w:r>
              <w:rPr>
                <w:rFonts w:hint="eastAsia" w:ascii="宋体" w:hAnsi="宋体" w:eastAsia="宋体"/>
                <w:color w:val="auto"/>
                <w:sz w:val="24"/>
                <w:szCs w:val="24"/>
              </w:rPr>
              <w:t>厂房要加强通风，电气设备须选用防腐、防爆型，电源绝缘良好，防止产生电火花，接地牢靠，防止产生静电</w:t>
            </w:r>
            <w:r>
              <w:rPr>
                <w:rFonts w:hint="eastAsia" w:ascii="宋体" w:hAnsi="宋体" w:eastAsia="宋体"/>
                <w:color w:val="auto"/>
                <w:sz w:val="24"/>
                <w:szCs w:val="24"/>
                <w:lang w:eastAsia="zh-CN"/>
              </w:rPr>
              <w:t>；</w:t>
            </w:r>
          </w:p>
          <w:p w14:paraId="59821D8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eastAsia="宋体" w:cs="Times New Roman"/>
                <w:color w:val="auto"/>
                <w:sz w:val="24"/>
                <w:szCs w:val="24"/>
                <w:lang w:eastAsia="zh-CN"/>
              </w:rPr>
            </w:pPr>
            <w:r>
              <w:rPr>
                <w:rFonts w:hint="default" w:ascii="Times New Roman" w:hAnsi="Times New Roman" w:eastAsia="宋体" w:cs="Times New Roman"/>
                <w:color w:val="auto"/>
                <w:sz w:val="24"/>
                <w:szCs w:val="24"/>
                <w:lang w:val="en-US" w:eastAsia="zh-CN"/>
              </w:rPr>
              <w:t>B、</w:t>
            </w:r>
            <w:r>
              <w:rPr>
                <w:rFonts w:hint="default" w:ascii="Times New Roman" w:hAnsi="Times New Roman" w:eastAsia="宋体" w:cs="Times New Roman"/>
                <w:color w:val="auto"/>
                <w:sz w:val="24"/>
                <w:szCs w:val="24"/>
              </w:rPr>
              <w:t>建立危险化学品使用、贮存档案制度</w:t>
            </w:r>
            <w:r>
              <w:rPr>
                <w:rFonts w:hint="default" w:ascii="Times New Roman" w:hAnsi="Times New Roman" w:eastAsia="宋体" w:cs="Times New Roman"/>
                <w:color w:val="auto"/>
                <w:sz w:val="24"/>
                <w:szCs w:val="24"/>
                <w:lang w:eastAsia="zh-CN"/>
              </w:rPr>
              <w:t>；</w:t>
            </w:r>
          </w:p>
          <w:p w14:paraId="4A9C43C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eastAsia="宋体" w:cs="Times New Roman"/>
                <w:color w:val="auto"/>
                <w:sz w:val="24"/>
                <w:szCs w:val="24"/>
                <w:lang w:eastAsia="zh-CN"/>
              </w:rPr>
            </w:pPr>
            <w:r>
              <w:rPr>
                <w:rFonts w:hint="default" w:ascii="Times New Roman" w:hAnsi="Times New Roman" w:eastAsia="宋体" w:cs="Times New Roman"/>
                <w:color w:val="auto"/>
                <w:sz w:val="24"/>
                <w:szCs w:val="24"/>
                <w:lang w:val="en-US" w:eastAsia="zh-CN"/>
              </w:rPr>
              <w:t>C、建设单位需</w:t>
            </w:r>
            <w:r>
              <w:rPr>
                <w:rFonts w:hint="default" w:ascii="Times New Roman" w:hAnsi="Times New Roman" w:eastAsia="宋体" w:cs="Times New Roman"/>
                <w:color w:val="auto"/>
                <w:sz w:val="24"/>
                <w:szCs w:val="24"/>
              </w:rPr>
              <w:t>严格遵守国家有关防火防爆的安全规定，各生产区域装置及建筑物间考虑足够的安全防火距离，并布置相应的消防通道、消防水池以及足够的消防器材等装置，并要有专人负责管理</w:t>
            </w:r>
            <w:r>
              <w:rPr>
                <w:rFonts w:hint="default" w:ascii="Times New Roman" w:hAnsi="Times New Roman" w:eastAsia="宋体" w:cs="Times New Roman"/>
                <w:color w:val="auto"/>
                <w:sz w:val="24"/>
                <w:szCs w:val="24"/>
                <w:lang w:eastAsia="zh-CN"/>
              </w:rPr>
              <w:t>；</w:t>
            </w:r>
          </w:p>
          <w:p w14:paraId="4DC48D5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eastAsia="宋体" w:cs="Times New Roman"/>
                <w:color w:val="auto"/>
                <w:sz w:val="24"/>
                <w:szCs w:val="24"/>
                <w:lang w:eastAsia="zh-CN"/>
              </w:rPr>
            </w:pPr>
            <w:r>
              <w:rPr>
                <w:rFonts w:hint="default" w:ascii="Times New Roman" w:hAnsi="Times New Roman" w:eastAsia="宋体" w:cs="Times New Roman"/>
                <w:color w:val="auto"/>
                <w:sz w:val="24"/>
                <w:szCs w:val="24"/>
                <w:lang w:val="en-US" w:eastAsia="zh-CN"/>
              </w:rPr>
              <w:t>D、</w:t>
            </w:r>
            <w:r>
              <w:rPr>
                <w:rFonts w:hint="default" w:ascii="Times New Roman" w:hAnsi="Times New Roman" w:eastAsia="宋体" w:cs="Times New Roman"/>
                <w:color w:val="auto"/>
                <w:sz w:val="24"/>
                <w:szCs w:val="24"/>
              </w:rPr>
              <w:t>在风险事故发生后，对诱发风险事故的原因进行总结，并根据可能引起风险事故发生的诱导因素重点进行防范</w:t>
            </w:r>
            <w:r>
              <w:rPr>
                <w:rFonts w:hint="default" w:ascii="Times New Roman" w:hAnsi="Times New Roman" w:eastAsia="宋体" w:cs="Times New Roman"/>
                <w:color w:val="auto"/>
                <w:sz w:val="24"/>
                <w:szCs w:val="24"/>
                <w:lang w:eastAsia="zh-CN"/>
              </w:rPr>
              <w:t>；</w:t>
            </w:r>
          </w:p>
          <w:p w14:paraId="56A4B37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lang w:val="en-US" w:eastAsia="zh-CN"/>
              </w:rPr>
              <w:t>E、</w:t>
            </w:r>
            <w:r>
              <w:rPr>
                <w:rFonts w:hint="default" w:ascii="Times New Roman" w:hAnsi="Times New Roman" w:eastAsia="宋体" w:cs="Times New Roman"/>
                <w:color w:val="auto"/>
                <w:sz w:val="24"/>
                <w:szCs w:val="24"/>
              </w:rPr>
              <w:t>建设单位应编制建设项目环境风险应急预案，报环保部门</w:t>
            </w:r>
            <w:r>
              <w:rPr>
                <w:rFonts w:hint="eastAsia" w:cs="Times New Roman"/>
                <w:color w:val="auto"/>
                <w:sz w:val="24"/>
                <w:szCs w:val="24"/>
                <w:lang w:val="en-US" w:eastAsia="zh-CN"/>
              </w:rPr>
              <w:t>备案</w:t>
            </w:r>
            <w:r>
              <w:rPr>
                <w:rFonts w:hint="default" w:ascii="Times New Roman" w:hAnsi="Times New Roman" w:eastAsia="宋体" w:cs="Times New Roman"/>
                <w:color w:val="auto"/>
                <w:sz w:val="24"/>
                <w:szCs w:val="24"/>
              </w:rPr>
              <w:t>后</w:t>
            </w:r>
            <w:r>
              <w:rPr>
                <w:rFonts w:hint="eastAsia" w:cs="Times New Roman"/>
                <w:color w:val="auto"/>
                <w:sz w:val="24"/>
                <w:szCs w:val="24"/>
                <w:lang w:val="en-US" w:eastAsia="zh-CN"/>
              </w:rPr>
              <w:t>在</w:t>
            </w:r>
            <w:r>
              <w:rPr>
                <w:rFonts w:hint="default" w:ascii="Times New Roman" w:hAnsi="Times New Roman" w:eastAsia="宋体" w:cs="Times New Roman"/>
                <w:color w:val="auto"/>
                <w:sz w:val="24"/>
                <w:szCs w:val="24"/>
              </w:rPr>
              <w:t>生产中实施，并安排环境风险应急预案及风险污染处置演练，进行应急处置宣传、教育。</w:t>
            </w:r>
          </w:p>
          <w:p w14:paraId="2C35FA3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eastAsia"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eastAsia="zh-CN"/>
              </w:rPr>
              <w:t>（</w:t>
            </w:r>
            <w:r>
              <w:rPr>
                <w:rFonts w:hint="eastAsia" w:ascii="Times New Roman" w:hAnsi="Times New Roman" w:eastAsia="宋体" w:cs="Times New Roman"/>
                <w:color w:val="auto"/>
                <w:sz w:val="24"/>
                <w:szCs w:val="24"/>
                <w:lang w:val="en-US" w:eastAsia="zh-CN"/>
              </w:rPr>
              <w:t>8</w:t>
            </w:r>
            <w:r>
              <w:rPr>
                <w:rFonts w:hint="eastAsia" w:ascii="Times New Roman" w:hAnsi="Times New Roman" w:eastAsia="宋体" w:cs="Times New Roman"/>
                <w:color w:val="auto"/>
                <w:sz w:val="24"/>
                <w:szCs w:val="24"/>
                <w:lang w:eastAsia="zh-CN"/>
              </w:rPr>
              <w:t>）</w:t>
            </w:r>
            <w:r>
              <w:rPr>
                <w:rFonts w:hint="eastAsia" w:ascii="Times New Roman" w:hAnsi="Times New Roman" w:eastAsia="宋体" w:cs="Times New Roman"/>
                <w:color w:val="auto"/>
                <w:sz w:val="24"/>
                <w:szCs w:val="24"/>
                <w:lang w:val="en-US" w:eastAsia="zh-CN"/>
              </w:rPr>
              <w:t>环境风险应急预案</w:t>
            </w:r>
          </w:p>
          <w:p w14:paraId="6F54F9E8">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eastAsia="宋体" w:cs="Times New Roman"/>
                <w:color w:val="auto"/>
                <w:sz w:val="24"/>
                <w:szCs w:val="24"/>
              </w:rPr>
            </w:pPr>
            <w:r>
              <w:rPr>
                <w:rFonts w:hint="eastAsia" w:ascii="宋体" w:hAnsi="宋体" w:eastAsia="宋体"/>
                <w:color w:val="auto"/>
                <w:sz w:val="24"/>
                <w:szCs w:val="24"/>
              </w:rPr>
              <w:t>对于重</w:t>
            </w:r>
            <w:r>
              <w:rPr>
                <w:rFonts w:hint="eastAsia" w:ascii="宋体" w:hAnsi="宋体" w:eastAsia="宋体" w:cs="宋体"/>
                <w:color w:val="auto"/>
                <w:sz w:val="24"/>
                <w:szCs w:val="24"/>
              </w:rPr>
              <w:t>大或不可接受的风险</w:t>
            </w:r>
            <w:r>
              <w:rPr>
                <w:rFonts w:hint="eastAsia" w:ascii="宋体" w:hAnsi="宋体" w:cs="宋体"/>
                <w:color w:val="auto"/>
                <w:sz w:val="24"/>
                <w:szCs w:val="24"/>
                <w:lang w:eastAsia="zh-CN"/>
              </w:rPr>
              <w:t>（</w:t>
            </w:r>
            <w:r>
              <w:rPr>
                <w:rFonts w:hint="eastAsia" w:ascii="宋体" w:hAnsi="宋体" w:eastAsia="宋体" w:cs="宋体"/>
                <w:color w:val="auto"/>
                <w:sz w:val="24"/>
                <w:szCs w:val="24"/>
              </w:rPr>
              <w:t>主要是物料严重泄漏、火灾爆炸造成重大人员伤害等</w:t>
            </w:r>
            <w:r>
              <w:rPr>
                <w:rFonts w:hint="eastAsia" w:ascii="宋体" w:hAnsi="宋体" w:cs="宋体"/>
                <w:color w:val="auto"/>
                <w:sz w:val="24"/>
                <w:szCs w:val="24"/>
                <w:lang w:eastAsia="zh-CN"/>
              </w:rPr>
              <w:t>）</w:t>
            </w:r>
            <w:r>
              <w:rPr>
                <w:rFonts w:hint="eastAsia" w:ascii="宋体" w:hAnsi="宋体" w:eastAsia="宋体" w:cs="宋体"/>
                <w:color w:val="auto"/>
                <w:sz w:val="24"/>
                <w:szCs w:val="24"/>
              </w:rPr>
              <w:t>，制定应急响应方案，建立应急反应体系，当事件一旦发生时可迅速加以控制，</w:t>
            </w:r>
            <w:r>
              <w:rPr>
                <w:rFonts w:hint="eastAsia" w:ascii="宋体" w:hAnsi="宋体" w:eastAsia="宋体"/>
                <w:color w:val="auto"/>
                <w:sz w:val="24"/>
                <w:szCs w:val="24"/>
              </w:rPr>
              <w:t>使危害和损失降低到尽可能低的程度。作为事故风险防范和应急对策的重要</w:t>
            </w:r>
            <w:r>
              <w:rPr>
                <w:rFonts w:hint="eastAsia" w:ascii="宋体" w:hAnsi="宋体" w:eastAsia="宋体" w:cs="宋体"/>
                <w:color w:val="auto"/>
                <w:sz w:val="24"/>
                <w:szCs w:val="24"/>
              </w:rPr>
              <w:t>组成部分，应急组织机构应制定应急计划，其基本内容应包</w:t>
            </w:r>
            <w:r>
              <w:rPr>
                <w:rFonts w:hint="default" w:ascii="Times New Roman" w:hAnsi="Times New Roman" w:eastAsia="宋体" w:cs="Times New Roman"/>
                <w:color w:val="auto"/>
                <w:sz w:val="24"/>
                <w:szCs w:val="24"/>
              </w:rPr>
              <w:t>括应急组织、应急设施</w:t>
            </w:r>
            <w:r>
              <w:rPr>
                <w:rFonts w:hint="eastAsia" w:cs="Times New Roman"/>
                <w:color w:val="auto"/>
                <w:sz w:val="24"/>
                <w:szCs w:val="24"/>
                <w:lang w:eastAsia="zh-CN"/>
              </w:rPr>
              <w:t>（</w:t>
            </w:r>
            <w:r>
              <w:rPr>
                <w:rFonts w:hint="default" w:ascii="Times New Roman" w:hAnsi="Times New Roman" w:eastAsia="宋体" w:cs="Times New Roman"/>
                <w:color w:val="auto"/>
                <w:sz w:val="24"/>
                <w:szCs w:val="24"/>
              </w:rPr>
              <w:t>设备器材</w:t>
            </w:r>
            <w:r>
              <w:rPr>
                <w:rFonts w:hint="eastAsia" w:cs="Times New Roman"/>
                <w:color w:val="auto"/>
                <w:sz w:val="24"/>
                <w:szCs w:val="24"/>
                <w:lang w:eastAsia="zh-CN"/>
              </w:rPr>
              <w:t>）</w:t>
            </w:r>
            <w:r>
              <w:rPr>
                <w:rFonts w:hint="default" w:ascii="Times New Roman" w:hAnsi="Times New Roman" w:eastAsia="宋体" w:cs="Times New Roman"/>
                <w:color w:val="auto"/>
                <w:sz w:val="24"/>
                <w:szCs w:val="24"/>
              </w:rPr>
              <w:t>、应急通讯联络、应急监测、应急安全保卫、应急撤离措施、应急救援、应急状态终止、事故后果评价、应急报告等。</w:t>
            </w:r>
          </w:p>
          <w:p w14:paraId="44E21D34">
            <w:pPr>
              <w:spacing w:line="360" w:lineRule="auto"/>
              <w:ind w:firstLine="480" w:firstLineChars="200"/>
              <w:jc w:val="both"/>
              <w:rPr>
                <w:rFonts w:hint="default" w:ascii="宋体" w:hAnsi="宋体" w:eastAsia="宋体"/>
                <w:color w:val="auto"/>
                <w:sz w:val="24"/>
                <w:szCs w:val="24"/>
                <w:lang w:val="en-US" w:eastAsia="zh-CN"/>
              </w:rPr>
            </w:pPr>
            <w:r>
              <w:rPr>
                <w:rFonts w:hint="default" w:ascii="Times New Roman" w:hAnsi="Times New Roman" w:eastAsia="宋体" w:cs="Times New Roman"/>
                <w:color w:val="auto"/>
                <w:sz w:val="24"/>
                <w:szCs w:val="24"/>
                <w:lang w:val="en-US" w:eastAsia="zh-CN"/>
              </w:rPr>
              <w:t>（9）环境风</w:t>
            </w:r>
            <w:r>
              <w:rPr>
                <w:rFonts w:hint="eastAsia" w:ascii="宋体" w:hAnsi="宋体" w:eastAsia="宋体"/>
                <w:color w:val="auto"/>
                <w:sz w:val="24"/>
                <w:szCs w:val="24"/>
                <w:lang w:val="en-US" w:eastAsia="zh-CN"/>
              </w:rPr>
              <w:t>险评价结论</w:t>
            </w:r>
          </w:p>
          <w:p w14:paraId="6D67A9D7">
            <w:pPr>
              <w:pStyle w:val="218"/>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both"/>
              <w:textAlignment w:val="auto"/>
              <w:rPr>
                <w:rFonts w:hint="eastAsia" w:ascii="Times New Roman" w:hAnsi="Times New Roman" w:eastAsia="宋体" w:cs="Times New Roman"/>
                <w:color w:val="auto"/>
                <w:szCs w:val="24"/>
              </w:rPr>
            </w:pPr>
            <w:r>
              <w:rPr>
                <w:rFonts w:hint="default" w:ascii="Times New Roman" w:hAnsi="Times New Roman" w:eastAsia="宋体" w:cs="Times New Roman"/>
                <w:color w:val="auto"/>
                <w:szCs w:val="24"/>
              </w:rPr>
              <w:t>综上，本项目不涉及重大危险源，项目风险评价等级低于三级，为</w:t>
            </w:r>
            <w:r>
              <w:rPr>
                <w:rFonts w:hint="default" w:ascii="Times New Roman" w:hAnsi="Times New Roman" w:eastAsia="宋体" w:cs="Times New Roman"/>
                <w:b/>
                <w:bCs/>
                <w:color w:val="auto"/>
                <w:szCs w:val="24"/>
              </w:rPr>
              <w:t>简单分析</w:t>
            </w:r>
            <w:r>
              <w:rPr>
                <w:rFonts w:hint="default" w:ascii="Times New Roman" w:hAnsi="Times New Roman" w:eastAsia="宋体" w:cs="Times New Roman"/>
                <w:b/>
                <w:bCs/>
                <w:color w:val="auto"/>
                <w:szCs w:val="24"/>
                <w:vertAlign w:val="superscript"/>
                <w:lang w:val="en-US" w:eastAsia="zh-CN"/>
              </w:rPr>
              <w:t>a</w:t>
            </w:r>
            <w:r>
              <w:rPr>
                <w:rFonts w:hint="default" w:ascii="Times New Roman" w:hAnsi="Times New Roman" w:eastAsia="宋体" w:cs="Times New Roman"/>
                <w:color w:val="auto"/>
                <w:szCs w:val="24"/>
              </w:rPr>
              <w:t>。只要企业在施工及运行管理中认真落实工程拟采取的安全防范措施及评价所提出的安全设施和安全对策后，上述风险事故隐患可降至最低</w:t>
            </w:r>
            <w:r>
              <w:rPr>
                <w:rFonts w:hint="eastAsia" w:ascii="Times New Roman" w:hAnsi="Times New Roman" w:eastAsia="宋体" w:cs="Times New Roman"/>
                <w:color w:val="auto"/>
                <w:szCs w:val="24"/>
              </w:rPr>
              <w:t>。</w:t>
            </w:r>
          </w:p>
          <w:p w14:paraId="11655C60">
            <w:pPr>
              <w:keepNext w:val="0"/>
              <w:keepLines w:val="0"/>
              <w:pageBreakBefore w:val="0"/>
              <w:widowControl w:val="0"/>
              <w:shd w:val="clear"/>
              <w:kinsoku/>
              <w:wordWrap/>
              <w:overflowPunct/>
              <w:topLinePunct w:val="0"/>
              <w:autoSpaceDE/>
              <w:autoSpaceDN/>
              <w:bidi w:val="0"/>
              <w:adjustRightInd/>
              <w:snapToGrid/>
              <w:ind w:firstLine="0"/>
              <w:jc w:val="center"/>
              <w:textAlignment w:val="auto"/>
              <w:rPr>
                <w:rFonts w:hint="eastAsia" w:ascii="Times New Roman" w:hAnsi="Times New Roman" w:eastAsia="宋体" w:cs="Times New Roman"/>
                <w:b/>
                <w:color w:val="auto"/>
                <w:szCs w:val="21"/>
                <w:lang w:val="en-US" w:eastAsia="zh-CN"/>
              </w:rPr>
            </w:pPr>
            <w:r>
              <w:rPr>
                <w:rFonts w:hint="eastAsia" w:ascii="Times New Roman" w:hAnsi="Times New Roman" w:eastAsia="宋体" w:cs="Times New Roman"/>
                <w:b/>
                <w:color w:val="auto"/>
                <w:szCs w:val="21"/>
                <w:lang w:val="en-US" w:eastAsia="zh-CN"/>
              </w:rPr>
              <w:t>表4-2</w:t>
            </w:r>
            <w:r>
              <w:rPr>
                <w:rFonts w:hint="eastAsia" w:cs="Times New Roman"/>
                <w:b/>
                <w:color w:val="auto"/>
                <w:szCs w:val="21"/>
                <w:lang w:val="en-US" w:eastAsia="zh-CN"/>
              </w:rPr>
              <w:t>7</w:t>
            </w:r>
            <w:r>
              <w:rPr>
                <w:rFonts w:hint="eastAsia" w:ascii="Times New Roman" w:hAnsi="Times New Roman" w:eastAsia="宋体" w:cs="Times New Roman"/>
                <w:b/>
                <w:color w:val="auto"/>
                <w:szCs w:val="21"/>
                <w:lang w:val="en-US" w:eastAsia="zh-CN"/>
              </w:rPr>
              <w:t xml:space="preserve"> 建设项目环境风险简单分析内容表</w:t>
            </w:r>
          </w:p>
          <w:tbl>
            <w:tblPr>
              <w:tblStyle w:val="42"/>
              <w:tblW w:w="7879" w:type="dxa"/>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2480"/>
              <w:gridCol w:w="1117"/>
              <w:gridCol w:w="1750"/>
              <w:gridCol w:w="900"/>
              <w:gridCol w:w="1632"/>
            </w:tblGrid>
            <w:tr w14:paraId="44BDDD4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1" w:hRule="atLeast"/>
                <w:jc w:val="center"/>
              </w:trPr>
              <w:tc>
                <w:tcPr>
                  <w:tcW w:w="2480" w:type="dxa"/>
                  <w:noWrap w:val="0"/>
                  <w:vAlign w:val="center"/>
                </w:tcPr>
                <w:p w14:paraId="0878CBFA">
                  <w:pPr>
                    <w:jc w:val="center"/>
                    <w:rPr>
                      <w:rFonts w:hint="default" w:ascii="Times New Roman" w:hAnsi="Times New Roman" w:eastAsia="宋体" w:cs="Times New Roman"/>
                      <w:b w:val="0"/>
                      <w:bCs/>
                      <w:color w:val="auto"/>
                      <w:sz w:val="21"/>
                      <w:szCs w:val="21"/>
                      <w:vertAlign w:val="baseline"/>
                      <w:lang w:val="en-US" w:eastAsia="zh-CN"/>
                    </w:rPr>
                  </w:pPr>
                  <w:r>
                    <w:rPr>
                      <w:rFonts w:hint="default" w:ascii="Times New Roman" w:hAnsi="Times New Roman" w:eastAsia="宋体" w:cs="Times New Roman"/>
                      <w:b w:val="0"/>
                      <w:bCs/>
                      <w:color w:val="auto"/>
                      <w:sz w:val="21"/>
                      <w:szCs w:val="21"/>
                      <w:vertAlign w:val="baseline"/>
                      <w:lang w:val="en-US" w:eastAsia="zh-CN"/>
                    </w:rPr>
                    <w:t>建设项目名称</w:t>
                  </w:r>
                </w:p>
              </w:tc>
              <w:tc>
                <w:tcPr>
                  <w:tcW w:w="5399" w:type="dxa"/>
                  <w:gridSpan w:val="4"/>
                  <w:noWrap w:val="0"/>
                  <w:vAlign w:val="center"/>
                </w:tcPr>
                <w:p w14:paraId="3E3CC337">
                  <w:pPr>
                    <w:jc w:val="center"/>
                    <w:rPr>
                      <w:rFonts w:hint="default" w:ascii="Times New Roman" w:hAnsi="Times New Roman" w:eastAsia="宋体" w:cs="Times New Roman"/>
                      <w:b/>
                      <w:color w:val="auto"/>
                      <w:sz w:val="21"/>
                      <w:szCs w:val="21"/>
                      <w:vertAlign w:val="baseline"/>
                      <w:lang w:val="en-US" w:eastAsia="zh-CN"/>
                    </w:rPr>
                  </w:pPr>
                  <w:r>
                    <w:rPr>
                      <w:rFonts w:hint="eastAsia" w:ascii="Times New Roman" w:hAnsi="Times New Roman" w:eastAsia="宋体" w:cs="Times New Roman"/>
                      <w:b w:val="0"/>
                      <w:bCs/>
                      <w:color w:val="auto"/>
                      <w:sz w:val="21"/>
                      <w:szCs w:val="21"/>
                      <w:vertAlign w:val="baseline"/>
                      <w:lang w:val="en-US" w:eastAsia="zh-CN"/>
                    </w:rPr>
                    <w:t>年产</w:t>
                  </w:r>
                  <w:r>
                    <w:rPr>
                      <w:rFonts w:hint="default" w:ascii="Times New Roman" w:hAnsi="Times New Roman" w:eastAsia="宋体" w:cs="Times New Roman"/>
                      <w:b w:val="0"/>
                      <w:bCs/>
                      <w:color w:val="auto"/>
                      <w:sz w:val="21"/>
                      <w:szCs w:val="21"/>
                      <w:vertAlign w:val="baseline"/>
                      <w:lang w:val="en-US" w:eastAsia="zh-CN"/>
                    </w:rPr>
                    <w:t>1GWh</w:t>
                  </w:r>
                  <w:r>
                    <w:rPr>
                      <w:rFonts w:hint="eastAsia" w:ascii="Times New Roman" w:hAnsi="Times New Roman" w:eastAsia="宋体" w:cs="Times New Roman"/>
                      <w:b w:val="0"/>
                      <w:bCs/>
                      <w:color w:val="auto"/>
                      <w:sz w:val="21"/>
                      <w:szCs w:val="21"/>
                      <w:vertAlign w:val="baseline"/>
                      <w:lang w:val="en-US" w:eastAsia="zh-CN"/>
                    </w:rPr>
                    <w:t>高倍率半固态电池及</w:t>
                  </w:r>
                  <w:r>
                    <w:rPr>
                      <w:rFonts w:hint="default" w:ascii="Times New Roman" w:hAnsi="Times New Roman" w:eastAsia="宋体" w:cs="Times New Roman"/>
                      <w:b w:val="0"/>
                      <w:bCs/>
                      <w:color w:val="auto"/>
                      <w:sz w:val="21"/>
                      <w:szCs w:val="21"/>
                      <w:vertAlign w:val="baseline"/>
                      <w:lang w:val="en-US" w:eastAsia="zh-CN"/>
                    </w:rPr>
                    <w:t>20</w:t>
                  </w:r>
                  <w:r>
                    <w:rPr>
                      <w:rFonts w:hint="eastAsia" w:ascii="Times New Roman" w:hAnsi="Times New Roman" w:eastAsia="宋体" w:cs="Times New Roman"/>
                      <w:b w:val="0"/>
                      <w:bCs/>
                      <w:color w:val="auto"/>
                      <w:sz w:val="21"/>
                      <w:szCs w:val="21"/>
                      <w:vertAlign w:val="baseline"/>
                      <w:lang w:val="en-US" w:eastAsia="zh-CN"/>
                    </w:rPr>
                    <w:t>万套电源系统项目</w:t>
                  </w:r>
                </w:p>
              </w:tc>
            </w:tr>
            <w:tr w14:paraId="22102F1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1" w:hRule="atLeast"/>
                <w:jc w:val="center"/>
              </w:trPr>
              <w:tc>
                <w:tcPr>
                  <w:tcW w:w="2480" w:type="dxa"/>
                  <w:noWrap w:val="0"/>
                  <w:vAlign w:val="center"/>
                </w:tcPr>
                <w:p w14:paraId="48C5596C">
                  <w:pPr>
                    <w:jc w:val="center"/>
                    <w:rPr>
                      <w:rFonts w:hint="default" w:ascii="Times New Roman" w:hAnsi="Times New Roman" w:eastAsia="宋体" w:cs="Times New Roman"/>
                      <w:b w:val="0"/>
                      <w:bCs/>
                      <w:color w:val="auto"/>
                      <w:sz w:val="21"/>
                      <w:szCs w:val="21"/>
                      <w:vertAlign w:val="baseline"/>
                      <w:lang w:val="en-US" w:eastAsia="zh-CN"/>
                    </w:rPr>
                  </w:pPr>
                  <w:r>
                    <w:rPr>
                      <w:rFonts w:hint="default" w:ascii="Times New Roman" w:hAnsi="Times New Roman" w:eastAsia="宋体" w:cs="Times New Roman"/>
                      <w:b w:val="0"/>
                      <w:bCs/>
                      <w:color w:val="auto"/>
                      <w:sz w:val="21"/>
                      <w:szCs w:val="21"/>
                      <w:vertAlign w:val="baseline"/>
                      <w:lang w:val="en-US" w:eastAsia="zh-CN"/>
                    </w:rPr>
                    <w:t>建设地点</w:t>
                  </w:r>
                </w:p>
              </w:tc>
              <w:tc>
                <w:tcPr>
                  <w:tcW w:w="5399" w:type="dxa"/>
                  <w:gridSpan w:val="4"/>
                  <w:noWrap w:val="0"/>
                  <w:vAlign w:val="center"/>
                </w:tcPr>
                <w:p w14:paraId="142C0A41">
                  <w:pPr>
                    <w:jc w:val="center"/>
                    <w:rPr>
                      <w:rFonts w:hint="default" w:ascii="Times New Roman" w:hAnsi="Times New Roman" w:eastAsia="宋体" w:cs="Times New Roman"/>
                      <w:b w:val="0"/>
                      <w:bCs/>
                      <w:color w:val="auto"/>
                      <w:sz w:val="21"/>
                      <w:szCs w:val="21"/>
                      <w:vertAlign w:val="baseline"/>
                      <w:lang w:val="en-US" w:eastAsia="zh-CN"/>
                    </w:rPr>
                  </w:pPr>
                  <w:r>
                    <w:rPr>
                      <w:rFonts w:hint="eastAsia" w:ascii="Times New Roman" w:hAnsi="Times New Roman" w:eastAsia="宋体" w:cs="Times New Roman"/>
                      <w:b w:val="0"/>
                      <w:bCs/>
                      <w:color w:val="auto"/>
                      <w:sz w:val="21"/>
                      <w:szCs w:val="21"/>
                      <w:vertAlign w:val="baseline"/>
                      <w:lang w:val="en-US" w:eastAsia="zh-CN"/>
                    </w:rPr>
                    <w:t>四川省巴中市经济开发区</w:t>
                  </w:r>
                </w:p>
              </w:tc>
            </w:tr>
            <w:tr w14:paraId="12E310E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7" w:hRule="atLeast"/>
                <w:jc w:val="center"/>
              </w:trPr>
              <w:tc>
                <w:tcPr>
                  <w:tcW w:w="2480" w:type="dxa"/>
                  <w:noWrap w:val="0"/>
                  <w:vAlign w:val="center"/>
                </w:tcPr>
                <w:p w14:paraId="725001BA">
                  <w:pPr>
                    <w:jc w:val="center"/>
                    <w:rPr>
                      <w:rFonts w:hint="default" w:ascii="Times New Roman" w:hAnsi="Times New Roman" w:eastAsia="宋体" w:cs="Times New Roman"/>
                      <w:b w:val="0"/>
                      <w:bCs/>
                      <w:color w:val="auto"/>
                      <w:sz w:val="21"/>
                      <w:szCs w:val="21"/>
                      <w:highlight w:val="none"/>
                      <w:vertAlign w:val="baseline"/>
                      <w:lang w:val="en-US" w:eastAsia="zh-CN"/>
                    </w:rPr>
                  </w:pPr>
                  <w:r>
                    <w:rPr>
                      <w:rFonts w:hint="default" w:ascii="Times New Roman" w:hAnsi="Times New Roman" w:eastAsia="宋体" w:cs="Times New Roman"/>
                      <w:b w:val="0"/>
                      <w:bCs/>
                      <w:color w:val="auto"/>
                      <w:sz w:val="21"/>
                      <w:szCs w:val="21"/>
                      <w:highlight w:val="none"/>
                      <w:vertAlign w:val="baseline"/>
                      <w:lang w:val="en-US" w:eastAsia="zh-CN"/>
                    </w:rPr>
                    <w:t>地理坐标</w:t>
                  </w:r>
                </w:p>
              </w:tc>
              <w:tc>
                <w:tcPr>
                  <w:tcW w:w="1117" w:type="dxa"/>
                  <w:noWrap w:val="0"/>
                  <w:vAlign w:val="center"/>
                </w:tcPr>
                <w:p w14:paraId="0C0E514C">
                  <w:pPr>
                    <w:jc w:val="center"/>
                    <w:rPr>
                      <w:rFonts w:hint="default" w:ascii="Times New Roman" w:hAnsi="Times New Roman" w:eastAsia="宋体" w:cs="Times New Roman"/>
                      <w:b w:val="0"/>
                      <w:bCs/>
                      <w:color w:val="auto"/>
                      <w:sz w:val="21"/>
                      <w:szCs w:val="21"/>
                      <w:vertAlign w:val="baseline"/>
                      <w:lang w:val="en-US" w:eastAsia="zh-CN"/>
                    </w:rPr>
                  </w:pPr>
                  <w:r>
                    <w:rPr>
                      <w:rFonts w:hint="default" w:ascii="Times New Roman" w:hAnsi="Times New Roman" w:eastAsia="宋体" w:cs="Times New Roman"/>
                      <w:b w:val="0"/>
                      <w:bCs/>
                      <w:color w:val="auto"/>
                      <w:sz w:val="21"/>
                      <w:szCs w:val="21"/>
                      <w:vertAlign w:val="baseline"/>
                      <w:lang w:val="en-US" w:eastAsia="zh-CN"/>
                    </w:rPr>
                    <w:t>经度</w:t>
                  </w:r>
                </w:p>
              </w:tc>
              <w:tc>
                <w:tcPr>
                  <w:tcW w:w="1750" w:type="dxa"/>
                  <w:noWrap w:val="0"/>
                  <w:vAlign w:val="center"/>
                </w:tcPr>
                <w:p w14:paraId="04FD9ACA">
                  <w:pPr>
                    <w:jc w:val="center"/>
                    <w:rPr>
                      <w:rFonts w:hint="default" w:ascii="Times New Roman" w:hAnsi="Times New Roman" w:eastAsia="宋体" w:cs="Times New Roman"/>
                      <w:b w:val="0"/>
                      <w:bCs/>
                      <w:color w:val="auto"/>
                      <w:sz w:val="21"/>
                      <w:szCs w:val="21"/>
                      <w:vertAlign w:val="baseline"/>
                      <w:lang w:val="en-US" w:eastAsia="zh-CN"/>
                    </w:rPr>
                  </w:pPr>
                  <w:r>
                    <w:rPr>
                      <w:rFonts w:hint="eastAsia" w:cs="Times New Roman"/>
                      <w:b w:val="0"/>
                      <w:bCs/>
                      <w:color w:val="auto"/>
                      <w:sz w:val="21"/>
                      <w:szCs w:val="21"/>
                      <w:vertAlign w:val="baseline"/>
                      <w:lang w:val="en-US" w:eastAsia="zh-CN"/>
                    </w:rPr>
                    <w:t>106</w:t>
                  </w:r>
                  <w:r>
                    <w:rPr>
                      <w:rFonts w:hint="default" w:ascii="Times New Roman" w:hAnsi="Times New Roman" w:eastAsia="宋体" w:cs="Times New Roman"/>
                      <w:b w:val="0"/>
                      <w:bCs/>
                      <w:color w:val="auto"/>
                      <w:sz w:val="21"/>
                      <w:szCs w:val="21"/>
                      <w:vertAlign w:val="baseline"/>
                      <w:lang w:val="en-US" w:eastAsia="zh-CN"/>
                    </w:rPr>
                    <w:t>°</w:t>
                  </w:r>
                  <w:r>
                    <w:rPr>
                      <w:rFonts w:hint="eastAsia" w:cs="Times New Roman"/>
                      <w:b w:val="0"/>
                      <w:bCs/>
                      <w:color w:val="auto"/>
                      <w:sz w:val="21"/>
                      <w:szCs w:val="21"/>
                      <w:vertAlign w:val="baseline"/>
                      <w:lang w:val="en-US" w:eastAsia="zh-CN"/>
                    </w:rPr>
                    <w:t>53</w:t>
                  </w:r>
                  <w:r>
                    <w:rPr>
                      <w:rFonts w:hint="default" w:ascii="Times New Roman" w:hAnsi="Times New Roman" w:eastAsia="宋体" w:cs="Times New Roman"/>
                      <w:b w:val="0"/>
                      <w:bCs/>
                      <w:color w:val="auto"/>
                      <w:sz w:val="21"/>
                      <w:szCs w:val="21"/>
                      <w:vertAlign w:val="baseline"/>
                      <w:lang w:val="en-US" w:eastAsia="zh-CN"/>
                    </w:rPr>
                    <w:t>′</w:t>
                  </w:r>
                  <w:r>
                    <w:rPr>
                      <w:rFonts w:hint="eastAsia" w:cs="Times New Roman"/>
                      <w:b w:val="0"/>
                      <w:bCs/>
                      <w:color w:val="auto"/>
                      <w:sz w:val="21"/>
                      <w:szCs w:val="21"/>
                      <w:vertAlign w:val="baseline"/>
                      <w:lang w:val="en-US" w:eastAsia="zh-CN"/>
                    </w:rPr>
                    <w:t>41.840</w:t>
                  </w:r>
                  <w:r>
                    <w:rPr>
                      <w:rFonts w:hint="default" w:ascii="Times New Roman" w:hAnsi="Times New Roman" w:eastAsia="宋体" w:cs="Times New Roman"/>
                      <w:b w:val="0"/>
                      <w:bCs/>
                      <w:color w:val="auto"/>
                      <w:sz w:val="21"/>
                      <w:szCs w:val="21"/>
                      <w:vertAlign w:val="baseline"/>
                      <w:lang w:val="en-US" w:eastAsia="zh-CN"/>
                    </w:rPr>
                    <w:t>″</w:t>
                  </w:r>
                </w:p>
              </w:tc>
              <w:tc>
                <w:tcPr>
                  <w:tcW w:w="900" w:type="dxa"/>
                  <w:noWrap w:val="0"/>
                  <w:vAlign w:val="center"/>
                </w:tcPr>
                <w:p w14:paraId="670F0BB5">
                  <w:pPr>
                    <w:jc w:val="center"/>
                    <w:rPr>
                      <w:rFonts w:hint="default" w:ascii="Times New Roman" w:hAnsi="Times New Roman" w:eastAsia="宋体" w:cs="Times New Roman"/>
                      <w:b w:val="0"/>
                      <w:bCs/>
                      <w:color w:val="auto"/>
                      <w:sz w:val="21"/>
                      <w:szCs w:val="21"/>
                      <w:vertAlign w:val="baseline"/>
                      <w:lang w:val="en-US" w:eastAsia="zh-CN"/>
                    </w:rPr>
                  </w:pPr>
                  <w:r>
                    <w:rPr>
                      <w:rFonts w:hint="default" w:ascii="Times New Roman" w:hAnsi="Times New Roman" w:eastAsia="宋体" w:cs="Times New Roman"/>
                      <w:b w:val="0"/>
                      <w:bCs/>
                      <w:color w:val="auto"/>
                      <w:sz w:val="21"/>
                      <w:szCs w:val="21"/>
                      <w:vertAlign w:val="baseline"/>
                      <w:lang w:val="en-US" w:eastAsia="zh-CN"/>
                    </w:rPr>
                    <w:t>纬度</w:t>
                  </w:r>
                </w:p>
              </w:tc>
              <w:tc>
                <w:tcPr>
                  <w:tcW w:w="1632" w:type="dxa"/>
                  <w:noWrap w:val="0"/>
                  <w:vAlign w:val="center"/>
                </w:tcPr>
                <w:p w14:paraId="48C9363C">
                  <w:pPr>
                    <w:jc w:val="center"/>
                    <w:rPr>
                      <w:rFonts w:hint="default" w:ascii="Times New Roman" w:hAnsi="Times New Roman" w:eastAsia="宋体" w:cs="Times New Roman"/>
                      <w:b w:val="0"/>
                      <w:bCs/>
                      <w:color w:val="auto"/>
                      <w:sz w:val="21"/>
                      <w:szCs w:val="21"/>
                      <w:vertAlign w:val="baseline"/>
                      <w:lang w:val="en-US" w:eastAsia="zh-CN"/>
                    </w:rPr>
                  </w:pPr>
                  <w:r>
                    <w:rPr>
                      <w:rFonts w:hint="default" w:ascii="Times New Roman" w:hAnsi="Times New Roman" w:eastAsia="宋体" w:cs="Times New Roman"/>
                      <w:b w:val="0"/>
                      <w:bCs/>
                      <w:color w:val="auto"/>
                      <w:sz w:val="21"/>
                      <w:szCs w:val="21"/>
                      <w:vertAlign w:val="baseline"/>
                      <w:lang w:val="en-US" w:eastAsia="zh-CN"/>
                    </w:rPr>
                    <w:t>3</w:t>
                  </w:r>
                  <w:r>
                    <w:rPr>
                      <w:rFonts w:hint="eastAsia" w:cs="Times New Roman"/>
                      <w:b w:val="0"/>
                      <w:bCs/>
                      <w:color w:val="auto"/>
                      <w:sz w:val="21"/>
                      <w:szCs w:val="21"/>
                      <w:vertAlign w:val="baseline"/>
                      <w:lang w:val="en-US" w:eastAsia="zh-CN"/>
                    </w:rPr>
                    <w:t>1</w:t>
                  </w:r>
                  <w:r>
                    <w:rPr>
                      <w:rFonts w:hint="default" w:ascii="Times New Roman" w:hAnsi="Times New Roman" w:eastAsia="宋体" w:cs="Times New Roman"/>
                      <w:b w:val="0"/>
                      <w:bCs/>
                      <w:color w:val="auto"/>
                      <w:sz w:val="21"/>
                      <w:szCs w:val="21"/>
                      <w:vertAlign w:val="baseline"/>
                      <w:lang w:val="en-US" w:eastAsia="zh-CN"/>
                    </w:rPr>
                    <w:t>°</w:t>
                  </w:r>
                  <w:r>
                    <w:rPr>
                      <w:rFonts w:hint="eastAsia" w:cs="Times New Roman"/>
                      <w:b w:val="0"/>
                      <w:bCs/>
                      <w:color w:val="auto"/>
                      <w:sz w:val="21"/>
                      <w:szCs w:val="21"/>
                      <w:vertAlign w:val="baseline"/>
                      <w:lang w:val="en-US" w:eastAsia="zh-CN"/>
                    </w:rPr>
                    <w:t>51</w:t>
                  </w:r>
                  <w:r>
                    <w:rPr>
                      <w:rFonts w:hint="default" w:ascii="Times New Roman" w:hAnsi="Times New Roman" w:eastAsia="宋体" w:cs="Times New Roman"/>
                      <w:b w:val="0"/>
                      <w:bCs/>
                      <w:color w:val="auto"/>
                      <w:sz w:val="21"/>
                      <w:szCs w:val="21"/>
                      <w:vertAlign w:val="baseline"/>
                      <w:lang w:val="en-US" w:eastAsia="zh-CN"/>
                    </w:rPr>
                    <w:t>′</w:t>
                  </w:r>
                  <w:r>
                    <w:rPr>
                      <w:rFonts w:hint="eastAsia" w:cs="Times New Roman"/>
                      <w:b w:val="0"/>
                      <w:bCs/>
                      <w:color w:val="auto"/>
                      <w:sz w:val="21"/>
                      <w:szCs w:val="21"/>
                      <w:vertAlign w:val="baseline"/>
                      <w:lang w:val="en-US" w:eastAsia="zh-CN"/>
                    </w:rPr>
                    <w:t>22.378</w:t>
                  </w:r>
                  <w:r>
                    <w:rPr>
                      <w:rFonts w:hint="default" w:ascii="Times New Roman" w:hAnsi="Times New Roman" w:eastAsia="宋体" w:cs="Times New Roman"/>
                      <w:b w:val="0"/>
                      <w:bCs/>
                      <w:color w:val="auto"/>
                      <w:sz w:val="21"/>
                      <w:szCs w:val="21"/>
                      <w:vertAlign w:val="baseline"/>
                      <w:lang w:val="en-US" w:eastAsia="zh-CN"/>
                    </w:rPr>
                    <w:t>″</w:t>
                  </w:r>
                </w:p>
              </w:tc>
            </w:tr>
            <w:tr w14:paraId="1245F5C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6" w:hRule="atLeast"/>
                <w:jc w:val="center"/>
              </w:trPr>
              <w:tc>
                <w:tcPr>
                  <w:tcW w:w="2480" w:type="dxa"/>
                  <w:noWrap w:val="0"/>
                  <w:vAlign w:val="center"/>
                </w:tcPr>
                <w:p w14:paraId="144AEEF4">
                  <w:pPr>
                    <w:jc w:val="center"/>
                    <w:rPr>
                      <w:rFonts w:hint="default" w:ascii="Times New Roman" w:hAnsi="Times New Roman" w:eastAsia="宋体" w:cs="Times New Roman"/>
                      <w:b w:val="0"/>
                      <w:bCs/>
                      <w:color w:val="auto"/>
                      <w:sz w:val="21"/>
                      <w:szCs w:val="21"/>
                      <w:highlight w:val="none"/>
                      <w:vertAlign w:val="baseline"/>
                      <w:lang w:val="en-US" w:eastAsia="zh-CN"/>
                    </w:rPr>
                  </w:pPr>
                  <w:r>
                    <w:rPr>
                      <w:rFonts w:hint="default" w:ascii="Times New Roman" w:hAnsi="Times New Roman" w:eastAsia="宋体" w:cs="Times New Roman"/>
                      <w:b w:val="0"/>
                      <w:bCs/>
                      <w:color w:val="auto"/>
                      <w:sz w:val="21"/>
                      <w:szCs w:val="21"/>
                      <w:highlight w:val="none"/>
                      <w:vertAlign w:val="baseline"/>
                      <w:lang w:val="en-US" w:eastAsia="zh-CN"/>
                    </w:rPr>
                    <w:t>主要危险物质及分布</w:t>
                  </w:r>
                </w:p>
              </w:tc>
              <w:tc>
                <w:tcPr>
                  <w:tcW w:w="5399" w:type="dxa"/>
                  <w:gridSpan w:val="4"/>
                  <w:noWrap w:val="0"/>
                  <w:vAlign w:val="center"/>
                </w:tcPr>
                <w:p w14:paraId="678802C8">
                  <w:pPr>
                    <w:jc w:val="both"/>
                    <w:rPr>
                      <w:rFonts w:hint="eastAsia" w:ascii="宋体" w:hAnsi="宋体" w:eastAsia="宋体"/>
                      <w:color w:val="auto"/>
                      <w:sz w:val="21"/>
                      <w:szCs w:val="24"/>
                      <w:lang w:val="en-US" w:eastAsia="zh-CN"/>
                    </w:rPr>
                  </w:pPr>
                  <w:r>
                    <w:rPr>
                      <w:rFonts w:hint="eastAsia" w:cs="Times New Roman"/>
                      <w:b w:val="0"/>
                      <w:bCs/>
                      <w:color w:val="auto"/>
                      <w:sz w:val="21"/>
                      <w:szCs w:val="21"/>
                      <w:highlight w:val="none"/>
                      <w:vertAlign w:val="baseline"/>
                      <w:lang w:val="en-US" w:eastAsia="zh-CN"/>
                    </w:rPr>
                    <w:t>电解液仓库</w:t>
                  </w:r>
                  <w:r>
                    <w:rPr>
                      <w:rFonts w:hint="eastAsia" w:ascii="宋体" w:hAnsi="宋体" w:eastAsia="宋体"/>
                      <w:color w:val="auto"/>
                      <w:sz w:val="21"/>
                      <w:szCs w:val="24"/>
                      <w:lang w:val="en-US" w:eastAsia="zh-CN"/>
                    </w:rPr>
                    <w:t>：电解液；</w:t>
                  </w:r>
                </w:p>
                <w:p w14:paraId="3428C2CA">
                  <w:pPr>
                    <w:jc w:val="both"/>
                    <w:rPr>
                      <w:rFonts w:hint="eastAsia" w:ascii="Times New Roman" w:hAnsi="Times New Roman" w:eastAsia="宋体" w:cs="Times New Roman"/>
                      <w:b w:val="0"/>
                      <w:bCs/>
                      <w:color w:val="auto"/>
                      <w:sz w:val="21"/>
                      <w:szCs w:val="21"/>
                      <w:highlight w:val="none"/>
                      <w:vertAlign w:val="baseline"/>
                      <w:lang w:val="en-US" w:eastAsia="zh-CN"/>
                    </w:rPr>
                  </w:pPr>
                  <w:r>
                    <w:rPr>
                      <w:rFonts w:hint="eastAsia" w:ascii="宋体" w:hAnsi="宋体" w:eastAsia="宋体"/>
                      <w:color w:val="auto"/>
                      <w:sz w:val="21"/>
                      <w:szCs w:val="24"/>
                      <w:lang w:val="en-US" w:eastAsia="zh-CN"/>
                    </w:rPr>
                    <w:t>危废库：</w:t>
                  </w:r>
                  <w:r>
                    <w:rPr>
                      <w:rFonts w:hint="eastAsia" w:ascii="宋体" w:hAnsi="宋体" w:eastAsia="宋体"/>
                      <w:color w:val="auto"/>
                      <w:sz w:val="21"/>
                      <w:szCs w:val="24"/>
                    </w:rPr>
                    <w:t>废机油、废电解液、废活性炭等</w:t>
                  </w:r>
                  <w:r>
                    <w:rPr>
                      <w:rFonts w:hint="eastAsia" w:ascii="宋体" w:hAnsi="宋体" w:eastAsia="宋体"/>
                      <w:color w:val="auto"/>
                      <w:sz w:val="21"/>
                      <w:szCs w:val="24"/>
                      <w:lang w:eastAsia="zh-CN"/>
                    </w:rPr>
                    <w:t>；</w:t>
                  </w:r>
                </w:p>
                <w:p w14:paraId="5DDD07FB">
                  <w:pPr>
                    <w:jc w:val="both"/>
                    <w:rPr>
                      <w:rFonts w:hint="eastAsia" w:cs="Times New Roman"/>
                      <w:b w:val="0"/>
                      <w:bCs/>
                      <w:color w:val="auto"/>
                      <w:sz w:val="21"/>
                      <w:szCs w:val="21"/>
                      <w:highlight w:val="none"/>
                      <w:vertAlign w:val="baseline"/>
                      <w:lang w:val="en-US" w:eastAsia="zh-CN"/>
                    </w:rPr>
                  </w:pPr>
                  <w:r>
                    <w:rPr>
                      <w:rFonts w:hint="eastAsia" w:cs="Times New Roman"/>
                      <w:b w:val="0"/>
                      <w:bCs/>
                      <w:color w:val="auto"/>
                      <w:sz w:val="21"/>
                      <w:szCs w:val="21"/>
                      <w:highlight w:val="none"/>
                      <w:vertAlign w:val="baseline"/>
                      <w:lang w:val="en-US" w:eastAsia="zh-CN"/>
                    </w:rPr>
                    <w:t>NMP储罐区：NMP回收液；</w:t>
                  </w:r>
                </w:p>
                <w:p w14:paraId="05C87B68">
                  <w:pPr>
                    <w:jc w:val="both"/>
                    <w:rPr>
                      <w:rFonts w:hint="default" w:cs="Times New Roman"/>
                      <w:b w:val="0"/>
                      <w:bCs/>
                      <w:color w:val="auto"/>
                      <w:sz w:val="21"/>
                      <w:szCs w:val="21"/>
                      <w:highlight w:val="none"/>
                      <w:vertAlign w:val="baseline"/>
                      <w:lang w:val="en-US" w:eastAsia="zh-CN"/>
                    </w:rPr>
                  </w:pPr>
                  <w:r>
                    <w:rPr>
                      <w:rFonts w:hint="eastAsia" w:cs="Times New Roman"/>
                      <w:b w:val="0"/>
                      <w:bCs/>
                      <w:color w:val="auto"/>
                      <w:sz w:val="21"/>
                      <w:szCs w:val="21"/>
                      <w:highlight w:val="none"/>
                      <w:vertAlign w:val="baseline"/>
                      <w:lang w:val="en-US" w:eastAsia="zh-CN"/>
                    </w:rPr>
                    <w:t>NMP暂存间：NMP溶剂。</w:t>
                  </w:r>
                </w:p>
              </w:tc>
            </w:tr>
            <w:tr w14:paraId="395795D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54" w:hRule="atLeast"/>
                <w:jc w:val="center"/>
              </w:trPr>
              <w:tc>
                <w:tcPr>
                  <w:tcW w:w="2480" w:type="dxa"/>
                  <w:noWrap w:val="0"/>
                  <w:vAlign w:val="center"/>
                </w:tcPr>
                <w:p w14:paraId="0CEAC35B">
                  <w:pPr>
                    <w:jc w:val="both"/>
                    <w:rPr>
                      <w:rFonts w:hint="default" w:ascii="Times New Roman" w:hAnsi="Times New Roman" w:eastAsia="宋体" w:cs="Times New Roman"/>
                      <w:b w:val="0"/>
                      <w:bCs/>
                      <w:color w:val="auto"/>
                      <w:sz w:val="21"/>
                      <w:szCs w:val="21"/>
                      <w:highlight w:val="none"/>
                      <w:vertAlign w:val="baseline"/>
                      <w:lang w:val="en-US" w:eastAsia="zh-CN"/>
                    </w:rPr>
                  </w:pPr>
                  <w:r>
                    <w:rPr>
                      <w:rFonts w:hint="default" w:ascii="Times New Roman" w:hAnsi="Times New Roman" w:eastAsia="宋体" w:cs="Times New Roman"/>
                      <w:b w:val="0"/>
                      <w:bCs/>
                      <w:color w:val="auto"/>
                      <w:sz w:val="21"/>
                      <w:szCs w:val="21"/>
                      <w:highlight w:val="none"/>
                    </w:rPr>
                    <w:t>环境影响途径及危害后果（大气、地表水、地下水等）</w:t>
                  </w:r>
                </w:p>
              </w:tc>
              <w:tc>
                <w:tcPr>
                  <w:tcW w:w="5399" w:type="dxa"/>
                  <w:gridSpan w:val="4"/>
                  <w:noWrap w:val="0"/>
                  <w:vAlign w:val="center"/>
                </w:tcPr>
                <w:p w14:paraId="2344A11B">
                  <w:pPr>
                    <w:spacing w:line="240" w:lineRule="auto"/>
                    <w:jc w:val="center"/>
                    <w:rPr>
                      <w:rFonts w:hint="eastAsia" w:ascii="宋体" w:hAnsi="宋体" w:eastAsia="宋体"/>
                      <w:color w:val="auto"/>
                      <w:sz w:val="21"/>
                      <w:szCs w:val="24"/>
                      <w:lang w:eastAsia="zh-CN"/>
                    </w:rPr>
                  </w:pPr>
                  <w:r>
                    <w:rPr>
                      <w:rFonts w:hint="eastAsia" w:ascii="宋体" w:hAnsi="宋体" w:eastAsia="宋体"/>
                      <w:color w:val="auto"/>
                      <w:sz w:val="21"/>
                      <w:szCs w:val="24"/>
                    </w:rPr>
                    <w:t>影响途径：泄漏、火灾事故等</w:t>
                  </w:r>
                  <w:r>
                    <w:rPr>
                      <w:rFonts w:hint="eastAsia" w:ascii="宋体" w:hAnsi="宋体" w:eastAsia="宋体"/>
                      <w:color w:val="auto"/>
                      <w:sz w:val="21"/>
                      <w:szCs w:val="24"/>
                      <w:lang w:eastAsia="zh-CN"/>
                    </w:rPr>
                    <w:t>。</w:t>
                  </w:r>
                </w:p>
                <w:p w14:paraId="163EB87C">
                  <w:pPr>
                    <w:spacing w:line="240" w:lineRule="auto"/>
                    <w:jc w:val="center"/>
                    <w:rPr>
                      <w:rFonts w:hint="eastAsia" w:ascii="宋体" w:hAnsi="宋体" w:eastAsia="宋体"/>
                      <w:color w:val="auto"/>
                      <w:sz w:val="21"/>
                      <w:szCs w:val="24"/>
                      <w:lang w:val="en-US" w:eastAsia="zh-CN"/>
                    </w:rPr>
                  </w:pPr>
                  <w:r>
                    <w:rPr>
                      <w:rFonts w:hint="eastAsia" w:ascii="宋体" w:hAnsi="宋体" w:eastAsia="宋体"/>
                      <w:color w:val="auto"/>
                      <w:sz w:val="21"/>
                      <w:szCs w:val="24"/>
                    </w:rPr>
                    <w:t>危害后果：对环境产生一定影响。</w:t>
                  </w:r>
                </w:p>
              </w:tc>
            </w:tr>
            <w:tr w14:paraId="4A098AC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095" w:hRule="atLeast"/>
                <w:jc w:val="center"/>
              </w:trPr>
              <w:tc>
                <w:tcPr>
                  <w:tcW w:w="2480" w:type="dxa"/>
                  <w:noWrap w:val="0"/>
                  <w:vAlign w:val="center"/>
                </w:tcPr>
                <w:p w14:paraId="17E25488">
                  <w:pPr>
                    <w:keepNext w:val="0"/>
                    <w:keepLines w:val="0"/>
                    <w:pageBreakBefore w:val="0"/>
                    <w:widowControl w:val="0"/>
                    <w:numPr>
                      <w:ilvl w:val="0"/>
                      <w:numId w:val="0"/>
                    </w:numPr>
                    <w:tabs>
                      <w:tab w:val="left" w:pos="374"/>
                    </w:tabs>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r>
                    <w:rPr>
                      <w:rFonts w:hint="default" w:ascii="Times New Roman" w:hAnsi="Times New Roman" w:eastAsia="宋体" w:cs="Times New Roman"/>
                      <w:b w:val="0"/>
                      <w:bCs w:val="0"/>
                      <w:color w:val="auto"/>
                      <w:sz w:val="21"/>
                      <w:szCs w:val="21"/>
                      <w:highlight w:val="none"/>
                      <w:vertAlign w:val="baseline"/>
                      <w:lang w:val="en-US" w:eastAsia="zh-CN"/>
                    </w:rPr>
                    <w:t>风险防范措施要求</w:t>
                  </w:r>
                </w:p>
              </w:tc>
              <w:tc>
                <w:tcPr>
                  <w:tcW w:w="5399" w:type="dxa"/>
                  <w:gridSpan w:val="4"/>
                  <w:noWrap w:val="0"/>
                  <w:vAlign w:val="center"/>
                </w:tcPr>
                <w:p w14:paraId="16B9902B">
                  <w:pPr>
                    <w:keepNext w:val="0"/>
                    <w:keepLines w:val="0"/>
                    <w:pageBreakBefore w:val="0"/>
                    <w:widowControl w:val="0"/>
                    <w:numPr>
                      <w:ilvl w:val="0"/>
                      <w:numId w:val="0"/>
                    </w:numPr>
                    <w:tabs>
                      <w:tab w:val="left" w:pos="374"/>
                    </w:tabs>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r>
                    <w:rPr>
                      <w:rFonts w:hint="default" w:ascii="Times New Roman" w:hAnsi="Times New Roman" w:eastAsia="宋体" w:cs="Times New Roman"/>
                      <w:b w:val="0"/>
                      <w:bCs w:val="0"/>
                      <w:color w:val="auto"/>
                      <w:sz w:val="21"/>
                      <w:szCs w:val="21"/>
                      <w:highlight w:val="none"/>
                      <w:vertAlign w:val="baseline"/>
                      <w:lang w:val="en-US" w:eastAsia="zh-CN"/>
                    </w:rPr>
                    <w:t>加强厂区安全管理，严禁明火；</w:t>
                  </w:r>
                  <w:r>
                    <w:rPr>
                      <w:rFonts w:hint="eastAsia" w:ascii="Times New Roman" w:hAnsi="Times New Roman" w:eastAsia="宋体" w:cs="Times New Roman"/>
                      <w:b w:val="0"/>
                      <w:bCs w:val="0"/>
                      <w:color w:val="auto"/>
                      <w:sz w:val="21"/>
                      <w:szCs w:val="21"/>
                      <w:highlight w:val="none"/>
                      <w:vertAlign w:val="baseline"/>
                      <w:lang w:val="en-US" w:eastAsia="zh-CN"/>
                    </w:rPr>
                    <w:t>定期检查电路、消防设施；危险废物和原辅料存放区域进行重点管理，加强员工培训；加强废气、废水治理措施的保养及检修工作等</w:t>
                  </w:r>
                  <w:r>
                    <w:rPr>
                      <w:rFonts w:hint="default" w:ascii="Times New Roman" w:hAnsi="Times New Roman" w:eastAsia="宋体" w:cs="Times New Roman"/>
                      <w:b w:val="0"/>
                      <w:bCs w:val="0"/>
                      <w:color w:val="auto"/>
                      <w:sz w:val="21"/>
                      <w:szCs w:val="21"/>
                      <w:highlight w:val="none"/>
                      <w:vertAlign w:val="baseline"/>
                      <w:lang w:val="en-US" w:eastAsia="zh-CN"/>
                    </w:rPr>
                    <w:t>。</w:t>
                  </w:r>
                </w:p>
              </w:tc>
            </w:tr>
            <w:tr w14:paraId="2EC014D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91" w:hRule="atLeast"/>
                <w:jc w:val="center"/>
              </w:trPr>
              <w:tc>
                <w:tcPr>
                  <w:tcW w:w="7879" w:type="dxa"/>
                  <w:gridSpan w:val="5"/>
                  <w:noWrap w:val="0"/>
                  <w:vAlign w:val="center"/>
                </w:tcPr>
                <w:p w14:paraId="5A30BD5B">
                  <w:pPr>
                    <w:jc w:val="both"/>
                    <w:rPr>
                      <w:rFonts w:hint="eastAsia" w:ascii="Times New Roman" w:hAnsi="Times New Roman" w:eastAsia="宋体" w:cs="Times New Roman"/>
                      <w:color w:val="auto"/>
                      <w:sz w:val="21"/>
                      <w:szCs w:val="21"/>
                      <w:highlight w:val="green"/>
                      <w:lang w:val="en-US" w:eastAsia="zh-CN"/>
                    </w:rPr>
                  </w:pPr>
                  <w:r>
                    <w:rPr>
                      <w:rFonts w:hint="eastAsia" w:ascii="Times New Roman" w:hAnsi="Times New Roman" w:eastAsia="宋体" w:cs="Times New Roman"/>
                      <w:color w:val="auto"/>
                      <w:sz w:val="21"/>
                      <w:szCs w:val="21"/>
                      <w:highlight w:val="none"/>
                      <w:lang w:val="en-US" w:eastAsia="zh-CN"/>
                    </w:rPr>
                    <w:t>填报说明：项目环境风险潜势为</w:t>
                  </w:r>
                  <w:r>
                    <w:rPr>
                      <w:rFonts w:hint="default" w:ascii="Times New Roman" w:hAnsi="Times New Roman" w:eastAsia="宋体" w:cs="Times New Roman"/>
                      <w:color w:val="auto"/>
                      <w:sz w:val="21"/>
                      <w:szCs w:val="21"/>
                      <w:highlight w:val="none"/>
                      <w:lang w:val="en-US" w:eastAsia="zh-CN"/>
                    </w:rPr>
                    <w:t>Ⅰ</w:t>
                  </w:r>
                  <w:r>
                    <w:rPr>
                      <w:rFonts w:hint="eastAsia" w:ascii="Times New Roman" w:hAnsi="Times New Roman" w:eastAsia="宋体" w:cs="Times New Roman"/>
                      <w:color w:val="auto"/>
                      <w:sz w:val="21"/>
                      <w:szCs w:val="21"/>
                      <w:highlight w:val="none"/>
                      <w:lang w:val="en-US" w:eastAsia="zh-CN"/>
                    </w:rPr>
                    <w:t>级，风险程度较小，且建设单位在采取并严格落实相应风险防范措施的前提下，项目风险事故发生的概率较小，风险水平控制在可接受程度内。</w:t>
                  </w:r>
                </w:p>
              </w:tc>
            </w:tr>
          </w:tbl>
          <w:p w14:paraId="5DB3CEEC">
            <w:pPr>
              <w:spacing w:line="360" w:lineRule="auto"/>
              <w:ind w:firstLine="482" w:firstLineChars="200"/>
              <w:jc w:val="left"/>
              <w:rPr>
                <w:rFonts w:hint="default" w:ascii="Times New Roman" w:hAnsi="Times New Roman" w:eastAsia="宋体" w:cs="Times New Roman"/>
                <w:b/>
                <w:bCs/>
                <w:color w:val="auto"/>
                <w:sz w:val="24"/>
                <w:lang w:val="en-US" w:eastAsia="zh-CN"/>
              </w:rPr>
            </w:pPr>
            <w:r>
              <w:rPr>
                <w:rFonts w:hint="default" w:ascii="Times New Roman" w:hAnsi="Times New Roman" w:eastAsia="宋体" w:cs="Times New Roman"/>
                <w:b/>
                <w:bCs/>
                <w:color w:val="auto"/>
                <w:sz w:val="24"/>
                <w:lang w:val="en-US" w:eastAsia="zh-CN"/>
              </w:rPr>
              <w:t>8、</w:t>
            </w:r>
            <w:r>
              <w:rPr>
                <w:rFonts w:hint="eastAsia" w:ascii="Times New Roman" w:hAnsi="Times New Roman" w:eastAsia="宋体" w:cs="Times New Roman"/>
                <w:b/>
                <w:bCs/>
                <w:color w:val="auto"/>
                <w:sz w:val="24"/>
                <w:lang w:val="en-US" w:eastAsia="zh-CN"/>
              </w:rPr>
              <w:t>环保措施及投资</w:t>
            </w:r>
          </w:p>
          <w:p w14:paraId="693FB7B2">
            <w:pPr>
              <w:spacing w:line="360" w:lineRule="auto"/>
              <w:ind w:firstLine="480" w:firstLineChars="200"/>
              <w:rPr>
                <w:rFonts w:hint="default" w:ascii="Times New Roman" w:hAnsi="Times New Roman" w:cs="Times New Roman"/>
                <w:color w:val="auto"/>
                <w:sz w:val="24"/>
              </w:rPr>
            </w:pPr>
            <w:r>
              <w:rPr>
                <w:rFonts w:ascii="Times New Roman" w:hAnsi="Times New Roman"/>
                <w:color w:val="auto"/>
                <w:sz w:val="24"/>
                <w:highlight w:val="none"/>
                <w:shd w:val="clear"/>
              </w:rPr>
              <w:t>本项目总投资</w:t>
            </w:r>
            <w:r>
              <w:rPr>
                <w:rFonts w:hint="eastAsia"/>
                <w:color w:val="auto"/>
                <w:sz w:val="24"/>
                <w:highlight w:val="none"/>
                <w:shd w:val="clear"/>
                <w:lang w:val="en-US" w:eastAsia="zh-CN"/>
              </w:rPr>
              <w:t>30000</w:t>
            </w:r>
            <w:r>
              <w:rPr>
                <w:rFonts w:ascii="Times New Roman" w:hAnsi="Times New Roman"/>
                <w:color w:val="auto"/>
                <w:sz w:val="24"/>
                <w:highlight w:val="none"/>
                <w:shd w:val="clear"/>
              </w:rPr>
              <w:t>万元，环保投资估算约</w:t>
            </w:r>
            <w:r>
              <w:rPr>
                <w:rFonts w:hint="eastAsia"/>
                <w:color w:val="auto"/>
                <w:sz w:val="24"/>
                <w:highlight w:val="none"/>
                <w:shd w:val="clear"/>
                <w:lang w:val="en-US" w:eastAsia="zh-CN"/>
              </w:rPr>
              <w:t>600</w:t>
            </w:r>
            <w:r>
              <w:rPr>
                <w:rFonts w:ascii="Times New Roman" w:hAnsi="Times New Roman"/>
                <w:color w:val="auto"/>
                <w:sz w:val="24"/>
                <w:highlight w:val="none"/>
                <w:shd w:val="clear"/>
              </w:rPr>
              <w:t>万元，约占总投资的</w:t>
            </w:r>
            <w:r>
              <w:rPr>
                <w:rFonts w:hint="eastAsia"/>
                <w:color w:val="auto"/>
                <w:sz w:val="24"/>
                <w:highlight w:val="none"/>
                <w:shd w:val="clear"/>
                <w:lang w:val="en-US" w:eastAsia="zh-CN"/>
              </w:rPr>
              <w:t>2</w:t>
            </w:r>
            <w:r>
              <w:rPr>
                <w:rFonts w:ascii="Times New Roman" w:hAnsi="Times New Roman"/>
                <w:color w:val="auto"/>
                <w:sz w:val="24"/>
                <w:highlight w:val="none"/>
                <w:shd w:val="clear"/>
              </w:rPr>
              <w:t>%。</w:t>
            </w:r>
            <w:r>
              <w:rPr>
                <w:rFonts w:ascii="Times New Roman" w:hAnsi="Times New Roman"/>
                <w:color w:val="auto"/>
                <w:sz w:val="24"/>
                <w:highlight w:val="none"/>
              </w:rPr>
              <w:t>本项目环保措施情况见</w:t>
            </w:r>
            <w:r>
              <w:rPr>
                <w:rFonts w:hint="eastAsia" w:ascii="Times New Roman" w:hAnsi="Times New Roman"/>
                <w:color w:val="auto"/>
                <w:sz w:val="24"/>
                <w:highlight w:val="none"/>
              </w:rPr>
              <w:t>下表</w:t>
            </w:r>
            <w:r>
              <w:rPr>
                <w:rFonts w:hint="default" w:ascii="Times New Roman" w:hAnsi="Times New Roman" w:cs="Times New Roman"/>
                <w:color w:val="auto"/>
                <w:sz w:val="24"/>
              </w:rPr>
              <w:t>。</w:t>
            </w:r>
          </w:p>
          <w:p w14:paraId="474F84E7">
            <w:pPr>
              <w:pStyle w:val="12"/>
              <w:bidi w:val="0"/>
              <w:rPr>
                <w:rFonts w:hint="default" w:ascii="Times New Roman" w:hAnsi="Times New Roman" w:cs="Times New Roman"/>
                <w:color w:val="auto"/>
              </w:rPr>
            </w:pPr>
            <w:r>
              <w:rPr>
                <w:rFonts w:hint="default" w:ascii="Times New Roman" w:hAnsi="Times New Roman" w:eastAsia="宋体" w:cs="Times New Roman"/>
                <w:b/>
                <w:bCs/>
                <w:color w:val="auto"/>
              </w:rPr>
              <w:t>表4-</w:t>
            </w:r>
            <w:r>
              <w:rPr>
                <w:rFonts w:hint="eastAsia" w:eastAsia="宋体" w:cs="Times New Roman"/>
                <w:b/>
                <w:bCs/>
                <w:color w:val="auto"/>
                <w:lang w:val="en-US" w:eastAsia="zh-CN"/>
              </w:rPr>
              <w:t>28</w:t>
            </w:r>
            <w:r>
              <w:rPr>
                <w:rFonts w:hint="default" w:ascii="Times New Roman" w:hAnsi="Times New Roman" w:eastAsia="宋体" w:cs="Times New Roman"/>
                <w:b/>
                <w:bCs/>
                <w:color w:val="auto"/>
                <w:lang w:val="en-US" w:eastAsia="zh-CN"/>
              </w:rPr>
              <w:t xml:space="preserve"> </w:t>
            </w:r>
            <w:r>
              <w:rPr>
                <w:rFonts w:hint="eastAsia" w:ascii="Times New Roman" w:hAnsi="Times New Roman" w:eastAsia="宋体" w:cs="Times New Roman"/>
                <w:b/>
                <w:bCs/>
                <w:color w:val="auto"/>
                <w:lang w:val="en-US" w:eastAsia="zh-CN"/>
              </w:rPr>
              <w:t>本项目环保措施及投资</w:t>
            </w:r>
            <w:r>
              <w:rPr>
                <w:rFonts w:hint="default" w:ascii="Times New Roman" w:hAnsi="Times New Roman" w:eastAsia="宋体" w:cs="Times New Roman"/>
                <w:b/>
                <w:bCs/>
                <w:color w:val="auto"/>
              </w:rPr>
              <w:t>一览表</w:t>
            </w:r>
          </w:p>
          <w:tbl>
            <w:tblPr>
              <w:tblStyle w:val="41"/>
              <w:tblW w:w="7887"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674"/>
              <w:gridCol w:w="900"/>
              <w:gridCol w:w="1750"/>
              <w:gridCol w:w="2717"/>
              <w:gridCol w:w="1087"/>
              <w:gridCol w:w="759"/>
            </w:tblGrid>
            <w:tr w14:paraId="2291064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38" w:hRule="atLeast"/>
                <w:jc w:val="center"/>
              </w:trPr>
              <w:tc>
                <w:tcPr>
                  <w:tcW w:w="1574" w:type="dxa"/>
                  <w:gridSpan w:val="2"/>
                  <w:shd w:val="clear" w:color="auto" w:fill="auto"/>
                  <w:noWrap w:val="0"/>
                  <w:vAlign w:val="center"/>
                </w:tcPr>
                <w:p w14:paraId="7A93B2E6">
                  <w:pPr>
                    <w:adjustRightInd w:val="0"/>
                    <w:snapToGrid w:val="0"/>
                    <w:spacing w:line="280" w:lineRule="exact"/>
                    <w:jc w:val="center"/>
                    <w:rPr>
                      <w:rFonts w:ascii="Times New Roman" w:hAnsi="Times New Roman"/>
                      <w:b/>
                      <w:bCs/>
                      <w:color w:val="auto"/>
                      <w:kern w:val="0"/>
                      <w:szCs w:val="21"/>
                      <w:highlight w:val="none"/>
                    </w:rPr>
                  </w:pPr>
                  <w:r>
                    <w:rPr>
                      <w:rFonts w:hint="eastAsia" w:ascii="Times New Roman" w:hAnsi="Times New Roman"/>
                      <w:b/>
                      <w:bCs/>
                      <w:color w:val="auto"/>
                      <w:kern w:val="0"/>
                      <w:szCs w:val="21"/>
                      <w:highlight w:val="none"/>
                    </w:rPr>
                    <w:t>项目</w:t>
                  </w:r>
                </w:p>
              </w:tc>
              <w:tc>
                <w:tcPr>
                  <w:tcW w:w="1750" w:type="dxa"/>
                  <w:shd w:val="clear" w:color="auto" w:fill="auto"/>
                  <w:noWrap w:val="0"/>
                  <w:vAlign w:val="center"/>
                </w:tcPr>
                <w:p w14:paraId="6604C401">
                  <w:pPr>
                    <w:adjustRightInd w:val="0"/>
                    <w:snapToGrid w:val="0"/>
                    <w:spacing w:line="280" w:lineRule="exact"/>
                    <w:jc w:val="center"/>
                    <w:rPr>
                      <w:rFonts w:ascii="Times New Roman" w:hAnsi="Times New Roman"/>
                      <w:b/>
                      <w:bCs/>
                      <w:color w:val="auto"/>
                      <w:kern w:val="0"/>
                      <w:szCs w:val="21"/>
                      <w:highlight w:val="none"/>
                    </w:rPr>
                  </w:pPr>
                  <w:r>
                    <w:rPr>
                      <w:rFonts w:hint="eastAsia" w:ascii="Times New Roman" w:hAnsi="Times New Roman"/>
                      <w:b/>
                      <w:bCs/>
                      <w:color w:val="auto"/>
                      <w:kern w:val="0"/>
                      <w:szCs w:val="21"/>
                      <w:highlight w:val="none"/>
                    </w:rPr>
                    <w:t>治理内容</w:t>
                  </w:r>
                </w:p>
              </w:tc>
              <w:tc>
                <w:tcPr>
                  <w:tcW w:w="2717" w:type="dxa"/>
                  <w:shd w:val="clear" w:color="auto" w:fill="auto"/>
                  <w:noWrap w:val="0"/>
                  <w:vAlign w:val="center"/>
                </w:tcPr>
                <w:p w14:paraId="0AE7029D">
                  <w:pPr>
                    <w:adjustRightInd w:val="0"/>
                    <w:snapToGrid w:val="0"/>
                    <w:spacing w:line="280" w:lineRule="exact"/>
                    <w:jc w:val="center"/>
                    <w:rPr>
                      <w:rFonts w:ascii="Times New Roman" w:hAnsi="Times New Roman"/>
                      <w:b/>
                      <w:bCs/>
                      <w:color w:val="auto"/>
                      <w:kern w:val="0"/>
                      <w:szCs w:val="21"/>
                      <w:highlight w:val="none"/>
                    </w:rPr>
                  </w:pPr>
                  <w:r>
                    <w:rPr>
                      <w:rFonts w:hint="eastAsia" w:ascii="Times New Roman" w:hAnsi="Times New Roman"/>
                      <w:b/>
                      <w:bCs/>
                      <w:color w:val="auto"/>
                      <w:kern w:val="0"/>
                      <w:szCs w:val="21"/>
                      <w:highlight w:val="none"/>
                    </w:rPr>
                    <w:t>内容</w:t>
                  </w:r>
                </w:p>
              </w:tc>
              <w:tc>
                <w:tcPr>
                  <w:tcW w:w="1087" w:type="dxa"/>
                  <w:shd w:val="clear" w:color="auto" w:fill="auto"/>
                  <w:noWrap w:val="0"/>
                  <w:vAlign w:val="center"/>
                </w:tcPr>
                <w:p w14:paraId="41E26469">
                  <w:pPr>
                    <w:adjustRightInd w:val="0"/>
                    <w:snapToGrid w:val="0"/>
                    <w:spacing w:line="280" w:lineRule="exact"/>
                    <w:jc w:val="center"/>
                    <w:rPr>
                      <w:rFonts w:ascii="Times New Roman" w:hAnsi="Times New Roman"/>
                      <w:b/>
                      <w:bCs/>
                      <w:color w:val="auto"/>
                      <w:kern w:val="0"/>
                      <w:szCs w:val="21"/>
                      <w:highlight w:val="none"/>
                    </w:rPr>
                  </w:pPr>
                  <w:r>
                    <w:rPr>
                      <w:rFonts w:hint="eastAsia" w:ascii="Times New Roman" w:hAnsi="Times New Roman"/>
                      <w:b/>
                      <w:bCs/>
                      <w:color w:val="auto"/>
                      <w:kern w:val="0"/>
                      <w:szCs w:val="21"/>
                      <w:highlight w:val="none"/>
                    </w:rPr>
                    <w:t>投资（万元）</w:t>
                  </w:r>
                </w:p>
              </w:tc>
              <w:tc>
                <w:tcPr>
                  <w:tcW w:w="759" w:type="dxa"/>
                  <w:shd w:val="clear" w:color="auto" w:fill="auto"/>
                  <w:noWrap w:val="0"/>
                  <w:vAlign w:val="center"/>
                </w:tcPr>
                <w:p w14:paraId="63C189BC">
                  <w:pPr>
                    <w:adjustRightInd w:val="0"/>
                    <w:snapToGrid w:val="0"/>
                    <w:spacing w:line="280" w:lineRule="exact"/>
                    <w:jc w:val="center"/>
                    <w:rPr>
                      <w:rFonts w:ascii="Times New Roman" w:hAnsi="Times New Roman"/>
                      <w:b/>
                      <w:bCs/>
                      <w:color w:val="auto"/>
                      <w:kern w:val="0"/>
                      <w:szCs w:val="21"/>
                      <w:highlight w:val="none"/>
                    </w:rPr>
                  </w:pPr>
                  <w:r>
                    <w:rPr>
                      <w:rFonts w:hint="eastAsia" w:ascii="Times New Roman" w:hAnsi="Times New Roman"/>
                      <w:b/>
                      <w:bCs/>
                      <w:color w:val="auto"/>
                      <w:kern w:val="0"/>
                      <w:szCs w:val="21"/>
                      <w:highlight w:val="none"/>
                    </w:rPr>
                    <w:t>备注</w:t>
                  </w:r>
                </w:p>
              </w:tc>
            </w:tr>
            <w:tr w14:paraId="4BADE0C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56" w:hRule="atLeast"/>
                <w:jc w:val="center"/>
              </w:trPr>
              <w:tc>
                <w:tcPr>
                  <w:tcW w:w="674" w:type="dxa"/>
                  <w:vMerge w:val="restart"/>
                  <w:shd w:val="clear" w:color="auto" w:fill="auto"/>
                  <w:noWrap w:val="0"/>
                  <w:vAlign w:val="center"/>
                </w:tcPr>
                <w:p w14:paraId="67FB0FBA">
                  <w:pPr>
                    <w:adjustRightInd w:val="0"/>
                    <w:snapToGrid w:val="0"/>
                    <w:spacing w:line="280" w:lineRule="exact"/>
                    <w:jc w:val="center"/>
                    <w:rPr>
                      <w:rFonts w:hint="eastAsia" w:ascii="Times New Roman" w:hAnsi="Times New Roman" w:eastAsia="宋体"/>
                      <w:color w:val="auto"/>
                      <w:kern w:val="0"/>
                      <w:szCs w:val="21"/>
                      <w:highlight w:val="none"/>
                      <w:lang w:val="en-US" w:eastAsia="zh-CN"/>
                    </w:rPr>
                  </w:pPr>
                  <w:r>
                    <w:rPr>
                      <w:rFonts w:hint="eastAsia" w:ascii="Times New Roman" w:hAnsi="Times New Roman"/>
                      <w:color w:val="auto"/>
                      <w:kern w:val="0"/>
                      <w:szCs w:val="21"/>
                      <w:highlight w:val="none"/>
                      <w:lang w:val="en-US" w:eastAsia="zh-CN"/>
                    </w:rPr>
                    <w:t>营运期</w:t>
                  </w:r>
                </w:p>
              </w:tc>
              <w:tc>
                <w:tcPr>
                  <w:tcW w:w="900" w:type="dxa"/>
                  <w:vMerge w:val="restart"/>
                  <w:shd w:val="clear" w:color="auto" w:fill="auto"/>
                  <w:noWrap w:val="0"/>
                  <w:vAlign w:val="center"/>
                </w:tcPr>
                <w:p w14:paraId="319C6708">
                  <w:pPr>
                    <w:adjustRightInd w:val="0"/>
                    <w:snapToGrid w:val="0"/>
                    <w:spacing w:line="280" w:lineRule="exact"/>
                    <w:jc w:val="center"/>
                    <w:rPr>
                      <w:rFonts w:ascii="Times New Roman" w:hAnsi="Times New Roman"/>
                      <w:color w:val="auto"/>
                      <w:kern w:val="0"/>
                      <w:szCs w:val="21"/>
                      <w:highlight w:val="none"/>
                    </w:rPr>
                  </w:pPr>
                  <w:r>
                    <w:rPr>
                      <w:rFonts w:hint="eastAsia" w:ascii="Times New Roman" w:hAnsi="Times New Roman"/>
                      <w:color w:val="auto"/>
                      <w:kern w:val="0"/>
                      <w:szCs w:val="21"/>
                      <w:highlight w:val="none"/>
                    </w:rPr>
                    <w:t>废气</w:t>
                  </w:r>
                </w:p>
              </w:tc>
              <w:tc>
                <w:tcPr>
                  <w:tcW w:w="1750" w:type="dxa"/>
                  <w:shd w:val="clear" w:color="auto" w:fill="auto"/>
                  <w:noWrap w:val="0"/>
                  <w:vAlign w:val="center"/>
                </w:tcPr>
                <w:p w14:paraId="4EB04107">
                  <w:pPr>
                    <w:adjustRightInd w:val="0"/>
                    <w:snapToGrid w:val="0"/>
                    <w:spacing w:line="280" w:lineRule="exact"/>
                    <w:jc w:val="center"/>
                    <w:rPr>
                      <w:rFonts w:hint="default" w:ascii="Times New Roman" w:hAnsi="Times New Roman" w:eastAsia="宋体"/>
                      <w:color w:val="auto"/>
                      <w:kern w:val="0"/>
                      <w:szCs w:val="21"/>
                      <w:highlight w:val="none"/>
                      <w:lang w:val="en-US" w:eastAsia="zh-CN"/>
                    </w:rPr>
                  </w:pPr>
                  <w:r>
                    <w:rPr>
                      <w:rFonts w:hint="eastAsia"/>
                      <w:color w:val="auto"/>
                      <w:kern w:val="0"/>
                      <w:szCs w:val="21"/>
                      <w:highlight w:val="none"/>
                      <w:lang w:val="en-US" w:eastAsia="zh-CN"/>
                    </w:rPr>
                    <w:t>投料粉尘</w:t>
                  </w:r>
                </w:p>
              </w:tc>
              <w:tc>
                <w:tcPr>
                  <w:tcW w:w="2717" w:type="dxa"/>
                  <w:shd w:val="clear" w:color="auto" w:fill="auto"/>
                  <w:noWrap w:val="0"/>
                  <w:vAlign w:val="center"/>
                </w:tcPr>
                <w:p w14:paraId="320F5F84">
                  <w:pPr>
                    <w:adjustRightInd w:val="0"/>
                    <w:snapToGrid w:val="0"/>
                    <w:spacing w:line="280" w:lineRule="exact"/>
                    <w:jc w:val="center"/>
                    <w:rPr>
                      <w:rFonts w:hint="default" w:ascii="Times New Roman" w:hAnsi="Times New Roman"/>
                      <w:color w:val="auto"/>
                      <w:kern w:val="0"/>
                      <w:szCs w:val="21"/>
                      <w:highlight w:val="none"/>
                      <w:lang w:val="en-US" w:eastAsia="zh-CN"/>
                    </w:rPr>
                  </w:pPr>
                  <w:r>
                    <w:rPr>
                      <w:rFonts w:hint="eastAsia"/>
                      <w:color w:val="auto"/>
                      <w:kern w:val="0"/>
                      <w:szCs w:val="21"/>
                      <w:highlight w:val="none"/>
                      <w:lang w:val="en-US" w:eastAsia="zh-CN"/>
                    </w:rPr>
                    <w:t>投料时，投料间密闭，</w:t>
                  </w:r>
                  <w:r>
                    <w:rPr>
                      <w:rFonts w:hint="default" w:ascii="Times New Roman" w:hAnsi="Times New Roman" w:cs="Times New Roman"/>
                      <w:color w:val="auto"/>
                      <w:lang w:val="en-US" w:eastAsia="zh-CN"/>
                    </w:rPr>
                    <w:t>投料产生的颗粒物通过真空上料系统自带滤芯除尘器</w:t>
                  </w:r>
                  <w:r>
                    <w:rPr>
                      <w:rFonts w:hint="eastAsia" w:cs="Times New Roman"/>
                      <w:color w:val="auto"/>
                      <w:lang w:val="en-US" w:eastAsia="zh-CN"/>
                    </w:rPr>
                    <w:t>（TA001）</w:t>
                  </w:r>
                  <w:r>
                    <w:rPr>
                      <w:rFonts w:hint="default" w:ascii="Times New Roman" w:hAnsi="Times New Roman" w:cs="Times New Roman"/>
                      <w:color w:val="auto"/>
                      <w:lang w:val="en-US" w:eastAsia="zh-CN"/>
                    </w:rPr>
                    <w:t>收集</w:t>
                  </w:r>
                  <w:r>
                    <w:rPr>
                      <w:rFonts w:hint="eastAsia" w:cs="Times New Roman"/>
                      <w:color w:val="auto"/>
                      <w:lang w:val="en-US" w:eastAsia="zh-CN"/>
                    </w:rPr>
                    <w:t>，未收集的粉尘在车间内无组织排放</w:t>
                  </w:r>
                </w:p>
              </w:tc>
              <w:tc>
                <w:tcPr>
                  <w:tcW w:w="1087" w:type="dxa"/>
                  <w:shd w:val="clear" w:color="auto" w:fill="auto"/>
                  <w:noWrap w:val="0"/>
                  <w:vAlign w:val="center"/>
                </w:tcPr>
                <w:p w14:paraId="406603B2">
                  <w:pPr>
                    <w:adjustRightInd w:val="0"/>
                    <w:snapToGrid w:val="0"/>
                    <w:spacing w:line="280" w:lineRule="exact"/>
                    <w:jc w:val="center"/>
                    <w:rPr>
                      <w:rFonts w:hint="default" w:ascii="Times New Roman" w:hAnsi="Times New Roman" w:eastAsia="宋体"/>
                      <w:color w:val="auto"/>
                      <w:kern w:val="0"/>
                      <w:szCs w:val="21"/>
                      <w:highlight w:val="none"/>
                      <w:lang w:val="en-US" w:eastAsia="zh-CN"/>
                    </w:rPr>
                  </w:pPr>
                  <w:r>
                    <w:rPr>
                      <w:rFonts w:hint="eastAsia"/>
                      <w:color w:val="auto"/>
                      <w:kern w:val="0"/>
                      <w:szCs w:val="21"/>
                      <w:highlight w:val="none"/>
                      <w:lang w:val="en-US" w:eastAsia="zh-CN"/>
                    </w:rPr>
                    <w:t>/</w:t>
                  </w:r>
                </w:p>
              </w:tc>
              <w:tc>
                <w:tcPr>
                  <w:tcW w:w="759" w:type="dxa"/>
                  <w:shd w:val="clear" w:color="auto" w:fill="auto"/>
                  <w:noWrap w:val="0"/>
                  <w:vAlign w:val="center"/>
                </w:tcPr>
                <w:p w14:paraId="0C54B077">
                  <w:pPr>
                    <w:adjustRightInd w:val="0"/>
                    <w:snapToGrid w:val="0"/>
                    <w:spacing w:line="280" w:lineRule="exact"/>
                    <w:jc w:val="center"/>
                    <w:rPr>
                      <w:rFonts w:ascii="Times New Roman" w:hAnsi="Times New Roman"/>
                      <w:color w:val="auto"/>
                      <w:kern w:val="0"/>
                      <w:szCs w:val="21"/>
                      <w:highlight w:val="none"/>
                    </w:rPr>
                  </w:pPr>
                  <w:r>
                    <w:rPr>
                      <w:rFonts w:hint="eastAsia" w:ascii="Times New Roman" w:hAnsi="Times New Roman"/>
                      <w:color w:val="auto"/>
                      <w:kern w:val="0"/>
                      <w:szCs w:val="21"/>
                      <w:highlight w:val="none"/>
                    </w:rPr>
                    <w:t>新建</w:t>
                  </w:r>
                </w:p>
              </w:tc>
            </w:tr>
            <w:tr w14:paraId="63D8103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77" w:hRule="atLeast"/>
                <w:jc w:val="center"/>
              </w:trPr>
              <w:tc>
                <w:tcPr>
                  <w:tcW w:w="674" w:type="dxa"/>
                  <w:vMerge w:val="continue"/>
                  <w:shd w:val="clear" w:color="auto" w:fill="auto"/>
                  <w:noWrap w:val="0"/>
                  <w:vAlign w:val="center"/>
                </w:tcPr>
                <w:p w14:paraId="15BEC9E4">
                  <w:pPr>
                    <w:adjustRightInd w:val="0"/>
                    <w:snapToGrid w:val="0"/>
                    <w:spacing w:line="280" w:lineRule="exact"/>
                    <w:jc w:val="center"/>
                    <w:rPr>
                      <w:rFonts w:hint="eastAsia" w:ascii="Times New Roman" w:hAnsi="Times New Roman"/>
                      <w:color w:val="auto"/>
                      <w:kern w:val="0"/>
                      <w:szCs w:val="21"/>
                      <w:highlight w:val="none"/>
                    </w:rPr>
                  </w:pPr>
                </w:p>
              </w:tc>
              <w:tc>
                <w:tcPr>
                  <w:tcW w:w="900" w:type="dxa"/>
                  <w:vMerge w:val="continue"/>
                  <w:shd w:val="clear" w:color="auto" w:fill="auto"/>
                  <w:noWrap w:val="0"/>
                  <w:vAlign w:val="center"/>
                </w:tcPr>
                <w:p w14:paraId="31A674AA">
                  <w:pPr>
                    <w:adjustRightInd w:val="0"/>
                    <w:snapToGrid w:val="0"/>
                    <w:spacing w:line="280" w:lineRule="exact"/>
                    <w:jc w:val="center"/>
                    <w:rPr>
                      <w:rFonts w:hint="eastAsia" w:ascii="Times New Roman" w:hAnsi="Times New Roman"/>
                      <w:color w:val="auto"/>
                      <w:kern w:val="0"/>
                      <w:szCs w:val="21"/>
                      <w:highlight w:val="none"/>
                    </w:rPr>
                  </w:pPr>
                </w:p>
              </w:tc>
              <w:tc>
                <w:tcPr>
                  <w:tcW w:w="1750" w:type="dxa"/>
                  <w:shd w:val="clear" w:color="auto" w:fill="auto"/>
                  <w:noWrap w:val="0"/>
                  <w:vAlign w:val="center"/>
                </w:tcPr>
                <w:p w14:paraId="0D64019B">
                  <w:pPr>
                    <w:adjustRightInd w:val="0"/>
                    <w:snapToGrid w:val="0"/>
                    <w:spacing w:line="280" w:lineRule="exact"/>
                    <w:jc w:val="center"/>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涂布</w:t>
                  </w:r>
                  <w:r>
                    <w:rPr>
                      <w:rFonts w:hint="eastAsia" w:cs="Times New Roman"/>
                      <w:color w:val="auto"/>
                      <w:lang w:val="en-US" w:eastAsia="zh-CN"/>
                    </w:rPr>
                    <w:t>烘干</w:t>
                  </w:r>
                  <w:r>
                    <w:rPr>
                      <w:rFonts w:hint="eastAsia" w:ascii="Times New Roman" w:hAnsi="Times New Roman" w:eastAsia="宋体" w:cs="Times New Roman"/>
                      <w:color w:val="auto"/>
                      <w:lang w:val="en-US" w:eastAsia="zh-CN"/>
                    </w:rPr>
                    <w:t>废气</w:t>
                  </w:r>
                </w:p>
              </w:tc>
              <w:tc>
                <w:tcPr>
                  <w:tcW w:w="2717" w:type="dxa"/>
                  <w:shd w:val="clear" w:color="auto" w:fill="auto"/>
                  <w:noWrap w:val="0"/>
                  <w:vAlign w:val="center"/>
                </w:tcPr>
                <w:p w14:paraId="4B086E23">
                  <w:pPr>
                    <w:adjustRightInd w:val="0"/>
                    <w:snapToGrid w:val="0"/>
                    <w:spacing w:line="280" w:lineRule="exact"/>
                    <w:jc w:val="center"/>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lang w:val="en-US" w:eastAsia="zh-CN"/>
                    </w:rPr>
                    <w:t>NMP回收处理系统（TA00</w:t>
                  </w:r>
                  <w:r>
                    <w:rPr>
                      <w:rFonts w:hint="eastAsia" w:cs="Times New Roman"/>
                      <w:color w:val="auto"/>
                      <w:lang w:val="en-US" w:eastAsia="zh-CN"/>
                    </w:rPr>
                    <w:t>2</w:t>
                  </w:r>
                  <w:r>
                    <w:rPr>
                      <w:rFonts w:hint="default" w:ascii="Times New Roman" w:hAnsi="Times New Roman" w:eastAsia="宋体" w:cs="Times New Roman"/>
                      <w:color w:val="auto"/>
                      <w:lang w:val="en-US" w:eastAsia="zh-CN"/>
                    </w:rPr>
                    <w:t>）</w:t>
                  </w:r>
                  <w:r>
                    <w:rPr>
                      <w:rFonts w:hint="eastAsia" w:ascii="Times New Roman" w:hAnsi="Times New Roman" w:eastAsia="宋体" w:cs="Times New Roman"/>
                      <w:color w:val="auto"/>
                      <w:lang w:val="en-US" w:eastAsia="zh-CN"/>
                    </w:rPr>
                    <w:t>+30m排气筒（DA00</w:t>
                  </w:r>
                  <w:r>
                    <w:rPr>
                      <w:rFonts w:hint="eastAsia" w:cs="Times New Roman"/>
                      <w:color w:val="auto"/>
                      <w:lang w:val="en-US" w:eastAsia="zh-CN"/>
                    </w:rPr>
                    <w:t>1</w:t>
                  </w:r>
                  <w:r>
                    <w:rPr>
                      <w:rFonts w:hint="eastAsia" w:ascii="Times New Roman" w:hAnsi="Times New Roman" w:eastAsia="宋体" w:cs="Times New Roman"/>
                      <w:color w:val="auto"/>
                      <w:lang w:val="en-US" w:eastAsia="zh-CN"/>
                    </w:rPr>
                    <w:t>）</w:t>
                  </w:r>
                </w:p>
              </w:tc>
              <w:tc>
                <w:tcPr>
                  <w:tcW w:w="1087" w:type="dxa"/>
                  <w:shd w:val="clear" w:color="auto" w:fill="auto"/>
                  <w:noWrap w:val="0"/>
                  <w:vAlign w:val="center"/>
                </w:tcPr>
                <w:p w14:paraId="3EB5EB18">
                  <w:pPr>
                    <w:adjustRightInd w:val="0"/>
                    <w:snapToGrid w:val="0"/>
                    <w:spacing w:line="280" w:lineRule="exact"/>
                    <w:jc w:val="center"/>
                    <w:rPr>
                      <w:rFonts w:hint="default" w:ascii="Times New Roman" w:hAnsi="Times New Roman" w:eastAsia="宋体" w:cs="Times New Roman"/>
                      <w:color w:val="auto"/>
                      <w:lang w:val="en-US" w:eastAsia="zh-CN"/>
                    </w:rPr>
                  </w:pPr>
                  <w:r>
                    <w:rPr>
                      <w:rFonts w:hint="eastAsia" w:cs="Times New Roman"/>
                      <w:color w:val="auto"/>
                      <w:lang w:val="en-US" w:eastAsia="zh-CN"/>
                    </w:rPr>
                    <w:t>200.0</w:t>
                  </w:r>
                </w:p>
              </w:tc>
              <w:tc>
                <w:tcPr>
                  <w:tcW w:w="759" w:type="dxa"/>
                  <w:shd w:val="clear" w:color="auto" w:fill="auto"/>
                  <w:noWrap w:val="0"/>
                  <w:vAlign w:val="center"/>
                </w:tcPr>
                <w:p w14:paraId="2061BEC2">
                  <w:pPr>
                    <w:adjustRightInd w:val="0"/>
                    <w:snapToGrid w:val="0"/>
                    <w:spacing w:line="280" w:lineRule="exact"/>
                    <w:jc w:val="cente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新建</w:t>
                  </w:r>
                </w:p>
              </w:tc>
            </w:tr>
            <w:tr w14:paraId="2EEFCD8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77" w:hRule="atLeast"/>
                <w:jc w:val="center"/>
              </w:trPr>
              <w:tc>
                <w:tcPr>
                  <w:tcW w:w="674" w:type="dxa"/>
                  <w:vMerge w:val="continue"/>
                  <w:shd w:val="clear" w:color="auto" w:fill="auto"/>
                  <w:noWrap w:val="0"/>
                  <w:vAlign w:val="center"/>
                </w:tcPr>
                <w:p w14:paraId="368B7414">
                  <w:pPr>
                    <w:adjustRightInd w:val="0"/>
                    <w:snapToGrid w:val="0"/>
                    <w:spacing w:line="280" w:lineRule="exact"/>
                    <w:jc w:val="center"/>
                    <w:rPr>
                      <w:rFonts w:hint="eastAsia" w:ascii="Times New Roman" w:hAnsi="Times New Roman"/>
                      <w:color w:val="auto"/>
                      <w:kern w:val="0"/>
                      <w:szCs w:val="21"/>
                      <w:highlight w:val="none"/>
                    </w:rPr>
                  </w:pPr>
                </w:p>
              </w:tc>
              <w:tc>
                <w:tcPr>
                  <w:tcW w:w="900" w:type="dxa"/>
                  <w:vMerge w:val="continue"/>
                  <w:shd w:val="clear" w:color="auto" w:fill="auto"/>
                  <w:noWrap w:val="0"/>
                  <w:vAlign w:val="center"/>
                </w:tcPr>
                <w:p w14:paraId="7313B670">
                  <w:pPr>
                    <w:adjustRightInd w:val="0"/>
                    <w:snapToGrid w:val="0"/>
                    <w:spacing w:line="280" w:lineRule="exact"/>
                    <w:jc w:val="center"/>
                    <w:rPr>
                      <w:rFonts w:hint="eastAsia" w:ascii="Times New Roman" w:hAnsi="Times New Roman"/>
                      <w:color w:val="auto"/>
                      <w:kern w:val="0"/>
                      <w:szCs w:val="21"/>
                      <w:highlight w:val="none"/>
                    </w:rPr>
                  </w:pPr>
                </w:p>
              </w:tc>
              <w:tc>
                <w:tcPr>
                  <w:tcW w:w="1750" w:type="dxa"/>
                  <w:shd w:val="clear" w:color="auto" w:fill="auto"/>
                  <w:noWrap w:val="0"/>
                  <w:vAlign w:val="center"/>
                </w:tcPr>
                <w:p w14:paraId="48E3F89E">
                  <w:pPr>
                    <w:adjustRightInd w:val="0"/>
                    <w:snapToGrid w:val="0"/>
                    <w:spacing w:line="280" w:lineRule="exact"/>
                    <w:jc w:val="center"/>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注液废气</w:t>
                  </w:r>
                </w:p>
              </w:tc>
              <w:tc>
                <w:tcPr>
                  <w:tcW w:w="2717" w:type="dxa"/>
                  <w:vMerge w:val="restart"/>
                  <w:shd w:val="clear" w:color="auto" w:fill="auto"/>
                  <w:noWrap w:val="0"/>
                  <w:vAlign w:val="center"/>
                </w:tcPr>
                <w:p w14:paraId="5F0B0F42">
                  <w:pPr>
                    <w:adjustRightInd w:val="0"/>
                    <w:snapToGrid w:val="0"/>
                    <w:spacing w:line="280" w:lineRule="exact"/>
                    <w:jc w:val="center"/>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lang w:val="en-US" w:eastAsia="zh-CN"/>
                    </w:rPr>
                    <w:t>二级活性炭吸附装置（TA00</w:t>
                  </w:r>
                  <w:r>
                    <w:rPr>
                      <w:rFonts w:hint="eastAsia" w:cs="Times New Roman"/>
                      <w:color w:val="auto"/>
                      <w:lang w:val="en-US" w:eastAsia="zh-CN"/>
                    </w:rPr>
                    <w:t>3</w:t>
                  </w:r>
                  <w:r>
                    <w:rPr>
                      <w:rFonts w:hint="default" w:ascii="Times New Roman" w:hAnsi="Times New Roman" w:eastAsia="宋体" w:cs="Times New Roman"/>
                      <w:color w:val="auto"/>
                      <w:lang w:val="en-US" w:eastAsia="zh-CN"/>
                    </w:rPr>
                    <w:t>）</w:t>
                  </w:r>
                  <w:r>
                    <w:rPr>
                      <w:rFonts w:hint="eastAsia" w:ascii="Times New Roman" w:hAnsi="Times New Roman" w:eastAsia="宋体" w:cs="Times New Roman"/>
                      <w:color w:val="auto"/>
                      <w:lang w:val="en-US" w:eastAsia="zh-CN"/>
                    </w:rPr>
                    <w:t>+30m排气筒（DA002）</w:t>
                  </w:r>
                </w:p>
              </w:tc>
              <w:tc>
                <w:tcPr>
                  <w:tcW w:w="1087" w:type="dxa"/>
                  <w:vMerge w:val="restart"/>
                  <w:shd w:val="clear" w:color="auto" w:fill="auto"/>
                  <w:noWrap w:val="0"/>
                  <w:vAlign w:val="center"/>
                </w:tcPr>
                <w:p w14:paraId="5CAC5485">
                  <w:pPr>
                    <w:adjustRightInd w:val="0"/>
                    <w:snapToGrid w:val="0"/>
                    <w:spacing w:line="280" w:lineRule="exact"/>
                    <w:jc w:val="center"/>
                    <w:rPr>
                      <w:rFonts w:hint="default" w:ascii="Times New Roman" w:hAnsi="Times New Roman" w:eastAsia="宋体" w:cs="Times New Roman"/>
                      <w:color w:val="auto"/>
                      <w:lang w:val="en-US" w:eastAsia="zh-CN"/>
                    </w:rPr>
                  </w:pPr>
                  <w:r>
                    <w:rPr>
                      <w:rFonts w:hint="eastAsia" w:cs="Times New Roman"/>
                      <w:color w:val="auto"/>
                      <w:lang w:val="en-US" w:eastAsia="zh-CN"/>
                    </w:rPr>
                    <w:t>120.0</w:t>
                  </w:r>
                </w:p>
              </w:tc>
              <w:tc>
                <w:tcPr>
                  <w:tcW w:w="759" w:type="dxa"/>
                  <w:shd w:val="clear" w:color="auto" w:fill="auto"/>
                  <w:noWrap w:val="0"/>
                  <w:vAlign w:val="center"/>
                </w:tcPr>
                <w:p w14:paraId="5DC49590">
                  <w:pPr>
                    <w:adjustRightInd w:val="0"/>
                    <w:snapToGrid w:val="0"/>
                    <w:spacing w:line="280" w:lineRule="exact"/>
                    <w:jc w:val="cente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新建</w:t>
                  </w:r>
                </w:p>
              </w:tc>
            </w:tr>
            <w:tr w14:paraId="43271B2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77" w:hRule="atLeast"/>
                <w:jc w:val="center"/>
              </w:trPr>
              <w:tc>
                <w:tcPr>
                  <w:tcW w:w="674" w:type="dxa"/>
                  <w:vMerge w:val="continue"/>
                  <w:shd w:val="clear" w:color="auto" w:fill="auto"/>
                  <w:noWrap w:val="0"/>
                  <w:vAlign w:val="center"/>
                </w:tcPr>
                <w:p w14:paraId="1E3E8721">
                  <w:pPr>
                    <w:adjustRightInd w:val="0"/>
                    <w:snapToGrid w:val="0"/>
                    <w:spacing w:line="280" w:lineRule="exact"/>
                    <w:jc w:val="center"/>
                    <w:rPr>
                      <w:rFonts w:hint="eastAsia" w:ascii="Times New Roman" w:hAnsi="Times New Roman"/>
                      <w:color w:val="auto"/>
                      <w:kern w:val="0"/>
                      <w:szCs w:val="21"/>
                      <w:highlight w:val="none"/>
                    </w:rPr>
                  </w:pPr>
                </w:p>
              </w:tc>
              <w:tc>
                <w:tcPr>
                  <w:tcW w:w="900" w:type="dxa"/>
                  <w:vMerge w:val="continue"/>
                  <w:shd w:val="clear" w:color="auto" w:fill="auto"/>
                  <w:noWrap w:val="0"/>
                  <w:vAlign w:val="center"/>
                </w:tcPr>
                <w:p w14:paraId="1CA66CDB">
                  <w:pPr>
                    <w:adjustRightInd w:val="0"/>
                    <w:snapToGrid w:val="0"/>
                    <w:spacing w:line="280" w:lineRule="exact"/>
                    <w:jc w:val="center"/>
                    <w:rPr>
                      <w:rFonts w:hint="eastAsia" w:ascii="Times New Roman" w:hAnsi="Times New Roman"/>
                      <w:color w:val="auto"/>
                      <w:kern w:val="0"/>
                      <w:szCs w:val="21"/>
                      <w:highlight w:val="none"/>
                    </w:rPr>
                  </w:pPr>
                </w:p>
              </w:tc>
              <w:tc>
                <w:tcPr>
                  <w:tcW w:w="1750" w:type="dxa"/>
                  <w:shd w:val="clear" w:color="auto" w:fill="auto"/>
                  <w:noWrap w:val="0"/>
                  <w:vAlign w:val="center"/>
                </w:tcPr>
                <w:p w14:paraId="25AE9C85">
                  <w:pPr>
                    <w:keepNext w:val="0"/>
                    <w:keepLines w:val="0"/>
                    <w:pageBreakBefore w:val="0"/>
                    <w:widowControl w:val="0"/>
                    <w:kinsoku/>
                    <w:wordWrap/>
                    <w:overflowPunct/>
                    <w:topLinePunct w:val="0"/>
                    <w:bidi w:val="0"/>
                    <w:adjustRightInd/>
                    <w:snapToGrid/>
                    <w:spacing w:line="240" w:lineRule="auto"/>
                    <w:ind w:firstLine="0" w:firstLineChars="0"/>
                    <w:jc w:val="center"/>
                    <w:rPr>
                      <w:rFonts w:hint="eastAsia" w:ascii="Times New Roman" w:hAnsi="Times New Roman" w:eastAsia="宋体" w:cs="Times New Roman"/>
                      <w:color w:val="auto"/>
                      <w:lang w:val="en-US" w:eastAsia="zh-CN"/>
                    </w:rPr>
                  </w:pPr>
                  <w:r>
                    <w:rPr>
                      <w:rFonts w:hint="eastAsia" w:cs="Times New Roman"/>
                      <w:color w:val="auto"/>
                      <w:kern w:val="0"/>
                      <w:sz w:val="21"/>
                      <w:szCs w:val="21"/>
                      <w:lang w:val="en-US" w:eastAsia="zh-CN" w:bidi="ar-SA"/>
                    </w:rPr>
                    <w:t>二封废气</w:t>
                  </w:r>
                </w:p>
              </w:tc>
              <w:tc>
                <w:tcPr>
                  <w:tcW w:w="2717" w:type="dxa"/>
                  <w:vMerge w:val="continue"/>
                  <w:shd w:val="clear" w:color="auto" w:fill="auto"/>
                  <w:noWrap w:val="0"/>
                  <w:vAlign w:val="center"/>
                </w:tcPr>
                <w:p w14:paraId="73F1EDA0">
                  <w:pPr>
                    <w:adjustRightInd w:val="0"/>
                    <w:snapToGrid w:val="0"/>
                    <w:spacing w:line="280" w:lineRule="exact"/>
                    <w:jc w:val="center"/>
                    <w:rPr>
                      <w:rFonts w:hint="default" w:ascii="Times New Roman" w:hAnsi="Times New Roman" w:eastAsia="宋体" w:cs="Times New Roman"/>
                      <w:color w:val="auto"/>
                      <w:lang w:val="en-US" w:eastAsia="zh-CN"/>
                    </w:rPr>
                  </w:pPr>
                </w:p>
              </w:tc>
              <w:tc>
                <w:tcPr>
                  <w:tcW w:w="1087" w:type="dxa"/>
                  <w:vMerge w:val="continue"/>
                  <w:shd w:val="clear" w:color="auto" w:fill="auto"/>
                  <w:noWrap w:val="0"/>
                  <w:vAlign w:val="center"/>
                </w:tcPr>
                <w:p w14:paraId="4BA13C51">
                  <w:pPr>
                    <w:adjustRightInd w:val="0"/>
                    <w:snapToGrid w:val="0"/>
                    <w:spacing w:line="280" w:lineRule="exact"/>
                    <w:jc w:val="center"/>
                    <w:rPr>
                      <w:rFonts w:hint="eastAsia" w:ascii="Times New Roman" w:hAnsi="Times New Roman" w:eastAsia="宋体" w:cs="Times New Roman"/>
                      <w:color w:val="auto"/>
                      <w:lang w:val="en-US" w:eastAsia="zh-CN"/>
                    </w:rPr>
                  </w:pPr>
                </w:p>
              </w:tc>
              <w:tc>
                <w:tcPr>
                  <w:tcW w:w="759" w:type="dxa"/>
                  <w:shd w:val="clear" w:color="auto" w:fill="auto"/>
                  <w:noWrap w:val="0"/>
                  <w:vAlign w:val="center"/>
                </w:tcPr>
                <w:p w14:paraId="02260060">
                  <w:pPr>
                    <w:adjustRightInd w:val="0"/>
                    <w:snapToGrid w:val="0"/>
                    <w:spacing w:line="280" w:lineRule="exact"/>
                    <w:jc w:val="cente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新建</w:t>
                  </w:r>
                </w:p>
              </w:tc>
            </w:tr>
            <w:tr w14:paraId="3F94CB1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77" w:hRule="atLeast"/>
                <w:jc w:val="center"/>
              </w:trPr>
              <w:tc>
                <w:tcPr>
                  <w:tcW w:w="674" w:type="dxa"/>
                  <w:vMerge w:val="continue"/>
                  <w:shd w:val="clear" w:color="auto" w:fill="auto"/>
                  <w:noWrap w:val="0"/>
                  <w:vAlign w:val="center"/>
                </w:tcPr>
                <w:p w14:paraId="789FBB81">
                  <w:pPr>
                    <w:adjustRightInd w:val="0"/>
                    <w:snapToGrid w:val="0"/>
                    <w:spacing w:line="280" w:lineRule="exact"/>
                    <w:jc w:val="center"/>
                    <w:rPr>
                      <w:rFonts w:hint="eastAsia" w:ascii="Times New Roman" w:hAnsi="Times New Roman"/>
                      <w:color w:val="auto"/>
                      <w:kern w:val="0"/>
                      <w:szCs w:val="21"/>
                      <w:highlight w:val="none"/>
                    </w:rPr>
                  </w:pPr>
                </w:p>
              </w:tc>
              <w:tc>
                <w:tcPr>
                  <w:tcW w:w="900" w:type="dxa"/>
                  <w:vMerge w:val="continue"/>
                  <w:shd w:val="clear" w:color="auto" w:fill="auto"/>
                  <w:noWrap w:val="0"/>
                  <w:vAlign w:val="center"/>
                </w:tcPr>
                <w:p w14:paraId="7B4E31FD">
                  <w:pPr>
                    <w:adjustRightInd w:val="0"/>
                    <w:snapToGrid w:val="0"/>
                    <w:spacing w:line="280" w:lineRule="exact"/>
                    <w:jc w:val="center"/>
                    <w:rPr>
                      <w:rFonts w:hint="eastAsia" w:ascii="Times New Roman" w:hAnsi="Times New Roman"/>
                      <w:color w:val="auto"/>
                      <w:kern w:val="0"/>
                      <w:szCs w:val="21"/>
                      <w:highlight w:val="none"/>
                    </w:rPr>
                  </w:pPr>
                </w:p>
              </w:tc>
              <w:tc>
                <w:tcPr>
                  <w:tcW w:w="1750" w:type="dxa"/>
                  <w:shd w:val="clear" w:color="auto" w:fill="auto"/>
                  <w:noWrap w:val="0"/>
                  <w:vAlign w:val="center"/>
                </w:tcPr>
                <w:p w14:paraId="2FCB7AD3">
                  <w:pPr>
                    <w:keepNext w:val="0"/>
                    <w:keepLines w:val="0"/>
                    <w:pageBreakBefore w:val="0"/>
                    <w:widowControl w:val="0"/>
                    <w:kinsoku/>
                    <w:wordWrap/>
                    <w:overflowPunct/>
                    <w:topLinePunct w:val="0"/>
                    <w:bidi w:val="0"/>
                    <w:adjustRightInd/>
                    <w:snapToGrid/>
                    <w:spacing w:line="240" w:lineRule="auto"/>
                    <w:ind w:firstLine="0" w:firstLineChars="0"/>
                    <w:jc w:val="center"/>
                    <w:rPr>
                      <w:rFonts w:hint="eastAsia" w:cs="Times New Roman"/>
                      <w:color w:val="auto"/>
                      <w:lang w:val="en-US" w:eastAsia="zh-CN"/>
                    </w:rPr>
                  </w:pPr>
                  <w:r>
                    <w:rPr>
                      <w:rFonts w:hint="eastAsia" w:cs="Times New Roman"/>
                      <w:color w:val="auto"/>
                      <w:kern w:val="0"/>
                      <w:sz w:val="21"/>
                      <w:szCs w:val="21"/>
                      <w:lang w:val="en-US" w:eastAsia="zh-CN" w:bidi="ar-SA"/>
                    </w:rPr>
                    <w:t>封边废气</w:t>
                  </w:r>
                </w:p>
              </w:tc>
              <w:tc>
                <w:tcPr>
                  <w:tcW w:w="2717" w:type="dxa"/>
                  <w:vMerge w:val="continue"/>
                  <w:shd w:val="clear" w:color="auto" w:fill="auto"/>
                  <w:noWrap w:val="0"/>
                  <w:vAlign w:val="center"/>
                </w:tcPr>
                <w:p w14:paraId="79B90EB9">
                  <w:pPr>
                    <w:adjustRightInd w:val="0"/>
                    <w:snapToGrid w:val="0"/>
                    <w:spacing w:line="280" w:lineRule="exact"/>
                    <w:jc w:val="center"/>
                    <w:rPr>
                      <w:rFonts w:hint="eastAsia" w:ascii="Times New Roman" w:hAnsi="Times New Roman" w:eastAsia="宋体" w:cs="Times New Roman"/>
                      <w:color w:val="auto"/>
                      <w:lang w:val="en-US" w:eastAsia="zh-CN"/>
                    </w:rPr>
                  </w:pPr>
                </w:p>
              </w:tc>
              <w:tc>
                <w:tcPr>
                  <w:tcW w:w="1087" w:type="dxa"/>
                  <w:vMerge w:val="continue"/>
                  <w:shd w:val="clear" w:color="auto" w:fill="auto"/>
                  <w:noWrap w:val="0"/>
                  <w:vAlign w:val="center"/>
                </w:tcPr>
                <w:p w14:paraId="299C1D75">
                  <w:pPr>
                    <w:adjustRightInd w:val="0"/>
                    <w:snapToGrid w:val="0"/>
                    <w:spacing w:line="280" w:lineRule="exact"/>
                    <w:jc w:val="center"/>
                    <w:rPr>
                      <w:rFonts w:hint="eastAsia" w:ascii="Times New Roman" w:hAnsi="Times New Roman" w:eastAsia="宋体" w:cs="Times New Roman"/>
                      <w:color w:val="auto"/>
                      <w:lang w:val="en-US" w:eastAsia="zh-CN"/>
                    </w:rPr>
                  </w:pPr>
                </w:p>
              </w:tc>
              <w:tc>
                <w:tcPr>
                  <w:tcW w:w="759" w:type="dxa"/>
                  <w:shd w:val="clear" w:color="auto" w:fill="auto"/>
                  <w:noWrap w:val="0"/>
                  <w:vAlign w:val="center"/>
                </w:tcPr>
                <w:p w14:paraId="49373342">
                  <w:pPr>
                    <w:adjustRightInd w:val="0"/>
                    <w:snapToGrid w:val="0"/>
                    <w:spacing w:line="280" w:lineRule="exact"/>
                    <w:jc w:val="cente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新建</w:t>
                  </w:r>
                </w:p>
              </w:tc>
            </w:tr>
            <w:tr w14:paraId="70700B6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77" w:hRule="atLeast"/>
                <w:jc w:val="center"/>
              </w:trPr>
              <w:tc>
                <w:tcPr>
                  <w:tcW w:w="674" w:type="dxa"/>
                  <w:vMerge w:val="continue"/>
                  <w:shd w:val="clear" w:color="auto" w:fill="auto"/>
                  <w:noWrap w:val="0"/>
                  <w:vAlign w:val="center"/>
                </w:tcPr>
                <w:p w14:paraId="3A334A0F">
                  <w:pPr>
                    <w:adjustRightInd w:val="0"/>
                    <w:snapToGrid w:val="0"/>
                    <w:spacing w:line="280" w:lineRule="exact"/>
                    <w:jc w:val="center"/>
                    <w:rPr>
                      <w:rFonts w:hint="eastAsia" w:ascii="Times New Roman" w:hAnsi="Times New Roman"/>
                      <w:color w:val="auto"/>
                      <w:kern w:val="0"/>
                      <w:szCs w:val="21"/>
                      <w:highlight w:val="none"/>
                    </w:rPr>
                  </w:pPr>
                </w:p>
              </w:tc>
              <w:tc>
                <w:tcPr>
                  <w:tcW w:w="900" w:type="dxa"/>
                  <w:vMerge w:val="continue"/>
                  <w:shd w:val="clear" w:color="auto" w:fill="auto"/>
                  <w:noWrap w:val="0"/>
                  <w:vAlign w:val="center"/>
                </w:tcPr>
                <w:p w14:paraId="26A9C5AF">
                  <w:pPr>
                    <w:adjustRightInd w:val="0"/>
                    <w:snapToGrid w:val="0"/>
                    <w:spacing w:line="280" w:lineRule="exact"/>
                    <w:jc w:val="center"/>
                    <w:rPr>
                      <w:rFonts w:hint="eastAsia" w:ascii="Times New Roman" w:hAnsi="Times New Roman"/>
                      <w:color w:val="auto"/>
                      <w:kern w:val="0"/>
                      <w:szCs w:val="21"/>
                      <w:highlight w:val="none"/>
                    </w:rPr>
                  </w:pPr>
                </w:p>
              </w:tc>
              <w:tc>
                <w:tcPr>
                  <w:tcW w:w="1750" w:type="dxa"/>
                  <w:shd w:val="clear" w:color="auto" w:fill="auto"/>
                  <w:noWrap w:val="0"/>
                  <w:vAlign w:val="center"/>
                </w:tcPr>
                <w:p w14:paraId="3C37A5BD">
                  <w:pPr>
                    <w:keepNext w:val="0"/>
                    <w:keepLines w:val="0"/>
                    <w:pageBreakBefore w:val="0"/>
                    <w:widowControl w:val="0"/>
                    <w:kinsoku/>
                    <w:wordWrap/>
                    <w:overflowPunct/>
                    <w:topLinePunct w:val="0"/>
                    <w:bidi w:val="0"/>
                    <w:adjustRightInd/>
                    <w:snapToGrid/>
                    <w:spacing w:line="240" w:lineRule="auto"/>
                    <w:ind w:firstLine="0" w:firstLineChars="0"/>
                    <w:jc w:val="center"/>
                    <w:rPr>
                      <w:rFonts w:hint="eastAsia" w:ascii="Times New Roman" w:hAnsi="Times New Roman" w:eastAsia="宋体" w:cs="Times New Roman"/>
                      <w:color w:val="auto"/>
                      <w:lang w:val="en-US" w:eastAsia="zh-CN"/>
                    </w:rPr>
                  </w:pPr>
                  <w:r>
                    <w:rPr>
                      <w:rFonts w:hint="eastAsia" w:cs="Times New Roman"/>
                      <w:color w:val="auto"/>
                      <w:kern w:val="0"/>
                      <w:sz w:val="21"/>
                      <w:szCs w:val="21"/>
                      <w:lang w:val="en-US" w:eastAsia="zh-CN" w:bidi="ar-SA"/>
                    </w:rPr>
                    <w:t>拆解废气</w:t>
                  </w:r>
                </w:p>
              </w:tc>
              <w:tc>
                <w:tcPr>
                  <w:tcW w:w="2717" w:type="dxa"/>
                  <w:vMerge w:val="continue"/>
                  <w:shd w:val="clear" w:color="auto" w:fill="auto"/>
                  <w:noWrap w:val="0"/>
                  <w:vAlign w:val="center"/>
                </w:tcPr>
                <w:p w14:paraId="10527C9B">
                  <w:pPr>
                    <w:adjustRightInd w:val="0"/>
                    <w:snapToGrid w:val="0"/>
                    <w:spacing w:line="280" w:lineRule="exact"/>
                    <w:jc w:val="center"/>
                    <w:rPr>
                      <w:rFonts w:hint="default" w:ascii="Times New Roman" w:hAnsi="Times New Roman" w:eastAsia="宋体" w:cs="Times New Roman"/>
                      <w:color w:val="auto"/>
                      <w:lang w:val="en-US" w:eastAsia="zh-CN"/>
                    </w:rPr>
                  </w:pPr>
                </w:p>
              </w:tc>
              <w:tc>
                <w:tcPr>
                  <w:tcW w:w="1087" w:type="dxa"/>
                  <w:vMerge w:val="continue"/>
                  <w:shd w:val="clear" w:color="auto" w:fill="auto"/>
                  <w:noWrap w:val="0"/>
                  <w:vAlign w:val="center"/>
                </w:tcPr>
                <w:p w14:paraId="6F0C60D0">
                  <w:pPr>
                    <w:adjustRightInd w:val="0"/>
                    <w:snapToGrid w:val="0"/>
                    <w:spacing w:line="280" w:lineRule="exact"/>
                    <w:jc w:val="center"/>
                    <w:rPr>
                      <w:rFonts w:hint="eastAsia" w:ascii="Times New Roman" w:hAnsi="Times New Roman" w:eastAsia="宋体" w:cs="Times New Roman"/>
                      <w:color w:val="auto"/>
                      <w:lang w:val="en-US" w:eastAsia="zh-CN"/>
                    </w:rPr>
                  </w:pPr>
                </w:p>
              </w:tc>
              <w:tc>
                <w:tcPr>
                  <w:tcW w:w="759" w:type="dxa"/>
                  <w:shd w:val="clear" w:color="auto" w:fill="auto"/>
                  <w:noWrap w:val="0"/>
                  <w:vAlign w:val="center"/>
                </w:tcPr>
                <w:p w14:paraId="05B197C6">
                  <w:pPr>
                    <w:adjustRightInd w:val="0"/>
                    <w:snapToGrid w:val="0"/>
                    <w:spacing w:line="280" w:lineRule="exact"/>
                    <w:jc w:val="cente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新建</w:t>
                  </w:r>
                </w:p>
              </w:tc>
            </w:tr>
            <w:tr w14:paraId="20786D9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77" w:hRule="atLeast"/>
                <w:jc w:val="center"/>
              </w:trPr>
              <w:tc>
                <w:tcPr>
                  <w:tcW w:w="674" w:type="dxa"/>
                  <w:vMerge w:val="continue"/>
                  <w:shd w:val="clear" w:color="auto" w:fill="auto"/>
                  <w:noWrap w:val="0"/>
                  <w:vAlign w:val="center"/>
                </w:tcPr>
                <w:p w14:paraId="4FC1E03E">
                  <w:pPr>
                    <w:adjustRightInd w:val="0"/>
                    <w:snapToGrid w:val="0"/>
                    <w:spacing w:line="280" w:lineRule="exact"/>
                    <w:jc w:val="center"/>
                    <w:rPr>
                      <w:rFonts w:hint="eastAsia" w:ascii="Times New Roman" w:hAnsi="Times New Roman"/>
                      <w:color w:val="auto"/>
                      <w:kern w:val="0"/>
                      <w:szCs w:val="21"/>
                      <w:highlight w:val="none"/>
                    </w:rPr>
                  </w:pPr>
                </w:p>
              </w:tc>
              <w:tc>
                <w:tcPr>
                  <w:tcW w:w="900" w:type="dxa"/>
                  <w:vMerge w:val="continue"/>
                  <w:shd w:val="clear" w:color="auto" w:fill="auto"/>
                  <w:noWrap w:val="0"/>
                  <w:vAlign w:val="center"/>
                </w:tcPr>
                <w:p w14:paraId="619FC963">
                  <w:pPr>
                    <w:adjustRightInd w:val="0"/>
                    <w:snapToGrid w:val="0"/>
                    <w:spacing w:line="280" w:lineRule="exact"/>
                    <w:jc w:val="center"/>
                    <w:rPr>
                      <w:rFonts w:hint="eastAsia" w:ascii="Times New Roman" w:hAnsi="Times New Roman"/>
                      <w:color w:val="auto"/>
                      <w:kern w:val="0"/>
                      <w:szCs w:val="21"/>
                      <w:highlight w:val="none"/>
                    </w:rPr>
                  </w:pPr>
                </w:p>
              </w:tc>
              <w:tc>
                <w:tcPr>
                  <w:tcW w:w="1750" w:type="dxa"/>
                  <w:shd w:val="clear" w:color="auto" w:fill="auto"/>
                  <w:noWrap w:val="0"/>
                  <w:vAlign w:val="center"/>
                </w:tcPr>
                <w:p w14:paraId="04AF73A5">
                  <w:pPr>
                    <w:adjustRightInd w:val="0"/>
                    <w:snapToGrid w:val="0"/>
                    <w:spacing w:line="280" w:lineRule="exact"/>
                    <w:jc w:val="center"/>
                    <w:rPr>
                      <w:rFonts w:hint="default" w:cs="Times New Roman"/>
                      <w:color w:val="auto"/>
                      <w:lang w:val="en-US" w:eastAsia="zh-CN"/>
                    </w:rPr>
                  </w:pPr>
                  <w:r>
                    <w:rPr>
                      <w:rFonts w:hint="eastAsia" w:cs="Times New Roman"/>
                      <w:color w:val="auto"/>
                      <w:lang w:val="en-US" w:eastAsia="zh-CN"/>
                    </w:rPr>
                    <w:t>危废库废气</w:t>
                  </w:r>
                </w:p>
              </w:tc>
              <w:tc>
                <w:tcPr>
                  <w:tcW w:w="2717" w:type="dxa"/>
                  <w:shd w:val="clear" w:color="auto" w:fill="auto"/>
                  <w:noWrap w:val="0"/>
                  <w:vAlign w:val="center"/>
                </w:tcPr>
                <w:p w14:paraId="779C48AE">
                  <w:pPr>
                    <w:adjustRightInd w:val="0"/>
                    <w:snapToGrid w:val="0"/>
                    <w:spacing w:line="280" w:lineRule="exact"/>
                    <w:jc w:val="center"/>
                    <w:rPr>
                      <w:rFonts w:hint="default" w:ascii="Times New Roman" w:hAnsi="Times New Roman" w:eastAsia="宋体" w:cs="Times New Roman"/>
                      <w:color w:val="auto"/>
                      <w:lang w:val="en-US" w:eastAsia="zh-CN"/>
                    </w:rPr>
                  </w:pPr>
                  <w:r>
                    <w:rPr>
                      <w:rFonts w:hint="eastAsia" w:cs="Times New Roman"/>
                      <w:color w:val="auto"/>
                      <w:lang w:val="en-US" w:eastAsia="zh-CN"/>
                    </w:rPr>
                    <w:t>活性炭吸附装置（TA004）+15m高排气筒（DA003）</w:t>
                  </w:r>
                </w:p>
              </w:tc>
              <w:tc>
                <w:tcPr>
                  <w:tcW w:w="1087" w:type="dxa"/>
                  <w:vMerge w:val="continue"/>
                  <w:shd w:val="clear" w:color="auto" w:fill="auto"/>
                  <w:noWrap w:val="0"/>
                  <w:vAlign w:val="center"/>
                </w:tcPr>
                <w:p w14:paraId="64769D36">
                  <w:pPr>
                    <w:adjustRightInd w:val="0"/>
                    <w:snapToGrid w:val="0"/>
                    <w:spacing w:line="280" w:lineRule="exact"/>
                    <w:jc w:val="center"/>
                    <w:rPr>
                      <w:rFonts w:hint="eastAsia" w:ascii="Times New Roman" w:hAnsi="Times New Roman" w:eastAsia="宋体" w:cs="Times New Roman"/>
                      <w:color w:val="auto"/>
                      <w:lang w:val="en-US" w:eastAsia="zh-CN"/>
                    </w:rPr>
                  </w:pPr>
                </w:p>
              </w:tc>
              <w:tc>
                <w:tcPr>
                  <w:tcW w:w="759" w:type="dxa"/>
                  <w:shd w:val="clear" w:color="auto" w:fill="auto"/>
                  <w:noWrap w:val="0"/>
                  <w:vAlign w:val="center"/>
                </w:tcPr>
                <w:p w14:paraId="13C5E809">
                  <w:pPr>
                    <w:adjustRightInd w:val="0"/>
                    <w:snapToGrid w:val="0"/>
                    <w:spacing w:line="280" w:lineRule="exact"/>
                    <w:jc w:val="cente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新建</w:t>
                  </w:r>
                </w:p>
              </w:tc>
            </w:tr>
            <w:tr w14:paraId="582AEEB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77" w:hRule="atLeast"/>
                <w:jc w:val="center"/>
              </w:trPr>
              <w:tc>
                <w:tcPr>
                  <w:tcW w:w="674" w:type="dxa"/>
                  <w:vMerge w:val="continue"/>
                  <w:shd w:val="clear" w:color="auto" w:fill="auto"/>
                  <w:noWrap w:val="0"/>
                  <w:vAlign w:val="center"/>
                </w:tcPr>
                <w:p w14:paraId="5FECB865">
                  <w:pPr>
                    <w:adjustRightInd w:val="0"/>
                    <w:snapToGrid w:val="0"/>
                    <w:spacing w:line="280" w:lineRule="exact"/>
                    <w:jc w:val="center"/>
                    <w:rPr>
                      <w:rFonts w:hint="eastAsia" w:ascii="Times New Roman" w:hAnsi="Times New Roman"/>
                      <w:color w:val="auto"/>
                      <w:kern w:val="0"/>
                      <w:szCs w:val="21"/>
                      <w:highlight w:val="none"/>
                    </w:rPr>
                  </w:pPr>
                </w:p>
              </w:tc>
              <w:tc>
                <w:tcPr>
                  <w:tcW w:w="900" w:type="dxa"/>
                  <w:vMerge w:val="continue"/>
                  <w:shd w:val="clear" w:color="auto" w:fill="auto"/>
                  <w:noWrap w:val="0"/>
                  <w:vAlign w:val="center"/>
                </w:tcPr>
                <w:p w14:paraId="57B7C080">
                  <w:pPr>
                    <w:adjustRightInd w:val="0"/>
                    <w:snapToGrid w:val="0"/>
                    <w:spacing w:line="280" w:lineRule="exact"/>
                    <w:jc w:val="center"/>
                    <w:rPr>
                      <w:rFonts w:hint="eastAsia" w:ascii="Times New Roman" w:hAnsi="Times New Roman"/>
                      <w:color w:val="auto"/>
                      <w:kern w:val="0"/>
                      <w:szCs w:val="21"/>
                      <w:highlight w:val="none"/>
                    </w:rPr>
                  </w:pPr>
                </w:p>
              </w:tc>
              <w:tc>
                <w:tcPr>
                  <w:tcW w:w="1750" w:type="dxa"/>
                  <w:shd w:val="clear" w:color="auto" w:fill="auto"/>
                  <w:noWrap w:val="0"/>
                  <w:vAlign w:val="center"/>
                </w:tcPr>
                <w:p w14:paraId="6E3F914E">
                  <w:pPr>
                    <w:adjustRightInd w:val="0"/>
                    <w:snapToGrid w:val="0"/>
                    <w:spacing w:line="280" w:lineRule="exact"/>
                    <w:jc w:val="cente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NMP储罐呼吸废气</w:t>
                  </w:r>
                </w:p>
              </w:tc>
              <w:tc>
                <w:tcPr>
                  <w:tcW w:w="2717" w:type="dxa"/>
                  <w:shd w:val="clear" w:color="auto" w:fill="auto"/>
                  <w:noWrap w:val="0"/>
                  <w:vAlign w:val="center"/>
                </w:tcPr>
                <w:p w14:paraId="7D748113">
                  <w:pPr>
                    <w:adjustRightInd w:val="0"/>
                    <w:snapToGrid w:val="0"/>
                    <w:spacing w:line="280" w:lineRule="exact"/>
                    <w:jc w:val="cente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无组织排放</w:t>
                  </w:r>
                </w:p>
              </w:tc>
              <w:tc>
                <w:tcPr>
                  <w:tcW w:w="1087" w:type="dxa"/>
                  <w:shd w:val="clear" w:color="auto" w:fill="auto"/>
                  <w:noWrap w:val="0"/>
                  <w:vAlign w:val="center"/>
                </w:tcPr>
                <w:p w14:paraId="4A3348E1">
                  <w:pPr>
                    <w:adjustRightInd w:val="0"/>
                    <w:snapToGrid w:val="0"/>
                    <w:spacing w:line="280" w:lineRule="exact"/>
                    <w:jc w:val="center"/>
                    <w:rPr>
                      <w:rFonts w:hint="default" w:ascii="Times New Roman" w:hAnsi="Times New Roman" w:eastAsia="宋体" w:cs="Times New Roman"/>
                      <w:color w:val="auto"/>
                      <w:lang w:val="en-US" w:eastAsia="zh-CN"/>
                    </w:rPr>
                  </w:pPr>
                  <w:r>
                    <w:rPr>
                      <w:rFonts w:hint="eastAsia" w:cs="Times New Roman"/>
                      <w:color w:val="auto"/>
                      <w:lang w:val="en-US" w:eastAsia="zh-CN"/>
                    </w:rPr>
                    <w:t>/</w:t>
                  </w:r>
                </w:p>
              </w:tc>
              <w:tc>
                <w:tcPr>
                  <w:tcW w:w="759" w:type="dxa"/>
                  <w:shd w:val="clear" w:color="auto" w:fill="auto"/>
                  <w:noWrap w:val="0"/>
                  <w:vAlign w:val="center"/>
                </w:tcPr>
                <w:p w14:paraId="70D36CED">
                  <w:pPr>
                    <w:adjustRightInd w:val="0"/>
                    <w:snapToGrid w:val="0"/>
                    <w:spacing w:line="280" w:lineRule="exact"/>
                    <w:jc w:val="cente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新建</w:t>
                  </w:r>
                </w:p>
              </w:tc>
            </w:tr>
            <w:tr w14:paraId="533F71C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77" w:hRule="atLeast"/>
                <w:jc w:val="center"/>
              </w:trPr>
              <w:tc>
                <w:tcPr>
                  <w:tcW w:w="674" w:type="dxa"/>
                  <w:vMerge w:val="continue"/>
                  <w:shd w:val="clear" w:color="auto" w:fill="auto"/>
                  <w:noWrap w:val="0"/>
                  <w:vAlign w:val="center"/>
                </w:tcPr>
                <w:p w14:paraId="4FDBCDAE">
                  <w:pPr>
                    <w:adjustRightInd w:val="0"/>
                    <w:snapToGrid w:val="0"/>
                    <w:spacing w:line="280" w:lineRule="exact"/>
                    <w:jc w:val="center"/>
                    <w:rPr>
                      <w:rFonts w:hint="eastAsia" w:ascii="Times New Roman" w:hAnsi="Times New Roman"/>
                      <w:color w:val="auto"/>
                      <w:kern w:val="0"/>
                      <w:szCs w:val="21"/>
                      <w:highlight w:val="none"/>
                    </w:rPr>
                  </w:pPr>
                </w:p>
              </w:tc>
              <w:tc>
                <w:tcPr>
                  <w:tcW w:w="900" w:type="dxa"/>
                  <w:vMerge w:val="continue"/>
                  <w:shd w:val="clear" w:color="auto" w:fill="auto"/>
                  <w:noWrap w:val="0"/>
                  <w:vAlign w:val="center"/>
                </w:tcPr>
                <w:p w14:paraId="3FF11AFC">
                  <w:pPr>
                    <w:adjustRightInd w:val="0"/>
                    <w:snapToGrid w:val="0"/>
                    <w:spacing w:line="280" w:lineRule="exact"/>
                    <w:jc w:val="center"/>
                    <w:rPr>
                      <w:rFonts w:hint="eastAsia" w:ascii="Times New Roman" w:hAnsi="Times New Roman"/>
                      <w:color w:val="auto"/>
                      <w:kern w:val="0"/>
                      <w:szCs w:val="21"/>
                      <w:highlight w:val="none"/>
                    </w:rPr>
                  </w:pPr>
                </w:p>
              </w:tc>
              <w:tc>
                <w:tcPr>
                  <w:tcW w:w="1750" w:type="dxa"/>
                  <w:shd w:val="clear" w:color="auto" w:fill="auto"/>
                  <w:noWrap w:val="0"/>
                  <w:vAlign w:val="center"/>
                </w:tcPr>
                <w:p w14:paraId="530BF898">
                  <w:pPr>
                    <w:adjustRightInd w:val="0"/>
                    <w:snapToGrid w:val="0"/>
                    <w:spacing w:line="280" w:lineRule="exact"/>
                    <w:jc w:val="center"/>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分切粉尘</w:t>
                  </w:r>
                </w:p>
              </w:tc>
              <w:tc>
                <w:tcPr>
                  <w:tcW w:w="2717" w:type="dxa"/>
                  <w:shd w:val="clear" w:color="auto" w:fill="auto"/>
                  <w:noWrap w:val="0"/>
                  <w:vAlign w:val="center"/>
                </w:tcPr>
                <w:p w14:paraId="16E49A41">
                  <w:pPr>
                    <w:adjustRightInd w:val="0"/>
                    <w:snapToGrid w:val="0"/>
                    <w:spacing w:line="280" w:lineRule="exact"/>
                    <w:jc w:val="center"/>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无组织排放</w:t>
                  </w:r>
                </w:p>
              </w:tc>
              <w:tc>
                <w:tcPr>
                  <w:tcW w:w="1087" w:type="dxa"/>
                  <w:shd w:val="clear" w:color="auto" w:fill="auto"/>
                  <w:noWrap w:val="0"/>
                  <w:vAlign w:val="center"/>
                </w:tcPr>
                <w:p w14:paraId="09173161">
                  <w:pPr>
                    <w:adjustRightInd w:val="0"/>
                    <w:snapToGrid w:val="0"/>
                    <w:spacing w:line="280" w:lineRule="exact"/>
                    <w:jc w:val="center"/>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w:t>
                  </w:r>
                </w:p>
              </w:tc>
              <w:tc>
                <w:tcPr>
                  <w:tcW w:w="759" w:type="dxa"/>
                  <w:shd w:val="clear" w:color="auto" w:fill="auto"/>
                  <w:noWrap w:val="0"/>
                  <w:vAlign w:val="center"/>
                </w:tcPr>
                <w:p w14:paraId="0606531A">
                  <w:pPr>
                    <w:adjustRightInd w:val="0"/>
                    <w:snapToGrid w:val="0"/>
                    <w:spacing w:line="280" w:lineRule="exact"/>
                    <w:jc w:val="center"/>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新建</w:t>
                  </w:r>
                </w:p>
              </w:tc>
            </w:tr>
            <w:tr w14:paraId="22C434E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77" w:hRule="atLeast"/>
                <w:jc w:val="center"/>
              </w:trPr>
              <w:tc>
                <w:tcPr>
                  <w:tcW w:w="674" w:type="dxa"/>
                  <w:vMerge w:val="continue"/>
                  <w:shd w:val="clear" w:color="auto" w:fill="auto"/>
                  <w:noWrap w:val="0"/>
                  <w:vAlign w:val="center"/>
                </w:tcPr>
                <w:p w14:paraId="668C525D">
                  <w:pPr>
                    <w:adjustRightInd w:val="0"/>
                    <w:snapToGrid w:val="0"/>
                    <w:spacing w:line="280" w:lineRule="exact"/>
                    <w:jc w:val="center"/>
                    <w:rPr>
                      <w:rFonts w:hint="eastAsia" w:ascii="Times New Roman" w:hAnsi="Times New Roman"/>
                      <w:color w:val="auto"/>
                      <w:kern w:val="0"/>
                      <w:szCs w:val="21"/>
                      <w:highlight w:val="none"/>
                    </w:rPr>
                  </w:pPr>
                </w:p>
              </w:tc>
              <w:tc>
                <w:tcPr>
                  <w:tcW w:w="900" w:type="dxa"/>
                  <w:vMerge w:val="continue"/>
                  <w:shd w:val="clear" w:color="auto" w:fill="auto"/>
                  <w:noWrap w:val="0"/>
                  <w:vAlign w:val="center"/>
                </w:tcPr>
                <w:p w14:paraId="0CDB4099">
                  <w:pPr>
                    <w:adjustRightInd w:val="0"/>
                    <w:snapToGrid w:val="0"/>
                    <w:spacing w:line="280" w:lineRule="exact"/>
                    <w:jc w:val="center"/>
                    <w:rPr>
                      <w:rFonts w:hint="eastAsia" w:ascii="Times New Roman" w:hAnsi="Times New Roman"/>
                      <w:color w:val="auto"/>
                      <w:kern w:val="0"/>
                      <w:szCs w:val="21"/>
                      <w:highlight w:val="none"/>
                    </w:rPr>
                  </w:pPr>
                </w:p>
              </w:tc>
              <w:tc>
                <w:tcPr>
                  <w:tcW w:w="1750" w:type="dxa"/>
                  <w:shd w:val="clear" w:color="auto" w:fill="auto"/>
                  <w:noWrap w:val="0"/>
                  <w:vAlign w:val="center"/>
                </w:tcPr>
                <w:p w14:paraId="47DCCA6F">
                  <w:pPr>
                    <w:adjustRightInd w:val="0"/>
                    <w:snapToGrid w:val="0"/>
                    <w:spacing w:line="280" w:lineRule="exact"/>
                    <w:jc w:val="center"/>
                    <w:rPr>
                      <w:rFonts w:hint="eastAsia" w:ascii="Times New Roman" w:hAnsi="Times New Roman"/>
                      <w:color w:val="auto"/>
                      <w:kern w:val="0"/>
                      <w:szCs w:val="21"/>
                      <w:highlight w:val="none"/>
                      <w:lang w:val="en-US" w:eastAsia="zh-CN"/>
                    </w:rPr>
                  </w:pPr>
                  <w:r>
                    <w:rPr>
                      <w:rFonts w:hint="eastAsia" w:ascii="Times New Roman" w:hAnsi="Times New Roman" w:eastAsia="宋体"/>
                      <w:color w:val="auto"/>
                      <w:kern w:val="0"/>
                      <w:szCs w:val="21"/>
                      <w:highlight w:val="none"/>
                      <w:lang w:val="en-US" w:eastAsia="zh-CN"/>
                    </w:rPr>
                    <w:t>污水处理</w:t>
                  </w:r>
                  <w:r>
                    <w:rPr>
                      <w:rFonts w:hint="eastAsia"/>
                      <w:color w:val="auto"/>
                      <w:kern w:val="0"/>
                      <w:szCs w:val="21"/>
                      <w:highlight w:val="none"/>
                      <w:lang w:val="en-US" w:eastAsia="zh-CN"/>
                    </w:rPr>
                    <w:t>设施废气</w:t>
                  </w:r>
                </w:p>
              </w:tc>
              <w:tc>
                <w:tcPr>
                  <w:tcW w:w="2717" w:type="dxa"/>
                  <w:shd w:val="clear" w:color="auto" w:fill="auto"/>
                  <w:noWrap w:val="0"/>
                  <w:vAlign w:val="center"/>
                </w:tcPr>
                <w:p w14:paraId="2AAC8186">
                  <w:pPr>
                    <w:adjustRightInd w:val="0"/>
                    <w:snapToGrid w:val="0"/>
                    <w:spacing w:line="280" w:lineRule="exact"/>
                    <w:jc w:val="center"/>
                    <w:rPr>
                      <w:rFonts w:hint="eastAsia" w:ascii="Times New Roman" w:hAnsi="Times New Roman"/>
                      <w:color w:val="auto"/>
                      <w:kern w:val="0"/>
                      <w:szCs w:val="21"/>
                      <w:highlight w:val="none"/>
                      <w:lang w:val="en-US" w:eastAsia="zh-CN"/>
                    </w:rPr>
                  </w:pPr>
                  <w:r>
                    <w:rPr>
                      <w:rFonts w:hint="eastAsia"/>
                      <w:color w:val="auto"/>
                      <w:sz w:val="21"/>
                      <w:szCs w:val="21"/>
                      <w:highlight w:val="none"/>
                      <w:vertAlign w:val="baseline"/>
                      <w:lang w:val="en-US" w:eastAsia="zh-CN"/>
                    </w:rPr>
                    <w:t>无组织排放</w:t>
                  </w:r>
                </w:p>
              </w:tc>
              <w:tc>
                <w:tcPr>
                  <w:tcW w:w="1087" w:type="dxa"/>
                  <w:shd w:val="clear" w:color="auto" w:fill="auto"/>
                  <w:noWrap w:val="0"/>
                  <w:vAlign w:val="center"/>
                </w:tcPr>
                <w:p w14:paraId="24E437C9">
                  <w:pPr>
                    <w:adjustRightInd w:val="0"/>
                    <w:snapToGrid w:val="0"/>
                    <w:spacing w:line="280" w:lineRule="exact"/>
                    <w:jc w:val="center"/>
                    <w:rPr>
                      <w:rFonts w:hint="default" w:ascii="Times New Roman" w:hAnsi="Times New Roman"/>
                      <w:color w:val="auto"/>
                      <w:kern w:val="0"/>
                      <w:szCs w:val="21"/>
                      <w:highlight w:val="none"/>
                      <w:lang w:val="en-US" w:eastAsia="zh-CN"/>
                    </w:rPr>
                  </w:pPr>
                  <w:r>
                    <w:rPr>
                      <w:rFonts w:hint="eastAsia"/>
                      <w:color w:val="auto"/>
                      <w:kern w:val="0"/>
                      <w:szCs w:val="21"/>
                      <w:highlight w:val="none"/>
                      <w:lang w:val="en-US" w:eastAsia="zh-CN"/>
                    </w:rPr>
                    <w:t>/</w:t>
                  </w:r>
                </w:p>
              </w:tc>
              <w:tc>
                <w:tcPr>
                  <w:tcW w:w="759" w:type="dxa"/>
                  <w:shd w:val="clear" w:color="auto" w:fill="auto"/>
                  <w:noWrap w:val="0"/>
                  <w:vAlign w:val="center"/>
                </w:tcPr>
                <w:p w14:paraId="5B5DDE28">
                  <w:pPr>
                    <w:adjustRightInd w:val="0"/>
                    <w:snapToGrid w:val="0"/>
                    <w:spacing w:line="280" w:lineRule="exact"/>
                    <w:jc w:val="center"/>
                    <w:rPr>
                      <w:rFonts w:hint="eastAsia" w:ascii="Times New Roman" w:hAnsi="Times New Roman"/>
                      <w:color w:val="auto"/>
                      <w:kern w:val="0"/>
                      <w:szCs w:val="21"/>
                      <w:highlight w:val="none"/>
                    </w:rPr>
                  </w:pPr>
                  <w:r>
                    <w:rPr>
                      <w:rFonts w:hint="eastAsia" w:ascii="Times New Roman" w:hAnsi="Times New Roman"/>
                      <w:color w:val="auto"/>
                      <w:kern w:val="0"/>
                      <w:szCs w:val="21"/>
                      <w:highlight w:val="none"/>
                    </w:rPr>
                    <w:t>新建</w:t>
                  </w:r>
                </w:p>
              </w:tc>
            </w:tr>
            <w:tr w14:paraId="67E4C07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8" w:hRule="atLeast"/>
                <w:jc w:val="center"/>
              </w:trPr>
              <w:tc>
                <w:tcPr>
                  <w:tcW w:w="674" w:type="dxa"/>
                  <w:vMerge w:val="continue"/>
                  <w:shd w:val="clear" w:color="auto" w:fill="auto"/>
                  <w:noWrap w:val="0"/>
                  <w:vAlign w:val="center"/>
                </w:tcPr>
                <w:p w14:paraId="555BD80B">
                  <w:pPr>
                    <w:adjustRightInd w:val="0"/>
                    <w:snapToGrid w:val="0"/>
                    <w:spacing w:line="280" w:lineRule="exact"/>
                    <w:jc w:val="center"/>
                    <w:rPr>
                      <w:rFonts w:hint="eastAsia" w:ascii="Times New Roman" w:hAnsi="Times New Roman"/>
                      <w:color w:val="auto"/>
                      <w:kern w:val="0"/>
                      <w:szCs w:val="21"/>
                      <w:highlight w:val="none"/>
                    </w:rPr>
                  </w:pPr>
                </w:p>
              </w:tc>
              <w:tc>
                <w:tcPr>
                  <w:tcW w:w="900" w:type="dxa"/>
                  <w:vMerge w:val="restart"/>
                  <w:shd w:val="clear" w:color="auto" w:fill="auto"/>
                  <w:noWrap w:val="0"/>
                  <w:vAlign w:val="center"/>
                </w:tcPr>
                <w:p w14:paraId="785EB2DE">
                  <w:pPr>
                    <w:adjustRightInd w:val="0"/>
                    <w:snapToGrid w:val="0"/>
                    <w:spacing w:line="280" w:lineRule="exact"/>
                    <w:jc w:val="center"/>
                    <w:rPr>
                      <w:rFonts w:ascii="Times New Roman" w:hAnsi="Times New Roman"/>
                      <w:color w:val="auto"/>
                      <w:kern w:val="0"/>
                      <w:szCs w:val="21"/>
                      <w:highlight w:val="none"/>
                    </w:rPr>
                  </w:pPr>
                  <w:r>
                    <w:rPr>
                      <w:rFonts w:hint="eastAsia" w:ascii="Times New Roman" w:hAnsi="Times New Roman"/>
                      <w:color w:val="auto"/>
                      <w:kern w:val="0"/>
                      <w:szCs w:val="21"/>
                      <w:highlight w:val="none"/>
                    </w:rPr>
                    <w:t>废水</w:t>
                  </w:r>
                </w:p>
              </w:tc>
              <w:tc>
                <w:tcPr>
                  <w:tcW w:w="1750" w:type="dxa"/>
                  <w:shd w:val="clear" w:color="auto" w:fill="auto"/>
                  <w:noWrap w:val="0"/>
                  <w:vAlign w:val="center"/>
                </w:tcPr>
                <w:p w14:paraId="100F2D79">
                  <w:pPr>
                    <w:adjustRightInd w:val="0"/>
                    <w:snapToGrid w:val="0"/>
                    <w:spacing w:line="280" w:lineRule="exact"/>
                    <w:jc w:val="center"/>
                    <w:rPr>
                      <w:rFonts w:hint="default" w:ascii="Times New Roman" w:hAnsi="Times New Roman" w:eastAsia="宋体"/>
                      <w:color w:val="auto"/>
                      <w:kern w:val="0"/>
                      <w:szCs w:val="21"/>
                      <w:highlight w:val="none"/>
                      <w:lang w:val="en-US" w:eastAsia="zh-CN"/>
                    </w:rPr>
                  </w:pPr>
                  <w:r>
                    <w:rPr>
                      <w:rFonts w:hint="eastAsia" w:ascii="Times New Roman" w:hAnsi="Times New Roman"/>
                      <w:color w:val="auto"/>
                      <w:kern w:val="0"/>
                      <w:szCs w:val="21"/>
                      <w:highlight w:val="none"/>
                      <w:lang w:val="en-US" w:eastAsia="zh-CN"/>
                    </w:rPr>
                    <w:t>生活污水</w:t>
                  </w:r>
                </w:p>
              </w:tc>
              <w:tc>
                <w:tcPr>
                  <w:tcW w:w="2717" w:type="dxa"/>
                  <w:vMerge w:val="restart"/>
                  <w:shd w:val="clear" w:color="auto" w:fill="auto"/>
                  <w:noWrap w:val="0"/>
                  <w:vAlign w:val="center"/>
                </w:tcPr>
                <w:p w14:paraId="5AF649B8">
                  <w:pPr>
                    <w:adjustRightInd w:val="0"/>
                    <w:snapToGrid w:val="0"/>
                    <w:spacing w:line="280" w:lineRule="exact"/>
                    <w:jc w:val="center"/>
                    <w:rPr>
                      <w:rFonts w:hint="default" w:ascii="Times New Roman" w:hAnsi="Times New Roman" w:eastAsia="宋体"/>
                      <w:color w:val="auto"/>
                      <w:kern w:val="0"/>
                      <w:szCs w:val="21"/>
                      <w:highlight w:val="none"/>
                      <w:lang w:val="en-US" w:eastAsia="zh-CN"/>
                    </w:rPr>
                  </w:pPr>
                  <w:r>
                    <w:rPr>
                      <w:rFonts w:hint="eastAsia" w:ascii="Times New Roman" w:hAnsi="Times New Roman" w:eastAsia="宋体" w:cs="Times New Roman"/>
                      <w:color w:val="auto"/>
                      <w:kern w:val="0"/>
                      <w:szCs w:val="21"/>
                      <w:highlight w:val="none"/>
                      <w:lang w:val="en-US" w:eastAsia="zh-CN"/>
                    </w:rPr>
                    <w:t>经预处理池处理后汇</w:t>
                  </w:r>
                  <w:r>
                    <w:rPr>
                      <w:rFonts w:hint="eastAsia" w:ascii="Times New Roman" w:hAnsi="Times New Roman"/>
                      <w:color w:val="auto"/>
                      <w:kern w:val="0"/>
                      <w:szCs w:val="21"/>
                      <w:highlight w:val="none"/>
                      <w:lang w:val="en-US" w:eastAsia="zh-CN"/>
                    </w:rPr>
                    <w:t>入园区管网</w:t>
                  </w:r>
                </w:p>
              </w:tc>
              <w:tc>
                <w:tcPr>
                  <w:tcW w:w="1087" w:type="dxa"/>
                  <w:vMerge w:val="restart"/>
                  <w:shd w:val="clear" w:color="auto" w:fill="auto"/>
                  <w:noWrap w:val="0"/>
                  <w:vAlign w:val="center"/>
                </w:tcPr>
                <w:p w14:paraId="17965104">
                  <w:pPr>
                    <w:adjustRightInd w:val="0"/>
                    <w:snapToGrid w:val="0"/>
                    <w:spacing w:line="280" w:lineRule="exact"/>
                    <w:jc w:val="center"/>
                    <w:rPr>
                      <w:rFonts w:hint="default" w:ascii="Times New Roman" w:hAnsi="Times New Roman"/>
                      <w:color w:val="auto"/>
                      <w:kern w:val="0"/>
                      <w:szCs w:val="21"/>
                      <w:highlight w:val="none"/>
                      <w:lang w:val="en-US" w:eastAsia="zh-CN"/>
                    </w:rPr>
                  </w:pPr>
                  <w:r>
                    <w:rPr>
                      <w:rFonts w:hint="eastAsia"/>
                      <w:color w:val="auto"/>
                      <w:kern w:val="0"/>
                      <w:szCs w:val="21"/>
                      <w:highlight w:val="none"/>
                      <w:lang w:val="en-US" w:eastAsia="zh-CN"/>
                    </w:rPr>
                    <w:t>60.0</w:t>
                  </w:r>
                </w:p>
              </w:tc>
              <w:tc>
                <w:tcPr>
                  <w:tcW w:w="759" w:type="dxa"/>
                  <w:vMerge w:val="restart"/>
                  <w:shd w:val="clear" w:color="auto" w:fill="auto"/>
                  <w:noWrap w:val="0"/>
                  <w:vAlign w:val="center"/>
                </w:tcPr>
                <w:p w14:paraId="494F6638">
                  <w:pPr>
                    <w:adjustRightInd w:val="0"/>
                    <w:snapToGrid w:val="0"/>
                    <w:spacing w:line="280" w:lineRule="exact"/>
                    <w:jc w:val="center"/>
                    <w:rPr>
                      <w:rFonts w:hint="eastAsia" w:ascii="Times New Roman" w:hAnsi="Times New Roman"/>
                      <w:color w:val="auto"/>
                      <w:kern w:val="0"/>
                      <w:szCs w:val="21"/>
                      <w:highlight w:val="none"/>
                      <w:lang w:val="en-US" w:eastAsia="zh-CN"/>
                    </w:rPr>
                  </w:pPr>
                  <w:r>
                    <w:rPr>
                      <w:rFonts w:hint="eastAsia" w:ascii="Times New Roman" w:hAnsi="Times New Roman"/>
                      <w:color w:val="auto"/>
                      <w:kern w:val="0"/>
                      <w:szCs w:val="21"/>
                      <w:highlight w:val="none"/>
                    </w:rPr>
                    <w:t>新建</w:t>
                  </w:r>
                </w:p>
              </w:tc>
            </w:tr>
            <w:tr w14:paraId="6472E41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5" w:hRule="atLeast"/>
                <w:jc w:val="center"/>
              </w:trPr>
              <w:tc>
                <w:tcPr>
                  <w:tcW w:w="674" w:type="dxa"/>
                  <w:vMerge w:val="continue"/>
                  <w:shd w:val="clear" w:color="auto" w:fill="auto"/>
                  <w:noWrap w:val="0"/>
                  <w:vAlign w:val="center"/>
                </w:tcPr>
                <w:p w14:paraId="780EE5A9">
                  <w:pPr>
                    <w:adjustRightInd w:val="0"/>
                    <w:snapToGrid w:val="0"/>
                    <w:spacing w:line="280" w:lineRule="exact"/>
                    <w:jc w:val="center"/>
                    <w:rPr>
                      <w:rFonts w:hint="eastAsia" w:ascii="Times New Roman" w:hAnsi="Times New Roman"/>
                      <w:color w:val="auto"/>
                      <w:kern w:val="0"/>
                      <w:szCs w:val="21"/>
                      <w:highlight w:val="none"/>
                    </w:rPr>
                  </w:pPr>
                </w:p>
              </w:tc>
              <w:tc>
                <w:tcPr>
                  <w:tcW w:w="900" w:type="dxa"/>
                  <w:vMerge w:val="continue"/>
                  <w:shd w:val="clear" w:color="auto" w:fill="auto"/>
                  <w:noWrap w:val="0"/>
                  <w:vAlign w:val="center"/>
                </w:tcPr>
                <w:p w14:paraId="0F619070">
                  <w:pPr>
                    <w:adjustRightInd w:val="0"/>
                    <w:snapToGrid w:val="0"/>
                    <w:spacing w:line="280" w:lineRule="exact"/>
                    <w:jc w:val="center"/>
                    <w:rPr>
                      <w:rFonts w:hint="eastAsia" w:ascii="Times New Roman" w:hAnsi="Times New Roman"/>
                      <w:color w:val="auto"/>
                      <w:kern w:val="0"/>
                      <w:szCs w:val="21"/>
                      <w:highlight w:val="none"/>
                    </w:rPr>
                  </w:pPr>
                </w:p>
              </w:tc>
              <w:tc>
                <w:tcPr>
                  <w:tcW w:w="1750" w:type="dxa"/>
                  <w:shd w:val="clear" w:color="auto" w:fill="auto"/>
                  <w:noWrap w:val="0"/>
                  <w:vAlign w:val="center"/>
                </w:tcPr>
                <w:p w14:paraId="7A3619B8">
                  <w:pPr>
                    <w:adjustRightInd w:val="0"/>
                    <w:snapToGrid w:val="0"/>
                    <w:spacing w:line="280" w:lineRule="exact"/>
                    <w:jc w:val="center"/>
                    <w:rPr>
                      <w:rFonts w:hint="default" w:ascii="Times New Roman" w:hAnsi="Times New Roman"/>
                      <w:color w:val="auto"/>
                      <w:kern w:val="0"/>
                      <w:szCs w:val="21"/>
                      <w:highlight w:val="none"/>
                      <w:lang w:val="en-US" w:eastAsia="zh-CN"/>
                    </w:rPr>
                  </w:pPr>
                  <w:r>
                    <w:rPr>
                      <w:rFonts w:hint="eastAsia" w:ascii="Times New Roman" w:hAnsi="Times New Roman"/>
                      <w:color w:val="auto"/>
                      <w:kern w:val="0"/>
                      <w:szCs w:val="21"/>
                      <w:highlight w:val="none"/>
                      <w:lang w:val="en-US" w:eastAsia="zh-CN"/>
                    </w:rPr>
                    <w:t>纯水制备浓水</w:t>
                  </w:r>
                </w:p>
              </w:tc>
              <w:tc>
                <w:tcPr>
                  <w:tcW w:w="2717" w:type="dxa"/>
                  <w:vMerge w:val="continue"/>
                  <w:shd w:val="clear" w:color="auto" w:fill="auto"/>
                  <w:noWrap w:val="0"/>
                  <w:vAlign w:val="center"/>
                </w:tcPr>
                <w:p w14:paraId="6BDC02D3">
                  <w:pPr>
                    <w:adjustRightInd w:val="0"/>
                    <w:snapToGrid w:val="0"/>
                    <w:spacing w:line="280" w:lineRule="exact"/>
                    <w:jc w:val="center"/>
                    <w:rPr>
                      <w:rFonts w:hint="eastAsia" w:ascii="Times New Roman" w:hAnsi="Times New Roman"/>
                      <w:color w:val="auto"/>
                      <w:kern w:val="0"/>
                      <w:szCs w:val="21"/>
                      <w:highlight w:val="none"/>
                    </w:rPr>
                  </w:pPr>
                </w:p>
              </w:tc>
              <w:tc>
                <w:tcPr>
                  <w:tcW w:w="1087" w:type="dxa"/>
                  <w:vMerge w:val="continue"/>
                  <w:shd w:val="clear" w:color="auto" w:fill="auto"/>
                  <w:noWrap w:val="0"/>
                  <w:vAlign w:val="center"/>
                </w:tcPr>
                <w:p w14:paraId="43284F52">
                  <w:pPr>
                    <w:adjustRightInd w:val="0"/>
                    <w:snapToGrid w:val="0"/>
                    <w:spacing w:line="280" w:lineRule="exact"/>
                    <w:jc w:val="center"/>
                    <w:rPr>
                      <w:rFonts w:hint="default" w:ascii="Times New Roman" w:hAnsi="Times New Roman"/>
                      <w:color w:val="auto"/>
                      <w:kern w:val="0"/>
                      <w:szCs w:val="21"/>
                      <w:highlight w:val="none"/>
                      <w:lang w:val="en-US" w:eastAsia="zh-CN"/>
                    </w:rPr>
                  </w:pPr>
                </w:p>
              </w:tc>
              <w:tc>
                <w:tcPr>
                  <w:tcW w:w="759" w:type="dxa"/>
                  <w:vMerge w:val="continue"/>
                  <w:shd w:val="clear" w:color="auto" w:fill="auto"/>
                  <w:noWrap w:val="0"/>
                  <w:vAlign w:val="center"/>
                </w:tcPr>
                <w:p w14:paraId="02A6FE35">
                  <w:pPr>
                    <w:adjustRightInd w:val="0"/>
                    <w:snapToGrid w:val="0"/>
                    <w:spacing w:line="280" w:lineRule="exact"/>
                    <w:jc w:val="center"/>
                    <w:rPr>
                      <w:rFonts w:hint="eastAsia" w:ascii="Times New Roman" w:hAnsi="Times New Roman"/>
                      <w:color w:val="auto"/>
                      <w:kern w:val="0"/>
                      <w:szCs w:val="21"/>
                      <w:highlight w:val="none"/>
                      <w:lang w:val="en-US" w:eastAsia="zh-CN"/>
                    </w:rPr>
                  </w:pPr>
                </w:p>
              </w:tc>
            </w:tr>
            <w:tr w14:paraId="28C5914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98" w:hRule="atLeast"/>
                <w:jc w:val="center"/>
              </w:trPr>
              <w:tc>
                <w:tcPr>
                  <w:tcW w:w="674" w:type="dxa"/>
                  <w:vMerge w:val="continue"/>
                  <w:shd w:val="clear" w:color="auto" w:fill="auto"/>
                  <w:noWrap w:val="0"/>
                  <w:vAlign w:val="center"/>
                </w:tcPr>
                <w:p w14:paraId="0AF57FA3">
                  <w:pPr>
                    <w:adjustRightInd w:val="0"/>
                    <w:snapToGrid w:val="0"/>
                    <w:spacing w:line="280" w:lineRule="exact"/>
                    <w:jc w:val="center"/>
                    <w:rPr>
                      <w:rFonts w:hint="eastAsia" w:ascii="Times New Roman" w:hAnsi="Times New Roman"/>
                      <w:color w:val="auto"/>
                      <w:kern w:val="0"/>
                      <w:szCs w:val="21"/>
                      <w:highlight w:val="none"/>
                    </w:rPr>
                  </w:pPr>
                </w:p>
              </w:tc>
              <w:tc>
                <w:tcPr>
                  <w:tcW w:w="900" w:type="dxa"/>
                  <w:vMerge w:val="continue"/>
                  <w:shd w:val="clear" w:color="auto" w:fill="auto"/>
                  <w:noWrap w:val="0"/>
                  <w:vAlign w:val="center"/>
                </w:tcPr>
                <w:p w14:paraId="5E3F8661">
                  <w:pPr>
                    <w:adjustRightInd w:val="0"/>
                    <w:snapToGrid w:val="0"/>
                    <w:spacing w:line="280" w:lineRule="exact"/>
                    <w:jc w:val="center"/>
                    <w:rPr>
                      <w:rFonts w:hint="eastAsia" w:ascii="Times New Roman" w:hAnsi="Times New Roman"/>
                      <w:color w:val="auto"/>
                      <w:kern w:val="0"/>
                      <w:szCs w:val="21"/>
                      <w:highlight w:val="none"/>
                    </w:rPr>
                  </w:pPr>
                </w:p>
              </w:tc>
              <w:tc>
                <w:tcPr>
                  <w:tcW w:w="1750" w:type="dxa"/>
                  <w:shd w:val="clear" w:color="auto" w:fill="auto"/>
                  <w:noWrap w:val="0"/>
                  <w:vAlign w:val="center"/>
                </w:tcPr>
                <w:p w14:paraId="458133B2">
                  <w:pPr>
                    <w:adjustRightInd w:val="0"/>
                    <w:snapToGrid w:val="0"/>
                    <w:spacing w:line="280" w:lineRule="exact"/>
                    <w:jc w:val="center"/>
                    <w:rPr>
                      <w:rFonts w:hint="default" w:ascii="Times New Roman" w:hAnsi="Times New Roman"/>
                      <w:color w:val="auto"/>
                      <w:kern w:val="0"/>
                      <w:szCs w:val="21"/>
                      <w:highlight w:val="none"/>
                      <w:lang w:val="en-US" w:eastAsia="zh-CN"/>
                    </w:rPr>
                  </w:pPr>
                  <w:r>
                    <w:rPr>
                      <w:rFonts w:hint="eastAsia"/>
                      <w:color w:val="auto"/>
                      <w:kern w:val="0"/>
                      <w:szCs w:val="21"/>
                      <w:highlight w:val="none"/>
                      <w:lang w:val="en-US" w:eastAsia="zh-CN"/>
                    </w:rPr>
                    <w:t>设备清洗废水</w:t>
                  </w:r>
                </w:p>
              </w:tc>
              <w:tc>
                <w:tcPr>
                  <w:tcW w:w="2717" w:type="dxa"/>
                  <w:shd w:val="clear" w:color="auto" w:fill="auto"/>
                  <w:noWrap w:val="0"/>
                  <w:vAlign w:val="center"/>
                </w:tcPr>
                <w:p w14:paraId="5C52B129">
                  <w:pPr>
                    <w:adjustRightInd w:val="0"/>
                    <w:snapToGrid w:val="0"/>
                    <w:spacing w:line="280" w:lineRule="exact"/>
                    <w:jc w:val="center"/>
                    <w:rPr>
                      <w:rFonts w:hint="eastAsia" w:ascii="Times New Roman" w:hAnsi="Times New Roman"/>
                      <w:color w:val="auto"/>
                      <w:kern w:val="0"/>
                      <w:szCs w:val="21"/>
                      <w:highlight w:val="none"/>
                    </w:rPr>
                  </w:pPr>
                  <w:r>
                    <w:rPr>
                      <w:rFonts w:hint="eastAsia"/>
                      <w:color w:val="auto"/>
                      <w:sz w:val="21"/>
                      <w:szCs w:val="21"/>
                      <w:highlight w:val="none"/>
                      <w:shd w:val="clear"/>
                      <w:vertAlign w:val="baseline"/>
                      <w:lang w:val="en-US" w:eastAsia="zh-CN"/>
                    </w:rPr>
                    <w:t>经建设单位厂区内污水处理设施（处理能力6m</w:t>
                  </w:r>
                  <w:r>
                    <w:rPr>
                      <w:rFonts w:hint="eastAsia"/>
                      <w:color w:val="auto"/>
                      <w:sz w:val="21"/>
                      <w:szCs w:val="21"/>
                      <w:highlight w:val="none"/>
                      <w:shd w:val="clear"/>
                      <w:vertAlign w:val="superscript"/>
                      <w:lang w:val="en-US" w:eastAsia="zh-CN"/>
                    </w:rPr>
                    <w:t>3</w:t>
                  </w:r>
                  <w:r>
                    <w:rPr>
                      <w:rFonts w:hint="eastAsia"/>
                      <w:color w:val="auto"/>
                      <w:sz w:val="21"/>
                      <w:szCs w:val="21"/>
                      <w:highlight w:val="none"/>
                      <w:shd w:val="clear"/>
                      <w:vertAlign w:val="baseline"/>
                      <w:lang w:val="en-US" w:eastAsia="zh-CN"/>
                    </w:rPr>
                    <w:t>/d）处理后与生活污水、纯水制备浓水经厂区废水总排口排入</w:t>
                  </w:r>
                  <w:r>
                    <w:rPr>
                      <w:rFonts w:hint="default"/>
                      <w:color w:val="auto"/>
                      <w:sz w:val="21"/>
                      <w:szCs w:val="21"/>
                      <w:highlight w:val="none"/>
                      <w:shd w:val="clear"/>
                      <w:vertAlign w:val="baseline"/>
                      <w:lang w:val="en-US" w:eastAsia="zh-CN"/>
                    </w:rPr>
                    <w:t>巴中经开区污水处理厂</w:t>
                  </w:r>
                  <w:r>
                    <w:rPr>
                      <w:rFonts w:hint="eastAsia"/>
                      <w:color w:val="auto"/>
                      <w:sz w:val="21"/>
                      <w:szCs w:val="21"/>
                      <w:highlight w:val="none"/>
                      <w:shd w:val="clear"/>
                      <w:vertAlign w:val="baseline"/>
                      <w:lang w:val="en-US" w:eastAsia="zh-CN"/>
                    </w:rPr>
                    <w:t>处理</w:t>
                  </w:r>
                </w:p>
              </w:tc>
              <w:tc>
                <w:tcPr>
                  <w:tcW w:w="1087" w:type="dxa"/>
                  <w:vMerge w:val="continue"/>
                  <w:shd w:val="clear" w:color="auto" w:fill="auto"/>
                  <w:noWrap w:val="0"/>
                  <w:vAlign w:val="center"/>
                </w:tcPr>
                <w:p w14:paraId="4CAEF505">
                  <w:pPr>
                    <w:adjustRightInd w:val="0"/>
                    <w:snapToGrid w:val="0"/>
                    <w:spacing w:line="280" w:lineRule="exact"/>
                    <w:jc w:val="center"/>
                    <w:rPr>
                      <w:rFonts w:hint="eastAsia" w:ascii="Times New Roman" w:hAnsi="Times New Roman"/>
                      <w:color w:val="auto"/>
                      <w:kern w:val="0"/>
                      <w:szCs w:val="21"/>
                      <w:highlight w:val="none"/>
                      <w:lang w:val="en-US" w:eastAsia="zh-CN"/>
                    </w:rPr>
                  </w:pPr>
                </w:p>
              </w:tc>
              <w:tc>
                <w:tcPr>
                  <w:tcW w:w="759" w:type="dxa"/>
                  <w:shd w:val="clear" w:color="auto" w:fill="auto"/>
                  <w:noWrap w:val="0"/>
                  <w:vAlign w:val="center"/>
                </w:tcPr>
                <w:p w14:paraId="40C2ECFD">
                  <w:pPr>
                    <w:adjustRightInd w:val="0"/>
                    <w:snapToGrid w:val="0"/>
                    <w:spacing w:line="280" w:lineRule="exact"/>
                    <w:jc w:val="center"/>
                    <w:rPr>
                      <w:rFonts w:hint="eastAsia" w:ascii="Times New Roman" w:hAnsi="Times New Roman"/>
                      <w:color w:val="auto"/>
                      <w:kern w:val="0"/>
                      <w:szCs w:val="21"/>
                      <w:highlight w:val="none"/>
                      <w:lang w:val="en-US" w:eastAsia="zh-CN"/>
                    </w:rPr>
                  </w:pPr>
                  <w:r>
                    <w:rPr>
                      <w:rFonts w:hint="eastAsia" w:ascii="Times New Roman" w:hAnsi="Times New Roman"/>
                      <w:color w:val="auto"/>
                      <w:kern w:val="0"/>
                      <w:szCs w:val="21"/>
                      <w:highlight w:val="none"/>
                    </w:rPr>
                    <w:t>新建</w:t>
                  </w:r>
                </w:p>
              </w:tc>
            </w:tr>
            <w:tr w14:paraId="309BC9C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74" w:type="dxa"/>
                  <w:vMerge w:val="continue"/>
                  <w:shd w:val="clear" w:color="auto" w:fill="auto"/>
                  <w:noWrap w:val="0"/>
                  <w:vAlign w:val="center"/>
                </w:tcPr>
                <w:p w14:paraId="02BC85D9">
                  <w:pPr>
                    <w:adjustRightInd w:val="0"/>
                    <w:snapToGrid w:val="0"/>
                    <w:spacing w:line="280" w:lineRule="exact"/>
                    <w:jc w:val="center"/>
                    <w:rPr>
                      <w:rFonts w:hint="eastAsia" w:ascii="Times New Roman" w:hAnsi="Times New Roman"/>
                      <w:color w:val="auto"/>
                      <w:kern w:val="0"/>
                      <w:szCs w:val="21"/>
                      <w:highlight w:val="none"/>
                    </w:rPr>
                  </w:pPr>
                </w:p>
              </w:tc>
              <w:tc>
                <w:tcPr>
                  <w:tcW w:w="900" w:type="dxa"/>
                  <w:shd w:val="clear" w:color="auto" w:fill="auto"/>
                  <w:noWrap w:val="0"/>
                  <w:vAlign w:val="center"/>
                </w:tcPr>
                <w:p w14:paraId="51ADDF82">
                  <w:pPr>
                    <w:adjustRightInd w:val="0"/>
                    <w:snapToGrid w:val="0"/>
                    <w:spacing w:line="280" w:lineRule="exact"/>
                    <w:jc w:val="center"/>
                    <w:rPr>
                      <w:rFonts w:ascii="Times New Roman" w:hAnsi="Times New Roman"/>
                      <w:color w:val="auto"/>
                      <w:kern w:val="0"/>
                      <w:szCs w:val="21"/>
                      <w:highlight w:val="none"/>
                    </w:rPr>
                  </w:pPr>
                  <w:r>
                    <w:rPr>
                      <w:rFonts w:hint="eastAsia" w:ascii="Times New Roman" w:hAnsi="Times New Roman"/>
                      <w:color w:val="auto"/>
                      <w:kern w:val="0"/>
                      <w:szCs w:val="21"/>
                      <w:highlight w:val="none"/>
                    </w:rPr>
                    <w:t>噪声</w:t>
                  </w:r>
                </w:p>
              </w:tc>
              <w:tc>
                <w:tcPr>
                  <w:tcW w:w="1750" w:type="dxa"/>
                  <w:shd w:val="clear" w:color="auto" w:fill="auto"/>
                  <w:noWrap w:val="0"/>
                  <w:vAlign w:val="center"/>
                </w:tcPr>
                <w:p w14:paraId="178144C5">
                  <w:pPr>
                    <w:adjustRightInd w:val="0"/>
                    <w:snapToGrid w:val="0"/>
                    <w:spacing w:line="280" w:lineRule="exact"/>
                    <w:jc w:val="center"/>
                    <w:rPr>
                      <w:rFonts w:hint="eastAsia" w:ascii="Times New Roman" w:hAnsi="Times New Roman"/>
                      <w:color w:val="auto"/>
                      <w:kern w:val="0"/>
                      <w:szCs w:val="21"/>
                      <w:highlight w:val="none"/>
                    </w:rPr>
                  </w:pPr>
                  <w:r>
                    <w:rPr>
                      <w:rFonts w:ascii="Times New Roman"/>
                      <w:snapToGrid w:val="0"/>
                      <w:color w:val="auto"/>
                      <w:szCs w:val="21"/>
                      <w:highlight w:val="none"/>
                    </w:rPr>
                    <w:t>降低噪声源</w:t>
                  </w:r>
                </w:p>
              </w:tc>
              <w:tc>
                <w:tcPr>
                  <w:tcW w:w="2717" w:type="dxa"/>
                  <w:shd w:val="clear" w:color="auto" w:fill="auto"/>
                  <w:noWrap w:val="0"/>
                  <w:vAlign w:val="center"/>
                </w:tcPr>
                <w:p w14:paraId="1D4A0886">
                  <w:pPr>
                    <w:adjustRightInd w:val="0"/>
                    <w:snapToGrid w:val="0"/>
                    <w:spacing w:line="280" w:lineRule="exact"/>
                    <w:jc w:val="center"/>
                    <w:rPr>
                      <w:rFonts w:hint="default" w:ascii="Times New Roman" w:hAnsi="Times New Roman" w:eastAsia="宋体"/>
                      <w:color w:val="auto"/>
                      <w:kern w:val="0"/>
                      <w:szCs w:val="21"/>
                      <w:highlight w:val="none"/>
                      <w:lang w:val="en-US" w:eastAsia="zh-CN"/>
                    </w:rPr>
                  </w:pPr>
                  <w:r>
                    <w:rPr>
                      <w:rFonts w:hint="eastAsia" w:ascii="宋体" w:hAnsi="宋体" w:eastAsia="宋体"/>
                      <w:color w:val="auto"/>
                      <w:sz w:val="21"/>
                      <w:szCs w:val="24"/>
                    </w:rPr>
                    <w:t>选择低噪声设备、加强管理、基础减振，</w:t>
                  </w:r>
                  <w:r>
                    <w:rPr>
                      <w:rFonts w:hint="eastAsia" w:ascii="宋体" w:hAnsi="宋体" w:eastAsia="宋体"/>
                      <w:color w:val="auto"/>
                      <w:sz w:val="21"/>
                      <w:szCs w:val="24"/>
                      <w:lang w:val="en-US" w:eastAsia="zh-CN"/>
                    </w:rPr>
                    <w:t>合理布局等</w:t>
                  </w:r>
                </w:p>
              </w:tc>
              <w:tc>
                <w:tcPr>
                  <w:tcW w:w="1087" w:type="dxa"/>
                  <w:shd w:val="clear" w:color="auto" w:fill="auto"/>
                  <w:noWrap w:val="0"/>
                  <w:vAlign w:val="center"/>
                </w:tcPr>
                <w:p w14:paraId="3BB5358A">
                  <w:pPr>
                    <w:adjustRightInd w:val="0"/>
                    <w:snapToGrid w:val="0"/>
                    <w:spacing w:line="280" w:lineRule="exact"/>
                    <w:jc w:val="center"/>
                    <w:rPr>
                      <w:rFonts w:hint="default" w:ascii="Times New Roman" w:hAnsi="Times New Roman" w:eastAsia="宋体"/>
                      <w:color w:val="auto"/>
                      <w:kern w:val="0"/>
                      <w:szCs w:val="21"/>
                      <w:highlight w:val="none"/>
                      <w:lang w:val="en-US" w:eastAsia="zh-CN"/>
                    </w:rPr>
                  </w:pPr>
                  <w:r>
                    <w:rPr>
                      <w:rFonts w:hint="eastAsia"/>
                      <w:color w:val="auto"/>
                      <w:kern w:val="0"/>
                      <w:szCs w:val="21"/>
                      <w:highlight w:val="none"/>
                      <w:lang w:val="en-US" w:eastAsia="zh-CN"/>
                    </w:rPr>
                    <w:t>40.0</w:t>
                  </w:r>
                </w:p>
              </w:tc>
              <w:tc>
                <w:tcPr>
                  <w:tcW w:w="759" w:type="dxa"/>
                  <w:shd w:val="clear" w:color="auto" w:fill="auto"/>
                  <w:noWrap w:val="0"/>
                  <w:vAlign w:val="center"/>
                </w:tcPr>
                <w:p w14:paraId="16DEA130">
                  <w:pPr>
                    <w:adjustRightInd w:val="0"/>
                    <w:snapToGrid w:val="0"/>
                    <w:spacing w:line="280" w:lineRule="exact"/>
                    <w:jc w:val="center"/>
                    <w:rPr>
                      <w:rFonts w:hint="eastAsia" w:ascii="Times New Roman" w:hAnsi="Times New Roman"/>
                      <w:color w:val="auto"/>
                      <w:kern w:val="0"/>
                      <w:szCs w:val="21"/>
                      <w:highlight w:val="none"/>
                    </w:rPr>
                  </w:pPr>
                  <w:r>
                    <w:rPr>
                      <w:rFonts w:hint="eastAsia" w:ascii="Times New Roman" w:hAnsi="Times New Roman"/>
                      <w:color w:val="auto"/>
                      <w:kern w:val="0"/>
                      <w:szCs w:val="21"/>
                      <w:highlight w:val="none"/>
                    </w:rPr>
                    <w:t>新建</w:t>
                  </w:r>
                </w:p>
              </w:tc>
            </w:tr>
            <w:tr w14:paraId="6647C14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39" w:hRule="atLeast"/>
                <w:jc w:val="center"/>
              </w:trPr>
              <w:tc>
                <w:tcPr>
                  <w:tcW w:w="674" w:type="dxa"/>
                  <w:vMerge w:val="continue"/>
                  <w:shd w:val="clear" w:color="auto" w:fill="auto"/>
                  <w:noWrap w:val="0"/>
                  <w:vAlign w:val="center"/>
                </w:tcPr>
                <w:p w14:paraId="47B7F55C">
                  <w:pPr>
                    <w:adjustRightInd w:val="0"/>
                    <w:snapToGrid w:val="0"/>
                    <w:spacing w:line="280" w:lineRule="exact"/>
                    <w:jc w:val="center"/>
                    <w:rPr>
                      <w:rFonts w:hint="eastAsia" w:ascii="Times New Roman" w:hAnsi="Times New Roman"/>
                      <w:color w:val="auto"/>
                      <w:kern w:val="0"/>
                      <w:szCs w:val="21"/>
                      <w:highlight w:val="none"/>
                      <w:lang w:val="en-US" w:eastAsia="zh-CN"/>
                    </w:rPr>
                  </w:pPr>
                </w:p>
              </w:tc>
              <w:tc>
                <w:tcPr>
                  <w:tcW w:w="900" w:type="dxa"/>
                  <w:vMerge w:val="restart"/>
                  <w:shd w:val="clear" w:color="auto" w:fill="auto"/>
                  <w:noWrap w:val="0"/>
                  <w:vAlign w:val="center"/>
                </w:tcPr>
                <w:p w14:paraId="40E08C78">
                  <w:pPr>
                    <w:adjustRightInd w:val="0"/>
                    <w:snapToGrid w:val="0"/>
                    <w:spacing w:line="280" w:lineRule="exact"/>
                    <w:jc w:val="center"/>
                    <w:rPr>
                      <w:rFonts w:hint="eastAsia" w:ascii="Times New Roman" w:hAnsi="Times New Roman" w:eastAsia="宋体"/>
                      <w:color w:val="auto"/>
                      <w:kern w:val="0"/>
                      <w:szCs w:val="21"/>
                      <w:highlight w:val="none"/>
                      <w:lang w:val="en-US" w:eastAsia="zh-CN"/>
                    </w:rPr>
                  </w:pPr>
                  <w:r>
                    <w:rPr>
                      <w:rFonts w:hint="eastAsia" w:ascii="Times New Roman" w:hAnsi="Times New Roman"/>
                      <w:color w:val="auto"/>
                      <w:kern w:val="0"/>
                      <w:szCs w:val="21"/>
                      <w:highlight w:val="none"/>
                      <w:lang w:val="en-US" w:eastAsia="zh-CN"/>
                    </w:rPr>
                    <w:t>固废</w:t>
                  </w:r>
                </w:p>
              </w:tc>
              <w:tc>
                <w:tcPr>
                  <w:tcW w:w="1750" w:type="dxa"/>
                  <w:shd w:val="clear" w:color="auto" w:fill="auto"/>
                  <w:noWrap w:val="0"/>
                  <w:vAlign w:val="center"/>
                </w:tcPr>
                <w:p w14:paraId="05C4837C">
                  <w:pPr>
                    <w:adjustRightInd w:val="0"/>
                    <w:snapToGrid w:val="0"/>
                    <w:spacing w:line="280" w:lineRule="exact"/>
                    <w:jc w:val="center"/>
                    <w:rPr>
                      <w:rFonts w:hint="default" w:ascii="Times New Roman" w:eastAsia="宋体"/>
                      <w:snapToGrid w:val="0"/>
                      <w:color w:val="auto"/>
                      <w:szCs w:val="21"/>
                      <w:highlight w:val="none"/>
                      <w:lang w:val="en-US" w:eastAsia="zh-CN"/>
                    </w:rPr>
                  </w:pPr>
                  <w:r>
                    <w:rPr>
                      <w:rFonts w:hint="eastAsia"/>
                      <w:snapToGrid w:val="0"/>
                      <w:color w:val="auto"/>
                      <w:szCs w:val="21"/>
                      <w:highlight w:val="none"/>
                      <w:lang w:val="en-US" w:eastAsia="zh-CN"/>
                    </w:rPr>
                    <w:t>生活垃圾</w:t>
                  </w:r>
                </w:p>
              </w:tc>
              <w:tc>
                <w:tcPr>
                  <w:tcW w:w="2717" w:type="dxa"/>
                  <w:shd w:val="clear" w:color="auto" w:fill="auto"/>
                  <w:noWrap w:val="0"/>
                  <w:vAlign w:val="center"/>
                </w:tcPr>
                <w:p w14:paraId="04E11AE1">
                  <w:pPr>
                    <w:adjustRightInd w:val="0"/>
                    <w:snapToGrid w:val="0"/>
                    <w:spacing w:line="280" w:lineRule="exact"/>
                    <w:jc w:val="center"/>
                    <w:rPr>
                      <w:rFonts w:hint="default" w:ascii="Times New Roman" w:eastAsia="宋体"/>
                      <w:snapToGrid w:val="0"/>
                      <w:color w:val="auto"/>
                      <w:szCs w:val="21"/>
                      <w:highlight w:val="none"/>
                      <w:lang w:val="en-US" w:eastAsia="zh-CN"/>
                    </w:rPr>
                  </w:pPr>
                  <w:r>
                    <w:rPr>
                      <w:rFonts w:hint="eastAsia"/>
                      <w:snapToGrid w:val="0"/>
                      <w:color w:val="auto"/>
                      <w:szCs w:val="21"/>
                      <w:highlight w:val="none"/>
                      <w:lang w:val="en-US" w:eastAsia="zh-CN"/>
                    </w:rPr>
                    <w:t>经收集后交由当地环卫部门清运处理</w:t>
                  </w:r>
                </w:p>
              </w:tc>
              <w:tc>
                <w:tcPr>
                  <w:tcW w:w="1087" w:type="dxa"/>
                  <w:vMerge w:val="restart"/>
                  <w:shd w:val="clear" w:color="auto" w:fill="auto"/>
                  <w:noWrap w:val="0"/>
                  <w:vAlign w:val="center"/>
                </w:tcPr>
                <w:p w14:paraId="0C038325">
                  <w:pPr>
                    <w:adjustRightInd w:val="0"/>
                    <w:snapToGrid w:val="0"/>
                    <w:spacing w:line="280" w:lineRule="exact"/>
                    <w:jc w:val="center"/>
                    <w:rPr>
                      <w:rFonts w:hint="default" w:ascii="Times New Roman" w:hAnsi="Times New Roman" w:eastAsia="宋体"/>
                      <w:color w:val="auto"/>
                      <w:kern w:val="0"/>
                      <w:szCs w:val="21"/>
                      <w:highlight w:val="none"/>
                      <w:lang w:val="en-US" w:eastAsia="zh-CN"/>
                    </w:rPr>
                  </w:pPr>
                  <w:r>
                    <w:rPr>
                      <w:rFonts w:hint="eastAsia"/>
                      <w:color w:val="auto"/>
                      <w:kern w:val="0"/>
                      <w:szCs w:val="21"/>
                      <w:highlight w:val="none"/>
                      <w:lang w:val="en-US" w:eastAsia="zh-CN"/>
                    </w:rPr>
                    <w:t>5.0</w:t>
                  </w:r>
                </w:p>
              </w:tc>
              <w:tc>
                <w:tcPr>
                  <w:tcW w:w="759" w:type="dxa"/>
                  <w:shd w:val="clear" w:color="auto" w:fill="auto"/>
                  <w:noWrap w:val="0"/>
                  <w:vAlign w:val="center"/>
                </w:tcPr>
                <w:p w14:paraId="6CC85C43">
                  <w:pPr>
                    <w:adjustRightInd w:val="0"/>
                    <w:snapToGrid w:val="0"/>
                    <w:spacing w:line="280" w:lineRule="exact"/>
                    <w:jc w:val="center"/>
                    <w:rPr>
                      <w:rFonts w:hint="eastAsia" w:ascii="Times New Roman" w:hAnsi="Times New Roman" w:eastAsia="宋体"/>
                      <w:color w:val="auto"/>
                      <w:kern w:val="0"/>
                      <w:szCs w:val="21"/>
                      <w:highlight w:val="none"/>
                      <w:lang w:val="en-US" w:eastAsia="zh-CN"/>
                    </w:rPr>
                  </w:pPr>
                  <w:r>
                    <w:rPr>
                      <w:rFonts w:hint="eastAsia"/>
                      <w:color w:val="auto"/>
                      <w:kern w:val="0"/>
                      <w:szCs w:val="21"/>
                      <w:highlight w:val="none"/>
                      <w:lang w:val="en-US" w:eastAsia="zh-CN"/>
                    </w:rPr>
                    <w:t>新建</w:t>
                  </w:r>
                </w:p>
              </w:tc>
            </w:tr>
            <w:tr w14:paraId="0327874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39" w:hRule="atLeast"/>
                <w:jc w:val="center"/>
              </w:trPr>
              <w:tc>
                <w:tcPr>
                  <w:tcW w:w="674" w:type="dxa"/>
                  <w:vMerge w:val="continue"/>
                  <w:shd w:val="clear" w:color="auto" w:fill="auto"/>
                  <w:noWrap w:val="0"/>
                  <w:vAlign w:val="center"/>
                </w:tcPr>
                <w:p w14:paraId="0B8CAFB1">
                  <w:pPr>
                    <w:adjustRightInd w:val="0"/>
                    <w:snapToGrid w:val="0"/>
                    <w:spacing w:line="280" w:lineRule="exact"/>
                    <w:jc w:val="center"/>
                    <w:rPr>
                      <w:rFonts w:hint="eastAsia" w:ascii="Times New Roman" w:hAnsi="Times New Roman"/>
                      <w:color w:val="auto"/>
                      <w:kern w:val="0"/>
                      <w:szCs w:val="21"/>
                      <w:highlight w:val="none"/>
                      <w:lang w:val="en-US" w:eastAsia="zh-CN"/>
                    </w:rPr>
                  </w:pPr>
                </w:p>
              </w:tc>
              <w:tc>
                <w:tcPr>
                  <w:tcW w:w="900" w:type="dxa"/>
                  <w:vMerge w:val="continue"/>
                  <w:shd w:val="clear" w:color="auto" w:fill="auto"/>
                  <w:noWrap w:val="0"/>
                  <w:vAlign w:val="center"/>
                </w:tcPr>
                <w:p w14:paraId="17642A67">
                  <w:pPr>
                    <w:adjustRightInd w:val="0"/>
                    <w:snapToGrid w:val="0"/>
                    <w:spacing w:line="280" w:lineRule="exact"/>
                    <w:jc w:val="center"/>
                    <w:rPr>
                      <w:rFonts w:hint="eastAsia" w:ascii="Times New Roman" w:hAnsi="Times New Roman"/>
                      <w:color w:val="auto"/>
                      <w:kern w:val="0"/>
                      <w:szCs w:val="21"/>
                      <w:highlight w:val="none"/>
                      <w:lang w:val="en-US" w:eastAsia="zh-CN"/>
                    </w:rPr>
                  </w:pPr>
                </w:p>
              </w:tc>
              <w:tc>
                <w:tcPr>
                  <w:tcW w:w="1750" w:type="dxa"/>
                  <w:shd w:val="clear" w:color="auto" w:fill="auto"/>
                  <w:noWrap w:val="0"/>
                  <w:vAlign w:val="center"/>
                </w:tcPr>
                <w:p w14:paraId="54410176">
                  <w:pPr>
                    <w:adjustRightInd w:val="0"/>
                    <w:snapToGrid w:val="0"/>
                    <w:spacing w:line="280" w:lineRule="exact"/>
                    <w:jc w:val="center"/>
                    <w:rPr>
                      <w:rFonts w:hint="default" w:ascii="Times New Roman" w:hAnsi="Times New Roman" w:eastAsia="宋体" w:cs="Times New Roman"/>
                      <w:snapToGrid w:val="0"/>
                      <w:color w:val="auto"/>
                      <w:szCs w:val="21"/>
                      <w:highlight w:val="none"/>
                      <w:lang w:val="en-US" w:eastAsia="zh-CN"/>
                    </w:rPr>
                  </w:pPr>
                  <w:r>
                    <w:rPr>
                      <w:rFonts w:hint="eastAsia" w:ascii="Times New Roman" w:hAnsi="Times New Roman" w:eastAsia="宋体" w:cs="Times New Roman"/>
                      <w:snapToGrid w:val="0"/>
                      <w:color w:val="auto"/>
                      <w:szCs w:val="21"/>
                      <w:highlight w:val="none"/>
                      <w:lang w:val="en-US" w:eastAsia="zh-CN"/>
                    </w:rPr>
                    <w:t>预处理池污泥</w:t>
                  </w:r>
                </w:p>
              </w:tc>
              <w:tc>
                <w:tcPr>
                  <w:tcW w:w="2717" w:type="dxa"/>
                  <w:shd w:val="clear" w:color="auto" w:fill="auto"/>
                  <w:noWrap w:val="0"/>
                  <w:vAlign w:val="center"/>
                </w:tcPr>
                <w:p w14:paraId="0EBBB350">
                  <w:pPr>
                    <w:adjustRightInd w:val="0"/>
                    <w:snapToGrid w:val="0"/>
                    <w:spacing w:line="280" w:lineRule="exact"/>
                    <w:jc w:val="center"/>
                    <w:rPr>
                      <w:rFonts w:hint="eastAsia" w:ascii="Times New Roman" w:hAnsi="Times New Roman" w:eastAsia="宋体" w:cs="Times New Roman"/>
                      <w:snapToGrid w:val="0"/>
                      <w:color w:val="auto"/>
                      <w:szCs w:val="21"/>
                      <w:highlight w:val="none"/>
                      <w:lang w:val="en-US" w:eastAsia="zh-CN"/>
                    </w:rPr>
                  </w:pPr>
                  <w:r>
                    <w:rPr>
                      <w:rFonts w:hint="eastAsia" w:ascii="Times New Roman" w:hAnsi="Times New Roman" w:eastAsia="宋体" w:cs="Times New Roman"/>
                      <w:snapToGrid w:val="0"/>
                      <w:color w:val="auto"/>
                      <w:szCs w:val="21"/>
                      <w:highlight w:val="none"/>
                      <w:lang w:val="en-US" w:eastAsia="zh-CN"/>
                    </w:rPr>
                    <w:t>委托有能力的单位转运处置</w:t>
                  </w:r>
                </w:p>
              </w:tc>
              <w:tc>
                <w:tcPr>
                  <w:tcW w:w="1087" w:type="dxa"/>
                  <w:vMerge w:val="continue"/>
                  <w:shd w:val="clear" w:color="auto" w:fill="auto"/>
                  <w:noWrap w:val="0"/>
                  <w:vAlign w:val="center"/>
                </w:tcPr>
                <w:p w14:paraId="193C2515">
                  <w:pPr>
                    <w:adjustRightInd w:val="0"/>
                    <w:snapToGrid w:val="0"/>
                    <w:spacing w:line="280" w:lineRule="exact"/>
                    <w:jc w:val="center"/>
                    <w:rPr>
                      <w:rFonts w:hint="eastAsia"/>
                      <w:color w:val="auto"/>
                      <w:kern w:val="0"/>
                      <w:szCs w:val="21"/>
                      <w:highlight w:val="none"/>
                      <w:lang w:val="en-US" w:eastAsia="zh-CN"/>
                    </w:rPr>
                  </w:pPr>
                </w:p>
              </w:tc>
              <w:tc>
                <w:tcPr>
                  <w:tcW w:w="759" w:type="dxa"/>
                  <w:shd w:val="clear" w:color="auto" w:fill="auto"/>
                  <w:noWrap w:val="0"/>
                  <w:vAlign w:val="center"/>
                </w:tcPr>
                <w:p w14:paraId="01ABB072">
                  <w:pPr>
                    <w:adjustRightInd w:val="0"/>
                    <w:snapToGrid w:val="0"/>
                    <w:spacing w:line="280" w:lineRule="exact"/>
                    <w:jc w:val="center"/>
                    <w:rPr>
                      <w:rFonts w:hint="default"/>
                      <w:color w:val="auto"/>
                      <w:kern w:val="0"/>
                      <w:szCs w:val="21"/>
                      <w:highlight w:val="none"/>
                      <w:lang w:val="en-US" w:eastAsia="zh-CN"/>
                    </w:rPr>
                  </w:pPr>
                  <w:r>
                    <w:rPr>
                      <w:rFonts w:hint="eastAsia"/>
                      <w:color w:val="auto"/>
                      <w:kern w:val="0"/>
                      <w:szCs w:val="21"/>
                      <w:highlight w:val="none"/>
                      <w:lang w:val="en-US" w:eastAsia="zh-CN"/>
                    </w:rPr>
                    <w:t>新建</w:t>
                  </w:r>
                </w:p>
              </w:tc>
            </w:tr>
            <w:tr w14:paraId="2B7AF14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309" w:hRule="atLeast"/>
                <w:jc w:val="center"/>
              </w:trPr>
              <w:tc>
                <w:tcPr>
                  <w:tcW w:w="674" w:type="dxa"/>
                  <w:vMerge w:val="continue"/>
                  <w:shd w:val="clear" w:color="auto" w:fill="auto"/>
                  <w:noWrap w:val="0"/>
                  <w:vAlign w:val="center"/>
                </w:tcPr>
                <w:p w14:paraId="4B50E0B7">
                  <w:pPr>
                    <w:adjustRightInd w:val="0"/>
                    <w:snapToGrid w:val="0"/>
                    <w:spacing w:line="280" w:lineRule="exact"/>
                    <w:jc w:val="center"/>
                    <w:rPr>
                      <w:rFonts w:hint="eastAsia" w:ascii="Times New Roman" w:hAnsi="Times New Roman"/>
                      <w:color w:val="auto"/>
                      <w:kern w:val="0"/>
                      <w:szCs w:val="21"/>
                      <w:highlight w:val="none"/>
                      <w:lang w:val="en-US" w:eastAsia="zh-CN"/>
                    </w:rPr>
                  </w:pPr>
                </w:p>
              </w:tc>
              <w:tc>
                <w:tcPr>
                  <w:tcW w:w="900" w:type="dxa"/>
                  <w:vMerge w:val="continue"/>
                  <w:shd w:val="clear" w:color="auto" w:fill="auto"/>
                  <w:noWrap w:val="0"/>
                  <w:vAlign w:val="center"/>
                </w:tcPr>
                <w:p w14:paraId="7AFA0BEC">
                  <w:pPr>
                    <w:adjustRightInd w:val="0"/>
                    <w:snapToGrid w:val="0"/>
                    <w:spacing w:line="280" w:lineRule="exact"/>
                    <w:jc w:val="center"/>
                    <w:rPr>
                      <w:rFonts w:hint="eastAsia" w:ascii="Times New Roman" w:hAnsi="Times New Roman"/>
                      <w:color w:val="auto"/>
                      <w:kern w:val="0"/>
                      <w:szCs w:val="21"/>
                      <w:highlight w:val="none"/>
                      <w:lang w:val="en-US" w:eastAsia="zh-CN"/>
                    </w:rPr>
                  </w:pPr>
                </w:p>
              </w:tc>
              <w:tc>
                <w:tcPr>
                  <w:tcW w:w="1750" w:type="dxa"/>
                  <w:shd w:val="clear" w:color="auto" w:fill="auto"/>
                  <w:noWrap w:val="0"/>
                  <w:vAlign w:val="center"/>
                </w:tcPr>
                <w:p w14:paraId="082416AE">
                  <w:pPr>
                    <w:adjustRightInd w:val="0"/>
                    <w:snapToGrid w:val="0"/>
                    <w:spacing w:line="280" w:lineRule="exact"/>
                    <w:jc w:val="center"/>
                    <w:rPr>
                      <w:rFonts w:hint="eastAsia" w:ascii="Times New Roman" w:eastAsia="宋体"/>
                      <w:snapToGrid w:val="0"/>
                      <w:color w:val="auto"/>
                      <w:szCs w:val="21"/>
                      <w:highlight w:val="none"/>
                      <w:lang w:eastAsia="zh-CN"/>
                    </w:rPr>
                  </w:pPr>
                  <w:r>
                    <w:rPr>
                      <w:rFonts w:hint="eastAsia" w:ascii="Times New Roman"/>
                      <w:snapToGrid w:val="0"/>
                      <w:color w:val="auto"/>
                      <w:szCs w:val="21"/>
                      <w:highlight w:val="none"/>
                    </w:rPr>
                    <w:t>危废</w:t>
                  </w:r>
                  <w:r>
                    <w:rPr>
                      <w:rFonts w:hint="eastAsia"/>
                      <w:snapToGrid w:val="0"/>
                      <w:color w:val="auto"/>
                      <w:szCs w:val="21"/>
                      <w:highlight w:val="none"/>
                      <w:lang w:val="en-US" w:eastAsia="zh-CN"/>
                    </w:rPr>
                    <w:t>库</w:t>
                  </w:r>
                </w:p>
              </w:tc>
              <w:tc>
                <w:tcPr>
                  <w:tcW w:w="2717" w:type="dxa"/>
                  <w:shd w:val="clear" w:color="auto" w:fill="auto"/>
                  <w:noWrap w:val="0"/>
                  <w:vAlign w:val="center"/>
                </w:tcPr>
                <w:p w14:paraId="3922DA66">
                  <w:pPr>
                    <w:adjustRightInd w:val="0"/>
                    <w:snapToGrid w:val="0"/>
                    <w:spacing w:line="280" w:lineRule="exact"/>
                    <w:jc w:val="center"/>
                    <w:rPr>
                      <w:rFonts w:hint="eastAsia" w:ascii="Times New Roman"/>
                      <w:snapToGrid w:val="0"/>
                      <w:color w:val="auto"/>
                      <w:szCs w:val="21"/>
                      <w:highlight w:val="none"/>
                      <w:lang w:val="en-US" w:eastAsia="zh-CN"/>
                    </w:rPr>
                  </w:pPr>
                  <w:r>
                    <w:rPr>
                      <w:rFonts w:hint="eastAsia" w:ascii="Times New Roman"/>
                      <w:snapToGrid w:val="0"/>
                      <w:color w:val="auto"/>
                      <w:szCs w:val="21"/>
                      <w:highlight w:val="none"/>
                      <w:lang w:val="en-US" w:eastAsia="zh-CN"/>
                    </w:rPr>
                    <w:t>位于</w:t>
                  </w:r>
                  <w:r>
                    <w:rPr>
                      <w:rFonts w:hint="eastAsia"/>
                      <w:snapToGrid w:val="0"/>
                      <w:color w:val="auto"/>
                      <w:szCs w:val="21"/>
                      <w:highlight w:val="none"/>
                      <w:lang w:val="en-US" w:eastAsia="zh-CN"/>
                    </w:rPr>
                    <w:t>电芯车间东</w:t>
                  </w:r>
                  <w:r>
                    <w:rPr>
                      <w:rFonts w:hint="eastAsia" w:ascii="Times New Roman"/>
                      <w:snapToGrid w:val="0"/>
                      <w:color w:val="auto"/>
                      <w:szCs w:val="21"/>
                      <w:highlight w:val="none"/>
                      <w:lang w:val="en-US" w:eastAsia="zh-CN"/>
                    </w:rPr>
                    <w:t>侧新建1间</w:t>
                  </w:r>
                  <w:r>
                    <w:rPr>
                      <w:rFonts w:hint="eastAsia"/>
                      <w:snapToGrid w:val="0"/>
                      <w:color w:val="auto"/>
                      <w:szCs w:val="21"/>
                      <w:highlight w:val="none"/>
                      <w:lang w:val="en-US" w:eastAsia="zh-CN"/>
                    </w:rPr>
                    <w:t>111.99</w:t>
                  </w:r>
                  <w:r>
                    <w:rPr>
                      <w:rFonts w:hint="eastAsia" w:ascii="Times New Roman"/>
                      <w:snapToGrid w:val="0"/>
                      <w:color w:val="auto"/>
                      <w:szCs w:val="21"/>
                      <w:highlight w:val="none"/>
                      <w:lang w:val="en-US" w:eastAsia="zh-CN"/>
                    </w:rPr>
                    <w:t>m</w:t>
                  </w:r>
                  <w:r>
                    <w:rPr>
                      <w:rFonts w:hint="eastAsia" w:ascii="Times New Roman"/>
                      <w:snapToGrid w:val="0"/>
                      <w:color w:val="auto"/>
                      <w:szCs w:val="21"/>
                      <w:highlight w:val="none"/>
                      <w:vertAlign w:val="superscript"/>
                      <w:lang w:val="en-US" w:eastAsia="zh-CN"/>
                    </w:rPr>
                    <w:t>2</w:t>
                  </w:r>
                  <w:r>
                    <w:rPr>
                      <w:rFonts w:hint="eastAsia"/>
                      <w:snapToGrid w:val="0"/>
                      <w:color w:val="auto"/>
                      <w:szCs w:val="21"/>
                      <w:highlight w:val="none"/>
                      <w:lang w:val="en-US" w:eastAsia="zh-CN"/>
                    </w:rPr>
                    <w:t>危废库</w:t>
                  </w:r>
                  <w:r>
                    <w:rPr>
                      <w:rFonts w:hint="eastAsia" w:ascii="Times New Roman"/>
                      <w:snapToGrid w:val="0"/>
                      <w:color w:val="auto"/>
                      <w:szCs w:val="21"/>
                      <w:highlight w:val="none"/>
                      <w:lang w:val="en-US" w:eastAsia="zh-CN"/>
                    </w:rPr>
                    <w:t>，危废经收集后暂存于</w:t>
                  </w:r>
                  <w:r>
                    <w:rPr>
                      <w:rFonts w:hint="eastAsia"/>
                      <w:snapToGrid w:val="0"/>
                      <w:color w:val="auto"/>
                      <w:szCs w:val="21"/>
                      <w:highlight w:val="none"/>
                      <w:lang w:val="en-US" w:eastAsia="zh-CN"/>
                    </w:rPr>
                    <w:t>危废库</w:t>
                  </w:r>
                  <w:r>
                    <w:rPr>
                      <w:rFonts w:hint="eastAsia" w:ascii="Times New Roman"/>
                      <w:snapToGrid w:val="0"/>
                      <w:color w:val="auto"/>
                      <w:szCs w:val="21"/>
                      <w:highlight w:val="none"/>
                      <w:lang w:val="en-US" w:eastAsia="zh-CN"/>
                    </w:rPr>
                    <w:t>内，定期交资质单位处置</w:t>
                  </w:r>
                </w:p>
              </w:tc>
              <w:tc>
                <w:tcPr>
                  <w:tcW w:w="1087" w:type="dxa"/>
                  <w:shd w:val="clear" w:color="auto" w:fill="auto"/>
                  <w:noWrap w:val="0"/>
                  <w:vAlign w:val="center"/>
                </w:tcPr>
                <w:p w14:paraId="6B43914E">
                  <w:pPr>
                    <w:adjustRightInd w:val="0"/>
                    <w:snapToGrid w:val="0"/>
                    <w:spacing w:line="280" w:lineRule="exact"/>
                    <w:jc w:val="center"/>
                    <w:rPr>
                      <w:rFonts w:hint="default" w:ascii="Times New Roman" w:hAnsi="Times New Roman"/>
                      <w:color w:val="auto"/>
                      <w:kern w:val="0"/>
                      <w:szCs w:val="21"/>
                      <w:highlight w:val="none"/>
                      <w:lang w:val="en-US" w:eastAsia="zh-CN"/>
                    </w:rPr>
                  </w:pPr>
                  <w:r>
                    <w:rPr>
                      <w:rFonts w:hint="eastAsia"/>
                      <w:color w:val="auto"/>
                      <w:kern w:val="0"/>
                      <w:szCs w:val="21"/>
                      <w:highlight w:val="none"/>
                      <w:lang w:val="en-US" w:eastAsia="zh-CN"/>
                    </w:rPr>
                    <w:t>10.0</w:t>
                  </w:r>
                </w:p>
              </w:tc>
              <w:tc>
                <w:tcPr>
                  <w:tcW w:w="759" w:type="dxa"/>
                  <w:shd w:val="clear" w:color="auto" w:fill="auto"/>
                  <w:noWrap w:val="0"/>
                  <w:vAlign w:val="center"/>
                </w:tcPr>
                <w:p w14:paraId="494ED161">
                  <w:pPr>
                    <w:adjustRightInd w:val="0"/>
                    <w:snapToGrid w:val="0"/>
                    <w:spacing w:line="280" w:lineRule="exact"/>
                    <w:jc w:val="center"/>
                    <w:rPr>
                      <w:rFonts w:hint="eastAsia" w:ascii="Times New Roman" w:hAnsi="Times New Roman"/>
                      <w:color w:val="auto"/>
                      <w:kern w:val="0"/>
                      <w:szCs w:val="21"/>
                      <w:highlight w:val="none"/>
                      <w:lang w:val="en-US" w:eastAsia="zh-CN"/>
                    </w:rPr>
                  </w:pPr>
                  <w:r>
                    <w:rPr>
                      <w:rFonts w:hint="eastAsia" w:ascii="Times New Roman" w:hAnsi="Times New Roman"/>
                      <w:color w:val="auto"/>
                      <w:kern w:val="0"/>
                      <w:szCs w:val="21"/>
                      <w:highlight w:val="none"/>
                      <w:lang w:val="en-US" w:eastAsia="zh-CN"/>
                    </w:rPr>
                    <w:t>新建</w:t>
                  </w:r>
                </w:p>
              </w:tc>
            </w:tr>
            <w:tr w14:paraId="6039CDA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74" w:type="dxa"/>
                  <w:vMerge w:val="continue"/>
                  <w:shd w:val="clear" w:color="auto" w:fill="auto"/>
                  <w:noWrap w:val="0"/>
                  <w:vAlign w:val="center"/>
                </w:tcPr>
                <w:p w14:paraId="584714A9">
                  <w:pPr>
                    <w:adjustRightInd w:val="0"/>
                    <w:snapToGrid w:val="0"/>
                    <w:spacing w:line="280" w:lineRule="exact"/>
                    <w:jc w:val="center"/>
                    <w:rPr>
                      <w:rFonts w:hint="eastAsia" w:ascii="Times New Roman" w:hAnsi="Times New Roman"/>
                      <w:color w:val="auto"/>
                      <w:kern w:val="0"/>
                      <w:szCs w:val="21"/>
                      <w:highlight w:val="none"/>
                      <w:lang w:val="en-US" w:eastAsia="zh-CN"/>
                    </w:rPr>
                  </w:pPr>
                </w:p>
              </w:tc>
              <w:tc>
                <w:tcPr>
                  <w:tcW w:w="900" w:type="dxa"/>
                  <w:vMerge w:val="continue"/>
                  <w:shd w:val="clear" w:color="auto" w:fill="auto"/>
                  <w:noWrap w:val="0"/>
                  <w:vAlign w:val="center"/>
                </w:tcPr>
                <w:p w14:paraId="5ECADA01">
                  <w:pPr>
                    <w:adjustRightInd w:val="0"/>
                    <w:snapToGrid w:val="0"/>
                    <w:spacing w:line="280" w:lineRule="exact"/>
                    <w:jc w:val="center"/>
                    <w:rPr>
                      <w:rFonts w:hint="eastAsia" w:ascii="Times New Roman" w:hAnsi="Times New Roman"/>
                      <w:color w:val="auto"/>
                      <w:kern w:val="0"/>
                      <w:szCs w:val="21"/>
                      <w:highlight w:val="none"/>
                      <w:lang w:val="en-US" w:eastAsia="zh-CN"/>
                    </w:rPr>
                  </w:pPr>
                </w:p>
              </w:tc>
              <w:tc>
                <w:tcPr>
                  <w:tcW w:w="1750" w:type="dxa"/>
                  <w:shd w:val="clear" w:color="auto" w:fill="auto"/>
                  <w:noWrap w:val="0"/>
                  <w:vAlign w:val="center"/>
                </w:tcPr>
                <w:p w14:paraId="1BDB733C">
                  <w:pPr>
                    <w:adjustRightInd w:val="0"/>
                    <w:snapToGrid w:val="0"/>
                    <w:spacing w:line="280" w:lineRule="exact"/>
                    <w:jc w:val="center"/>
                    <w:rPr>
                      <w:rFonts w:hint="default" w:ascii="Times New Roman" w:eastAsia="宋体"/>
                      <w:snapToGrid w:val="0"/>
                      <w:color w:val="auto"/>
                      <w:szCs w:val="21"/>
                      <w:highlight w:val="none"/>
                      <w:lang w:val="en-US" w:eastAsia="zh-CN"/>
                    </w:rPr>
                  </w:pPr>
                  <w:r>
                    <w:rPr>
                      <w:rFonts w:hint="eastAsia" w:ascii="Times New Roman"/>
                      <w:snapToGrid w:val="0"/>
                      <w:color w:val="auto"/>
                      <w:szCs w:val="21"/>
                      <w:highlight w:val="none"/>
                      <w:lang w:val="en-US" w:eastAsia="zh-CN"/>
                    </w:rPr>
                    <w:t>一般固废暂存间</w:t>
                  </w:r>
                </w:p>
              </w:tc>
              <w:tc>
                <w:tcPr>
                  <w:tcW w:w="2717" w:type="dxa"/>
                  <w:shd w:val="clear" w:color="auto" w:fill="auto"/>
                  <w:noWrap w:val="0"/>
                  <w:vAlign w:val="center"/>
                </w:tcPr>
                <w:p w14:paraId="4433EAB1">
                  <w:pPr>
                    <w:adjustRightInd w:val="0"/>
                    <w:snapToGrid w:val="0"/>
                    <w:spacing w:line="280" w:lineRule="exact"/>
                    <w:jc w:val="center"/>
                    <w:rPr>
                      <w:rFonts w:hint="default" w:ascii="Times New Roman" w:hAnsi="Times New Roman"/>
                      <w:color w:val="auto"/>
                      <w:kern w:val="0"/>
                      <w:szCs w:val="21"/>
                      <w:highlight w:val="none"/>
                      <w:lang w:val="en-US" w:eastAsia="zh-CN"/>
                    </w:rPr>
                  </w:pPr>
                  <w:r>
                    <w:rPr>
                      <w:rFonts w:hint="default" w:ascii="Times New Roman" w:hAnsi="Times New Roman" w:eastAsia="宋体" w:cs="Times New Roman"/>
                      <w:color w:val="auto"/>
                      <w:sz w:val="21"/>
                      <w:szCs w:val="21"/>
                      <w:lang w:val="en-US" w:eastAsia="zh-CN"/>
                    </w:rPr>
                    <w:t>位于</w:t>
                  </w:r>
                  <w:r>
                    <w:rPr>
                      <w:rFonts w:hint="eastAsia" w:cs="Times New Roman"/>
                      <w:color w:val="auto"/>
                      <w:sz w:val="21"/>
                      <w:szCs w:val="21"/>
                      <w:lang w:val="en-US" w:eastAsia="zh-CN"/>
                    </w:rPr>
                    <w:t>电芯</w:t>
                  </w:r>
                  <w:r>
                    <w:rPr>
                      <w:rFonts w:hint="default" w:ascii="Times New Roman" w:hAnsi="Times New Roman" w:eastAsia="宋体" w:cs="Times New Roman"/>
                      <w:color w:val="auto"/>
                      <w:sz w:val="21"/>
                      <w:szCs w:val="21"/>
                      <w:lang w:val="en-US" w:eastAsia="zh-CN"/>
                    </w:rPr>
                    <w:t>车间</w:t>
                  </w:r>
                  <w:r>
                    <w:rPr>
                      <w:rFonts w:hint="eastAsia" w:cs="Times New Roman"/>
                      <w:color w:val="auto"/>
                      <w:sz w:val="21"/>
                      <w:szCs w:val="21"/>
                      <w:lang w:val="en-US" w:eastAsia="zh-CN"/>
                    </w:rPr>
                    <w:t>内</w:t>
                  </w:r>
                  <w:r>
                    <w:rPr>
                      <w:rFonts w:hint="default" w:ascii="Times New Roman" w:hAnsi="Times New Roman" w:eastAsia="宋体" w:cs="Times New Roman"/>
                      <w:color w:val="auto"/>
                      <w:sz w:val="21"/>
                      <w:szCs w:val="21"/>
                      <w:lang w:val="en-US" w:eastAsia="zh-CN"/>
                    </w:rPr>
                    <w:t>南侧，建筑面积</w:t>
                  </w:r>
                  <w:r>
                    <w:rPr>
                      <w:rFonts w:hint="eastAsia" w:cs="Times New Roman"/>
                      <w:color w:val="auto"/>
                      <w:sz w:val="21"/>
                      <w:szCs w:val="21"/>
                      <w:lang w:val="en-US" w:eastAsia="zh-CN"/>
                    </w:rPr>
                    <w:t>50</w:t>
                  </w:r>
                  <w:r>
                    <w:rPr>
                      <w:rFonts w:hint="eastAsia" w:ascii="Times New Roman" w:hAnsi="Times New Roman" w:eastAsia="宋体" w:cs="Times New Roman"/>
                      <w:color w:val="auto"/>
                      <w:sz w:val="21"/>
                      <w:szCs w:val="21"/>
                      <w:lang w:val="en-US" w:eastAsia="zh-CN"/>
                    </w:rPr>
                    <w:t>m</w:t>
                  </w:r>
                  <w:r>
                    <w:rPr>
                      <w:rFonts w:hint="eastAsia" w:ascii="Times New Roman" w:hAnsi="Times New Roman" w:eastAsia="宋体" w:cs="Times New Roman"/>
                      <w:color w:val="auto"/>
                      <w:sz w:val="21"/>
                      <w:szCs w:val="21"/>
                      <w:vertAlign w:val="superscript"/>
                      <w:lang w:val="en-US" w:eastAsia="zh-CN"/>
                    </w:rPr>
                    <w:t>2</w:t>
                  </w:r>
                  <w:r>
                    <w:rPr>
                      <w:rFonts w:hint="default" w:ascii="Times New Roman" w:hAnsi="Times New Roman" w:eastAsia="宋体" w:cs="Times New Roman"/>
                      <w:color w:val="auto"/>
                      <w:sz w:val="21"/>
                      <w:szCs w:val="21"/>
                      <w:lang w:val="en-US" w:eastAsia="zh-CN"/>
                    </w:rPr>
                    <w:t>，用于项目产生的一般固废临时储存</w:t>
                  </w:r>
                </w:p>
              </w:tc>
              <w:tc>
                <w:tcPr>
                  <w:tcW w:w="1087" w:type="dxa"/>
                  <w:shd w:val="clear" w:color="auto" w:fill="auto"/>
                  <w:noWrap w:val="0"/>
                  <w:vAlign w:val="center"/>
                </w:tcPr>
                <w:p w14:paraId="665FC0DA">
                  <w:pPr>
                    <w:adjustRightInd w:val="0"/>
                    <w:snapToGrid w:val="0"/>
                    <w:spacing w:line="280" w:lineRule="exact"/>
                    <w:jc w:val="center"/>
                    <w:rPr>
                      <w:rFonts w:hint="default" w:ascii="Times New Roman" w:hAnsi="Times New Roman"/>
                      <w:color w:val="auto"/>
                      <w:kern w:val="0"/>
                      <w:szCs w:val="21"/>
                      <w:highlight w:val="none"/>
                      <w:lang w:val="en-US" w:eastAsia="zh-CN"/>
                    </w:rPr>
                  </w:pPr>
                  <w:r>
                    <w:rPr>
                      <w:rFonts w:hint="eastAsia" w:ascii="Times New Roman" w:hAnsi="Times New Roman"/>
                      <w:color w:val="auto"/>
                      <w:kern w:val="0"/>
                      <w:szCs w:val="21"/>
                      <w:highlight w:val="none"/>
                      <w:lang w:val="en-US" w:eastAsia="zh-CN"/>
                    </w:rPr>
                    <w:t>/</w:t>
                  </w:r>
                </w:p>
              </w:tc>
              <w:tc>
                <w:tcPr>
                  <w:tcW w:w="759" w:type="dxa"/>
                  <w:shd w:val="clear" w:color="auto" w:fill="auto"/>
                  <w:noWrap w:val="0"/>
                  <w:vAlign w:val="center"/>
                </w:tcPr>
                <w:p w14:paraId="77643E6D">
                  <w:pPr>
                    <w:adjustRightInd w:val="0"/>
                    <w:snapToGrid w:val="0"/>
                    <w:spacing w:line="280" w:lineRule="exact"/>
                    <w:jc w:val="center"/>
                    <w:rPr>
                      <w:rFonts w:hint="eastAsia" w:ascii="Times New Roman" w:hAnsi="Times New Roman"/>
                      <w:color w:val="auto"/>
                      <w:kern w:val="0"/>
                      <w:szCs w:val="21"/>
                      <w:highlight w:val="none"/>
                      <w:lang w:val="en-US" w:eastAsia="zh-CN"/>
                    </w:rPr>
                  </w:pPr>
                  <w:r>
                    <w:rPr>
                      <w:rFonts w:hint="eastAsia" w:ascii="Times New Roman" w:hAnsi="Times New Roman"/>
                      <w:color w:val="auto"/>
                      <w:kern w:val="0"/>
                      <w:szCs w:val="21"/>
                      <w:highlight w:val="none"/>
                      <w:lang w:val="en-US" w:eastAsia="zh-CN"/>
                    </w:rPr>
                    <w:t>新建</w:t>
                  </w:r>
                </w:p>
              </w:tc>
            </w:tr>
            <w:tr w14:paraId="4CA0F3C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74" w:type="dxa"/>
                  <w:vMerge w:val="continue"/>
                  <w:shd w:val="clear" w:color="auto" w:fill="auto"/>
                  <w:noWrap w:val="0"/>
                  <w:vAlign w:val="center"/>
                </w:tcPr>
                <w:p w14:paraId="735FEC15">
                  <w:pPr>
                    <w:adjustRightInd w:val="0"/>
                    <w:snapToGrid w:val="0"/>
                    <w:spacing w:line="280" w:lineRule="exact"/>
                    <w:jc w:val="center"/>
                    <w:rPr>
                      <w:rFonts w:hint="eastAsia" w:ascii="Times New Roman" w:hAnsi="Times New Roman"/>
                      <w:color w:val="auto"/>
                      <w:kern w:val="0"/>
                      <w:szCs w:val="21"/>
                      <w:highlight w:val="none"/>
                    </w:rPr>
                  </w:pPr>
                </w:p>
              </w:tc>
              <w:tc>
                <w:tcPr>
                  <w:tcW w:w="900" w:type="dxa"/>
                  <w:shd w:val="clear" w:color="auto" w:fill="auto"/>
                  <w:noWrap w:val="0"/>
                  <w:vAlign w:val="center"/>
                </w:tcPr>
                <w:p w14:paraId="7A6323B9">
                  <w:pPr>
                    <w:adjustRightInd w:val="0"/>
                    <w:snapToGrid w:val="0"/>
                    <w:spacing w:line="280" w:lineRule="exact"/>
                    <w:jc w:val="center"/>
                    <w:rPr>
                      <w:rFonts w:ascii="Times New Roman" w:hAnsi="Times New Roman"/>
                      <w:color w:val="auto"/>
                      <w:kern w:val="0"/>
                      <w:szCs w:val="21"/>
                      <w:highlight w:val="none"/>
                    </w:rPr>
                  </w:pPr>
                  <w:r>
                    <w:rPr>
                      <w:rFonts w:hint="eastAsia" w:ascii="Times New Roman" w:hAnsi="Times New Roman"/>
                      <w:color w:val="auto"/>
                      <w:kern w:val="0"/>
                      <w:szCs w:val="21"/>
                      <w:highlight w:val="none"/>
                    </w:rPr>
                    <w:t>地下水治理</w:t>
                  </w:r>
                </w:p>
              </w:tc>
              <w:tc>
                <w:tcPr>
                  <w:tcW w:w="4467" w:type="dxa"/>
                  <w:gridSpan w:val="2"/>
                  <w:shd w:val="clear" w:color="auto" w:fill="auto"/>
                  <w:noWrap w:val="0"/>
                  <w:vAlign w:val="center"/>
                </w:tcPr>
                <w:p w14:paraId="3F7E21E7">
                  <w:pPr>
                    <w:adjustRightInd w:val="0"/>
                    <w:snapToGrid w:val="0"/>
                    <w:spacing w:line="280" w:lineRule="exact"/>
                    <w:jc w:val="center"/>
                    <w:rPr>
                      <w:rFonts w:hint="eastAsia" w:ascii="Times New Roman" w:hAnsi="Times New Roman" w:eastAsia="宋体" w:cs="Times New Roman"/>
                      <w:snapToGrid w:val="0"/>
                      <w:color w:val="auto"/>
                      <w:szCs w:val="21"/>
                      <w:highlight w:val="none"/>
                      <w:lang w:eastAsia="zh-CN"/>
                    </w:rPr>
                  </w:pPr>
                  <w:r>
                    <w:rPr>
                      <w:rFonts w:hint="eastAsia" w:ascii="Times New Roman" w:hAnsi="Times New Roman" w:eastAsia="宋体" w:cs="Times New Roman"/>
                      <w:snapToGrid w:val="0"/>
                      <w:color w:val="auto"/>
                      <w:szCs w:val="21"/>
                      <w:highlight w:val="none"/>
                    </w:rPr>
                    <w:t>全厂按简单防渗区、一般污染防渗区、重点污染防渗区实施分区防渗工程</w:t>
                  </w:r>
                  <w:r>
                    <w:rPr>
                      <w:rFonts w:hint="eastAsia" w:ascii="Times New Roman" w:hAnsi="Times New Roman" w:eastAsia="宋体" w:cs="Times New Roman"/>
                      <w:snapToGrid w:val="0"/>
                      <w:color w:val="auto"/>
                      <w:szCs w:val="21"/>
                      <w:highlight w:val="none"/>
                      <w:lang w:eastAsia="zh-CN"/>
                    </w:rPr>
                    <w:t>；</w:t>
                  </w:r>
                </w:p>
                <w:p w14:paraId="40630C51">
                  <w:pPr>
                    <w:adjustRightInd w:val="0"/>
                    <w:snapToGrid w:val="0"/>
                    <w:spacing w:line="280" w:lineRule="exact"/>
                    <w:jc w:val="center"/>
                    <w:rPr>
                      <w:rFonts w:hint="eastAsia" w:ascii="Times New Roman" w:hAnsi="Times New Roman" w:eastAsia="宋体" w:cs="Times New Roman"/>
                      <w:snapToGrid w:val="0"/>
                      <w:color w:val="auto"/>
                      <w:szCs w:val="21"/>
                      <w:highlight w:val="none"/>
                      <w:lang w:val="en-US" w:eastAsia="zh-CN"/>
                    </w:rPr>
                  </w:pPr>
                  <w:r>
                    <w:rPr>
                      <w:rFonts w:hint="eastAsia" w:ascii="Times New Roman" w:hAnsi="Times New Roman" w:eastAsia="宋体" w:cs="Times New Roman"/>
                      <w:snapToGrid w:val="0"/>
                      <w:color w:val="auto"/>
                      <w:szCs w:val="21"/>
                      <w:highlight w:val="none"/>
                      <w:lang w:val="en-US" w:eastAsia="zh-CN"/>
                    </w:rPr>
                    <w:t>重点防渗：</w:t>
                  </w:r>
                  <w:r>
                    <w:rPr>
                      <w:rFonts w:hint="default" w:ascii="Times New Roman" w:hAnsi="Times New Roman" w:eastAsia="宋体" w:cs="Times New Roman"/>
                      <w:color w:val="auto"/>
                      <w:sz w:val="21"/>
                      <w:szCs w:val="21"/>
                      <w:lang w:val="en-US" w:eastAsia="zh-CN"/>
                    </w:rPr>
                    <w:t>重点防渗区：</w:t>
                  </w:r>
                  <w:r>
                    <w:rPr>
                      <w:rFonts w:hint="eastAsia" w:ascii="Times New Roman" w:hAnsi="Times New Roman" w:eastAsia="宋体" w:cs="Times New Roman"/>
                      <w:color w:val="auto"/>
                      <w:sz w:val="21"/>
                      <w:szCs w:val="21"/>
                      <w:lang w:val="en-US" w:eastAsia="zh-CN"/>
                    </w:rPr>
                    <w:t>危废库、低温电解液仓库、事故应急池（池体）、污水处理设施（池体）</w:t>
                  </w:r>
                  <w:r>
                    <w:rPr>
                      <w:rFonts w:hint="eastAsia" w:cs="Times New Roman"/>
                      <w:color w:val="auto"/>
                      <w:sz w:val="21"/>
                      <w:szCs w:val="21"/>
                      <w:lang w:val="en-US" w:eastAsia="zh-CN"/>
                    </w:rPr>
                    <w:t>、电解液间、电池拆解间、NMP暂存间</w:t>
                  </w:r>
                  <w:r>
                    <w:rPr>
                      <w:rFonts w:hint="eastAsia" w:ascii="Times New Roman" w:hAnsi="Times New Roman" w:eastAsia="宋体" w:cs="Times New Roman"/>
                      <w:color w:val="auto"/>
                      <w:sz w:val="21"/>
                      <w:szCs w:val="21"/>
                      <w:lang w:val="en-US" w:eastAsia="zh-CN"/>
                    </w:rPr>
                    <w:t>等，其中危</w:t>
                  </w:r>
                  <w:r>
                    <w:rPr>
                      <w:rFonts w:hint="eastAsia" w:cs="Times New Roman"/>
                      <w:color w:val="auto"/>
                      <w:sz w:val="21"/>
                      <w:szCs w:val="21"/>
                      <w:lang w:val="en-US" w:eastAsia="zh-CN"/>
                    </w:rPr>
                    <w:t>废</w:t>
                  </w:r>
                  <w:r>
                    <w:rPr>
                      <w:rFonts w:hint="eastAsia" w:ascii="Times New Roman" w:hAnsi="Times New Roman" w:eastAsia="宋体" w:cs="Times New Roman"/>
                      <w:color w:val="auto"/>
                      <w:sz w:val="21"/>
                      <w:szCs w:val="21"/>
                      <w:lang w:val="en-US" w:eastAsia="zh-CN"/>
                    </w:rPr>
                    <w:t>库、低温电解液仓库防渗系数K≤10</w:t>
                  </w:r>
                  <w:r>
                    <w:rPr>
                      <w:rFonts w:hint="eastAsia" w:ascii="Times New Roman" w:hAnsi="Times New Roman" w:eastAsia="宋体" w:cs="Times New Roman"/>
                      <w:color w:val="auto"/>
                      <w:sz w:val="21"/>
                      <w:szCs w:val="21"/>
                      <w:vertAlign w:val="superscript"/>
                      <w:lang w:val="en-US" w:eastAsia="zh-CN"/>
                    </w:rPr>
                    <w:t>-10</w:t>
                  </w:r>
                  <w:r>
                    <w:rPr>
                      <w:rFonts w:hint="eastAsia" w:ascii="Times New Roman" w:hAnsi="Times New Roman" w:eastAsia="宋体" w:cs="Times New Roman"/>
                      <w:color w:val="auto"/>
                      <w:sz w:val="21"/>
                      <w:szCs w:val="21"/>
                      <w:lang w:val="en-US" w:eastAsia="zh-CN"/>
                    </w:rPr>
                    <w:t>cm/s，其余重点防渗区</w:t>
                  </w:r>
                  <w:r>
                    <w:rPr>
                      <w:rFonts w:hint="default" w:ascii="Times New Roman" w:hAnsi="Times New Roman" w:eastAsia="宋体" w:cs="Times New Roman"/>
                      <w:color w:val="auto"/>
                      <w:sz w:val="21"/>
                      <w:szCs w:val="21"/>
                      <w:lang w:val="en-US" w:eastAsia="zh-CN"/>
                    </w:rPr>
                    <w:t>等效黏土防渗层Mb≥6.0m，K≤10</w:t>
                  </w:r>
                  <w:r>
                    <w:rPr>
                      <w:rFonts w:hint="default" w:ascii="Times New Roman" w:hAnsi="Times New Roman" w:eastAsia="宋体" w:cs="Times New Roman"/>
                      <w:color w:val="auto"/>
                      <w:sz w:val="21"/>
                      <w:szCs w:val="21"/>
                      <w:vertAlign w:val="superscript"/>
                      <w:lang w:val="en-US" w:eastAsia="zh-CN"/>
                    </w:rPr>
                    <w:t>-7</w:t>
                  </w:r>
                  <w:r>
                    <w:rPr>
                      <w:rFonts w:hint="default" w:ascii="Times New Roman" w:hAnsi="Times New Roman" w:eastAsia="宋体" w:cs="Times New Roman"/>
                      <w:color w:val="auto"/>
                      <w:sz w:val="21"/>
                      <w:szCs w:val="21"/>
                      <w:lang w:val="en-US" w:eastAsia="zh-CN"/>
                    </w:rPr>
                    <w:t>cm/s；或参照GB18598执行</w:t>
                  </w:r>
                  <w:r>
                    <w:rPr>
                      <w:rFonts w:hint="eastAsia" w:ascii="Times New Roman" w:hAnsi="Times New Roman" w:eastAsia="宋体" w:cs="Times New Roman"/>
                      <w:snapToGrid w:val="0"/>
                      <w:color w:val="auto"/>
                      <w:szCs w:val="21"/>
                      <w:highlight w:val="none"/>
                      <w:lang w:val="en-US" w:eastAsia="zh-CN"/>
                    </w:rPr>
                    <w:t>；</w:t>
                  </w:r>
                </w:p>
                <w:p w14:paraId="3571B3D7">
                  <w:pPr>
                    <w:adjustRightInd w:val="0"/>
                    <w:snapToGrid w:val="0"/>
                    <w:spacing w:line="280" w:lineRule="exact"/>
                    <w:jc w:val="center"/>
                    <w:rPr>
                      <w:rFonts w:hint="eastAsia" w:ascii="Times New Roman" w:hAnsi="Times New Roman" w:eastAsia="宋体" w:cs="Times New Roman"/>
                      <w:snapToGrid w:val="0"/>
                      <w:color w:val="auto"/>
                      <w:szCs w:val="21"/>
                      <w:highlight w:val="none"/>
                      <w:lang w:eastAsia="zh-CN"/>
                    </w:rPr>
                  </w:pPr>
                  <w:r>
                    <w:rPr>
                      <w:rFonts w:hint="eastAsia" w:ascii="Times New Roman" w:hAnsi="Times New Roman" w:eastAsia="宋体" w:cs="Times New Roman"/>
                      <w:snapToGrid w:val="0"/>
                      <w:color w:val="auto"/>
                      <w:szCs w:val="21"/>
                      <w:highlight w:val="none"/>
                      <w:lang w:val="en-US" w:eastAsia="zh-CN"/>
                    </w:rPr>
                    <w:t>一般防渗：</w:t>
                  </w:r>
                  <w:r>
                    <w:rPr>
                      <w:rFonts w:hint="eastAsia" w:ascii="Times New Roman" w:hAnsi="Times New Roman" w:eastAsia="宋体" w:cs="Times New Roman"/>
                      <w:snapToGrid w:val="0"/>
                      <w:color w:val="auto"/>
                      <w:szCs w:val="21"/>
                      <w:highlight w:val="none"/>
                    </w:rPr>
                    <w:t>除重点防渗区和简单防渗区</w:t>
                  </w:r>
                  <w:r>
                    <w:rPr>
                      <w:rFonts w:hint="eastAsia" w:ascii="Times New Roman" w:hAnsi="Times New Roman" w:eastAsia="宋体" w:cs="Times New Roman"/>
                      <w:snapToGrid w:val="0"/>
                      <w:color w:val="auto"/>
                      <w:szCs w:val="21"/>
                      <w:highlight w:val="none"/>
                      <w:lang w:val="en-US" w:eastAsia="zh-CN"/>
                    </w:rPr>
                    <w:t>等区域</w:t>
                  </w:r>
                  <w:r>
                    <w:rPr>
                      <w:rFonts w:hint="eastAsia" w:cs="Times New Roman"/>
                      <w:snapToGrid w:val="0"/>
                      <w:color w:val="auto"/>
                      <w:szCs w:val="21"/>
                      <w:highlight w:val="none"/>
                      <w:lang w:val="en-US" w:eastAsia="zh-CN"/>
                    </w:rPr>
                    <w:t>，</w:t>
                  </w:r>
                  <w:r>
                    <w:rPr>
                      <w:rFonts w:hint="default" w:ascii="Times New Roman" w:hAnsi="Times New Roman" w:cs="Times New Roman"/>
                      <w:color w:val="auto"/>
                      <w:sz w:val="21"/>
                      <w:szCs w:val="21"/>
                      <w:lang w:val="en-US" w:eastAsia="zh-CN"/>
                    </w:rPr>
                    <w:t>参照《环境影响评价技术导则 地下水环境》（HJ 610-2016）中一般防渗区防渗技术要求，防渗系数达到Mb≥1.5m，K≤1×10</w:t>
                  </w:r>
                  <w:r>
                    <w:rPr>
                      <w:rFonts w:hint="default" w:ascii="Times New Roman" w:hAnsi="Times New Roman" w:cs="Times New Roman"/>
                      <w:color w:val="auto"/>
                      <w:sz w:val="21"/>
                      <w:szCs w:val="21"/>
                      <w:vertAlign w:val="superscript"/>
                      <w:lang w:val="en-US" w:eastAsia="zh-CN"/>
                    </w:rPr>
                    <w:t>-7</w:t>
                  </w:r>
                  <w:r>
                    <w:rPr>
                      <w:rFonts w:hint="default" w:ascii="Times New Roman" w:hAnsi="Times New Roman" w:cs="Times New Roman"/>
                      <w:color w:val="auto"/>
                      <w:sz w:val="21"/>
                      <w:szCs w:val="21"/>
                      <w:lang w:val="en-US" w:eastAsia="zh-CN"/>
                    </w:rPr>
                    <w:t>cm/s</w:t>
                  </w:r>
                  <w:r>
                    <w:rPr>
                      <w:rFonts w:hint="eastAsia" w:ascii="Times New Roman" w:hAnsi="Times New Roman" w:eastAsia="宋体" w:cs="Times New Roman"/>
                      <w:snapToGrid w:val="0"/>
                      <w:color w:val="auto"/>
                      <w:szCs w:val="21"/>
                      <w:highlight w:val="none"/>
                      <w:lang w:eastAsia="zh-CN"/>
                    </w:rPr>
                    <w:t>；</w:t>
                  </w:r>
                </w:p>
                <w:p w14:paraId="5D101EBE">
                  <w:pPr>
                    <w:adjustRightInd w:val="0"/>
                    <w:snapToGrid w:val="0"/>
                    <w:spacing w:line="280" w:lineRule="exact"/>
                    <w:jc w:val="both"/>
                    <w:rPr>
                      <w:rFonts w:hint="default" w:ascii="Times New Roman" w:hAnsi="Times New Roman" w:eastAsia="宋体" w:cs="Times New Roman"/>
                      <w:snapToGrid w:val="0"/>
                      <w:color w:val="auto"/>
                      <w:szCs w:val="21"/>
                      <w:highlight w:val="none"/>
                      <w:lang w:val="en-US" w:eastAsia="zh-CN"/>
                    </w:rPr>
                  </w:pPr>
                  <w:r>
                    <w:rPr>
                      <w:rFonts w:hint="eastAsia" w:ascii="Times New Roman" w:hAnsi="Times New Roman" w:eastAsia="宋体" w:cs="Times New Roman"/>
                      <w:snapToGrid w:val="0"/>
                      <w:color w:val="auto"/>
                      <w:szCs w:val="21"/>
                      <w:highlight w:val="none"/>
                      <w:lang w:val="en-US" w:eastAsia="zh-CN"/>
                    </w:rPr>
                    <w:t>简单防渗：</w:t>
                  </w:r>
                  <w:r>
                    <w:rPr>
                      <w:rFonts w:hint="eastAsia" w:cs="Times New Roman"/>
                      <w:snapToGrid w:val="0"/>
                      <w:color w:val="auto"/>
                      <w:szCs w:val="21"/>
                      <w:highlight w:val="none"/>
                      <w:lang w:val="en-US" w:eastAsia="zh-CN"/>
                    </w:rPr>
                    <w:t>门卫室，水泥地面硬化</w:t>
                  </w:r>
                  <w:r>
                    <w:rPr>
                      <w:rFonts w:hint="eastAsia" w:ascii="Times New Roman" w:hAnsi="Times New Roman" w:eastAsia="宋体" w:cs="Times New Roman"/>
                      <w:snapToGrid w:val="0"/>
                      <w:color w:val="auto"/>
                      <w:szCs w:val="21"/>
                      <w:highlight w:val="none"/>
                      <w:lang w:val="en-US" w:eastAsia="zh-CN"/>
                    </w:rPr>
                    <w:t>。</w:t>
                  </w:r>
                </w:p>
              </w:tc>
              <w:tc>
                <w:tcPr>
                  <w:tcW w:w="1087" w:type="dxa"/>
                  <w:shd w:val="clear" w:color="auto" w:fill="auto"/>
                  <w:noWrap w:val="0"/>
                  <w:vAlign w:val="center"/>
                </w:tcPr>
                <w:p w14:paraId="1CEA1AA4">
                  <w:pPr>
                    <w:adjustRightInd w:val="0"/>
                    <w:snapToGrid w:val="0"/>
                    <w:spacing w:line="280" w:lineRule="exact"/>
                    <w:jc w:val="center"/>
                    <w:rPr>
                      <w:rFonts w:hint="default" w:ascii="Times New Roman" w:hAnsi="Times New Roman" w:eastAsia="宋体"/>
                      <w:color w:val="auto"/>
                      <w:kern w:val="0"/>
                      <w:szCs w:val="21"/>
                      <w:highlight w:val="none"/>
                      <w:lang w:val="en-US" w:eastAsia="zh-CN"/>
                    </w:rPr>
                  </w:pPr>
                  <w:r>
                    <w:rPr>
                      <w:rFonts w:hint="eastAsia"/>
                      <w:color w:val="auto"/>
                      <w:kern w:val="0"/>
                      <w:szCs w:val="21"/>
                      <w:highlight w:val="none"/>
                      <w:lang w:val="en-US" w:eastAsia="zh-CN"/>
                    </w:rPr>
                    <w:t>45.0</w:t>
                  </w:r>
                </w:p>
              </w:tc>
              <w:tc>
                <w:tcPr>
                  <w:tcW w:w="759" w:type="dxa"/>
                  <w:shd w:val="clear" w:color="auto" w:fill="auto"/>
                  <w:noWrap w:val="0"/>
                  <w:vAlign w:val="center"/>
                </w:tcPr>
                <w:p w14:paraId="22C7A1C4">
                  <w:pPr>
                    <w:adjustRightInd w:val="0"/>
                    <w:snapToGrid w:val="0"/>
                    <w:spacing w:line="280" w:lineRule="exact"/>
                    <w:jc w:val="center"/>
                    <w:rPr>
                      <w:rFonts w:hint="eastAsia" w:ascii="Times New Roman" w:hAnsi="Times New Roman" w:eastAsia="宋体"/>
                      <w:color w:val="auto"/>
                      <w:kern w:val="0"/>
                      <w:szCs w:val="21"/>
                      <w:highlight w:val="none"/>
                      <w:lang w:eastAsia="zh-CN"/>
                    </w:rPr>
                  </w:pPr>
                  <w:r>
                    <w:rPr>
                      <w:rFonts w:hint="eastAsia" w:ascii="Times New Roman" w:hAnsi="Times New Roman"/>
                      <w:color w:val="auto"/>
                      <w:kern w:val="0"/>
                      <w:szCs w:val="21"/>
                      <w:highlight w:val="none"/>
                      <w:lang w:val="en-US" w:eastAsia="zh-CN"/>
                    </w:rPr>
                    <w:t>改造</w:t>
                  </w:r>
                </w:p>
              </w:tc>
            </w:tr>
            <w:tr w14:paraId="09FEE21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98" w:hRule="atLeast"/>
                <w:jc w:val="center"/>
              </w:trPr>
              <w:tc>
                <w:tcPr>
                  <w:tcW w:w="674" w:type="dxa"/>
                  <w:vMerge w:val="continue"/>
                  <w:shd w:val="clear" w:color="auto" w:fill="auto"/>
                  <w:noWrap w:val="0"/>
                  <w:vAlign w:val="center"/>
                </w:tcPr>
                <w:p w14:paraId="2896BFE9">
                  <w:pPr>
                    <w:adjustRightInd w:val="0"/>
                    <w:snapToGrid w:val="0"/>
                    <w:spacing w:line="280" w:lineRule="exact"/>
                    <w:jc w:val="center"/>
                    <w:rPr>
                      <w:rFonts w:hint="eastAsia" w:ascii="Times New Roman" w:hAnsi="Times New Roman"/>
                      <w:color w:val="auto"/>
                      <w:kern w:val="0"/>
                      <w:szCs w:val="21"/>
                      <w:highlight w:val="none"/>
                    </w:rPr>
                  </w:pPr>
                </w:p>
              </w:tc>
              <w:tc>
                <w:tcPr>
                  <w:tcW w:w="900" w:type="dxa"/>
                  <w:vMerge w:val="restart"/>
                  <w:shd w:val="clear" w:color="auto" w:fill="auto"/>
                  <w:noWrap w:val="0"/>
                  <w:vAlign w:val="center"/>
                </w:tcPr>
                <w:p w14:paraId="2CD3C304">
                  <w:pPr>
                    <w:adjustRightInd w:val="0"/>
                    <w:snapToGrid w:val="0"/>
                    <w:spacing w:line="280" w:lineRule="exact"/>
                    <w:jc w:val="center"/>
                    <w:rPr>
                      <w:rFonts w:hint="default" w:ascii="Times New Roman" w:hAnsi="Times New Roman" w:eastAsia="宋体"/>
                      <w:color w:val="auto"/>
                      <w:kern w:val="0"/>
                      <w:szCs w:val="21"/>
                      <w:highlight w:val="none"/>
                      <w:lang w:val="en-US" w:eastAsia="zh-CN"/>
                    </w:rPr>
                  </w:pPr>
                  <w:r>
                    <w:rPr>
                      <w:rFonts w:hint="eastAsia"/>
                      <w:color w:val="auto"/>
                      <w:kern w:val="0"/>
                      <w:szCs w:val="21"/>
                      <w:highlight w:val="none"/>
                      <w:lang w:val="en-US" w:eastAsia="zh-CN"/>
                    </w:rPr>
                    <w:t>环境风险防范措施</w:t>
                  </w:r>
                </w:p>
              </w:tc>
              <w:tc>
                <w:tcPr>
                  <w:tcW w:w="4467" w:type="dxa"/>
                  <w:gridSpan w:val="2"/>
                  <w:shd w:val="clear" w:color="auto" w:fill="auto"/>
                  <w:noWrap w:val="0"/>
                  <w:vAlign w:val="center"/>
                </w:tcPr>
                <w:p w14:paraId="126A3879">
                  <w:pPr>
                    <w:adjustRightInd w:val="0"/>
                    <w:snapToGrid w:val="0"/>
                    <w:spacing w:line="280" w:lineRule="exact"/>
                    <w:jc w:val="center"/>
                    <w:rPr>
                      <w:rFonts w:hint="default" w:ascii="Times New Roman" w:eastAsia="宋体"/>
                      <w:bCs/>
                      <w:color w:val="auto"/>
                      <w:szCs w:val="21"/>
                      <w:highlight w:val="none"/>
                      <w:lang w:val="en-US" w:eastAsia="zh-CN"/>
                    </w:rPr>
                  </w:pPr>
                  <w:r>
                    <w:rPr>
                      <w:rFonts w:hint="eastAsia"/>
                      <w:snapToGrid w:val="0"/>
                      <w:color w:val="auto"/>
                      <w:szCs w:val="21"/>
                      <w:highlight w:val="none"/>
                      <w:lang w:val="en-US" w:eastAsia="zh-CN"/>
                    </w:rPr>
                    <w:t>NMP储罐区、危废库，NMP储罐区、危废库四周设置围堰</w:t>
                  </w:r>
                </w:p>
              </w:tc>
              <w:tc>
                <w:tcPr>
                  <w:tcW w:w="1087" w:type="dxa"/>
                  <w:shd w:val="clear" w:color="auto" w:fill="auto"/>
                  <w:noWrap w:val="0"/>
                  <w:vAlign w:val="center"/>
                </w:tcPr>
                <w:p w14:paraId="5C2A6E59">
                  <w:pPr>
                    <w:adjustRightInd w:val="0"/>
                    <w:snapToGrid w:val="0"/>
                    <w:spacing w:line="280" w:lineRule="exact"/>
                    <w:jc w:val="center"/>
                    <w:rPr>
                      <w:rFonts w:hint="default" w:ascii="Times New Roman" w:hAnsi="Times New Roman" w:eastAsia="宋体"/>
                      <w:color w:val="auto"/>
                      <w:kern w:val="0"/>
                      <w:szCs w:val="21"/>
                      <w:highlight w:val="none"/>
                      <w:lang w:val="en-US" w:eastAsia="zh-CN"/>
                    </w:rPr>
                  </w:pPr>
                  <w:r>
                    <w:rPr>
                      <w:rFonts w:hint="eastAsia"/>
                      <w:color w:val="auto"/>
                      <w:kern w:val="0"/>
                      <w:szCs w:val="21"/>
                      <w:highlight w:val="none"/>
                      <w:lang w:val="en-US" w:eastAsia="zh-CN"/>
                    </w:rPr>
                    <w:t>50.0</w:t>
                  </w:r>
                </w:p>
              </w:tc>
              <w:tc>
                <w:tcPr>
                  <w:tcW w:w="759" w:type="dxa"/>
                  <w:shd w:val="clear" w:color="auto" w:fill="auto"/>
                  <w:noWrap w:val="0"/>
                  <w:vAlign w:val="center"/>
                </w:tcPr>
                <w:p w14:paraId="72B87A83">
                  <w:pPr>
                    <w:adjustRightInd w:val="0"/>
                    <w:snapToGrid w:val="0"/>
                    <w:spacing w:line="280" w:lineRule="exact"/>
                    <w:jc w:val="center"/>
                    <w:rPr>
                      <w:rFonts w:hint="eastAsia" w:ascii="Times New Roman" w:hAnsi="Times New Roman" w:eastAsia="宋体"/>
                      <w:color w:val="auto"/>
                      <w:kern w:val="0"/>
                      <w:szCs w:val="21"/>
                      <w:highlight w:val="none"/>
                      <w:lang w:eastAsia="zh-CN"/>
                    </w:rPr>
                  </w:pPr>
                  <w:r>
                    <w:rPr>
                      <w:rFonts w:hint="eastAsia" w:ascii="Times New Roman" w:hAnsi="Times New Roman"/>
                      <w:color w:val="auto"/>
                      <w:kern w:val="0"/>
                      <w:szCs w:val="21"/>
                      <w:highlight w:val="none"/>
                      <w:lang w:val="en-US" w:eastAsia="zh-CN"/>
                    </w:rPr>
                    <w:t>新建</w:t>
                  </w:r>
                </w:p>
              </w:tc>
            </w:tr>
            <w:tr w14:paraId="344FC74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98" w:hRule="atLeast"/>
                <w:jc w:val="center"/>
              </w:trPr>
              <w:tc>
                <w:tcPr>
                  <w:tcW w:w="674" w:type="dxa"/>
                  <w:vMerge w:val="continue"/>
                  <w:shd w:val="clear" w:color="auto" w:fill="auto"/>
                  <w:noWrap w:val="0"/>
                  <w:vAlign w:val="center"/>
                </w:tcPr>
                <w:p w14:paraId="536E14BC">
                  <w:pPr>
                    <w:adjustRightInd w:val="0"/>
                    <w:snapToGrid w:val="0"/>
                    <w:spacing w:line="280" w:lineRule="exact"/>
                    <w:jc w:val="center"/>
                    <w:rPr>
                      <w:rFonts w:hint="eastAsia" w:ascii="Times New Roman" w:hAnsi="Times New Roman"/>
                      <w:color w:val="auto"/>
                      <w:kern w:val="0"/>
                      <w:szCs w:val="21"/>
                      <w:highlight w:val="none"/>
                    </w:rPr>
                  </w:pPr>
                </w:p>
              </w:tc>
              <w:tc>
                <w:tcPr>
                  <w:tcW w:w="900" w:type="dxa"/>
                  <w:vMerge w:val="continue"/>
                  <w:shd w:val="clear" w:color="auto" w:fill="auto"/>
                  <w:noWrap w:val="0"/>
                  <w:vAlign w:val="center"/>
                </w:tcPr>
                <w:p w14:paraId="32228E28">
                  <w:pPr>
                    <w:adjustRightInd w:val="0"/>
                    <w:snapToGrid w:val="0"/>
                    <w:spacing w:line="280" w:lineRule="exact"/>
                    <w:jc w:val="center"/>
                    <w:rPr>
                      <w:rFonts w:hint="eastAsia" w:ascii="Times New Roman" w:hAnsi="Times New Roman"/>
                      <w:color w:val="auto"/>
                      <w:kern w:val="0"/>
                      <w:szCs w:val="21"/>
                      <w:highlight w:val="none"/>
                    </w:rPr>
                  </w:pPr>
                </w:p>
              </w:tc>
              <w:tc>
                <w:tcPr>
                  <w:tcW w:w="4467" w:type="dxa"/>
                  <w:gridSpan w:val="2"/>
                  <w:shd w:val="clear" w:color="auto" w:fill="auto"/>
                  <w:noWrap w:val="0"/>
                  <w:vAlign w:val="center"/>
                </w:tcPr>
                <w:p w14:paraId="2CD4522C">
                  <w:pPr>
                    <w:adjustRightInd w:val="0"/>
                    <w:snapToGrid w:val="0"/>
                    <w:spacing w:line="280" w:lineRule="exact"/>
                    <w:jc w:val="center"/>
                    <w:rPr>
                      <w:rFonts w:hint="default" w:ascii="Times New Roman" w:eastAsia="宋体"/>
                      <w:snapToGrid w:val="0"/>
                      <w:color w:val="auto"/>
                      <w:szCs w:val="21"/>
                      <w:highlight w:val="none"/>
                      <w:lang w:val="en-US" w:eastAsia="zh-CN"/>
                    </w:rPr>
                  </w:pPr>
                  <w:r>
                    <w:rPr>
                      <w:rFonts w:hint="eastAsia"/>
                      <w:snapToGrid w:val="0"/>
                      <w:color w:val="auto"/>
                      <w:szCs w:val="21"/>
                      <w:highlight w:val="none"/>
                      <w:lang w:val="en-US" w:eastAsia="zh-CN"/>
                    </w:rPr>
                    <w:t>建立健全各项环保管理制度、安全生产管理制度等，制定应急预案，定期组织演练，配套设置灭火器等</w:t>
                  </w:r>
                </w:p>
              </w:tc>
              <w:tc>
                <w:tcPr>
                  <w:tcW w:w="1087" w:type="dxa"/>
                  <w:shd w:val="clear" w:color="auto" w:fill="auto"/>
                  <w:noWrap w:val="0"/>
                  <w:vAlign w:val="center"/>
                </w:tcPr>
                <w:p w14:paraId="743C8D6D">
                  <w:pPr>
                    <w:adjustRightInd w:val="0"/>
                    <w:snapToGrid w:val="0"/>
                    <w:spacing w:line="280" w:lineRule="exact"/>
                    <w:jc w:val="center"/>
                    <w:rPr>
                      <w:rFonts w:hint="default" w:ascii="Times New Roman" w:hAnsi="Times New Roman"/>
                      <w:color w:val="auto"/>
                      <w:kern w:val="0"/>
                      <w:szCs w:val="21"/>
                      <w:highlight w:val="none"/>
                      <w:lang w:val="en-US" w:eastAsia="zh-CN"/>
                    </w:rPr>
                  </w:pPr>
                  <w:r>
                    <w:rPr>
                      <w:rFonts w:hint="eastAsia"/>
                      <w:color w:val="auto"/>
                      <w:kern w:val="0"/>
                      <w:szCs w:val="21"/>
                      <w:highlight w:val="none"/>
                      <w:lang w:val="en-US" w:eastAsia="zh-CN"/>
                    </w:rPr>
                    <w:t>30.0</w:t>
                  </w:r>
                </w:p>
              </w:tc>
              <w:tc>
                <w:tcPr>
                  <w:tcW w:w="759" w:type="dxa"/>
                  <w:shd w:val="clear" w:color="auto" w:fill="auto"/>
                  <w:noWrap w:val="0"/>
                  <w:vAlign w:val="center"/>
                </w:tcPr>
                <w:p w14:paraId="13727C0B">
                  <w:pPr>
                    <w:adjustRightInd w:val="0"/>
                    <w:snapToGrid w:val="0"/>
                    <w:spacing w:line="280" w:lineRule="exact"/>
                    <w:jc w:val="center"/>
                    <w:rPr>
                      <w:rFonts w:hint="default" w:ascii="Times New Roman" w:hAnsi="Times New Roman"/>
                      <w:color w:val="auto"/>
                      <w:kern w:val="0"/>
                      <w:szCs w:val="21"/>
                      <w:highlight w:val="none"/>
                      <w:lang w:val="en-US" w:eastAsia="zh-CN"/>
                    </w:rPr>
                  </w:pPr>
                  <w:r>
                    <w:rPr>
                      <w:rFonts w:hint="eastAsia"/>
                      <w:color w:val="auto"/>
                      <w:kern w:val="0"/>
                      <w:szCs w:val="21"/>
                      <w:highlight w:val="none"/>
                      <w:lang w:val="en-US" w:eastAsia="zh-CN"/>
                    </w:rPr>
                    <w:t>新建</w:t>
                  </w:r>
                </w:p>
              </w:tc>
            </w:tr>
            <w:tr w14:paraId="3D22AF6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98" w:hRule="atLeast"/>
                <w:jc w:val="center"/>
              </w:trPr>
              <w:tc>
                <w:tcPr>
                  <w:tcW w:w="674" w:type="dxa"/>
                  <w:vMerge w:val="continue"/>
                  <w:shd w:val="clear" w:color="auto" w:fill="auto"/>
                  <w:noWrap w:val="0"/>
                  <w:vAlign w:val="center"/>
                </w:tcPr>
                <w:p w14:paraId="2ED0294A">
                  <w:pPr>
                    <w:adjustRightInd w:val="0"/>
                    <w:snapToGrid w:val="0"/>
                    <w:spacing w:line="280" w:lineRule="exact"/>
                    <w:jc w:val="center"/>
                    <w:rPr>
                      <w:rFonts w:hint="eastAsia" w:ascii="Times New Roman" w:hAnsi="Times New Roman"/>
                      <w:color w:val="auto"/>
                      <w:kern w:val="0"/>
                      <w:szCs w:val="21"/>
                      <w:highlight w:val="none"/>
                    </w:rPr>
                  </w:pPr>
                </w:p>
              </w:tc>
              <w:tc>
                <w:tcPr>
                  <w:tcW w:w="900" w:type="dxa"/>
                  <w:shd w:val="clear" w:color="auto" w:fill="auto"/>
                  <w:noWrap w:val="0"/>
                  <w:vAlign w:val="center"/>
                </w:tcPr>
                <w:p w14:paraId="2D87DD9A">
                  <w:pPr>
                    <w:adjustRightInd w:val="0"/>
                    <w:snapToGrid w:val="0"/>
                    <w:spacing w:line="280" w:lineRule="exact"/>
                    <w:jc w:val="center"/>
                    <w:rPr>
                      <w:rFonts w:hint="default" w:ascii="Times New Roman" w:hAnsi="Times New Roman" w:eastAsia="宋体"/>
                      <w:color w:val="auto"/>
                      <w:kern w:val="0"/>
                      <w:szCs w:val="21"/>
                      <w:highlight w:val="none"/>
                      <w:lang w:val="en-US" w:eastAsia="zh-CN"/>
                    </w:rPr>
                  </w:pPr>
                  <w:r>
                    <w:rPr>
                      <w:rFonts w:hint="eastAsia"/>
                      <w:color w:val="auto"/>
                      <w:kern w:val="0"/>
                      <w:szCs w:val="21"/>
                      <w:highlight w:val="none"/>
                      <w:lang w:val="en-US" w:eastAsia="zh-CN"/>
                    </w:rPr>
                    <w:t>环境管理</w:t>
                  </w:r>
                </w:p>
              </w:tc>
              <w:tc>
                <w:tcPr>
                  <w:tcW w:w="4467" w:type="dxa"/>
                  <w:gridSpan w:val="2"/>
                  <w:shd w:val="clear" w:color="auto" w:fill="auto"/>
                  <w:noWrap w:val="0"/>
                  <w:vAlign w:val="center"/>
                </w:tcPr>
                <w:p w14:paraId="4228CCBF">
                  <w:pPr>
                    <w:adjustRightInd w:val="0"/>
                    <w:snapToGrid w:val="0"/>
                    <w:spacing w:line="280" w:lineRule="exact"/>
                    <w:jc w:val="center"/>
                    <w:rPr>
                      <w:rFonts w:hint="default" w:ascii="Times New Roman" w:eastAsia="宋体"/>
                      <w:snapToGrid w:val="0"/>
                      <w:color w:val="auto"/>
                      <w:szCs w:val="21"/>
                      <w:highlight w:val="none"/>
                      <w:lang w:val="en-US" w:eastAsia="zh-CN"/>
                    </w:rPr>
                  </w:pPr>
                  <w:r>
                    <w:rPr>
                      <w:rFonts w:hint="eastAsia"/>
                      <w:snapToGrid w:val="0"/>
                      <w:color w:val="auto"/>
                      <w:szCs w:val="21"/>
                      <w:highlight w:val="none"/>
                      <w:lang w:val="en-US" w:eastAsia="zh-CN"/>
                    </w:rPr>
                    <w:t>加强环境管理，定期对设备进行维护，设立标识牌</w:t>
                  </w:r>
                </w:p>
              </w:tc>
              <w:tc>
                <w:tcPr>
                  <w:tcW w:w="1087" w:type="dxa"/>
                  <w:shd w:val="clear" w:color="auto" w:fill="auto"/>
                  <w:noWrap w:val="0"/>
                  <w:vAlign w:val="center"/>
                </w:tcPr>
                <w:p w14:paraId="40CDE4CE">
                  <w:pPr>
                    <w:adjustRightInd w:val="0"/>
                    <w:snapToGrid w:val="0"/>
                    <w:spacing w:line="280" w:lineRule="exact"/>
                    <w:jc w:val="center"/>
                    <w:rPr>
                      <w:rFonts w:hint="default" w:ascii="Times New Roman" w:hAnsi="Times New Roman"/>
                      <w:color w:val="auto"/>
                      <w:kern w:val="0"/>
                      <w:szCs w:val="21"/>
                      <w:highlight w:val="none"/>
                      <w:lang w:val="en-US" w:eastAsia="zh-CN"/>
                    </w:rPr>
                  </w:pPr>
                  <w:r>
                    <w:rPr>
                      <w:rFonts w:hint="eastAsia"/>
                      <w:color w:val="auto"/>
                      <w:kern w:val="0"/>
                      <w:szCs w:val="21"/>
                      <w:highlight w:val="none"/>
                      <w:lang w:val="en-US" w:eastAsia="zh-CN"/>
                    </w:rPr>
                    <w:t>20.0</w:t>
                  </w:r>
                </w:p>
              </w:tc>
              <w:tc>
                <w:tcPr>
                  <w:tcW w:w="759" w:type="dxa"/>
                  <w:shd w:val="clear" w:color="auto" w:fill="auto"/>
                  <w:noWrap w:val="0"/>
                  <w:vAlign w:val="center"/>
                </w:tcPr>
                <w:p w14:paraId="5FFA1A63">
                  <w:pPr>
                    <w:adjustRightInd w:val="0"/>
                    <w:snapToGrid w:val="0"/>
                    <w:spacing w:line="280" w:lineRule="exact"/>
                    <w:jc w:val="center"/>
                    <w:rPr>
                      <w:rFonts w:hint="eastAsia" w:ascii="Times New Roman" w:hAnsi="Times New Roman"/>
                      <w:color w:val="auto"/>
                      <w:kern w:val="0"/>
                      <w:szCs w:val="21"/>
                      <w:highlight w:val="none"/>
                      <w:lang w:val="en-US" w:eastAsia="zh-CN"/>
                    </w:rPr>
                  </w:pPr>
                  <w:r>
                    <w:rPr>
                      <w:rFonts w:hint="eastAsia" w:ascii="Times New Roman" w:hAnsi="Times New Roman"/>
                      <w:color w:val="auto"/>
                      <w:kern w:val="0"/>
                      <w:szCs w:val="21"/>
                      <w:highlight w:val="none"/>
                      <w:lang w:val="en-US" w:eastAsia="zh-CN"/>
                    </w:rPr>
                    <w:t>新建</w:t>
                  </w:r>
                </w:p>
              </w:tc>
            </w:tr>
            <w:tr w14:paraId="61207E8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98" w:hRule="atLeast"/>
                <w:jc w:val="center"/>
              </w:trPr>
              <w:tc>
                <w:tcPr>
                  <w:tcW w:w="674" w:type="dxa"/>
                  <w:vMerge w:val="continue"/>
                  <w:shd w:val="clear" w:color="auto" w:fill="auto"/>
                  <w:noWrap w:val="0"/>
                  <w:vAlign w:val="center"/>
                </w:tcPr>
                <w:p w14:paraId="36DF52F0">
                  <w:pPr>
                    <w:adjustRightInd w:val="0"/>
                    <w:snapToGrid w:val="0"/>
                    <w:spacing w:line="280" w:lineRule="exact"/>
                    <w:jc w:val="center"/>
                    <w:rPr>
                      <w:rFonts w:hint="eastAsia" w:ascii="Times New Roman" w:hAnsi="Times New Roman"/>
                      <w:color w:val="auto"/>
                      <w:kern w:val="0"/>
                      <w:szCs w:val="21"/>
                      <w:highlight w:val="none"/>
                    </w:rPr>
                  </w:pPr>
                </w:p>
              </w:tc>
              <w:tc>
                <w:tcPr>
                  <w:tcW w:w="900" w:type="dxa"/>
                  <w:shd w:val="clear" w:color="auto" w:fill="auto"/>
                  <w:noWrap w:val="0"/>
                  <w:vAlign w:val="center"/>
                </w:tcPr>
                <w:p w14:paraId="3C046EE2">
                  <w:pPr>
                    <w:adjustRightInd w:val="0"/>
                    <w:snapToGrid w:val="0"/>
                    <w:spacing w:line="280" w:lineRule="exact"/>
                    <w:jc w:val="center"/>
                    <w:rPr>
                      <w:rFonts w:hint="eastAsia" w:ascii="Times New Roman" w:hAnsi="Times New Roman"/>
                      <w:color w:val="auto"/>
                      <w:kern w:val="0"/>
                      <w:szCs w:val="21"/>
                      <w:highlight w:val="none"/>
                      <w:lang w:val="en-US" w:eastAsia="zh-CN"/>
                    </w:rPr>
                  </w:pPr>
                  <w:r>
                    <w:rPr>
                      <w:rFonts w:hint="eastAsia" w:ascii="Times New Roman" w:hAnsi="Times New Roman"/>
                      <w:color w:val="auto"/>
                      <w:kern w:val="0"/>
                      <w:szCs w:val="21"/>
                      <w:highlight w:val="none"/>
                      <w:lang w:val="en-US" w:eastAsia="zh-CN"/>
                    </w:rPr>
                    <w:t>环境监测</w:t>
                  </w:r>
                </w:p>
              </w:tc>
              <w:tc>
                <w:tcPr>
                  <w:tcW w:w="4467" w:type="dxa"/>
                  <w:gridSpan w:val="2"/>
                  <w:shd w:val="clear" w:color="auto" w:fill="auto"/>
                  <w:noWrap w:val="0"/>
                  <w:vAlign w:val="center"/>
                </w:tcPr>
                <w:p w14:paraId="11739948">
                  <w:pPr>
                    <w:adjustRightInd w:val="0"/>
                    <w:snapToGrid w:val="0"/>
                    <w:spacing w:line="280" w:lineRule="exact"/>
                    <w:jc w:val="center"/>
                    <w:rPr>
                      <w:rFonts w:hint="default" w:ascii="Times New Roman"/>
                      <w:snapToGrid w:val="0"/>
                      <w:color w:val="auto"/>
                      <w:szCs w:val="21"/>
                      <w:highlight w:val="none"/>
                      <w:lang w:val="en-US" w:eastAsia="zh-CN"/>
                    </w:rPr>
                  </w:pPr>
                  <w:r>
                    <w:rPr>
                      <w:rFonts w:hint="eastAsia" w:ascii="Times New Roman"/>
                      <w:snapToGrid w:val="0"/>
                      <w:color w:val="auto"/>
                      <w:szCs w:val="21"/>
                      <w:highlight w:val="none"/>
                      <w:lang w:val="en-US" w:eastAsia="zh-CN"/>
                    </w:rPr>
                    <w:t>排污口规范化建设、设置标识标牌、定期进行监测</w:t>
                  </w:r>
                </w:p>
              </w:tc>
              <w:tc>
                <w:tcPr>
                  <w:tcW w:w="1087" w:type="dxa"/>
                  <w:shd w:val="clear" w:color="auto" w:fill="auto"/>
                  <w:noWrap w:val="0"/>
                  <w:vAlign w:val="center"/>
                </w:tcPr>
                <w:p w14:paraId="09E291D7">
                  <w:pPr>
                    <w:adjustRightInd w:val="0"/>
                    <w:snapToGrid w:val="0"/>
                    <w:spacing w:line="280" w:lineRule="exact"/>
                    <w:jc w:val="center"/>
                    <w:rPr>
                      <w:rFonts w:hint="default" w:ascii="Times New Roman" w:hAnsi="Times New Roman"/>
                      <w:color w:val="auto"/>
                      <w:kern w:val="0"/>
                      <w:szCs w:val="21"/>
                      <w:highlight w:val="none"/>
                      <w:lang w:val="en-US" w:eastAsia="zh-CN"/>
                    </w:rPr>
                  </w:pPr>
                  <w:r>
                    <w:rPr>
                      <w:rFonts w:hint="eastAsia"/>
                      <w:color w:val="auto"/>
                      <w:kern w:val="0"/>
                      <w:szCs w:val="21"/>
                      <w:highlight w:val="none"/>
                      <w:lang w:val="en-US" w:eastAsia="zh-CN"/>
                    </w:rPr>
                    <w:t>20.0</w:t>
                  </w:r>
                </w:p>
              </w:tc>
              <w:tc>
                <w:tcPr>
                  <w:tcW w:w="759" w:type="dxa"/>
                  <w:shd w:val="clear" w:color="auto" w:fill="auto"/>
                  <w:noWrap w:val="0"/>
                  <w:vAlign w:val="center"/>
                </w:tcPr>
                <w:p w14:paraId="6E264C32">
                  <w:pPr>
                    <w:adjustRightInd w:val="0"/>
                    <w:snapToGrid w:val="0"/>
                    <w:spacing w:line="280" w:lineRule="exact"/>
                    <w:jc w:val="center"/>
                    <w:rPr>
                      <w:rFonts w:hint="default" w:ascii="Times New Roman" w:hAnsi="Times New Roman"/>
                      <w:color w:val="auto"/>
                      <w:kern w:val="0"/>
                      <w:szCs w:val="21"/>
                      <w:highlight w:val="none"/>
                      <w:lang w:val="en-US" w:eastAsia="zh-CN"/>
                    </w:rPr>
                  </w:pPr>
                  <w:r>
                    <w:rPr>
                      <w:rFonts w:hint="eastAsia"/>
                      <w:color w:val="auto"/>
                      <w:kern w:val="0"/>
                      <w:szCs w:val="21"/>
                      <w:highlight w:val="none"/>
                      <w:lang w:val="en-US" w:eastAsia="zh-CN"/>
                    </w:rPr>
                    <w:t>新建</w:t>
                  </w:r>
                </w:p>
              </w:tc>
            </w:tr>
            <w:tr w14:paraId="0C3A31E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77" w:hRule="atLeast"/>
                <w:jc w:val="center"/>
              </w:trPr>
              <w:tc>
                <w:tcPr>
                  <w:tcW w:w="674" w:type="dxa"/>
                  <w:vMerge w:val="continue"/>
                  <w:shd w:val="clear" w:color="auto" w:fill="auto"/>
                  <w:noWrap w:val="0"/>
                  <w:vAlign w:val="center"/>
                </w:tcPr>
                <w:p w14:paraId="681477BD">
                  <w:pPr>
                    <w:adjustRightInd w:val="0"/>
                    <w:snapToGrid w:val="0"/>
                    <w:spacing w:line="280" w:lineRule="exact"/>
                    <w:jc w:val="center"/>
                    <w:rPr>
                      <w:rFonts w:hint="eastAsia" w:ascii="Times New Roman" w:hAnsi="Times New Roman"/>
                      <w:color w:val="auto"/>
                      <w:kern w:val="0"/>
                      <w:szCs w:val="21"/>
                      <w:highlight w:val="none"/>
                      <w:lang w:val="en-US" w:eastAsia="zh-CN"/>
                    </w:rPr>
                  </w:pPr>
                </w:p>
              </w:tc>
              <w:tc>
                <w:tcPr>
                  <w:tcW w:w="5367" w:type="dxa"/>
                  <w:gridSpan w:val="3"/>
                  <w:shd w:val="clear" w:color="auto" w:fill="auto"/>
                  <w:noWrap w:val="0"/>
                  <w:vAlign w:val="center"/>
                </w:tcPr>
                <w:p w14:paraId="2036F59B">
                  <w:pPr>
                    <w:adjustRightInd w:val="0"/>
                    <w:snapToGrid w:val="0"/>
                    <w:spacing w:line="280" w:lineRule="exact"/>
                    <w:jc w:val="center"/>
                    <w:rPr>
                      <w:rFonts w:hint="default" w:ascii="Times New Roman" w:eastAsia="宋体"/>
                      <w:snapToGrid w:val="0"/>
                      <w:color w:val="auto"/>
                      <w:szCs w:val="21"/>
                      <w:highlight w:val="none"/>
                      <w:lang w:val="en-US" w:eastAsia="zh-CN"/>
                    </w:rPr>
                  </w:pPr>
                  <w:r>
                    <w:rPr>
                      <w:rFonts w:hint="eastAsia" w:ascii="Times New Roman"/>
                      <w:snapToGrid w:val="0"/>
                      <w:color w:val="auto"/>
                      <w:szCs w:val="21"/>
                      <w:highlight w:val="none"/>
                    </w:rPr>
                    <w:t>合计</w:t>
                  </w:r>
                </w:p>
              </w:tc>
              <w:tc>
                <w:tcPr>
                  <w:tcW w:w="1087" w:type="dxa"/>
                  <w:shd w:val="clear" w:color="auto" w:fill="auto"/>
                  <w:noWrap w:val="0"/>
                  <w:vAlign w:val="center"/>
                </w:tcPr>
                <w:p w14:paraId="1E6BBA3E">
                  <w:pPr>
                    <w:adjustRightInd w:val="0"/>
                    <w:snapToGrid w:val="0"/>
                    <w:spacing w:line="280" w:lineRule="exact"/>
                    <w:jc w:val="center"/>
                    <w:rPr>
                      <w:rFonts w:hint="default" w:ascii="Times New Roman" w:hAnsi="Times New Roman" w:eastAsia="宋体"/>
                      <w:color w:val="auto"/>
                      <w:kern w:val="0"/>
                      <w:szCs w:val="21"/>
                      <w:highlight w:val="none"/>
                      <w:lang w:val="en-US" w:eastAsia="zh-CN"/>
                    </w:rPr>
                  </w:pPr>
                  <w:r>
                    <w:rPr>
                      <w:rFonts w:hint="eastAsia"/>
                      <w:color w:val="auto"/>
                      <w:kern w:val="0"/>
                      <w:szCs w:val="21"/>
                      <w:highlight w:val="none"/>
                      <w:lang w:val="en-US" w:eastAsia="zh-CN"/>
                    </w:rPr>
                    <w:t>600.0</w:t>
                  </w:r>
                </w:p>
              </w:tc>
              <w:tc>
                <w:tcPr>
                  <w:tcW w:w="759" w:type="dxa"/>
                  <w:shd w:val="clear" w:color="auto" w:fill="auto"/>
                  <w:noWrap w:val="0"/>
                  <w:vAlign w:val="center"/>
                </w:tcPr>
                <w:p w14:paraId="570A7E45">
                  <w:pPr>
                    <w:adjustRightInd w:val="0"/>
                    <w:snapToGrid w:val="0"/>
                    <w:spacing w:line="280" w:lineRule="exact"/>
                    <w:jc w:val="center"/>
                    <w:rPr>
                      <w:rFonts w:hint="eastAsia" w:ascii="Times New Roman" w:hAnsi="Times New Roman" w:eastAsia="宋体"/>
                      <w:color w:val="auto"/>
                      <w:kern w:val="0"/>
                      <w:szCs w:val="21"/>
                      <w:highlight w:val="none"/>
                      <w:lang w:val="en-US" w:eastAsia="zh-CN"/>
                    </w:rPr>
                  </w:pPr>
                  <w:r>
                    <w:rPr>
                      <w:rFonts w:hint="eastAsia" w:ascii="Times New Roman" w:hAnsi="Times New Roman"/>
                      <w:color w:val="auto"/>
                      <w:kern w:val="0"/>
                      <w:szCs w:val="21"/>
                      <w:highlight w:val="none"/>
                    </w:rPr>
                    <w:t>/</w:t>
                  </w:r>
                </w:p>
              </w:tc>
            </w:tr>
          </w:tbl>
          <w:p w14:paraId="0E9CF51B">
            <w:pPr>
              <w:pStyle w:val="66"/>
              <w:rPr>
                <w:rFonts w:hint="eastAsia"/>
                <w:color w:val="auto"/>
                <w:lang w:eastAsia="zh-CN"/>
              </w:rPr>
            </w:pPr>
            <w:r>
              <w:rPr>
                <w:rFonts w:hint="eastAsia"/>
                <w:color w:val="auto"/>
                <w:lang w:eastAsia="zh-CN"/>
              </w:rPr>
              <w:t xml:space="preserve"> </w:t>
            </w:r>
          </w:p>
          <w:p w14:paraId="27BD7932">
            <w:pPr>
              <w:pStyle w:val="66"/>
              <w:ind w:left="0" w:leftChars="0" w:firstLine="0" w:firstLineChars="0"/>
              <w:rPr>
                <w:rFonts w:hint="eastAsia"/>
                <w:color w:val="auto"/>
                <w:lang w:eastAsia="zh-CN"/>
              </w:rPr>
            </w:pPr>
          </w:p>
        </w:tc>
      </w:tr>
    </w:tbl>
    <w:p w14:paraId="6A8402EB">
      <w:pPr>
        <w:pStyle w:val="70"/>
        <w:jc w:val="both"/>
        <w:rPr>
          <w:snapToGrid w:val="0"/>
          <w:color w:val="auto"/>
        </w:rPr>
        <w:sectPr>
          <w:pgSz w:w="11906" w:h="16838"/>
          <w:pgMar w:top="1701" w:right="1531" w:bottom="1701" w:left="1531" w:header="851" w:footer="1021" w:gutter="0"/>
          <w:cols w:space="720" w:num="1"/>
          <w:docGrid w:linePitch="312" w:charSpace="0"/>
        </w:sectPr>
      </w:pPr>
    </w:p>
    <w:p w14:paraId="5880DF83">
      <w:pPr>
        <w:pStyle w:val="37"/>
        <w:jc w:val="center"/>
        <w:outlineLvl w:val="0"/>
        <w:rPr>
          <w:rFonts w:hint="eastAsia" w:ascii="黑体" w:hAnsi="黑体" w:eastAsia="黑体"/>
          <w:snapToGrid w:val="0"/>
          <w:color w:val="auto"/>
          <w:sz w:val="30"/>
          <w:szCs w:val="30"/>
        </w:rPr>
      </w:pPr>
      <w:bookmarkStart w:id="17" w:name="_Toc26575"/>
      <w:bookmarkStart w:id="18" w:name="_Toc186098081"/>
      <w:r>
        <w:rPr>
          <w:rFonts w:hint="eastAsia" w:ascii="黑体" w:hAnsi="黑体" w:eastAsia="黑体"/>
          <w:snapToGrid w:val="0"/>
          <w:color w:val="auto"/>
          <w:sz w:val="30"/>
          <w:szCs w:val="30"/>
        </w:rPr>
        <w:t>五、</w:t>
      </w:r>
      <w:bookmarkStart w:id="19" w:name="_Hlk54167917"/>
      <w:r>
        <w:rPr>
          <w:rFonts w:hint="eastAsia" w:ascii="黑体" w:hAnsi="黑体" w:eastAsia="黑体"/>
          <w:snapToGrid w:val="0"/>
          <w:color w:val="auto"/>
          <w:sz w:val="30"/>
          <w:szCs w:val="30"/>
        </w:rPr>
        <w:t>环境保护措施监督检查清单</w:t>
      </w:r>
      <w:bookmarkEnd w:id="17"/>
      <w:bookmarkEnd w:id="18"/>
      <w:bookmarkEnd w:id="19"/>
    </w:p>
    <w:tbl>
      <w:tblPr>
        <w:tblStyle w:val="41"/>
        <w:tblW w:w="8800"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1556"/>
        <w:gridCol w:w="1680"/>
        <w:gridCol w:w="1157"/>
        <w:gridCol w:w="2655"/>
        <w:gridCol w:w="1752"/>
      </w:tblGrid>
      <w:tr w14:paraId="4A5C864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25" w:hRule="atLeast"/>
          <w:jc w:val="center"/>
        </w:trPr>
        <w:tc>
          <w:tcPr>
            <w:tcW w:w="1556" w:type="dxa"/>
            <w:tcBorders>
              <w:tl2br w:val="single" w:color="auto" w:sz="4" w:space="0"/>
            </w:tcBorders>
            <w:shd w:val="clear" w:color="auto" w:fill="auto"/>
            <w:noWrap w:val="0"/>
            <w:vAlign w:val="center"/>
          </w:tcPr>
          <w:p w14:paraId="2F36953C">
            <w:pPr>
              <w:adjustRightInd w:val="0"/>
              <w:snapToGrid w:val="0"/>
              <w:ind w:firstLine="840"/>
              <w:rPr>
                <w:rFonts w:ascii="Times New Roman" w:hAnsi="Times New Roman"/>
                <w:b/>
                <w:bCs/>
                <w:color w:val="auto"/>
                <w:sz w:val="24"/>
                <w:highlight w:val="none"/>
              </w:rPr>
            </w:pPr>
            <w:r>
              <w:rPr>
                <w:rFonts w:ascii="Times New Roman" w:hAnsi="Times New Roman"/>
                <w:b/>
                <w:bCs/>
                <w:color w:val="auto"/>
                <w:sz w:val="24"/>
                <w:highlight w:val="none"/>
              </w:rPr>
              <w:t>内容</w:t>
            </w:r>
          </w:p>
          <w:p w14:paraId="279156B4">
            <w:pPr>
              <w:adjustRightInd w:val="0"/>
              <w:snapToGrid w:val="0"/>
              <w:rPr>
                <w:rFonts w:ascii="Times New Roman" w:hAnsi="Times New Roman"/>
                <w:b/>
                <w:bCs/>
                <w:color w:val="auto"/>
                <w:sz w:val="24"/>
                <w:highlight w:val="none"/>
              </w:rPr>
            </w:pPr>
            <w:r>
              <w:rPr>
                <w:rFonts w:ascii="Times New Roman" w:hAnsi="Times New Roman"/>
                <w:b/>
                <w:bCs/>
                <w:color w:val="auto"/>
                <w:sz w:val="24"/>
                <w:highlight w:val="none"/>
              </w:rPr>
              <w:t>要素</w:t>
            </w:r>
          </w:p>
        </w:tc>
        <w:tc>
          <w:tcPr>
            <w:tcW w:w="1680" w:type="dxa"/>
            <w:shd w:val="clear" w:color="auto" w:fill="auto"/>
            <w:noWrap w:val="0"/>
            <w:vAlign w:val="center"/>
          </w:tcPr>
          <w:p w14:paraId="221FC6CB">
            <w:pPr>
              <w:adjustRightInd w:val="0"/>
              <w:snapToGrid w:val="0"/>
              <w:jc w:val="center"/>
              <w:rPr>
                <w:rFonts w:ascii="Times New Roman" w:hAnsi="Times New Roman"/>
                <w:b/>
                <w:bCs/>
                <w:color w:val="auto"/>
                <w:sz w:val="24"/>
                <w:highlight w:val="none"/>
              </w:rPr>
            </w:pPr>
            <w:r>
              <w:rPr>
                <w:rFonts w:ascii="Times New Roman" w:hAnsi="Times New Roman"/>
                <w:b/>
                <w:bCs/>
                <w:color w:val="auto"/>
                <w:sz w:val="24"/>
                <w:highlight w:val="none"/>
              </w:rPr>
              <w:t>排放口</w:t>
            </w:r>
            <w:r>
              <w:rPr>
                <w:rFonts w:hint="eastAsia" w:ascii="Times New Roman" w:hAnsi="Times New Roman"/>
                <w:b/>
                <w:bCs/>
                <w:color w:val="auto"/>
                <w:sz w:val="24"/>
                <w:highlight w:val="none"/>
              </w:rPr>
              <w:t>（</w:t>
            </w:r>
            <w:r>
              <w:rPr>
                <w:rFonts w:ascii="Times New Roman" w:hAnsi="Times New Roman"/>
                <w:b/>
                <w:bCs/>
                <w:color w:val="auto"/>
                <w:sz w:val="24"/>
                <w:highlight w:val="none"/>
              </w:rPr>
              <w:t>编号、名称</w:t>
            </w:r>
            <w:r>
              <w:rPr>
                <w:rFonts w:hint="eastAsia" w:ascii="Times New Roman" w:hAnsi="Times New Roman"/>
                <w:b/>
                <w:bCs/>
                <w:color w:val="auto"/>
                <w:sz w:val="24"/>
                <w:highlight w:val="none"/>
              </w:rPr>
              <w:t>）</w:t>
            </w:r>
            <w:r>
              <w:rPr>
                <w:rFonts w:ascii="Times New Roman" w:hAnsi="Times New Roman"/>
                <w:b/>
                <w:bCs/>
                <w:color w:val="auto"/>
                <w:sz w:val="24"/>
                <w:highlight w:val="none"/>
              </w:rPr>
              <w:t>/污染源</w:t>
            </w:r>
          </w:p>
        </w:tc>
        <w:tc>
          <w:tcPr>
            <w:tcW w:w="1157" w:type="dxa"/>
            <w:shd w:val="clear" w:color="auto" w:fill="auto"/>
            <w:noWrap w:val="0"/>
            <w:vAlign w:val="center"/>
          </w:tcPr>
          <w:p w14:paraId="2316E55A">
            <w:pPr>
              <w:adjustRightInd w:val="0"/>
              <w:snapToGrid w:val="0"/>
              <w:jc w:val="center"/>
              <w:rPr>
                <w:rFonts w:ascii="Times New Roman" w:hAnsi="Times New Roman"/>
                <w:b/>
                <w:bCs/>
                <w:color w:val="auto"/>
                <w:sz w:val="24"/>
                <w:highlight w:val="none"/>
              </w:rPr>
            </w:pPr>
            <w:r>
              <w:rPr>
                <w:rFonts w:ascii="Times New Roman" w:hAnsi="Times New Roman"/>
                <w:b/>
                <w:bCs/>
                <w:color w:val="auto"/>
                <w:sz w:val="24"/>
                <w:highlight w:val="none"/>
              </w:rPr>
              <w:t>污染物项目</w:t>
            </w:r>
          </w:p>
        </w:tc>
        <w:tc>
          <w:tcPr>
            <w:tcW w:w="2655" w:type="dxa"/>
            <w:shd w:val="clear" w:color="auto" w:fill="auto"/>
            <w:noWrap w:val="0"/>
            <w:vAlign w:val="center"/>
          </w:tcPr>
          <w:p w14:paraId="09606AD1">
            <w:pPr>
              <w:adjustRightInd w:val="0"/>
              <w:snapToGrid w:val="0"/>
              <w:jc w:val="center"/>
              <w:rPr>
                <w:rFonts w:ascii="Times New Roman" w:hAnsi="Times New Roman"/>
                <w:b/>
                <w:bCs/>
                <w:color w:val="auto"/>
                <w:sz w:val="24"/>
                <w:highlight w:val="none"/>
              </w:rPr>
            </w:pPr>
            <w:r>
              <w:rPr>
                <w:rFonts w:ascii="Times New Roman" w:hAnsi="Times New Roman"/>
                <w:b/>
                <w:bCs/>
                <w:color w:val="auto"/>
                <w:sz w:val="24"/>
                <w:highlight w:val="none"/>
              </w:rPr>
              <w:t>环境保护措施</w:t>
            </w:r>
          </w:p>
        </w:tc>
        <w:tc>
          <w:tcPr>
            <w:tcW w:w="1752" w:type="dxa"/>
            <w:shd w:val="clear" w:color="auto" w:fill="auto"/>
            <w:noWrap w:val="0"/>
            <w:vAlign w:val="center"/>
          </w:tcPr>
          <w:p w14:paraId="02B97088">
            <w:pPr>
              <w:adjustRightInd w:val="0"/>
              <w:snapToGrid w:val="0"/>
              <w:jc w:val="center"/>
              <w:rPr>
                <w:rFonts w:ascii="Times New Roman" w:hAnsi="Times New Roman"/>
                <w:b/>
                <w:bCs/>
                <w:color w:val="auto"/>
                <w:sz w:val="24"/>
                <w:highlight w:val="none"/>
              </w:rPr>
            </w:pPr>
            <w:r>
              <w:rPr>
                <w:rFonts w:ascii="Times New Roman" w:hAnsi="Times New Roman"/>
                <w:b/>
                <w:bCs/>
                <w:color w:val="auto"/>
                <w:sz w:val="24"/>
                <w:highlight w:val="none"/>
              </w:rPr>
              <w:t>执行标准</w:t>
            </w:r>
          </w:p>
        </w:tc>
      </w:tr>
      <w:tr w14:paraId="5F6F115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25" w:hRule="atLeast"/>
          <w:jc w:val="center"/>
        </w:trPr>
        <w:tc>
          <w:tcPr>
            <w:tcW w:w="1556" w:type="dxa"/>
            <w:vMerge w:val="restart"/>
            <w:shd w:val="clear" w:color="auto" w:fill="auto"/>
            <w:noWrap w:val="0"/>
            <w:vAlign w:val="center"/>
          </w:tcPr>
          <w:p w14:paraId="3274813B">
            <w:pPr>
              <w:adjustRightInd w:val="0"/>
              <w:snapToGrid w:val="0"/>
              <w:jc w:val="center"/>
              <w:rPr>
                <w:rFonts w:ascii="Times New Roman" w:hAnsi="Times New Roman"/>
                <w:b/>
                <w:bCs/>
                <w:color w:val="auto"/>
                <w:sz w:val="24"/>
                <w:highlight w:val="none"/>
              </w:rPr>
            </w:pPr>
            <w:r>
              <w:rPr>
                <w:rFonts w:hint="eastAsia" w:ascii="Times New Roman" w:hAnsi="Times New Roman"/>
                <w:b/>
                <w:bCs/>
                <w:color w:val="auto"/>
                <w:sz w:val="24"/>
                <w:highlight w:val="none"/>
              </w:rPr>
              <w:t>大气环境</w:t>
            </w:r>
          </w:p>
        </w:tc>
        <w:tc>
          <w:tcPr>
            <w:tcW w:w="1680" w:type="dxa"/>
            <w:shd w:val="clear" w:color="auto" w:fill="auto"/>
            <w:noWrap w:val="0"/>
            <w:vAlign w:val="center"/>
          </w:tcPr>
          <w:p w14:paraId="0298B406">
            <w:pPr>
              <w:adjustRightInd w:val="0"/>
              <w:snapToGrid w:val="0"/>
              <w:jc w:val="center"/>
              <w:rPr>
                <w:rFonts w:hint="default"/>
                <w:color w:val="auto"/>
                <w:lang w:val="en-US" w:eastAsia="zh-CN"/>
              </w:rPr>
            </w:pPr>
            <w:r>
              <w:rPr>
                <w:rFonts w:hint="eastAsia" w:ascii="Times New Roman" w:hAnsi="Times New Roman" w:eastAsia="宋体" w:cs="Times New Roman"/>
                <w:color w:val="auto"/>
                <w:sz w:val="24"/>
                <w:highlight w:val="none"/>
                <w:lang w:val="en-US" w:eastAsia="zh-CN"/>
              </w:rPr>
              <w:t>DA00</w:t>
            </w:r>
            <w:r>
              <w:rPr>
                <w:rFonts w:hint="eastAsia" w:cs="Times New Roman"/>
                <w:color w:val="auto"/>
                <w:sz w:val="24"/>
                <w:highlight w:val="none"/>
                <w:lang w:val="en-US" w:eastAsia="zh-CN"/>
              </w:rPr>
              <w:t>1（涂布烘干废气）</w:t>
            </w:r>
          </w:p>
        </w:tc>
        <w:tc>
          <w:tcPr>
            <w:tcW w:w="1157" w:type="dxa"/>
            <w:vMerge w:val="restart"/>
            <w:shd w:val="clear" w:color="auto" w:fill="auto"/>
            <w:noWrap w:val="0"/>
            <w:vAlign w:val="center"/>
          </w:tcPr>
          <w:p w14:paraId="644A470D">
            <w:pPr>
              <w:adjustRightInd w:val="0"/>
              <w:snapToGrid w:val="0"/>
              <w:jc w:val="center"/>
              <w:rPr>
                <w:rFonts w:hint="default" w:ascii="Times New Roman" w:hAnsi="Times New Roman" w:eastAsia="宋体"/>
                <w:color w:val="auto"/>
                <w:sz w:val="24"/>
                <w:highlight w:val="none"/>
                <w:lang w:val="en-US" w:eastAsia="zh-CN"/>
              </w:rPr>
            </w:pPr>
            <w:r>
              <w:rPr>
                <w:rFonts w:hint="eastAsia"/>
                <w:color w:val="auto"/>
                <w:sz w:val="24"/>
                <w:highlight w:val="none"/>
                <w:lang w:val="en-US" w:eastAsia="zh-CN"/>
              </w:rPr>
              <w:t>挥发性有机物（以非甲烷总烃计）</w:t>
            </w:r>
          </w:p>
        </w:tc>
        <w:tc>
          <w:tcPr>
            <w:tcW w:w="2655" w:type="dxa"/>
            <w:shd w:val="clear" w:color="auto" w:fill="auto"/>
            <w:noWrap w:val="0"/>
            <w:vAlign w:val="center"/>
          </w:tcPr>
          <w:p w14:paraId="04BB1F4E">
            <w:pPr>
              <w:adjustRightInd w:val="0"/>
              <w:snapToGrid w:val="0"/>
              <w:jc w:val="center"/>
              <w:rPr>
                <w:rFonts w:hint="default" w:ascii="Times New Roman" w:hAnsi="Times New Roman" w:eastAsia="宋体"/>
                <w:color w:val="auto"/>
                <w:sz w:val="24"/>
                <w:highlight w:val="none"/>
                <w:lang w:val="en-US" w:eastAsia="zh-CN"/>
              </w:rPr>
            </w:pPr>
            <w:r>
              <w:rPr>
                <w:rFonts w:hint="eastAsia" w:cs="Times New Roman"/>
                <w:color w:val="auto"/>
                <w:sz w:val="24"/>
                <w:highlight w:val="none"/>
                <w:lang w:val="en-US" w:eastAsia="zh-CN"/>
              </w:rPr>
              <w:t>NMP回收装置（TA002，</w:t>
            </w:r>
            <w:r>
              <w:rPr>
                <w:rFonts w:hint="default" w:ascii="Times New Roman" w:hAnsi="Times New Roman" w:eastAsia="宋体" w:cs="Times New Roman"/>
                <w:color w:val="auto"/>
                <w:kern w:val="0"/>
                <w:sz w:val="24"/>
                <w:szCs w:val="24"/>
                <w:shd w:val="clear"/>
                <w:lang w:val="en-US" w:eastAsia="zh-CN" w:bidi="ar"/>
              </w:rPr>
              <w:t>二级冷凝回收+转轮深度吸附</w:t>
            </w:r>
            <w:r>
              <w:rPr>
                <w:rFonts w:hint="eastAsia" w:cs="Times New Roman"/>
                <w:color w:val="auto"/>
                <w:sz w:val="24"/>
                <w:highlight w:val="none"/>
                <w:lang w:val="en-US" w:eastAsia="zh-CN"/>
              </w:rPr>
              <w:t>）</w:t>
            </w:r>
            <w:r>
              <w:rPr>
                <w:rFonts w:hint="eastAsia" w:ascii="Times New Roman" w:hAnsi="Times New Roman" w:eastAsia="宋体" w:cs="Times New Roman"/>
                <w:color w:val="auto"/>
                <w:sz w:val="24"/>
                <w:szCs w:val="24"/>
                <w:lang w:val="en-US" w:eastAsia="zh-CN"/>
              </w:rPr>
              <w:t>+30m高排气筒（DA001）</w:t>
            </w:r>
          </w:p>
        </w:tc>
        <w:tc>
          <w:tcPr>
            <w:tcW w:w="1752" w:type="dxa"/>
            <w:vMerge w:val="restart"/>
            <w:shd w:val="clear" w:color="auto" w:fill="auto"/>
            <w:noWrap w:val="0"/>
            <w:vAlign w:val="center"/>
          </w:tcPr>
          <w:p w14:paraId="3C1D7F45">
            <w:pPr>
              <w:pStyle w:val="208"/>
              <w:spacing w:line="240" w:lineRule="auto"/>
              <w:ind w:firstLine="0"/>
              <w:jc w:val="center"/>
              <w:rPr>
                <w:rFonts w:hint="eastAsia" w:ascii="Times New Roman" w:hAnsi="Times New Roman" w:eastAsia="宋体"/>
                <w:color w:val="auto"/>
                <w:highlight w:val="none"/>
                <w:lang w:eastAsia="zh-CN"/>
              </w:rPr>
            </w:pPr>
            <w:r>
              <w:rPr>
                <w:rFonts w:hint="eastAsia" w:ascii="Times New Roman" w:hAnsi="Times New Roman"/>
                <w:color w:val="auto"/>
                <w:sz w:val="24"/>
                <w:highlight w:val="none"/>
              </w:rPr>
              <w:t>《</w:t>
            </w:r>
            <w:r>
              <w:rPr>
                <w:rFonts w:hint="eastAsia" w:ascii="Times New Roman"/>
                <w:color w:val="auto"/>
                <w:sz w:val="24"/>
                <w:highlight w:val="none"/>
                <w:lang w:val="en-US" w:eastAsia="zh-CN"/>
              </w:rPr>
              <w:t>电池工业污染物排放标准</w:t>
            </w:r>
            <w:r>
              <w:rPr>
                <w:rFonts w:hint="eastAsia" w:ascii="Times New Roman" w:hAnsi="Times New Roman"/>
                <w:color w:val="auto"/>
                <w:sz w:val="24"/>
                <w:highlight w:val="none"/>
              </w:rPr>
              <w:t>》（GB</w:t>
            </w:r>
            <w:r>
              <w:rPr>
                <w:rFonts w:hint="eastAsia" w:ascii="Times New Roman"/>
                <w:color w:val="auto"/>
                <w:sz w:val="24"/>
                <w:highlight w:val="none"/>
                <w:lang w:val="en-US" w:eastAsia="zh-CN"/>
              </w:rPr>
              <w:t>30484</w:t>
            </w:r>
            <w:r>
              <w:rPr>
                <w:rFonts w:hint="eastAsia" w:ascii="Times New Roman" w:hAnsi="Times New Roman"/>
                <w:color w:val="auto"/>
                <w:sz w:val="24"/>
                <w:highlight w:val="none"/>
              </w:rPr>
              <w:t>-</w:t>
            </w:r>
            <w:r>
              <w:rPr>
                <w:rFonts w:hint="eastAsia" w:ascii="Times New Roman"/>
                <w:color w:val="auto"/>
                <w:sz w:val="24"/>
                <w:highlight w:val="none"/>
                <w:lang w:val="en-US" w:eastAsia="zh-CN"/>
              </w:rPr>
              <w:t>2013</w:t>
            </w:r>
            <w:r>
              <w:rPr>
                <w:rFonts w:hint="eastAsia" w:ascii="Times New Roman" w:hAnsi="Times New Roman"/>
                <w:color w:val="auto"/>
                <w:sz w:val="24"/>
                <w:highlight w:val="none"/>
              </w:rPr>
              <w:t>）</w:t>
            </w:r>
          </w:p>
        </w:tc>
      </w:tr>
      <w:tr w14:paraId="6FBE565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25" w:hRule="atLeast"/>
          <w:jc w:val="center"/>
        </w:trPr>
        <w:tc>
          <w:tcPr>
            <w:tcW w:w="1556" w:type="dxa"/>
            <w:vMerge w:val="continue"/>
            <w:shd w:val="clear" w:color="auto" w:fill="auto"/>
            <w:noWrap w:val="0"/>
            <w:vAlign w:val="center"/>
          </w:tcPr>
          <w:p w14:paraId="26DFA952">
            <w:pPr>
              <w:adjustRightInd w:val="0"/>
              <w:snapToGrid w:val="0"/>
              <w:jc w:val="center"/>
              <w:rPr>
                <w:rFonts w:hint="eastAsia" w:ascii="Times New Roman" w:hAnsi="Times New Roman"/>
                <w:b/>
                <w:bCs/>
                <w:color w:val="auto"/>
                <w:sz w:val="24"/>
                <w:highlight w:val="none"/>
              </w:rPr>
            </w:pPr>
          </w:p>
        </w:tc>
        <w:tc>
          <w:tcPr>
            <w:tcW w:w="1680" w:type="dxa"/>
            <w:shd w:val="clear" w:color="auto" w:fill="auto"/>
            <w:noWrap w:val="0"/>
            <w:vAlign w:val="center"/>
          </w:tcPr>
          <w:p w14:paraId="76D84A13">
            <w:pPr>
              <w:adjustRightInd w:val="0"/>
              <w:snapToGrid w:val="0"/>
              <w:jc w:val="center"/>
              <w:rPr>
                <w:rFonts w:hint="default" w:ascii="Times New Roman" w:hAnsi="Times New Roman" w:eastAsia="宋体" w:cs="Times New Roman"/>
                <w:color w:val="auto"/>
                <w:sz w:val="24"/>
                <w:highlight w:val="none"/>
                <w:lang w:val="en-US" w:eastAsia="zh-CN"/>
              </w:rPr>
            </w:pPr>
            <w:r>
              <w:rPr>
                <w:rFonts w:hint="eastAsia" w:cs="Times New Roman"/>
                <w:color w:val="auto"/>
                <w:sz w:val="24"/>
                <w:highlight w:val="none"/>
                <w:lang w:val="en-US" w:eastAsia="zh-CN"/>
              </w:rPr>
              <w:t>DA002（注液废气）</w:t>
            </w:r>
          </w:p>
        </w:tc>
        <w:tc>
          <w:tcPr>
            <w:tcW w:w="1157" w:type="dxa"/>
            <w:vMerge w:val="continue"/>
            <w:shd w:val="clear" w:color="auto" w:fill="auto"/>
            <w:noWrap w:val="0"/>
            <w:vAlign w:val="center"/>
          </w:tcPr>
          <w:p w14:paraId="24DDA6DD">
            <w:pPr>
              <w:adjustRightInd w:val="0"/>
              <w:snapToGrid w:val="0"/>
              <w:jc w:val="center"/>
              <w:rPr>
                <w:rFonts w:hint="eastAsia"/>
                <w:color w:val="auto"/>
                <w:sz w:val="24"/>
                <w:highlight w:val="none"/>
                <w:lang w:val="en-US" w:eastAsia="zh-CN"/>
              </w:rPr>
            </w:pPr>
          </w:p>
        </w:tc>
        <w:tc>
          <w:tcPr>
            <w:tcW w:w="2655" w:type="dxa"/>
            <w:vMerge w:val="restart"/>
            <w:shd w:val="clear" w:color="auto" w:fill="auto"/>
            <w:noWrap w:val="0"/>
            <w:vAlign w:val="center"/>
          </w:tcPr>
          <w:p w14:paraId="2E0D99DB">
            <w:pPr>
              <w:adjustRightInd w:val="0"/>
              <w:snapToGrid w:val="0"/>
              <w:jc w:val="center"/>
              <w:rPr>
                <w:rFonts w:hint="default" w:cs="Times New Roman"/>
                <w:color w:val="auto"/>
                <w:sz w:val="24"/>
                <w:highlight w:val="none"/>
                <w:lang w:val="en-US" w:eastAsia="zh-CN"/>
              </w:rPr>
            </w:pPr>
            <w:r>
              <w:rPr>
                <w:rFonts w:hint="eastAsia" w:ascii="Times New Roman" w:hAnsi="Times New Roman" w:eastAsia="宋体" w:cs="Times New Roman"/>
                <w:color w:val="auto"/>
                <w:sz w:val="24"/>
                <w:szCs w:val="24"/>
                <w:lang w:val="en-US" w:eastAsia="zh-CN"/>
              </w:rPr>
              <w:t>二级活性炭吸附装置（TA0</w:t>
            </w:r>
            <w:r>
              <w:rPr>
                <w:rFonts w:hint="eastAsia" w:cs="Times New Roman"/>
                <w:color w:val="auto"/>
                <w:sz w:val="24"/>
                <w:szCs w:val="24"/>
                <w:lang w:val="en-US" w:eastAsia="zh-CN"/>
              </w:rPr>
              <w:t>03</w:t>
            </w:r>
            <w:r>
              <w:rPr>
                <w:rFonts w:hint="eastAsia" w:ascii="Times New Roman" w:hAnsi="Times New Roman" w:eastAsia="宋体" w:cs="Times New Roman"/>
                <w:color w:val="auto"/>
                <w:sz w:val="24"/>
                <w:szCs w:val="24"/>
                <w:lang w:val="en-US" w:eastAsia="zh-CN"/>
              </w:rPr>
              <w:t>）+30m高排气筒（DA002）</w:t>
            </w:r>
          </w:p>
        </w:tc>
        <w:tc>
          <w:tcPr>
            <w:tcW w:w="1752" w:type="dxa"/>
            <w:vMerge w:val="continue"/>
            <w:shd w:val="clear" w:color="auto" w:fill="auto"/>
            <w:noWrap w:val="0"/>
            <w:vAlign w:val="center"/>
          </w:tcPr>
          <w:p w14:paraId="126ED5F9">
            <w:pPr>
              <w:pStyle w:val="208"/>
              <w:spacing w:line="240" w:lineRule="auto"/>
              <w:ind w:firstLine="0"/>
              <w:jc w:val="center"/>
              <w:rPr>
                <w:rFonts w:hint="eastAsia" w:ascii="Times New Roman" w:hAnsi="Times New Roman"/>
                <w:color w:val="auto"/>
                <w:sz w:val="24"/>
                <w:highlight w:val="none"/>
              </w:rPr>
            </w:pPr>
          </w:p>
        </w:tc>
      </w:tr>
      <w:tr w14:paraId="76784EA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25" w:hRule="atLeast"/>
          <w:jc w:val="center"/>
        </w:trPr>
        <w:tc>
          <w:tcPr>
            <w:tcW w:w="1556" w:type="dxa"/>
            <w:vMerge w:val="continue"/>
            <w:shd w:val="clear" w:color="auto" w:fill="auto"/>
            <w:noWrap w:val="0"/>
            <w:vAlign w:val="center"/>
          </w:tcPr>
          <w:p w14:paraId="3C8FD1C1">
            <w:pPr>
              <w:adjustRightInd w:val="0"/>
              <w:snapToGrid w:val="0"/>
              <w:jc w:val="center"/>
              <w:rPr>
                <w:rFonts w:hint="eastAsia" w:ascii="Times New Roman" w:hAnsi="Times New Roman"/>
                <w:b/>
                <w:bCs/>
                <w:color w:val="auto"/>
                <w:sz w:val="24"/>
                <w:highlight w:val="none"/>
              </w:rPr>
            </w:pPr>
          </w:p>
        </w:tc>
        <w:tc>
          <w:tcPr>
            <w:tcW w:w="1680" w:type="dxa"/>
            <w:shd w:val="clear" w:color="auto" w:fill="auto"/>
            <w:noWrap w:val="0"/>
            <w:vAlign w:val="center"/>
          </w:tcPr>
          <w:p w14:paraId="523B6168">
            <w:pPr>
              <w:adjustRightInd w:val="0"/>
              <w:snapToGrid w:val="0"/>
              <w:jc w:val="center"/>
              <w:rPr>
                <w:rFonts w:hint="default" w:ascii="Times New Roman" w:hAnsi="Times New Roman" w:eastAsia="宋体" w:cs="Times New Roman"/>
                <w:color w:val="auto"/>
                <w:sz w:val="24"/>
                <w:highlight w:val="none"/>
                <w:lang w:val="en-US" w:eastAsia="zh-CN"/>
              </w:rPr>
            </w:pPr>
            <w:r>
              <w:rPr>
                <w:rFonts w:hint="eastAsia" w:cs="Times New Roman"/>
                <w:color w:val="auto"/>
                <w:sz w:val="24"/>
                <w:highlight w:val="none"/>
                <w:lang w:val="en-US" w:eastAsia="zh-CN"/>
              </w:rPr>
              <w:t>DA002（二封废气）</w:t>
            </w:r>
          </w:p>
        </w:tc>
        <w:tc>
          <w:tcPr>
            <w:tcW w:w="1157" w:type="dxa"/>
            <w:vMerge w:val="continue"/>
            <w:shd w:val="clear" w:color="auto" w:fill="auto"/>
            <w:noWrap w:val="0"/>
            <w:vAlign w:val="center"/>
          </w:tcPr>
          <w:p w14:paraId="63D0A401">
            <w:pPr>
              <w:adjustRightInd w:val="0"/>
              <w:snapToGrid w:val="0"/>
              <w:jc w:val="center"/>
              <w:rPr>
                <w:rFonts w:hint="eastAsia"/>
                <w:color w:val="auto"/>
                <w:sz w:val="24"/>
                <w:highlight w:val="none"/>
                <w:lang w:val="en-US" w:eastAsia="zh-CN"/>
              </w:rPr>
            </w:pPr>
          </w:p>
        </w:tc>
        <w:tc>
          <w:tcPr>
            <w:tcW w:w="2655" w:type="dxa"/>
            <w:vMerge w:val="continue"/>
            <w:shd w:val="clear" w:color="auto" w:fill="auto"/>
            <w:noWrap w:val="0"/>
            <w:vAlign w:val="center"/>
          </w:tcPr>
          <w:p w14:paraId="28883F28">
            <w:pPr>
              <w:adjustRightInd w:val="0"/>
              <w:snapToGrid w:val="0"/>
              <w:jc w:val="center"/>
              <w:rPr>
                <w:rFonts w:hint="eastAsia" w:cs="Times New Roman"/>
                <w:color w:val="auto"/>
                <w:sz w:val="24"/>
                <w:highlight w:val="none"/>
                <w:lang w:val="en-US" w:eastAsia="zh-CN"/>
              </w:rPr>
            </w:pPr>
          </w:p>
        </w:tc>
        <w:tc>
          <w:tcPr>
            <w:tcW w:w="1752" w:type="dxa"/>
            <w:vMerge w:val="continue"/>
            <w:shd w:val="clear" w:color="auto" w:fill="auto"/>
            <w:noWrap w:val="0"/>
            <w:vAlign w:val="center"/>
          </w:tcPr>
          <w:p w14:paraId="4683D57D">
            <w:pPr>
              <w:pStyle w:val="208"/>
              <w:spacing w:line="240" w:lineRule="auto"/>
              <w:ind w:firstLine="0"/>
              <w:jc w:val="center"/>
              <w:rPr>
                <w:rFonts w:hint="eastAsia" w:ascii="Times New Roman" w:hAnsi="Times New Roman"/>
                <w:color w:val="auto"/>
                <w:sz w:val="24"/>
                <w:highlight w:val="none"/>
              </w:rPr>
            </w:pPr>
          </w:p>
        </w:tc>
      </w:tr>
      <w:tr w14:paraId="6788F98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25" w:hRule="atLeast"/>
          <w:jc w:val="center"/>
        </w:trPr>
        <w:tc>
          <w:tcPr>
            <w:tcW w:w="1556" w:type="dxa"/>
            <w:vMerge w:val="continue"/>
            <w:shd w:val="clear" w:color="auto" w:fill="auto"/>
            <w:noWrap w:val="0"/>
            <w:vAlign w:val="center"/>
          </w:tcPr>
          <w:p w14:paraId="51B0F346">
            <w:pPr>
              <w:adjustRightInd w:val="0"/>
              <w:snapToGrid w:val="0"/>
              <w:jc w:val="center"/>
              <w:rPr>
                <w:rFonts w:hint="eastAsia" w:ascii="Times New Roman" w:hAnsi="Times New Roman"/>
                <w:b/>
                <w:bCs/>
                <w:color w:val="auto"/>
                <w:sz w:val="24"/>
                <w:highlight w:val="none"/>
              </w:rPr>
            </w:pPr>
          </w:p>
        </w:tc>
        <w:tc>
          <w:tcPr>
            <w:tcW w:w="1680" w:type="dxa"/>
            <w:shd w:val="clear" w:color="auto" w:fill="auto"/>
            <w:noWrap w:val="0"/>
            <w:vAlign w:val="center"/>
          </w:tcPr>
          <w:p w14:paraId="510DC291">
            <w:pPr>
              <w:adjustRightInd w:val="0"/>
              <w:snapToGrid w:val="0"/>
              <w:jc w:val="center"/>
              <w:rPr>
                <w:rFonts w:hint="default" w:cs="Times New Roman"/>
                <w:color w:val="auto"/>
                <w:sz w:val="24"/>
                <w:highlight w:val="none"/>
                <w:lang w:val="en-US" w:eastAsia="zh-CN"/>
              </w:rPr>
            </w:pPr>
            <w:r>
              <w:rPr>
                <w:rFonts w:hint="eastAsia" w:cs="Times New Roman"/>
                <w:color w:val="auto"/>
                <w:sz w:val="24"/>
                <w:highlight w:val="none"/>
                <w:lang w:val="en-US" w:eastAsia="zh-CN"/>
              </w:rPr>
              <w:t>封边废气</w:t>
            </w:r>
          </w:p>
        </w:tc>
        <w:tc>
          <w:tcPr>
            <w:tcW w:w="1157" w:type="dxa"/>
            <w:vMerge w:val="continue"/>
            <w:shd w:val="clear" w:color="auto" w:fill="auto"/>
            <w:noWrap w:val="0"/>
            <w:vAlign w:val="center"/>
          </w:tcPr>
          <w:p w14:paraId="6DC18650">
            <w:pPr>
              <w:adjustRightInd w:val="0"/>
              <w:snapToGrid w:val="0"/>
              <w:jc w:val="center"/>
              <w:rPr>
                <w:rFonts w:hint="eastAsia"/>
                <w:color w:val="auto"/>
                <w:sz w:val="24"/>
                <w:highlight w:val="none"/>
                <w:lang w:val="en-US" w:eastAsia="zh-CN"/>
              </w:rPr>
            </w:pPr>
          </w:p>
        </w:tc>
        <w:tc>
          <w:tcPr>
            <w:tcW w:w="2655" w:type="dxa"/>
            <w:vMerge w:val="continue"/>
            <w:shd w:val="clear" w:color="auto" w:fill="auto"/>
            <w:noWrap w:val="0"/>
            <w:vAlign w:val="center"/>
          </w:tcPr>
          <w:p w14:paraId="40971398">
            <w:pPr>
              <w:adjustRightInd w:val="0"/>
              <w:snapToGrid w:val="0"/>
              <w:jc w:val="center"/>
              <w:rPr>
                <w:rFonts w:hint="eastAsia" w:cs="Times New Roman"/>
                <w:color w:val="auto"/>
                <w:sz w:val="24"/>
                <w:highlight w:val="none"/>
                <w:lang w:val="en-US" w:eastAsia="zh-CN"/>
              </w:rPr>
            </w:pPr>
          </w:p>
        </w:tc>
        <w:tc>
          <w:tcPr>
            <w:tcW w:w="1752" w:type="dxa"/>
            <w:vMerge w:val="continue"/>
            <w:shd w:val="clear" w:color="auto" w:fill="auto"/>
            <w:noWrap w:val="0"/>
            <w:vAlign w:val="center"/>
          </w:tcPr>
          <w:p w14:paraId="07E67C12">
            <w:pPr>
              <w:pStyle w:val="208"/>
              <w:spacing w:line="240" w:lineRule="auto"/>
              <w:ind w:firstLine="0"/>
              <w:jc w:val="center"/>
              <w:rPr>
                <w:rFonts w:hint="eastAsia" w:ascii="Times New Roman" w:hAnsi="Times New Roman"/>
                <w:color w:val="auto"/>
                <w:sz w:val="24"/>
                <w:highlight w:val="none"/>
              </w:rPr>
            </w:pPr>
          </w:p>
        </w:tc>
      </w:tr>
      <w:tr w14:paraId="0BE30C5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25" w:hRule="atLeast"/>
          <w:jc w:val="center"/>
        </w:trPr>
        <w:tc>
          <w:tcPr>
            <w:tcW w:w="1556" w:type="dxa"/>
            <w:vMerge w:val="continue"/>
            <w:shd w:val="clear" w:color="auto" w:fill="auto"/>
            <w:noWrap w:val="0"/>
            <w:vAlign w:val="center"/>
          </w:tcPr>
          <w:p w14:paraId="0A339FF5">
            <w:pPr>
              <w:adjustRightInd w:val="0"/>
              <w:snapToGrid w:val="0"/>
              <w:jc w:val="center"/>
              <w:rPr>
                <w:rFonts w:hint="eastAsia" w:ascii="Times New Roman" w:hAnsi="Times New Roman"/>
                <w:b/>
                <w:bCs/>
                <w:color w:val="auto"/>
                <w:sz w:val="24"/>
                <w:highlight w:val="none"/>
              </w:rPr>
            </w:pPr>
          </w:p>
        </w:tc>
        <w:tc>
          <w:tcPr>
            <w:tcW w:w="1680" w:type="dxa"/>
            <w:shd w:val="clear" w:color="auto" w:fill="auto"/>
            <w:noWrap w:val="0"/>
            <w:vAlign w:val="center"/>
          </w:tcPr>
          <w:p w14:paraId="59FAD286">
            <w:pPr>
              <w:adjustRightInd w:val="0"/>
              <w:snapToGrid w:val="0"/>
              <w:jc w:val="center"/>
              <w:rPr>
                <w:rFonts w:hint="default" w:cs="Times New Roman"/>
                <w:color w:val="auto"/>
                <w:sz w:val="24"/>
                <w:highlight w:val="none"/>
                <w:lang w:val="en-US" w:eastAsia="zh-CN"/>
              </w:rPr>
            </w:pPr>
            <w:r>
              <w:rPr>
                <w:rFonts w:hint="eastAsia" w:cs="Times New Roman"/>
                <w:color w:val="auto"/>
                <w:sz w:val="24"/>
                <w:highlight w:val="none"/>
                <w:lang w:val="en-US" w:eastAsia="zh-CN"/>
              </w:rPr>
              <w:t>拆解废气</w:t>
            </w:r>
          </w:p>
        </w:tc>
        <w:tc>
          <w:tcPr>
            <w:tcW w:w="1157" w:type="dxa"/>
            <w:vMerge w:val="continue"/>
            <w:shd w:val="clear" w:color="auto" w:fill="auto"/>
            <w:noWrap w:val="0"/>
            <w:vAlign w:val="center"/>
          </w:tcPr>
          <w:p w14:paraId="7E15B3B7">
            <w:pPr>
              <w:adjustRightInd w:val="0"/>
              <w:snapToGrid w:val="0"/>
              <w:jc w:val="center"/>
              <w:rPr>
                <w:rFonts w:hint="eastAsia"/>
                <w:color w:val="auto"/>
                <w:sz w:val="24"/>
                <w:highlight w:val="none"/>
                <w:lang w:val="en-US" w:eastAsia="zh-CN"/>
              </w:rPr>
            </w:pPr>
          </w:p>
        </w:tc>
        <w:tc>
          <w:tcPr>
            <w:tcW w:w="2655" w:type="dxa"/>
            <w:vMerge w:val="continue"/>
            <w:shd w:val="clear" w:color="auto" w:fill="auto"/>
            <w:noWrap w:val="0"/>
            <w:vAlign w:val="center"/>
          </w:tcPr>
          <w:p w14:paraId="43BB6103">
            <w:pPr>
              <w:adjustRightInd w:val="0"/>
              <w:snapToGrid w:val="0"/>
              <w:jc w:val="center"/>
              <w:rPr>
                <w:rFonts w:hint="default" w:cs="Times New Roman"/>
                <w:color w:val="auto"/>
                <w:sz w:val="24"/>
                <w:highlight w:val="none"/>
                <w:lang w:val="en-US" w:eastAsia="zh-CN"/>
              </w:rPr>
            </w:pPr>
          </w:p>
        </w:tc>
        <w:tc>
          <w:tcPr>
            <w:tcW w:w="1752" w:type="dxa"/>
            <w:vMerge w:val="continue"/>
            <w:shd w:val="clear" w:color="auto" w:fill="auto"/>
            <w:noWrap w:val="0"/>
            <w:vAlign w:val="center"/>
          </w:tcPr>
          <w:p w14:paraId="23C3D398">
            <w:pPr>
              <w:pStyle w:val="208"/>
              <w:spacing w:line="240" w:lineRule="auto"/>
              <w:ind w:firstLine="0"/>
              <w:jc w:val="center"/>
              <w:rPr>
                <w:rFonts w:hint="eastAsia" w:ascii="Times New Roman" w:hAnsi="Times New Roman"/>
                <w:color w:val="auto"/>
                <w:sz w:val="24"/>
                <w:highlight w:val="none"/>
              </w:rPr>
            </w:pPr>
          </w:p>
        </w:tc>
      </w:tr>
      <w:tr w14:paraId="4DC1033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25" w:hRule="atLeast"/>
          <w:jc w:val="center"/>
        </w:trPr>
        <w:tc>
          <w:tcPr>
            <w:tcW w:w="1556" w:type="dxa"/>
            <w:vMerge w:val="continue"/>
            <w:shd w:val="clear" w:color="auto" w:fill="auto"/>
            <w:noWrap w:val="0"/>
            <w:vAlign w:val="center"/>
          </w:tcPr>
          <w:p w14:paraId="78D52671">
            <w:pPr>
              <w:adjustRightInd w:val="0"/>
              <w:snapToGrid w:val="0"/>
              <w:jc w:val="center"/>
              <w:rPr>
                <w:rFonts w:hint="eastAsia" w:ascii="Times New Roman" w:hAnsi="Times New Roman"/>
                <w:b/>
                <w:bCs/>
                <w:color w:val="auto"/>
                <w:sz w:val="24"/>
                <w:highlight w:val="none"/>
              </w:rPr>
            </w:pPr>
          </w:p>
        </w:tc>
        <w:tc>
          <w:tcPr>
            <w:tcW w:w="1680" w:type="dxa"/>
            <w:shd w:val="clear" w:color="auto" w:fill="auto"/>
            <w:noWrap w:val="0"/>
            <w:vAlign w:val="center"/>
          </w:tcPr>
          <w:p w14:paraId="0902FF59">
            <w:pPr>
              <w:adjustRightInd w:val="0"/>
              <w:snapToGrid w:val="0"/>
              <w:jc w:val="center"/>
              <w:rPr>
                <w:rFonts w:hint="default" w:cs="Times New Roman"/>
                <w:color w:val="auto"/>
                <w:sz w:val="24"/>
                <w:szCs w:val="24"/>
                <w:highlight w:val="none"/>
                <w:lang w:val="en-US" w:eastAsia="zh-CN"/>
              </w:rPr>
            </w:pPr>
            <w:r>
              <w:rPr>
                <w:rFonts w:hint="eastAsia" w:ascii="Times New Roman" w:hAnsi="Times New Roman" w:eastAsia="宋体" w:cs="Times New Roman"/>
                <w:color w:val="auto"/>
                <w:kern w:val="0"/>
                <w:sz w:val="24"/>
                <w:szCs w:val="24"/>
                <w:lang w:val="en-US" w:eastAsia="zh-CN" w:bidi="ar-SA"/>
              </w:rPr>
              <w:t>NMP储罐呼吸废气</w:t>
            </w:r>
          </w:p>
        </w:tc>
        <w:tc>
          <w:tcPr>
            <w:tcW w:w="1157" w:type="dxa"/>
            <w:vMerge w:val="continue"/>
            <w:shd w:val="clear" w:color="auto" w:fill="auto"/>
            <w:noWrap w:val="0"/>
            <w:vAlign w:val="center"/>
          </w:tcPr>
          <w:p w14:paraId="694F9F4F">
            <w:pPr>
              <w:adjustRightInd w:val="0"/>
              <w:snapToGrid w:val="0"/>
              <w:jc w:val="center"/>
              <w:rPr>
                <w:rFonts w:hint="eastAsia"/>
                <w:color w:val="auto"/>
                <w:sz w:val="24"/>
                <w:szCs w:val="24"/>
                <w:highlight w:val="none"/>
                <w:lang w:val="en-US" w:eastAsia="zh-CN"/>
              </w:rPr>
            </w:pPr>
          </w:p>
        </w:tc>
        <w:tc>
          <w:tcPr>
            <w:tcW w:w="2655" w:type="dxa"/>
            <w:shd w:val="clear" w:color="auto" w:fill="auto"/>
            <w:noWrap w:val="0"/>
            <w:vAlign w:val="center"/>
          </w:tcPr>
          <w:p w14:paraId="67DDCF2C">
            <w:pPr>
              <w:adjustRightInd w:val="0"/>
              <w:snapToGrid w:val="0"/>
              <w:jc w:val="center"/>
              <w:rPr>
                <w:rFonts w:hint="default" w:cs="Times New Roman"/>
                <w:color w:val="auto"/>
                <w:sz w:val="24"/>
                <w:szCs w:val="24"/>
                <w:highlight w:val="none"/>
                <w:lang w:val="en-US" w:eastAsia="zh-CN"/>
              </w:rPr>
            </w:pPr>
            <w:r>
              <w:rPr>
                <w:rFonts w:hint="eastAsia" w:ascii="Times New Roman" w:hAnsi="Times New Roman" w:eastAsia="宋体" w:cs="Times New Roman"/>
                <w:color w:val="auto"/>
                <w:kern w:val="0"/>
                <w:sz w:val="24"/>
                <w:szCs w:val="24"/>
                <w:lang w:val="en-US" w:eastAsia="zh-CN" w:bidi="ar-SA"/>
              </w:rPr>
              <w:t>无组织排放</w:t>
            </w:r>
          </w:p>
        </w:tc>
        <w:tc>
          <w:tcPr>
            <w:tcW w:w="1752" w:type="dxa"/>
            <w:vMerge w:val="continue"/>
            <w:shd w:val="clear" w:color="auto" w:fill="auto"/>
            <w:noWrap w:val="0"/>
            <w:vAlign w:val="center"/>
          </w:tcPr>
          <w:p w14:paraId="507D7753">
            <w:pPr>
              <w:pStyle w:val="208"/>
              <w:spacing w:line="240" w:lineRule="auto"/>
              <w:ind w:firstLine="0"/>
              <w:jc w:val="center"/>
              <w:rPr>
                <w:rFonts w:hint="eastAsia" w:ascii="Times New Roman" w:hAnsi="Times New Roman"/>
                <w:color w:val="auto"/>
                <w:sz w:val="24"/>
                <w:highlight w:val="none"/>
              </w:rPr>
            </w:pPr>
          </w:p>
        </w:tc>
      </w:tr>
      <w:tr w14:paraId="64E5E7A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25" w:hRule="atLeast"/>
          <w:jc w:val="center"/>
        </w:trPr>
        <w:tc>
          <w:tcPr>
            <w:tcW w:w="1556" w:type="dxa"/>
            <w:vMerge w:val="continue"/>
            <w:shd w:val="clear" w:color="auto" w:fill="auto"/>
            <w:noWrap w:val="0"/>
            <w:vAlign w:val="center"/>
          </w:tcPr>
          <w:p w14:paraId="7FEAEE56">
            <w:pPr>
              <w:adjustRightInd w:val="0"/>
              <w:snapToGrid w:val="0"/>
              <w:jc w:val="center"/>
              <w:rPr>
                <w:rFonts w:hint="eastAsia" w:ascii="Times New Roman" w:hAnsi="Times New Roman"/>
                <w:b/>
                <w:bCs/>
                <w:color w:val="auto"/>
                <w:sz w:val="24"/>
                <w:highlight w:val="none"/>
              </w:rPr>
            </w:pPr>
          </w:p>
        </w:tc>
        <w:tc>
          <w:tcPr>
            <w:tcW w:w="1680" w:type="dxa"/>
            <w:shd w:val="clear" w:color="auto" w:fill="auto"/>
            <w:noWrap w:val="0"/>
            <w:vAlign w:val="center"/>
          </w:tcPr>
          <w:p w14:paraId="443D7D8D">
            <w:pPr>
              <w:adjustRightInd w:val="0"/>
              <w:snapToGrid w:val="0"/>
              <w:jc w:val="center"/>
              <w:rPr>
                <w:rFonts w:hint="default" w:cs="Times New Roman"/>
                <w:color w:val="auto"/>
                <w:sz w:val="24"/>
                <w:highlight w:val="none"/>
                <w:lang w:val="en-US" w:eastAsia="zh-CN"/>
              </w:rPr>
            </w:pPr>
            <w:r>
              <w:rPr>
                <w:rFonts w:hint="eastAsia" w:cs="Times New Roman"/>
                <w:color w:val="auto"/>
                <w:sz w:val="24"/>
                <w:szCs w:val="24"/>
                <w:lang w:val="en-US" w:eastAsia="zh-CN"/>
              </w:rPr>
              <w:t>危废库</w:t>
            </w:r>
            <w:r>
              <w:rPr>
                <w:rFonts w:hint="eastAsia" w:cs="Times New Roman"/>
                <w:color w:val="auto"/>
                <w:sz w:val="24"/>
                <w:highlight w:val="none"/>
                <w:lang w:val="en-US" w:eastAsia="zh-CN"/>
              </w:rPr>
              <w:t>废气</w:t>
            </w:r>
          </w:p>
        </w:tc>
        <w:tc>
          <w:tcPr>
            <w:tcW w:w="1157" w:type="dxa"/>
            <w:vMerge w:val="continue"/>
            <w:shd w:val="clear" w:color="auto" w:fill="auto"/>
            <w:noWrap w:val="0"/>
            <w:vAlign w:val="center"/>
          </w:tcPr>
          <w:p w14:paraId="698FEE73">
            <w:pPr>
              <w:adjustRightInd w:val="0"/>
              <w:snapToGrid w:val="0"/>
              <w:jc w:val="center"/>
              <w:rPr>
                <w:rFonts w:hint="eastAsia" w:cs="Times New Roman"/>
                <w:color w:val="auto"/>
                <w:sz w:val="24"/>
                <w:highlight w:val="none"/>
                <w:lang w:val="en-US" w:eastAsia="zh-CN"/>
              </w:rPr>
            </w:pPr>
          </w:p>
        </w:tc>
        <w:tc>
          <w:tcPr>
            <w:tcW w:w="2655" w:type="dxa"/>
            <w:shd w:val="clear" w:color="auto" w:fill="auto"/>
            <w:noWrap w:val="0"/>
            <w:vAlign w:val="center"/>
          </w:tcPr>
          <w:p w14:paraId="505AD4F6">
            <w:pPr>
              <w:adjustRightInd w:val="0"/>
              <w:snapToGrid w:val="0"/>
              <w:jc w:val="center"/>
              <w:rPr>
                <w:rFonts w:hint="default" w:cs="Times New Roman"/>
                <w:color w:val="auto"/>
                <w:sz w:val="24"/>
                <w:highlight w:val="none"/>
                <w:lang w:val="en-US" w:eastAsia="zh-CN"/>
              </w:rPr>
            </w:pPr>
            <w:r>
              <w:rPr>
                <w:rFonts w:hint="eastAsia" w:cs="Times New Roman"/>
                <w:color w:val="auto"/>
                <w:sz w:val="24"/>
                <w:highlight w:val="none"/>
                <w:lang w:val="en-US" w:eastAsia="zh-CN"/>
              </w:rPr>
              <w:t>活性炭吸附装置（TA004）+15m高排气筒（DA003）</w:t>
            </w:r>
          </w:p>
        </w:tc>
        <w:tc>
          <w:tcPr>
            <w:tcW w:w="1752" w:type="dxa"/>
            <w:shd w:val="clear" w:color="auto" w:fill="auto"/>
            <w:noWrap w:val="0"/>
            <w:vAlign w:val="center"/>
          </w:tcPr>
          <w:p w14:paraId="32611E17">
            <w:pPr>
              <w:adjustRightInd w:val="0"/>
              <w:snapToGrid w:val="0"/>
              <w:jc w:val="center"/>
              <w:rPr>
                <w:rFonts w:hint="eastAsia" w:cs="Times New Roman"/>
                <w:color w:val="auto"/>
                <w:sz w:val="24"/>
                <w:highlight w:val="none"/>
                <w:lang w:val="en-US" w:eastAsia="zh-CN"/>
              </w:rPr>
            </w:pPr>
            <w:r>
              <w:rPr>
                <w:rFonts w:hint="eastAsia" w:cs="Times New Roman"/>
                <w:color w:val="auto"/>
                <w:sz w:val="24"/>
                <w:highlight w:val="none"/>
                <w:lang w:val="en-US" w:eastAsia="zh-CN"/>
              </w:rPr>
              <w:t>《四川省固定污染源大气挥发性有机物排放标准》（DB51/2377-2017）</w:t>
            </w:r>
          </w:p>
        </w:tc>
      </w:tr>
      <w:tr w14:paraId="6358666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25" w:hRule="atLeast"/>
          <w:jc w:val="center"/>
        </w:trPr>
        <w:tc>
          <w:tcPr>
            <w:tcW w:w="1556" w:type="dxa"/>
            <w:vMerge w:val="continue"/>
            <w:shd w:val="clear" w:color="auto" w:fill="auto"/>
            <w:noWrap w:val="0"/>
            <w:vAlign w:val="center"/>
          </w:tcPr>
          <w:p w14:paraId="01BC2F63">
            <w:pPr>
              <w:adjustRightInd w:val="0"/>
              <w:snapToGrid w:val="0"/>
              <w:jc w:val="center"/>
              <w:rPr>
                <w:rFonts w:hint="eastAsia" w:ascii="Times New Roman" w:hAnsi="Times New Roman"/>
                <w:b/>
                <w:bCs/>
                <w:color w:val="auto"/>
                <w:sz w:val="24"/>
                <w:highlight w:val="none"/>
              </w:rPr>
            </w:pPr>
          </w:p>
        </w:tc>
        <w:tc>
          <w:tcPr>
            <w:tcW w:w="1680" w:type="dxa"/>
            <w:shd w:val="clear" w:color="auto" w:fill="auto"/>
            <w:noWrap w:val="0"/>
            <w:vAlign w:val="center"/>
          </w:tcPr>
          <w:p w14:paraId="4E52F80F">
            <w:pPr>
              <w:adjustRightInd w:val="0"/>
              <w:snapToGrid w:val="0"/>
              <w:jc w:val="center"/>
              <w:rPr>
                <w:rFonts w:hint="default" w:ascii="Times New Roman" w:hAnsi="Times New Roman" w:eastAsia="宋体" w:cs="Times New Roman"/>
                <w:color w:val="auto"/>
                <w:sz w:val="24"/>
                <w:highlight w:val="none"/>
                <w:lang w:val="en-US" w:eastAsia="zh-CN"/>
              </w:rPr>
            </w:pPr>
            <w:r>
              <w:rPr>
                <w:rFonts w:hint="eastAsia" w:cs="Times New Roman"/>
                <w:color w:val="auto"/>
                <w:sz w:val="24"/>
                <w:highlight w:val="none"/>
                <w:lang w:val="en-US" w:eastAsia="zh-CN"/>
              </w:rPr>
              <w:t>投料粉尘</w:t>
            </w:r>
          </w:p>
        </w:tc>
        <w:tc>
          <w:tcPr>
            <w:tcW w:w="1157" w:type="dxa"/>
            <w:shd w:val="clear" w:color="auto" w:fill="auto"/>
            <w:noWrap w:val="0"/>
            <w:vAlign w:val="center"/>
          </w:tcPr>
          <w:p w14:paraId="22A70EED">
            <w:pPr>
              <w:adjustRightInd w:val="0"/>
              <w:snapToGrid w:val="0"/>
              <w:jc w:val="center"/>
              <w:rPr>
                <w:rFonts w:hint="default"/>
                <w:color w:val="auto"/>
                <w:sz w:val="24"/>
                <w:highlight w:val="none"/>
                <w:lang w:val="en-US" w:eastAsia="zh-CN"/>
              </w:rPr>
            </w:pPr>
            <w:r>
              <w:rPr>
                <w:rFonts w:hint="eastAsia"/>
                <w:color w:val="auto"/>
                <w:sz w:val="24"/>
                <w:highlight w:val="none"/>
                <w:lang w:val="en-US" w:eastAsia="zh-CN"/>
              </w:rPr>
              <w:t>颗粒物</w:t>
            </w:r>
          </w:p>
        </w:tc>
        <w:tc>
          <w:tcPr>
            <w:tcW w:w="2655" w:type="dxa"/>
            <w:shd w:val="clear" w:color="auto" w:fill="auto"/>
            <w:noWrap w:val="0"/>
            <w:vAlign w:val="center"/>
          </w:tcPr>
          <w:p w14:paraId="54FE9F82">
            <w:pPr>
              <w:adjustRightInd w:val="0"/>
              <w:snapToGrid w:val="0"/>
              <w:jc w:val="center"/>
              <w:rPr>
                <w:rFonts w:hint="default" w:cs="Times New Roman"/>
                <w:color w:val="auto"/>
                <w:sz w:val="24"/>
                <w:highlight w:val="none"/>
                <w:lang w:val="en-US" w:eastAsia="zh-CN"/>
              </w:rPr>
            </w:pPr>
            <w:r>
              <w:rPr>
                <w:rFonts w:hint="eastAsia" w:ascii="Times New Roman" w:hAnsi="Times New Roman" w:eastAsia="宋体" w:cs="Times New Roman"/>
                <w:color w:val="auto"/>
                <w:sz w:val="24"/>
                <w:highlight w:val="none"/>
                <w:lang w:val="en-US" w:eastAsia="zh-CN"/>
              </w:rPr>
              <w:t>投料间密闭，</w:t>
            </w:r>
            <w:r>
              <w:rPr>
                <w:rFonts w:hint="default" w:ascii="Times New Roman" w:hAnsi="Times New Roman" w:eastAsia="宋体" w:cs="Times New Roman"/>
                <w:color w:val="auto"/>
                <w:sz w:val="24"/>
                <w:highlight w:val="none"/>
                <w:lang w:val="en-US" w:eastAsia="zh-CN"/>
              </w:rPr>
              <w:t>投料产生的颗粒物通过真空上料系统自带滤芯除尘器</w:t>
            </w:r>
            <w:r>
              <w:rPr>
                <w:rFonts w:hint="eastAsia" w:cs="Times New Roman"/>
                <w:color w:val="auto"/>
                <w:sz w:val="24"/>
                <w:highlight w:val="none"/>
                <w:lang w:val="en-US" w:eastAsia="zh-CN"/>
              </w:rPr>
              <w:t>（TA001）</w:t>
            </w:r>
            <w:r>
              <w:rPr>
                <w:rFonts w:hint="default" w:ascii="Times New Roman" w:hAnsi="Times New Roman" w:eastAsia="宋体" w:cs="Times New Roman"/>
                <w:color w:val="auto"/>
                <w:sz w:val="24"/>
                <w:highlight w:val="none"/>
                <w:lang w:val="en-US" w:eastAsia="zh-CN"/>
              </w:rPr>
              <w:t>收集</w:t>
            </w:r>
            <w:r>
              <w:rPr>
                <w:rFonts w:hint="eastAsia" w:ascii="Times New Roman" w:hAnsi="Times New Roman" w:eastAsia="宋体" w:cs="Times New Roman"/>
                <w:color w:val="auto"/>
                <w:sz w:val="24"/>
                <w:highlight w:val="none"/>
                <w:lang w:val="en-US" w:eastAsia="zh-CN"/>
              </w:rPr>
              <w:t>，</w:t>
            </w:r>
            <w:r>
              <w:rPr>
                <w:rFonts w:hint="default" w:ascii="Times New Roman" w:hAnsi="Times New Roman" w:eastAsia="宋体" w:cs="Times New Roman"/>
                <w:color w:val="auto"/>
                <w:sz w:val="24"/>
                <w:highlight w:val="none"/>
                <w:lang w:val="en-US" w:eastAsia="zh-CN"/>
              </w:rPr>
              <w:t>未收集粉尘在车间内无组织排放</w:t>
            </w:r>
          </w:p>
        </w:tc>
        <w:tc>
          <w:tcPr>
            <w:tcW w:w="1752" w:type="dxa"/>
            <w:vMerge w:val="restart"/>
            <w:shd w:val="clear" w:color="auto" w:fill="auto"/>
            <w:noWrap w:val="0"/>
            <w:vAlign w:val="center"/>
          </w:tcPr>
          <w:p w14:paraId="2DD29275">
            <w:pPr>
              <w:pStyle w:val="208"/>
              <w:spacing w:line="240" w:lineRule="auto"/>
              <w:ind w:firstLine="0"/>
              <w:jc w:val="center"/>
              <w:rPr>
                <w:rFonts w:hint="eastAsia" w:ascii="Times New Roman" w:hAnsi="Times New Roman"/>
                <w:color w:val="auto"/>
                <w:sz w:val="24"/>
                <w:highlight w:val="none"/>
              </w:rPr>
            </w:pPr>
            <w:r>
              <w:rPr>
                <w:rFonts w:hint="eastAsia" w:ascii="Times New Roman" w:hAnsi="Times New Roman"/>
                <w:color w:val="auto"/>
                <w:sz w:val="24"/>
                <w:highlight w:val="none"/>
              </w:rPr>
              <w:t>《</w:t>
            </w:r>
            <w:r>
              <w:rPr>
                <w:rFonts w:hint="eastAsia" w:ascii="Times New Roman"/>
                <w:color w:val="auto"/>
                <w:sz w:val="24"/>
                <w:highlight w:val="none"/>
                <w:lang w:val="en-US" w:eastAsia="zh-CN"/>
              </w:rPr>
              <w:t>电池工业污染物排放标准</w:t>
            </w:r>
            <w:r>
              <w:rPr>
                <w:rFonts w:hint="eastAsia" w:ascii="Times New Roman" w:hAnsi="Times New Roman"/>
                <w:color w:val="auto"/>
                <w:sz w:val="24"/>
                <w:highlight w:val="none"/>
              </w:rPr>
              <w:t>》（GB</w:t>
            </w:r>
            <w:r>
              <w:rPr>
                <w:rFonts w:hint="eastAsia" w:ascii="Times New Roman"/>
                <w:color w:val="auto"/>
                <w:sz w:val="24"/>
                <w:highlight w:val="none"/>
                <w:lang w:val="en-US" w:eastAsia="zh-CN"/>
              </w:rPr>
              <w:t>30484</w:t>
            </w:r>
            <w:r>
              <w:rPr>
                <w:rFonts w:hint="eastAsia" w:ascii="Times New Roman" w:hAnsi="Times New Roman"/>
                <w:color w:val="auto"/>
                <w:sz w:val="24"/>
                <w:highlight w:val="none"/>
              </w:rPr>
              <w:t>-</w:t>
            </w:r>
            <w:r>
              <w:rPr>
                <w:rFonts w:hint="eastAsia" w:ascii="Times New Roman"/>
                <w:color w:val="auto"/>
                <w:sz w:val="24"/>
                <w:highlight w:val="none"/>
                <w:lang w:val="en-US" w:eastAsia="zh-CN"/>
              </w:rPr>
              <w:t>2013</w:t>
            </w:r>
            <w:r>
              <w:rPr>
                <w:rFonts w:hint="eastAsia" w:ascii="Times New Roman" w:hAnsi="Times New Roman"/>
                <w:color w:val="auto"/>
                <w:sz w:val="24"/>
                <w:highlight w:val="none"/>
              </w:rPr>
              <w:t>）</w:t>
            </w:r>
          </w:p>
        </w:tc>
      </w:tr>
      <w:tr w14:paraId="7BF4402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25" w:hRule="atLeast"/>
          <w:jc w:val="center"/>
        </w:trPr>
        <w:tc>
          <w:tcPr>
            <w:tcW w:w="1556" w:type="dxa"/>
            <w:vMerge w:val="continue"/>
            <w:shd w:val="clear" w:color="auto" w:fill="auto"/>
            <w:noWrap w:val="0"/>
            <w:vAlign w:val="center"/>
          </w:tcPr>
          <w:p w14:paraId="11A3A463">
            <w:pPr>
              <w:adjustRightInd w:val="0"/>
              <w:snapToGrid w:val="0"/>
              <w:jc w:val="center"/>
              <w:rPr>
                <w:rFonts w:hint="eastAsia" w:ascii="Times New Roman" w:hAnsi="Times New Roman"/>
                <w:b/>
                <w:bCs/>
                <w:color w:val="auto"/>
                <w:sz w:val="24"/>
                <w:highlight w:val="none"/>
              </w:rPr>
            </w:pPr>
          </w:p>
        </w:tc>
        <w:tc>
          <w:tcPr>
            <w:tcW w:w="1680" w:type="dxa"/>
            <w:shd w:val="clear" w:color="auto" w:fill="auto"/>
            <w:noWrap w:val="0"/>
            <w:vAlign w:val="center"/>
          </w:tcPr>
          <w:p w14:paraId="26B9DFB5">
            <w:pPr>
              <w:adjustRightInd w:val="0"/>
              <w:snapToGrid w:val="0"/>
              <w:jc w:val="center"/>
              <w:rPr>
                <w:rFonts w:hint="default" w:ascii="Times New Roman" w:hAnsi="Times New Roman" w:eastAsia="宋体" w:cs="Times New Roman"/>
                <w:color w:val="auto"/>
                <w:sz w:val="24"/>
                <w:highlight w:val="none"/>
                <w:lang w:val="en-US" w:eastAsia="zh-CN"/>
              </w:rPr>
            </w:pPr>
            <w:r>
              <w:rPr>
                <w:rFonts w:hint="eastAsia" w:cs="Times New Roman"/>
                <w:color w:val="auto"/>
                <w:sz w:val="24"/>
                <w:highlight w:val="none"/>
                <w:lang w:val="en-US" w:eastAsia="zh-CN"/>
              </w:rPr>
              <w:t>分切粉尘</w:t>
            </w:r>
          </w:p>
        </w:tc>
        <w:tc>
          <w:tcPr>
            <w:tcW w:w="1157" w:type="dxa"/>
            <w:shd w:val="clear" w:color="auto" w:fill="auto"/>
            <w:noWrap w:val="0"/>
            <w:vAlign w:val="center"/>
          </w:tcPr>
          <w:p w14:paraId="083553A5">
            <w:pPr>
              <w:adjustRightInd w:val="0"/>
              <w:snapToGrid w:val="0"/>
              <w:jc w:val="center"/>
              <w:rPr>
                <w:rFonts w:hint="default"/>
                <w:color w:val="auto"/>
                <w:sz w:val="24"/>
                <w:highlight w:val="none"/>
                <w:lang w:val="en-US" w:eastAsia="zh-CN"/>
              </w:rPr>
            </w:pPr>
            <w:r>
              <w:rPr>
                <w:rFonts w:hint="eastAsia"/>
                <w:color w:val="auto"/>
                <w:sz w:val="24"/>
                <w:highlight w:val="none"/>
                <w:lang w:val="en-US" w:eastAsia="zh-CN"/>
              </w:rPr>
              <w:t>颗粒物</w:t>
            </w:r>
          </w:p>
        </w:tc>
        <w:tc>
          <w:tcPr>
            <w:tcW w:w="2655" w:type="dxa"/>
            <w:shd w:val="clear" w:color="auto" w:fill="auto"/>
            <w:noWrap w:val="0"/>
            <w:vAlign w:val="center"/>
          </w:tcPr>
          <w:p w14:paraId="44C69414">
            <w:pPr>
              <w:adjustRightInd w:val="0"/>
              <w:snapToGrid w:val="0"/>
              <w:jc w:val="center"/>
              <w:rPr>
                <w:rFonts w:hint="default" w:cs="Times New Roman"/>
                <w:color w:val="auto"/>
                <w:sz w:val="24"/>
                <w:highlight w:val="none"/>
                <w:lang w:val="en-US" w:eastAsia="zh-CN"/>
              </w:rPr>
            </w:pPr>
            <w:r>
              <w:rPr>
                <w:rFonts w:hint="eastAsia" w:cs="Times New Roman"/>
                <w:color w:val="auto"/>
                <w:sz w:val="24"/>
                <w:highlight w:val="none"/>
                <w:lang w:val="en-US" w:eastAsia="zh-CN"/>
              </w:rPr>
              <w:t>厂房密闭，无组织排放</w:t>
            </w:r>
          </w:p>
        </w:tc>
        <w:tc>
          <w:tcPr>
            <w:tcW w:w="1752" w:type="dxa"/>
            <w:vMerge w:val="continue"/>
            <w:shd w:val="clear" w:color="auto" w:fill="auto"/>
            <w:noWrap w:val="0"/>
            <w:vAlign w:val="center"/>
          </w:tcPr>
          <w:p w14:paraId="6496D3A7">
            <w:pPr>
              <w:pStyle w:val="208"/>
              <w:spacing w:line="240" w:lineRule="auto"/>
              <w:ind w:firstLine="0"/>
              <w:jc w:val="center"/>
              <w:rPr>
                <w:rFonts w:hint="eastAsia" w:ascii="Times New Roman" w:hAnsi="Times New Roman"/>
                <w:color w:val="auto"/>
                <w:sz w:val="24"/>
                <w:highlight w:val="none"/>
              </w:rPr>
            </w:pPr>
          </w:p>
        </w:tc>
      </w:tr>
      <w:tr w14:paraId="75D8B15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25" w:hRule="atLeast"/>
          <w:jc w:val="center"/>
        </w:trPr>
        <w:tc>
          <w:tcPr>
            <w:tcW w:w="1556" w:type="dxa"/>
            <w:vMerge w:val="continue"/>
            <w:shd w:val="clear" w:color="auto" w:fill="auto"/>
            <w:noWrap w:val="0"/>
            <w:vAlign w:val="center"/>
          </w:tcPr>
          <w:p w14:paraId="5B0E6ECE">
            <w:pPr>
              <w:adjustRightInd w:val="0"/>
              <w:snapToGrid w:val="0"/>
              <w:jc w:val="center"/>
              <w:rPr>
                <w:rFonts w:hint="eastAsia" w:ascii="Times New Roman" w:hAnsi="Times New Roman"/>
                <w:b/>
                <w:bCs/>
                <w:color w:val="auto"/>
                <w:sz w:val="24"/>
                <w:highlight w:val="none"/>
              </w:rPr>
            </w:pPr>
          </w:p>
        </w:tc>
        <w:tc>
          <w:tcPr>
            <w:tcW w:w="1680" w:type="dxa"/>
            <w:shd w:val="clear" w:color="auto" w:fill="auto"/>
            <w:noWrap w:val="0"/>
            <w:vAlign w:val="center"/>
          </w:tcPr>
          <w:p w14:paraId="2A7E61E7">
            <w:pPr>
              <w:adjustRightInd w:val="0"/>
              <w:snapToGrid w:val="0"/>
              <w:jc w:val="center"/>
              <w:rPr>
                <w:rFonts w:hint="default" w:cs="Times New Roman"/>
                <w:color w:val="auto"/>
                <w:sz w:val="24"/>
                <w:highlight w:val="none"/>
                <w:lang w:val="en-US" w:eastAsia="zh-CN"/>
              </w:rPr>
            </w:pPr>
            <w:r>
              <w:rPr>
                <w:rFonts w:hint="eastAsia" w:cs="Times New Roman"/>
                <w:color w:val="auto"/>
                <w:sz w:val="24"/>
                <w:highlight w:val="none"/>
                <w:lang w:val="en-US" w:eastAsia="zh-CN"/>
              </w:rPr>
              <w:t>焊接烟尘</w:t>
            </w:r>
          </w:p>
        </w:tc>
        <w:tc>
          <w:tcPr>
            <w:tcW w:w="1157" w:type="dxa"/>
            <w:shd w:val="clear" w:color="auto" w:fill="auto"/>
            <w:noWrap w:val="0"/>
            <w:vAlign w:val="center"/>
          </w:tcPr>
          <w:p w14:paraId="74F3E960">
            <w:pPr>
              <w:adjustRightInd w:val="0"/>
              <w:snapToGrid w:val="0"/>
              <w:jc w:val="center"/>
              <w:rPr>
                <w:rFonts w:hint="default"/>
                <w:color w:val="auto"/>
                <w:sz w:val="24"/>
                <w:highlight w:val="none"/>
                <w:lang w:val="en-US" w:eastAsia="zh-CN"/>
              </w:rPr>
            </w:pPr>
            <w:r>
              <w:rPr>
                <w:rFonts w:hint="eastAsia"/>
                <w:color w:val="auto"/>
                <w:sz w:val="24"/>
                <w:highlight w:val="none"/>
                <w:lang w:val="en-US" w:eastAsia="zh-CN"/>
              </w:rPr>
              <w:t>颗粒物</w:t>
            </w:r>
          </w:p>
        </w:tc>
        <w:tc>
          <w:tcPr>
            <w:tcW w:w="2655" w:type="dxa"/>
            <w:shd w:val="clear" w:color="auto" w:fill="auto"/>
            <w:noWrap w:val="0"/>
            <w:vAlign w:val="center"/>
          </w:tcPr>
          <w:p w14:paraId="43D6D48D">
            <w:pPr>
              <w:adjustRightInd w:val="0"/>
              <w:snapToGrid w:val="0"/>
              <w:jc w:val="center"/>
              <w:rPr>
                <w:rFonts w:hint="default" w:cs="Times New Roman"/>
                <w:color w:val="auto"/>
                <w:sz w:val="24"/>
                <w:highlight w:val="none"/>
                <w:lang w:val="en-US" w:eastAsia="zh-CN"/>
              </w:rPr>
            </w:pPr>
            <w:r>
              <w:rPr>
                <w:rFonts w:hint="eastAsia" w:cs="Times New Roman"/>
                <w:color w:val="auto"/>
                <w:sz w:val="24"/>
                <w:highlight w:val="none"/>
                <w:lang w:val="en-US" w:eastAsia="zh-CN"/>
              </w:rPr>
              <w:t>经设备自带滤芯除尘器处理后，无组织排放</w:t>
            </w:r>
          </w:p>
        </w:tc>
        <w:tc>
          <w:tcPr>
            <w:tcW w:w="1752" w:type="dxa"/>
            <w:vMerge w:val="continue"/>
            <w:shd w:val="clear" w:color="auto" w:fill="auto"/>
            <w:noWrap w:val="0"/>
            <w:vAlign w:val="center"/>
          </w:tcPr>
          <w:p w14:paraId="23591A8F">
            <w:pPr>
              <w:pStyle w:val="208"/>
              <w:spacing w:line="240" w:lineRule="auto"/>
              <w:ind w:firstLine="0"/>
              <w:jc w:val="center"/>
              <w:rPr>
                <w:rFonts w:hint="eastAsia" w:ascii="Times New Roman" w:hAnsi="Times New Roman"/>
                <w:color w:val="auto"/>
                <w:sz w:val="24"/>
                <w:highlight w:val="none"/>
              </w:rPr>
            </w:pPr>
          </w:p>
        </w:tc>
      </w:tr>
      <w:tr w14:paraId="7E64CA9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25" w:hRule="atLeast"/>
          <w:jc w:val="center"/>
        </w:trPr>
        <w:tc>
          <w:tcPr>
            <w:tcW w:w="1556" w:type="dxa"/>
            <w:vMerge w:val="continue"/>
            <w:shd w:val="clear" w:color="auto" w:fill="auto"/>
            <w:noWrap w:val="0"/>
            <w:vAlign w:val="center"/>
          </w:tcPr>
          <w:p w14:paraId="45F42892">
            <w:pPr>
              <w:adjustRightInd w:val="0"/>
              <w:snapToGrid w:val="0"/>
              <w:jc w:val="center"/>
              <w:rPr>
                <w:rFonts w:hint="eastAsia" w:ascii="Times New Roman" w:hAnsi="Times New Roman"/>
                <w:b/>
                <w:bCs/>
                <w:color w:val="auto"/>
                <w:sz w:val="24"/>
                <w:highlight w:val="none"/>
              </w:rPr>
            </w:pPr>
          </w:p>
        </w:tc>
        <w:tc>
          <w:tcPr>
            <w:tcW w:w="1680" w:type="dxa"/>
            <w:shd w:val="clear" w:color="auto" w:fill="auto"/>
            <w:noWrap w:val="0"/>
            <w:vAlign w:val="center"/>
          </w:tcPr>
          <w:p w14:paraId="3209F2A7">
            <w:pPr>
              <w:adjustRightInd w:val="0"/>
              <w:snapToGrid w:val="0"/>
              <w:jc w:val="center"/>
              <w:rPr>
                <w:rFonts w:hint="default" w:ascii="Times New Roman" w:hAnsi="Times New Roman"/>
                <w:color w:val="auto"/>
                <w:sz w:val="24"/>
                <w:szCs w:val="24"/>
                <w:highlight w:val="none"/>
                <w:lang w:val="en-US" w:eastAsia="zh-CN"/>
              </w:rPr>
            </w:pPr>
            <w:r>
              <w:rPr>
                <w:rFonts w:hint="eastAsia"/>
                <w:color w:val="auto"/>
                <w:sz w:val="24"/>
                <w:szCs w:val="24"/>
                <w:highlight w:val="none"/>
                <w:lang w:val="en-US" w:eastAsia="zh-CN"/>
              </w:rPr>
              <w:t>污水处理站废气</w:t>
            </w:r>
          </w:p>
        </w:tc>
        <w:tc>
          <w:tcPr>
            <w:tcW w:w="1157" w:type="dxa"/>
            <w:shd w:val="clear" w:color="auto" w:fill="auto"/>
            <w:noWrap w:val="0"/>
            <w:vAlign w:val="center"/>
          </w:tcPr>
          <w:p w14:paraId="3B41AD81">
            <w:pPr>
              <w:adjustRightInd w:val="0"/>
              <w:snapToGrid w:val="0"/>
              <w:jc w:val="center"/>
              <w:rPr>
                <w:rFonts w:hint="default" w:ascii="Times New Roman" w:hAnsi="Times New Roman" w:eastAsia="宋体"/>
                <w:color w:val="auto"/>
                <w:sz w:val="24"/>
                <w:szCs w:val="24"/>
                <w:highlight w:val="none"/>
                <w:lang w:val="en-US" w:eastAsia="zh-CN"/>
              </w:rPr>
            </w:pPr>
            <w:r>
              <w:rPr>
                <w:rFonts w:hint="default" w:ascii="Times New Roman" w:hAnsi="Times New Roman" w:cs="Times New Roman"/>
                <w:color w:val="auto"/>
                <w:sz w:val="24"/>
                <w:szCs w:val="24"/>
                <w:lang w:val="en-US" w:eastAsia="zh-CN"/>
              </w:rPr>
              <w:t>H</w:t>
            </w:r>
            <w:r>
              <w:rPr>
                <w:rFonts w:hint="default" w:ascii="Times New Roman" w:hAnsi="Times New Roman" w:cs="Times New Roman"/>
                <w:color w:val="auto"/>
                <w:sz w:val="24"/>
                <w:szCs w:val="24"/>
                <w:vertAlign w:val="subscript"/>
                <w:lang w:val="en-US" w:eastAsia="zh-CN"/>
              </w:rPr>
              <w:t>2</w:t>
            </w:r>
            <w:r>
              <w:rPr>
                <w:rFonts w:hint="default" w:ascii="Times New Roman" w:hAnsi="Times New Roman" w:cs="Times New Roman"/>
                <w:color w:val="auto"/>
                <w:sz w:val="24"/>
                <w:szCs w:val="24"/>
                <w:lang w:val="en-US" w:eastAsia="zh-CN"/>
              </w:rPr>
              <w:t>S、NH</w:t>
            </w:r>
            <w:r>
              <w:rPr>
                <w:rFonts w:hint="default" w:ascii="Times New Roman" w:hAnsi="Times New Roman" w:cs="Times New Roman"/>
                <w:color w:val="auto"/>
                <w:sz w:val="24"/>
                <w:szCs w:val="24"/>
                <w:vertAlign w:val="subscript"/>
                <w:lang w:val="en-US" w:eastAsia="zh-CN"/>
              </w:rPr>
              <w:t>3</w:t>
            </w:r>
            <w:r>
              <w:rPr>
                <w:rFonts w:hint="default" w:ascii="Times New Roman" w:hAnsi="Times New Roman" w:cs="Times New Roman"/>
                <w:color w:val="auto"/>
                <w:sz w:val="24"/>
                <w:szCs w:val="24"/>
                <w:lang w:val="en-US" w:eastAsia="zh-CN"/>
              </w:rPr>
              <w:t>等</w:t>
            </w:r>
          </w:p>
        </w:tc>
        <w:tc>
          <w:tcPr>
            <w:tcW w:w="2655" w:type="dxa"/>
            <w:shd w:val="clear" w:color="auto" w:fill="auto"/>
            <w:noWrap w:val="0"/>
            <w:vAlign w:val="center"/>
          </w:tcPr>
          <w:p w14:paraId="29A5A1CC">
            <w:pPr>
              <w:adjustRightInd w:val="0"/>
              <w:snapToGrid w:val="0"/>
              <w:jc w:val="center"/>
              <w:rPr>
                <w:rFonts w:hint="default" w:ascii="Times New Roman" w:hAnsi="Times New Roman"/>
                <w:color w:val="auto"/>
                <w:kern w:val="0"/>
                <w:sz w:val="24"/>
                <w:szCs w:val="24"/>
                <w:highlight w:val="none"/>
                <w:lang w:val="en-US" w:eastAsia="zh-CN"/>
              </w:rPr>
            </w:pPr>
            <w:r>
              <w:rPr>
                <w:rFonts w:hint="eastAsia"/>
                <w:color w:val="auto"/>
                <w:kern w:val="0"/>
                <w:sz w:val="24"/>
                <w:szCs w:val="24"/>
                <w:highlight w:val="none"/>
                <w:lang w:val="en-US" w:eastAsia="zh-CN"/>
              </w:rPr>
              <w:t>无组织排放</w:t>
            </w:r>
          </w:p>
        </w:tc>
        <w:tc>
          <w:tcPr>
            <w:tcW w:w="1752" w:type="dxa"/>
            <w:shd w:val="clear" w:color="auto" w:fill="auto"/>
            <w:noWrap w:val="0"/>
            <w:vAlign w:val="center"/>
          </w:tcPr>
          <w:p w14:paraId="181A51F1">
            <w:pPr>
              <w:pStyle w:val="208"/>
              <w:spacing w:line="240" w:lineRule="auto"/>
              <w:ind w:firstLine="0"/>
              <w:jc w:val="center"/>
              <w:rPr>
                <w:rFonts w:hint="eastAsia" w:ascii="Times New Roman" w:hAnsi="Times New Roman" w:eastAsia="宋体"/>
                <w:color w:val="auto"/>
                <w:sz w:val="24"/>
                <w:szCs w:val="24"/>
                <w:highlight w:val="none"/>
                <w:lang w:eastAsia="zh-CN"/>
              </w:rPr>
            </w:pPr>
            <w:r>
              <w:rPr>
                <w:rFonts w:hint="default" w:ascii="Times New Roman" w:hAnsi="Times New Roman" w:eastAsia="宋体" w:cs="Times New Roman"/>
                <w:color w:val="auto"/>
                <w:sz w:val="24"/>
                <w:szCs w:val="24"/>
                <w:lang w:val="en-US" w:eastAsia="zh-CN"/>
              </w:rPr>
              <w:t>《恶臭污染物排放标准》</w:t>
            </w:r>
            <w:r>
              <w:rPr>
                <w:rFonts w:hint="default" w:ascii="Times New Roman" w:hAnsi="Times New Roman" w:cs="Times New Roman"/>
                <w:color w:val="auto"/>
                <w:sz w:val="24"/>
                <w:szCs w:val="24"/>
                <w:lang w:val="en-US" w:eastAsia="zh-CN"/>
              </w:rPr>
              <w:t>（GB14554-93）</w:t>
            </w:r>
          </w:p>
        </w:tc>
      </w:tr>
      <w:tr w14:paraId="17FDC0B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25" w:hRule="atLeast"/>
          <w:jc w:val="center"/>
        </w:trPr>
        <w:tc>
          <w:tcPr>
            <w:tcW w:w="1556" w:type="dxa"/>
            <w:vMerge w:val="restart"/>
            <w:shd w:val="clear" w:color="auto" w:fill="auto"/>
            <w:noWrap w:val="0"/>
            <w:vAlign w:val="center"/>
          </w:tcPr>
          <w:p w14:paraId="1A848A29">
            <w:pPr>
              <w:adjustRightInd w:val="0"/>
              <w:snapToGrid w:val="0"/>
              <w:jc w:val="center"/>
              <w:rPr>
                <w:rFonts w:hint="default" w:ascii="Times New Roman" w:hAnsi="Times New Roman" w:cs="Times New Roman"/>
                <w:b/>
                <w:bCs/>
                <w:color w:val="auto"/>
                <w:sz w:val="24"/>
                <w:szCs w:val="24"/>
                <w:highlight w:val="none"/>
              </w:rPr>
            </w:pPr>
            <w:r>
              <w:rPr>
                <w:rFonts w:hint="default" w:ascii="Times New Roman" w:hAnsi="Times New Roman" w:cs="Times New Roman"/>
                <w:b/>
                <w:bCs/>
                <w:color w:val="auto"/>
                <w:sz w:val="24"/>
                <w:szCs w:val="24"/>
                <w:highlight w:val="none"/>
              </w:rPr>
              <w:t>地表水环境</w:t>
            </w:r>
          </w:p>
        </w:tc>
        <w:tc>
          <w:tcPr>
            <w:tcW w:w="1680" w:type="dxa"/>
            <w:shd w:val="clear" w:color="auto" w:fill="auto"/>
            <w:noWrap w:val="0"/>
            <w:vAlign w:val="center"/>
          </w:tcPr>
          <w:p w14:paraId="08692637">
            <w:pPr>
              <w:adjustRightInd w:val="0"/>
              <w:snapToGrid w:val="0"/>
              <w:jc w:val="center"/>
              <w:rPr>
                <w:rFonts w:hint="default" w:ascii="Times New Roman" w:hAnsi="Times New Roman" w:eastAsia="宋体" w:cs="Times New Roman"/>
                <w:color w:val="auto"/>
                <w:sz w:val="24"/>
                <w:szCs w:val="24"/>
                <w:highlight w:val="none"/>
                <w:lang w:val="en-US" w:eastAsia="zh-CN"/>
              </w:rPr>
            </w:pPr>
            <w:r>
              <w:rPr>
                <w:rFonts w:hint="eastAsia" w:cs="Times New Roman"/>
                <w:color w:val="auto"/>
                <w:sz w:val="24"/>
                <w:szCs w:val="24"/>
                <w:highlight w:val="none"/>
                <w:lang w:val="en-US" w:eastAsia="zh-CN"/>
              </w:rPr>
              <w:t>生活污水</w:t>
            </w:r>
            <w:r>
              <w:rPr>
                <w:rFonts w:hint="eastAsia" w:ascii="Times New Roman" w:hAnsi="Times New Roman" w:eastAsia="宋体" w:cs="Times New Roman"/>
                <w:color w:val="auto"/>
                <w:sz w:val="24"/>
                <w:szCs w:val="24"/>
                <w:highlight w:val="none"/>
                <w:lang w:val="en-US" w:eastAsia="zh-CN"/>
              </w:rPr>
              <w:t>排放口</w:t>
            </w:r>
            <w:r>
              <w:rPr>
                <w:rFonts w:hint="eastAsia" w:ascii="Times New Roman" w:hAnsi="Times New Roman" w:eastAsia="宋体" w:cs="Times New Roman"/>
                <w:color w:val="auto"/>
                <w:sz w:val="24"/>
                <w:szCs w:val="24"/>
                <w:highlight w:val="none"/>
                <w:lang w:val="en-US" w:eastAsia="zh-CN"/>
              </w:rPr>
              <w:br w:type="textWrapping"/>
            </w:r>
            <w:r>
              <w:rPr>
                <w:rFonts w:hint="eastAsia" w:ascii="Times New Roman" w:hAnsi="Times New Roman" w:eastAsia="宋体" w:cs="Times New Roman"/>
                <w:color w:val="auto"/>
                <w:sz w:val="24"/>
                <w:szCs w:val="24"/>
                <w:highlight w:val="none"/>
                <w:lang w:val="en-US" w:eastAsia="zh-CN"/>
              </w:rPr>
              <w:t>（DW001）</w:t>
            </w:r>
          </w:p>
        </w:tc>
        <w:tc>
          <w:tcPr>
            <w:tcW w:w="1157" w:type="dxa"/>
            <w:shd w:val="clear" w:color="auto" w:fill="auto"/>
            <w:noWrap w:val="0"/>
            <w:vAlign w:val="center"/>
          </w:tcPr>
          <w:p w14:paraId="7FF5CA0E">
            <w:pPr>
              <w:adjustRightInd w:val="0"/>
              <w:snapToGrid w:val="0"/>
              <w:jc w:val="center"/>
              <w:rPr>
                <w:rFonts w:hint="default" w:ascii="Times New Roman" w:hAnsi="Times New Roman" w:eastAsia="宋体" w:cs="Times New Roman"/>
                <w:color w:val="auto"/>
                <w:kern w:val="0"/>
                <w:sz w:val="24"/>
                <w:szCs w:val="24"/>
                <w:highlight w:val="none"/>
                <w:lang w:val="en-US" w:eastAsia="zh-CN"/>
              </w:rPr>
            </w:pPr>
            <w:r>
              <w:rPr>
                <w:rFonts w:hint="eastAsia" w:ascii="Times New Roman" w:hAnsi="Times New Roman"/>
                <w:b w:val="0"/>
                <w:bCs w:val="0"/>
                <w:color w:val="auto"/>
                <w:sz w:val="24"/>
                <w:szCs w:val="24"/>
                <w:highlight w:val="none"/>
                <w:vertAlign w:val="baseline"/>
                <w:lang w:val="en-US" w:eastAsia="zh-CN"/>
              </w:rPr>
              <w:t>COD、BOD</w:t>
            </w:r>
            <w:r>
              <w:rPr>
                <w:rFonts w:hint="eastAsia" w:ascii="Times New Roman" w:hAnsi="Times New Roman"/>
                <w:b w:val="0"/>
                <w:bCs w:val="0"/>
                <w:color w:val="auto"/>
                <w:sz w:val="24"/>
                <w:szCs w:val="24"/>
                <w:highlight w:val="none"/>
                <w:vertAlign w:val="subscript"/>
                <w:lang w:val="en-US" w:eastAsia="zh-CN"/>
              </w:rPr>
              <w:t>5</w:t>
            </w:r>
            <w:r>
              <w:rPr>
                <w:rFonts w:hint="eastAsia" w:ascii="Times New Roman" w:hAnsi="Times New Roman"/>
                <w:b w:val="0"/>
                <w:bCs w:val="0"/>
                <w:color w:val="auto"/>
                <w:sz w:val="24"/>
                <w:szCs w:val="24"/>
                <w:highlight w:val="none"/>
                <w:vertAlign w:val="baseline"/>
                <w:lang w:val="en-US" w:eastAsia="zh-CN"/>
              </w:rPr>
              <w:t>、NH</w:t>
            </w:r>
            <w:r>
              <w:rPr>
                <w:rFonts w:hint="eastAsia" w:ascii="Times New Roman" w:hAnsi="Times New Roman"/>
                <w:b w:val="0"/>
                <w:bCs w:val="0"/>
                <w:color w:val="auto"/>
                <w:sz w:val="24"/>
                <w:szCs w:val="24"/>
                <w:highlight w:val="none"/>
                <w:vertAlign w:val="subscript"/>
                <w:lang w:val="en-US" w:eastAsia="zh-CN"/>
              </w:rPr>
              <w:t>3</w:t>
            </w:r>
            <w:r>
              <w:rPr>
                <w:rFonts w:hint="eastAsia" w:ascii="Times New Roman" w:hAnsi="Times New Roman"/>
                <w:b w:val="0"/>
                <w:bCs w:val="0"/>
                <w:color w:val="auto"/>
                <w:sz w:val="24"/>
                <w:szCs w:val="24"/>
                <w:highlight w:val="none"/>
                <w:vertAlign w:val="baseline"/>
                <w:lang w:val="en-US" w:eastAsia="zh-CN"/>
              </w:rPr>
              <w:t>-N、SS、TP</w:t>
            </w:r>
            <w:r>
              <w:rPr>
                <w:rFonts w:hint="eastAsia"/>
                <w:b w:val="0"/>
                <w:bCs w:val="0"/>
                <w:color w:val="auto"/>
                <w:sz w:val="24"/>
                <w:szCs w:val="24"/>
                <w:highlight w:val="none"/>
                <w:vertAlign w:val="baseline"/>
                <w:lang w:val="en-US" w:eastAsia="zh-CN"/>
              </w:rPr>
              <w:t>、TN</w:t>
            </w:r>
          </w:p>
        </w:tc>
        <w:tc>
          <w:tcPr>
            <w:tcW w:w="2655" w:type="dxa"/>
            <w:shd w:val="clear" w:color="auto" w:fill="auto"/>
            <w:noWrap w:val="0"/>
            <w:vAlign w:val="center"/>
          </w:tcPr>
          <w:p w14:paraId="56C15D90">
            <w:pPr>
              <w:adjustRightInd w:val="0"/>
              <w:snapToGrid w:val="0"/>
              <w:jc w:val="center"/>
              <w:rPr>
                <w:rFonts w:hint="default" w:ascii="Times New Roman" w:hAnsi="Times New Roman" w:eastAsia="宋体" w:cs="Times New Roman"/>
                <w:color w:val="auto"/>
                <w:kern w:val="0"/>
                <w:sz w:val="24"/>
                <w:szCs w:val="24"/>
                <w:highlight w:val="none"/>
                <w:lang w:val="en-US" w:eastAsia="zh-CN"/>
              </w:rPr>
            </w:pPr>
            <w:r>
              <w:rPr>
                <w:rFonts w:hint="eastAsia" w:cs="Times New Roman"/>
                <w:color w:val="auto"/>
                <w:kern w:val="0"/>
                <w:sz w:val="24"/>
                <w:szCs w:val="24"/>
                <w:highlight w:val="none"/>
                <w:lang w:val="en-US" w:eastAsia="zh-CN"/>
              </w:rPr>
              <w:t>经</w:t>
            </w:r>
            <w:r>
              <w:rPr>
                <w:rFonts w:hint="eastAsia" w:ascii="Times New Roman" w:hAnsi="Times New Roman" w:eastAsia="宋体" w:cs="Times New Roman"/>
                <w:color w:val="auto"/>
                <w:kern w:val="0"/>
                <w:sz w:val="24"/>
                <w:szCs w:val="24"/>
                <w:highlight w:val="none"/>
                <w:lang w:val="en-US" w:eastAsia="zh-CN"/>
              </w:rPr>
              <w:t>预处理池处理后</w:t>
            </w:r>
            <w:r>
              <w:rPr>
                <w:rFonts w:hint="eastAsia" w:cs="Times New Roman"/>
                <w:color w:val="auto"/>
                <w:kern w:val="0"/>
                <w:sz w:val="24"/>
                <w:szCs w:val="24"/>
                <w:highlight w:val="none"/>
                <w:lang w:val="en-US" w:eastAsia="zh-CN"/>
              </w:rPr>
              <w:t>排入园区污水处理厂</w:t>
            </w:r>
          </w:p>
        </w:tc>
        <w:tc>
          <w:tcPr>
            <w:tcW w:w="1752" w:type="dxa"/>
            <w:shd w:val="clear" w:color="auto" w:fill="auto"/>
            <w:noWrap w:val="0"/>
            <w:vAlign w:val="center"/>
          </w:tcPr>
          <w:p w14:paraId="768346AC">
            <w:pPr>
              <w:adjustRightInd w:val="0"/>
              <w:snapToGrid w:val="0"/>
              <w:jc w:val="center"/>
              <w:rPr>
                <w:rFonts w:hint="eastAsia" w:ascii="Times New Roman" w:hAnsi="Times New Roman" w:eastAsia="宋体" w:cs="Times New Roman"/>
                <w:color w:val="auto"/>
                <w:sz w:val="24"/>
                <w:szCs w:val="24"/>
                <w:highlight w:val="none"/>
                <w:lang w:eastAsia="zh-CN"/>
              </w:rPr>
            </w:pPr>
            <w:r>
              <w:rPr>
                <w:rStyle w:val="48"/>
                <w:rFonts w:hint="eastAsia" w:ascii="宋体" w:hAnsi="宋体" w:eastAsia="宋体" w:cs="宋体"/>
                <w:color w:val="auto"/>
                <w:kern w:val="0"/>
                <w:sz w:val="24"/>
                <w:szCs w:val="24"/>
              </w:rPr>
              <w:t>《污水综合排放标准》</w:t>
            </w:r>
            <w:r>
              <w:rPr>
                <w:rStyle w:val="48"/>
                <w:rFonts w:hint="eastAsia" w:ascii="宋体" w:hAnsi="宋体" w:cs="宋体"/>
                <w:color w:val="auto"/>
                <w:kern w:val="0"/>
                <w:sz w:val="24"/>
                <w:szCs w:val="24"/>
                <w:lang w:eastAsia="zh-CN"/>
              </w:rPr>
              <w:t>（</w:t>
            </w:r>
            <w:r>
              <w:rPr>
                <w:rStyle w:val="48"/>
                <w:rFonts w:hint="default" w:ascii="Times New Roman" w:hAnsi="Times New Roman" w:eastAsia="宋体" w:cs="Times New Roman"/>
                <w:color w:val="auto"/>
                <w:kern w:val="0"/>
                <w:sz w:val="24"/>
                <w:szCs w:val="24"/>
              </w:rPr>
              <w:t>GB8978-1996</w:t>
            </w:r>
            <w:r>
              <w:rPr>
                <w:rStyle w:val="48"/>
                <w:rFonts w:hint="eastAsia" w:ascii="宋体" w:hAnsi="宋体" w:cs="宋体"/>
                <w:color w:val="auto"/>
                <w:kern w:val="0"/>
                <w:sz w:val="24"/>
                <w:szCs w:val="24"/>
                <w:lang w:eastAsia="zh-CN"/>
              </w:rPr>
              <w:t>）</w:t>
            </w:r>
            <w:r>
              <w:rPr>
                <w:rStyle w:val="48"/>
                <w:rFonts w:hint="eastAsia" w:ascii="宋体" w:hAnsi="宋体" w:eastAsia="宋体" w:cs="宋体"/>
                <w:color w:val="auto"/>
                <w:kern w:val="0"/>
                <w:sz w:val="24"/>
                <w:szCs w:val="24"/>
                <w:lang w:eastAsia="zh-CN"/>
              </w:rPr>
              <w:t>、</w:t>
            </w:r>
            <w:r>
              <w:rPr>
                <w:rStyle w:val="48"/>
                <w:rFonts w:hint="eastAsia" w:ascii="宋体" w:hAnsi="宋体" w:eastAsia="宋体" w:cs="宋体"/>
                <w:color w:val="auto"/>
                <w:kern w:val="0"/>
                <w:sz w:val="24"/>
                <w:szCs w:val="24"/>
              </w:rPr>
              <w:t>《污水排入城镇下水道水质标准》</w:t>
            </w:r>
          </w:p>
        </w:tc>
      </w:tr>
      <w:tr w14:paraId="1BEBCF3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25" w:hRule="atLeast"/>
          <w:jc w:val="center"/>
        </w:trPr>
        <w:tc>
          <w:tcPr>
            <w:tcW w:w="1556" w:type="dxa"/>
            <w:vMerge w:val="continue"/>
            <w:shd w:val="clear" w:color="auto" w:fill="auto"/>
            <w:noWrap w:val="0"/>
            <w:vAlign w:val="center"/>
          </w:tcPr>
          <w:p w14:paraId="1844E14E">
            <w:pPr>
              <w:adjustRightInd w:val="0"/>
              <w:snapToGrid w:val="0"/>
              <w:jc w:val="center"/>
              <w:rPr>
                <w:rFonts w:hint="default" w:ascii="Times New Roman" w:hAnsi="Times New Roman" w:cs="Times New Roman"/>
                <w:b/>
                <w:bCs/>
                <w:color w:val="auto"/>
                <w:sz w:val="24"/>
                <w:szCs w:val="24"/>
                <w:highlight w:val="none"/>
              </w:rPr>
            </w:pPr>
          </w:p>
        </w:tc>
        <w:tc>
          <w:tcPr>
            <w:tcW w:w="1680" w:type="dxa"/>
            <w:shd w:val="clear" w:color="auto" w:fill="auto"/>
            <w:noWrap w:val="0"/>
            <w:vAlign w:val="center"/>
          </w:tcPr>
          <w:p w14:paraId="604F2A6B">
            <w:pPr>
              <w:adjustRightInd w:val="0"/>
              <w:snapToGrid w:val="0"/>
              <w:jc w:val="center"/>
              <w:rPr>
                <w:rFonts w:hint="eastAsia" w:ascii="Times New Roman" w:hAnsi="Times New Roman" w:cs="Times New Roman"/>
                <w:color w:val="auto"/>
                <w:sz w:val="24"/>
                <w:szCs w:val="24"/>
                <w:highlight w:val="none"/>
                <w:lang w:val="en-US" w:eastAsia="zh-CN"/>
              </w:rPr>
            </w:pPr>
            <w:r>
              <w:rPr>
                <w:rFonts w:hint="eastAsia" w:ascii="Times New Roman" w:hAnsi="Times New Roman" w:cs="Times New Roman"/>
                <w:color w:val="auto"/>
                <w:sz w:val="24"/>
                <w:szCs w:val="24"/>
                <w:highlight w:val="none"/>
                <w:lang w:val="en-US" w:eastAsia="zh-CN"/>
              </w:rPr>
              <w:t>污水处理站</w:t>
            </w:r>
          </w:p>
          <w:p w14:paraId="108320BC">
            <w:pPr>
              <w:adjustRightInd w:val="0"/>
              <w:snapToGrid w:val="0"/>
              <w:jc w:val="center"/>
              <w:rPr>
                <w:rFonts w:hint="default" w:ascii="Times New Roman" w:hAnsi="Times New Roman"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（DW002）</w:t>
            </w:r>
          </w:p>
        </w:tc>
        <w:tc>
          <w:tcPr>
            <w:tcW w:w="1157" w:type="dxa"/>
            <w:shd w:val="clear" w:color="auto" w:fill="auto"/>
            <w:noWrap w:val="0"/>
            <w:vAlign w:val="center"/>
          </w:tcPr>
          <w:p w14:paraId="6F9ED1DC">
            <w:pPr>
              <w:adjustRightInd w:val="0"/>
              <w:snapToGrid w:val="0"/>
              <w:jc w:val="center"/>
              <w:rPr>
                <w:rFonts w:hint="eastAsia" w:ascii="Times New Roman" w:hAnsi="Times New Roman" w:eastAsia="宋体" w:cs="Times New Roman"/>
                <w:color w:val="auto"/>
                <w:sz w:val="24"/>
                <w:szCs w:val="24"/>
                <w:highlight w:val="none"/>
                <w:lang w:val="en-US" w:eastAsia="zh-CN"/>
              </w:rPr>
            </w:pPr>
            <w:r>
              <w:rPr>
                <w:rFonts w:hint="eastAsia" w:ascii="Times New Roman" w:hAnsi="Times New Roman"/>
                <w:b w:val="0"/>
                <w:bCs w:val="0"/>
                <w:color w:val="auto"/>
                <w:sz w:val="24"/>
                <w:szCs w:val="24"/>
                <w:highlight w:val="none"/>
                <w:vertAlign w:val="baseline"/>
                <w:lang w:val="en-US" w:eastAsia="zh-CN"/>
              </w:rPr>
              <w:t>COD、BOD</w:t>
            </w:r>
            <w:r>
              <w:rPr>
                <w:rFonts w:hint="eastAsia" w:ascii="Times New Roman" w:hAnsi="Times New Roman"/>
                <w:b w:val="0"/>
                <w:bCs w:val="0"/>
                <w:color w:val="auto"/>
                <w:sz w:val="24"/>
                <w:szCs w:val="24"/>
                <w:highlight w:val="none"/>
                <w:vertAlign w:val="subscript"/>
                <w:lang w:val="en-US" w:eastAsia="zh-CN"/>
              </w:rPr>
              <w:t>5</w:t>
            </w:r>
            <w:r>
              <w:rPr>
                <w:rFonts w:hint="eastAsia" w:ascii="Times New Roman" w:hAnsi="Times New Roman"/>
                <w:b w:val="0"/>
                <w:bCs w:val="0"/>
                <w:color w:val="auto"/>
                <w:sz w:val="24"/>
                <w:szCs w:val="24"/>
                <w:highlight w:val="none"/>
                <w:vertAlign w:val="baseline"/>
                <w:lang w:val="en-US" w:eastAsia="zh-CN"/>
              </w:rPr>
              <w:t>、NH</w:t>
            </w:r>
            <w:r>
              <w:rPr>
                <w:rFonts w:hint="eastAsia" w:ascii="Times New Roman" w:hAnsi="Times New Roman"/>
                <w:b w:val="0"/>
                <w:bCs w:val="0"/>
                <w:color w:val="auto"/>
                <w:sz w:val="24"/>
                <w:szCs w:val="24"/>
                <w:highlight w:val="none"/>
                <w:vertAlign w:val="subscript"/>
                <w:lang w:val="en-US" w:eastAsia="zh-CN"/>
              </w:rPr>
              <w:t>3</w:t>
            </w:r>
            <w:r>
              <w:rPr>
                <w:rFonts w:hint="eastAsia" w:ascii="Times New Roman" w:hAnsi="Times New Roman"/>
                <w:b w:val="0"/>
                <w:bCs w:val="0"/>
                <w:color w:val="auto"/>
                <w:sz w:val="24"/>
                <w:szCs w:val="24"/>
                <w:highlight w:val="none"/>
                <w:vertAlign w:val="baseline"/>
                <w:lang w:val="en-US" w:eastAsia="zh-CN"/>
              </w:rPr>
              <w:t>-N、SS、TP</w:t>
            </w:r>
            <w:r>
              <w:rPr>
                <w:rFonts w:hint="eastAsia"/>
                <w:b w:val="0"/>
                <w:bCs w:val="0"/>
                <w:color w:val="auto"/>
                <w:sz w:val="24"/>
                <w:szCs w:val="24"/>
                <w:highlight w:val="none"/>
                <w:vertAlign w:val="baseline"/>
                <w:lang w:val="en-US" w:eastAsia="zh-CN"/>
              </w:rPr>
              <w:t>、TN</w:t>
            </w:r>
          </w:p>
        </w:tc>
        <w:tc>
          <w:tcPr>
            <w:tcW w:w="2655" w:type="dxa"/>
            <w:shd w:val="clear" w:color="auto" w:fill="auto"/>
            <w:noWrap w:val="0"/>
            <w:vAlign w:val="center"/>
          </w:tcPr>
          <w:p w14:paraId="5BFA0660">
            <w:pPr>
              <w:adjustRightInd w:val="0"/>
              <w:snapToGrid w:val="0"/>
              <w:jc w:val="center"/>
              <w:rPr>
                <w:rFonts w:hint="default" w:ascii="Times New Roman" w:hAnsi="Times New Roman" w:eastAsia="宋体" w:cs="Times New Roman"/>
                <w:color w:val="auto"/>
                <w:kern w:val="0"/>
                <w:sz w:val="24"/>
                <w:szCs w:val="24"/>
                <w:highlight w:val="none"/>
                <w:lang w:val="en-US" w:eastAsia="zh-CN"/>
              </w:rPr>
            </w:pPr>
            <w:r>
              <w:rPr>
                <w:rFonts w:hint="eastAsia" w:ascii="Times New Roman" w:hAnsi="Times New Roman" w:eastAsia="宋体" w:cs="Times New Roman"/>
                <w:color w:val="auto"/>
                <w:kern w:val="0"/>
                <w:sz w:val="24"/>
                <w:szCs w:val="24"/>
                <w:highlight w:val="none"/>
                <w:lang w:val="en-US" w:eastAsia="zh-CN"/>
              </w:rPr>
              <w:t>经厂区自建污水处理站处理（处理工艺为水解酸化+UASB厌氧处理</w:t>
            </w:r>
            <w:r>
              <w:rPr>
                <w:rFonts w:hint="default" w:ascii="Times New Roman" w:hAnsi="Times New Roman" w:eastAsia="宋体" w:cs="Times New Roman"/>
                <w:color w:val="auto"/>
                <w:kern w:val="0"/>
                <w:sz w:val="24"/>
                <w:szCs w:val="24"/>
                <w:highlight w:val="none"/>
                <w:lang w:val="en-US" w:eastAsia="zh-CN"/>
              </w:rPr>
              <w:t>，处理能力</w:t>
            </w:r>
            <w:r>
              <w:rPr>
                <w:rFonts w:hint="eastAsia" w:ascii="Times New Roman" w:hAnsi="Times New Roman" w:eastAsia="宋体" w:cs="Times New Roman"/>
                <w:color w:val="auto"/>
                <w:kern w:val="0"/>
                <w:sz w:val="24"/>
                <w:szCs w:val="24"/>
                <w:highlight w:val="none"/>
                <w:lang w:val="en-US" w:eastAsia="zh-CN"/>
              </w:rPr>
              <w:t>6m</w:t>
            </w:r>
            <w:r>
              <w:rPr>
                <w:rFonts w:hint="eastAsia" w:ascii="Times New Roman" w:hAnsi="Times New Roman" w:eastAsia="宋体" w:cs="Times New Roman"/>
                <w:color w:val="auto"/>
                <w:kern w:val="0"/>
                <w:sz w:val="24"/>
                <w:szCs w:val="24"/>
                <w:highlight w:val="none"/>
                <w:vertAlign w:val="superscript"/>
                <w:lang w:val="en-US" w:eastAsia="zh-CN"/>
              </w:rPr>
              <w:t>3</w:t>
            </w:r>
            <w:r>
              <w:rPr>
                <w:rFonts w:hint="default" w:ascii="Times New Roman" w:hAnsi="Times New Roman" w:eastAsia="宋体" w:cs="Times New Roman"/>
                <w:color w:val="auto"/>
                <w:kern w:val="0"/>
                <w:sz w:val="24"/>
                <w:szCs w:val="24"/>
                <w:highlight w:val="none"/>
                <w:lang w:val="en-US" w:eastAsia="zh-CN"/>
              </w:rPr>
              <w:t>/d</w:t>
            </w:r>
            <w:r>
              <w:rPr>
                <w:rFonts w:hint="eastAsia" w:ascii="Times New Roman" w:hAnsi="Times New Roman" w:eastAsia="宋体" w:cs="Times New Roman"/>
                <w:color w:val="auto"/>
                <w:kern w:val="0"/>
                <w:sz w:val="24"/>
                <w:szCs w:val="24"/>
                <w:highlight w:val="none"/>
                <w:lang w:val="en-US" w:eastAsia="zh-CN"/>
              </w:rPr>
              <w:t>）达标后进入园区污水管网，排入</w:t>
            </w:r>
            <w:r>
              <w:rPr>
                <w:rFonts w:hint="default" w:ascii="Times New Roman" w:hAnsi="Times New Roman" w:eastAsia="宋体" w:cs="Times New Roman"/>
                <w:color w:val="auto"/>
                <w:kern w:val="0"/>
                <w:sz w:val="24"/>
                <w:szCs w:val="24"/>
                <w:highlight w:val="none"/>
                <w:lang w:val="en-US" w:eastAsia="zh-CN"/>
              </w:rPr>
              <w:t>经开区污水处理厂</w:t>
            </w:r>
            <w:r>
              <w:rPr>
                <w:rFonts w:hint="eastAsia" w:ascii="Times New Roman" w:hAnsi="Times New Roman" w:eastAsia="宋体" w:cs="Times New Roman"/>
                <w:color w:val="auto"/>
                <w:kern w:val="0"/>
                <w:sz w:val="24"/>
                <w:szCs w:val="24"/>
                <w:highlight w:val="none"/>
                <w:lang w:val="en-US" w:eastAsia="zh-CN"/>
              </w:rPr>
              <w:t>处理达标后汇入巴溪河</w:t>
            </w:r>
          </w:p>
        </w:tc>
        <w:tc>
          <w:tcPr>
            <w:tcW w:w="1752" w:type="dxa"/>
            <w:shd w:val="clear" w:color="auto" w:fill="auto"/>
            <w:noWrap w:val="0"/>
            <w:vAlign w:val="center"/>
          </w:tcPr>
          <w:p w14:paraId="4E0541E8">
            <w:pPr>
              <w:adjustRightInd w:val="0"/>
              <w:snapToGrid w:val="0"/>
              <w:jc w:val="center"/>
              <w:rPr>
                <w:rStyle w:val="48"/>
                <w:rFonts w:hint="default" w:ascii="Times New Roman" w:hAnsi="Times New Roman" w:cs="Times New Roman"/>
                <w:color w:val="auto"/>
                <w:kern w:val="0"/>
                <w:sz w:val="24"/>
                <w:szCs w:val="24"/>
              </w:rPr>
            </w:pPr>
            <w:r>
              <w:rPr>
                <w:rFonts w:hint="default" w:ascii="Times New Roman" w:hAnsi="Times New Roman" w:eastAsia="宋体" w:cs="Times New Roman"/>
                <w:color w:val="auto"/>
                <w:kern w:val="0"/>
                <w:sz w:val="24"/>
                <w:szCs w:val="24"/>
                <w:highlight w:val="none"/>
                <w:lang w:val="en-US" w:eastAsia="zh-CN"/>
              </w:rPr>
              <w:t>《电池工业污染物排放标准》（GB 30484-2013）</w:t>
            </w:r>
          </w:p>
        </w:tc>
      </w:tr>
      <w:tr w14:paraId="649E364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25" w:hRule="atLeast"/>
          <w:jc w:val="center"/>
        </w:trPr>
        <w:tc>
          <w:tcPr>
            <w:tcW w:w="1556" w:type="dxa"/>
            <w:shd w:val="clear" w:color="auto" w:fill="auto"/>
            <w:noWrap w:val="0"/>
            <w:vAlign w:val="center"/>
          </w:tcPr>
          <w:p w14:paraId="59DB1707">
            <w:pPr>
              <w:adjustRightInd w:val="0"/>
              <w:snapToGrid w:val="0"/>
              <w:jc w:val="center"/>
              <w:rPr>
                <w:rFonts w:ascii="Times New Roman" w:hAnsi="Times New Roman"/>
                <w:b/>
                <w:bCs/>
                <w:color w:val="auto"/>
                <w:sz w:val="24"/>
                <w:highlight w:val="none"/>
              </w:rPr>
            </w:pPr>
            <w:r>
              <w:rPr>
                <w:rFonts w:hint="eastAsia" w:ascii="Times New Roman" w:hAnsi="Times New Roman"/>
                <w:b/>
                <w:bCs/>
                <w:color w:val="auto"/>
                <w:sz w:val="24"/>
                <w:highlight w:val="none"/>
              </w:rPr>
              <w:t>声环境</w:t>
            </w:r>
          </w:p>
        </w:tc>
        <w:tc>
          <w:tcPr>
            <w:tcW w:w="1680" w:type="dxa"/>
            <w:shd w:val="clear" w:color="auto" w:fill="auto"/>
            <w:noWrap w:val="0"/>
            <w:vAlign w:val="center"/>
          </w:tcPr>
          <w:p w14:paraId="28F37907">
            <w:pPr>
              <w:jc w:val="center"/>
              <w:rPr>
                <w:rFonts w:ascii="Times New Roman" w:hAnsi="Times New Roman"/>
                <w:color w:val="auto"/>
                <w:sz w:val="24"/>
                <w:highlight w:val="none"/>
              </w:rPr>
            </w:pPr>
            <w:r>
              <w:rPr>
                <w:rFonts w:ascii="Times New Roman" w:hAnsi="Times New Roman"/>
                <w:color w:val="auto"/>
                <w:sz w:val="24"/>
                <w:highlight w:val="none"/>
              </w:rPr>
              <w:t>生产设备</w:t>
            </w:r>
          </w:p>
        </w:tc>
        <w:tc>
          <w:tcPr>
            <w:tcW w:w="1157" w:type="dxa"/>
            <w:shd w:val="clear" w:color="auto" w:fill="auto"/>
            <w:noWrap w:val="0"/>
            <w:vAlign w:val="center"/>
          </w:tcPr>
          <w:p w14:paraId="3674482D">
            <w:pPr>
              <w:jc w:val="center"/>
              <w:rPr>
                <w:rFonts w:ascii="Times New Roman" w:hAnsi="Times New Roman"/>
                <w:color w:val="auto"/>
                <w:sz w:val="24"/>
                <w:highlight w:val="none"/>
              </w:rPr>
            </w:pPr>
            <w:r>
              <w:rPr>
                <w:rFonts w:ascii="Times New Roman" w:hAnsi="Times New Roman"/>
                <w:color w:val="auto"/>
                <w:sz w:val="24"/>
                <w:highlight w:val="none"/>
              </w:rPr>
              <w:t>噪声</w:t>
            </w:r>
          </w:p>
        </w:tc>
        <w:tc>
          <w:tcPr>
            <w:tcW w:w="2655" w:type="dxa"/>
            <w:shd w:val="clear" w:color="auto" w:fill="auto"/>
            <w:noWrap w:val="0"/>
            <w:vAlign w:val="center"/>
          </w:tcPr>
          <w:p w14:paraId="690D35AC">
            <w:pPr>
              <w:jc w:val="center"/>
              <w:rPr>
                <w:rFonts w:ascii="Times New Roman" w:hAnsi="Times New Roman"/>
                <w:color w:val="auto"/>
                <w:sz w:val="24"/>
                <w:highlight w:val="none"/>
              </w:rPr>
            </w:pPr>
            <w:r>
              <w:rPr>
                <w:rFonts w:ascii="Times New Roman" w:hAnsi="Times New Roman"/>
                <w:color w:val="auto"/>
                <w:kern w:val="0"/>
                <w:sz w:val="24"/>
                <w:highlight w:val="none"/>
              </w:rPr>
              <w:t>选用低噪声设备，建筑物隔声、合理布局、加强管理等</w:t>
            </w:r>
          </w:p>
        </w:tc>
        <w:tc>
          <w:tcPr>
            <w:tcW w:w="1752" w:type="dxa"/>
            <w:shd w:val="clear" w:color="auto" w:fill="auto"/>
            <w:noWrap w:val="0"/>
            <w:vAlign w:val="center"/>
          </w:tcPr>
          <w:p w14:paraId="796870BB">
            <w:pPr>
              <w:jc w:val="center"/>
              <w:rPr>
                <w:rFonts w:ascii="Times New Roman" w:hAnsi="Times New Roman"/>
                <w:color w:val="auto"/>
                <w:sz w:val="24"/>
                <w:highlight w:val="none"/>
              </w:rPr>
            </w:pPr>
            <w:r>
              <w:rPr>
                <w:rFonts w:ascii="Times New Roman" w:hAnsi="Times New Roman"/>
                <w:color w:val="auto"/>
                <w:kern w:val="0"/>
                <w:sz w:val="24"/>
                <w:highlight w:val="none"/>
              </w:rPr>
              <w:t>《工业企业厂界环境噪声标准》（GB12348-2008）中3类标准</w:t>
            </w:r>
          </w:p>
        </w:tc>
      </w:tr>
      <w:tr w14:paraId="7895574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25" w:hRule="atLeast"/>
          <w:jc w:val="center"/>
        </w:trPr>
        <w:tc>
          <w:tcPr>
            <w:tcW w:w="1556" w:type="dxa"/>
            <w:shd w:val="clear" w:color="auto" w:fill="auto"/>
            <w:noWrap w:val="0"/>
            <w:vAlign w:val="center"/>
          </w:tcPr>
          <w:p w14:paraId="605FC8DF">
            <w:pPr>
              <w:adjustRightInd w:val="0"/>
              <w:snapToGrid w:val="0"/>
              <w:jc w:val="center"/>
              <w:rPr>
                <w:rFonts w:ascii="Times New Roman" w:hAnsi="Times New Roman"/>
                <w:b/>
                <w:bCs/>
                <w:color w:val="auto"/>
                <w:sz w:val="24"/>
                <w:highlight w:val="none"/>
              </w:rPr>
            </w:pPr>
            <w:r>
              <w:rPr>
                <w:rFonts w:hint="eastAsia" w:ascii="Times New Roman" w:hAnsi="Times New Roman"/>
                <w:b/>
                <w:bCs/>
                <w:color w:val="auto"/>
                <w:sz w:val="24"/>
                <w:highlight w:val="none"/>
              </w:rPr>
              <w:t>电子辐射</w:t>
            </w:r>
          </w:p>
        </w:tc>
        <w:tc>
          <w:tcPr>
            <w:tcW w:w="7244" w:type="dxa"/>
            <w:gridSpan w:val="4"/>
            <w:shd w:val="clear" w:color="auto" w:fill="auto"/>
            <w:noWrap w:val="0"/>
            <w:vAlign w:val="center"/>
          </w:tcPr>
          <w:p w14:paraId="5BE2CF7D">
            <w:pPr>
              <w:adjustRightInd w:val="0"/>
              <w:snapToGrid w:val="0"/>
              <w:jc w:val="center"/>
              <w:rPr>
                <w:rFonts w:ascii="Times New Roman" w:hAnsi="Times New Roman"/>
                <w:color w:val="auto"/>
                <w:sz w:val="24"/>
                <w:highlight w:val="none"/>
              </w:rPr>
            </w:pPr>
            <w:r>
              <w:rPr>
                <w:rFonts w:hint="eastAsia" w:ascii="Times New Roman" w:hAnsi="Times New Roman"/>
                <w:color w:val="auto"/>
                <w:sz w:val="24"/>
                <w:highlight w:val="none"/>
              </w:rPr>
              <w:t>无</w:t>
            </w:r>
          </w:p>
        </w:tc>
      </w:tr>
      <w:tr w14:paraId="2FAEDFE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01" w:hRule="atLeast"/>
          <w:jc w:val="center"/>
        </w:trPr>
        <w:tc>
          <w:tcPr>
            <w:tcW w:w="1556" w:type="dxa"/>
            <w:shd w:val="clear" w:color="auto" w:fill="auto"/>
            <w:noWrap w:val="0"/>
            <w:vAlign w:val="center"/>
          </w:tcPr>
          <w:p w14:paraId="31FE11E8">
            <w:pPr>
              <w:adjustRightInd w:val="0"/>
              <w:snapToGrid w:val="0"/>
              <w:spacing w:line="360" w:lineRule="auto"/>
              <w:jc w:val="center"/>
              <w:rPr>
                <w:rFonts w:ascii="Times New Roman" w:hAnsi="Times New Roman"/>
                <w:b/>
                <w:bCs/>
                <w:color w:val="auto"/>
                <w:sz w:val="24"/>
                <w:highlight w:val="none"/>
              </w:rPr>
            </w:pPr>
            <w:r>
              <w:rPr>
                <w:rFonts w:hint="eastAsia" w:ascii="Times New Roman" w:hAnsi="Times New Roman"/>
                <w:b/>
                <w:bCs/>
                <w:color w:val="auto"/>
                <w:sz w:val="24"/>
                <w:highlight w:val="none"/>
              </w:rPr>
              <w:t>固体废物</w:t>
            </w:r>
          </w:p>
        </w:tc>
        <w:tc>
          <w:tcPr>
            <w:tcW w:w="7244" w:type="dxa"/>
            <w:gridSpan w:val="4"/>
            <w:shd w:val="clear" w:color="auto" w:fill="auto"/>
            <w:noWrap w:val="0"/>
            <w:vAlign w:val="center"/>
          </w:tcPr>
          <w:p w14:paraId="4B630541">
            <w:pPr>
              <w:pStyle w:val="220"/>
              <w:keepNext w:val="0"/>
              <w:keepLines w:val="0"/>
              <w:pageBreakBefore w:val="0"/>
              <w:widowControl w:val="0"/>
              <w:kinsoku/>
              <w:wordWrap/>
              <w:overflowPunct/>
              <w:topLinePunct w:val="0"/>
              <w:autoSpaceDE/>
              <w:autoSpaceDN/>
              <w:bidi w:val="0"/>
              <w:spacing w:line="360" w:lineRule="auto"/>
              <w:ind w:left="0" w:right="0" w:firstLine="508" w:firstLineChars="200"/>
              <w:textAlignment w:val="auto"/>
              <w:rPr>
                <w:rFonts w:hint="eastAsia" w:ascii="Times New Roman" w:hAnsi="Times New Roman" w:cs="Times New Roman"/>
                <w:color w:val="auto"/>
                <w:sz w:val="24"/>
                <w:lang w:eastAsia="zh-CN"/>
              </w:rPr>
            </w:pPr>
            <w:r>
              <w:rPr>
                <w:rFonts w:hint="eastAsia" w:ascii="Times New Roman" w:hAnsi="Times New Roman" w:eastAsia="宋体" w:cs="Times New Roman"/>
                <w:color w:val="auto"/>
                <w:spacing w:val="7"/>
                <w:sz w:val="24"/>
                <w:szCs w:val="24"/>
                <w:lang w:val="en-US" w:eastAsia="zh-CN"/>
              </w:rPr>
              <w:t>生活垃圾：经收集后</w:t>
            </w:r>
            <w:r>
              <w:rPr>
                <w:rFonts w:hint="eastAsia" w:ascii="Times New Roman" w:hAnsi="Times New Roman" w:eastAsia="宋体" w:cs="Times New Roman"/>
                <w:color w:val="auto"/>
                <w:sz w:val="24"/>
              </w:rPr>
              <w:t>交由环卫部门统一清运处置</w:t>
            </w:r>
            <w:r>
              <w:rPr>
                <w:rFonts w:hint="eastAsia" w:ascii="Times New Roman" w:hAnsi="Times New Roman" w:cs="Times New Roman"/>
                <w:color w:val="auto"/>
                <w:sz w:val="24"/>
                <w:lang w:eastAsia="zh-CN"/>
              </w:rPr>
              <w:t>。</w:t>
            </w:r>
          </w:p>
          <w:p w14:paraId="33989C76">
            <w:pPr>
              <w:pStyle w:val="220"/>
              <w:keepNext w:val="0"/>
              <w:keepLines w:val="0"/>
              <w:pageBreakBefore w:val="0"/>
              <w:widowControl w:val="0"/>
              <w:kinsoku/>
              <w:wordWrap/>
              <w:overflowPunct/>
              <w:topLinePunct w:val="0"/>
              <w:autoSpaceDE/>
              <w:autoSpaceDN/>
              <w:bidi w:val="0"/>
              <w:spacing w:line="360" w:lineRule="auto"/>
              <w:ind w:left="0" w:right="0" w:firstLine="480" w:firstLineChars="200"/>
              <w:textAlignment w:val="auto"/>
              <w:rPr>
                <w:rFonts w:hint="default" w:ascii="Times New Roman" w:hAnsi="Times New Roman" w:cs="Times New Roman"/>
                <w:color w:val="auto"/>
                <w:sz w:val="24"/>
                <w:lang w:val="en-US" w:eastAsia="zh-CN"/>
              </w:rPr>
            </w:pPr>
            <w:r>
              <w:rPr>
                <w:rFonts w:hint="eastAsia" w:ascii="Times New Roman" w:hAnsi="Times New Roman" w:cs="Times New Roman"/>
                <w:color w:val="auto"/>
                <w:sz w:val="24"/>
                <w:lang w:val="en-US" w:eastAsia="zh-CN"/>
              </w:rPr>
              <w:t>预处理池污泥：委托有能力的单位转运处置。</w:t>
            </w:r>
          </w:p>
          <w:p w14:paraId="09C8434D">
            <w:pPr>
              <w:pStyle w:val="220"/>
              <w:keepNext w:val="0"/>
              <w:keepLines w:val="0"/>
              <w:pageBreakBefore w:val="0"/>
              <w:widowControl w:val="0"/>
              <w:kinsoku/>
              <w:wordWrap/>
              <w:overflowPunct/>
              <w:topLinePunct w:val="0"/>
              <w:autoSpaceDE/>
              <w:autoSpaceDN/>
              <w:bidi w:val="0"/>
              <w:spacing w:line="360" w:lineRule="auto"/>
              <w:ind w:left="0" w:right="0" w:firstLine="508" w:firstLineChars="200"/>
              <w:textAlignment w:val="auto"/>
              <w:rPr>
                <w:rFonts w:hint="eastAsia" w:ascii="Times New Roman" w:hAnsi="Times New Roman" w:eastAsia="宋体" w:cs="Times New Roman"/>
                <w:color w:val="auto"/>
                <w:spacing w:val="7"/>
                <w:sz w:val="24"/>
                <w:szCs w:val="24"/>
                <w:lang w:val="en-US" w:eastAsia="zh-CN"/>
              </w:rPr>
            </w:pPr>
            <w:r>
              <w:rPr>
                <w:rFonts w:hint="eastAsia" w:ascii="Times New Roman" w:hAnsi="Times New Roman" w:eastAsia="宋体" w:cs="Times New Roman"/>
                <w:color w:val="auto"/>
                <w:spacing w:val="7"/>
                <w:sz w:val="24"/>
                <w:szCs w:val="24"/>
                <w:lang w:val="en-US" w:eastAsia="zh-CN"/>
              </w:rPr>
              <w:t>一般固废：</w:t>
            </w:r>
            <w:r>
              <w:rPr>
                <w:rFonts w:hint="eastAsia" w:ascii="Times New Roman" w:hAnsi="Times New Roman" w:cs="Times New Roman"/>
                <w:color w:val="auto"/>
                <w:spacing w:val="7"/>
                <w:sz w:val="24"/>
                <w:szCs w:val="24"/>
                <w:lang w:val="en-US" w:eastAsia="zh-CN"/>
              </w:rPr>
              <w:t>不合格品、废包</w:t>
            </w:r>
            <w:r>
              <w:rPr>
                <w:rFonts w:hint="eastAsia" w:ascii="Times New Roman" w:hAnsi="Times New Roman" w:eastAsia="宋体" w:cs="Times New Roman"/>
                <w:color w:val="auto"/>
                <w:spacing w:val="7"/>
                <w:sz w:val="24"/>
                <w:szCs w:val="24"/>
                <w:lang w:val="en-US" w:eastAsia="zh-CN"/>
              </w:rPr>
              <w:t>装材料、除尘器收集粉尘、废隔膜、废极片、沾染浆料的废手套、废边角料等收集后外售综合利用</w:t>
            </w:r>
            <w:r>
              <w:rPr>
                <w:rFonts w:hint="eastAsia" w:ascii="Times New Roman" w:hAnsi="Times New Roman" w:cs="Times New Roman"/>
                <w:color w:val="auto"/>
                <w:spacing w:val="7"/>
                <w:sz w:val="24"/>
                <w:szCs w:val="24"/>
                <w:lang w:val="en-US" w:eastAsia="zh-CN"/>
              </w:rPr>
              <w:t>，NMP回收液、废NMP包装桶、纯水制备废过滤材料、废分子筛、废浆料等一般固废收集后交由厂家回收</w:t>
            </w:r>
            <w:r>
              <w:rPr>
                <w:rFonts w:hint="eastAsia" w:ascii="Times New Roman" w:hAnsi="Times New Roman" w:eastAsia="宋体" w:cs="Times New Roman"/>
                <w:color w:val="auto"/>
                <w:sz w:val="24"/>
                <w:lang w:eastAsia="zh-CN"/>
              </w:rPr>
              <w:t>。</w:t>
            </w:r>
          </w:p>
          <w:p w14:paraId="5E79868B">
            <w:pPr>
              <w:pStyle w:val="220"/>
              <w:keepNext w:val="0"/>
              <w:keepLines w:val="0"/>
              <w:pageBreakBefore w:val="0"/>
              <w:widowControl w:val="0"/>
              <w:kinsoku/>
              <w:wordWrap/>
              <w:overflowPunct/>
              <w:topLinePunct w:val="0"/>
              <w:autoSpaceDE/>
              <w:autoSpaceDN/>
              <w:bidi w:val="0"/>
              <w:spacing w:line="360" w:lineRule="auto"/>
              <w:ind w:left="0" w:right="0" w:firstLine="508" w:firstLineChars="200"/>
              <w:textAlignment w:val="auto"/>
              <w:rPr>
                <w:rFonts w:hint="default" w:ascii="Times New Roman" w:hAnsi="Times New Roman" w:eastAsia="宋体"/>
                <w:color w:val="auto"/>
                <w:sz w:val="24"/>
                <w:highlight w:val="none"/>
                <w:lang w:val="en-US" w:eastAsia="zh-CN"/>
              </w:rPr>
            </w:pPr>
            <w:r>
              <w:rPr>
                <w:rFonts w:hint="eastAsia" w:ascii="Times New Roman" w:hAnsi="Times New Roman" w:eastAsia="宋体" w:cs="Times New Roman"/>
                <w:color w:val="auto"/>
                <w:spacing w:val="7"/>
                <w:sz w:val="24"/>
                <w:szCs w:val="24"/>
                <w:lang w:val="en-US" w:eastAsia="zh-CN"/>
              </w:rPr>
              <w:t>危险废物：</w:t>
            </w:r>
            <w:r>
              <w:rPr>
                <w:rFonts w:hint="eastAsia" w:ascii="Times New Roman" w:hAnsi="Times New Roman" w:cs="Times New Roman"/>
                <w:color w:val="auto"/>
                <w:spacing w:val="7"/>
                <w:sz w:val="24"/>
                <w:szCs w:val="24"/>
                <w:lang w:val="en-US" w:eastAsia="zh-CN"/>
              </w:rPr>
              <w:t>废活性炭、废水处理污泥、废机油、含油棉纱手套、抹布、废危化品包装桶、废电解液、沾染危险物质的废组件等危废废物分类收集后暂存于危废库内</w:t>
            </w:r>
            <w:r>
              <w:rPr>
                <w:rFonts w:hint="eastAsia" w:ascii="Times New Roman" w:hAnsi="Times New Roman" w:eastAsia="宋体" w:cs="Times New Roman"/>
                <w:color w:val="auto"/>
                <w:spacing w:val="7"/>
                <w:sz w:val="24"/>
                <w:szCs w:val="24"/>
                <w:lang w:val="en-US" w:eastAsia="zh-CN"/>
              </w:rPr>
              <w:t>，</w:t>
            </w:r>
            <w:r>
              <w:rPr>
                <w:rFonts w:hint="eastAsia" w:ascii="Times New Roman" w:hAnsi="Times New Roman" w:cs="Times New Roman"/>
                <w:color w:val="auto"/>
                <w:spacing w:val="7"/>
                <w:sz w:val="24"/>
                <w:szCs w:val="24"/>
                <w:lang w:val="en-US" w:eastAsia="zh-CN"/>
              </w:rPr>
              <w:t>定期</w:t>
            </w:r>
            <w:r>
              <w:rPr>
                <w:rFonts w:hint="eastAsia" w:ascii="Times New Roman" w:hAnsi="Times New Roman" w:eastAsia="宋体" w:cs="Times New Roman"/>
                <w:color w:val="auto"/>
                <w:spacing w:val="7"/>
                <w:sz w:val="24"/>
                <w:szCs w:val="24"/>
                <w:lang w:val="en-US" w:eastAsia="zh-CN"/>
              </w:rPr>
              <w:t>交由有资质单位处理。</w:t>
            </w:r>
          </w:p>
        </w:tc>
      </w:tr>
      <w:tr w14:paraId="10CABA1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81" w:hRule="atLeast"/>
          <w:jc w:val="center"/>
        </w:trPr>
        <w:tc>
          <w:tcPr>
            <w:tcW w:w="1556" w:type="dxa"/>
            <w:shd w:val="clear" w:color="auto" w:fill="auto"/>
            <w:noWrap w:val="0"/>
            <w:vAlign w:val="center"/>
          </w:tcPr>
          <w:p w14:paraId="44096E83">
            <w:pPr>
              <w:adjustRightInd w:val="0"/>
              <w:snapToGrid w:val="0"/>
              <w:jc w:val="center"/>
              <w:rPr>
                <w:rFonts w:ascii="Times New Roman" w:hAnsi="Times New Roman"/>
                <w:b/>
                <w:bCs/>
                <w:color w:val="auto"/>
                <w:sz w:val="24"/>
                <w:highlight w:val="none"/>
              </w:rPr>
            </w:pPr>
            <w:r>
              <w:rPr>
                <w:rFonts w:hint="eastAsia" w:ascii="Times New Roman" w:hAnsi="Times New Roman" w:eastAsia="宋体" w:cs="Times New Roman"/>
                <w:b/>
                <w:bCs/>
                <w:color w:val="auto"/>
                <w:sz w:val="24"/>
                <w:highlight w:val="none"/>
              </w:rPr>
              <w:t>土壤及地下水污染防治措施</w:t>
            </w:r>
          </w:p>
        </w:tc>
        <w:tc>
          <w:tcPr>
            <w:tcW w:w="7244" w:type="dxa"/>
            <w:gridSpan w:val="4"/>
            <w:shd w:val="clear" w:color="auto" w:fill="auto"/>
            <w:noWrap w:val="0"/>
            <w:vAlign w:val="center"/>
          </w:tcPr>
          <w:p w14:paraId="1491FC62">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Times New Roman" w:hAnsi="Times New Roman" w:eastAsia="宋体" w:cs="Times New Roman"/>
                <w:snapToGrid w:val="0"/>
                <w:color w:val="auto"/>
                <w:szCs w:val="21"/>
                <w:highlight w:val="none"/>
                <w:lang w:val="en-US" w:eastAsia="zh-CN"/>
              </w:rPr>
            </w:pPr>
            <w:r>
              <w:rPr>
                <w:rFonts w:hint="eastAsia" w:ascii="Times New Roman" w:hAnsi="Times New Roman" w:eastAsia="宋体" w:cs="Times New Roman"/>
                <w:snapToGrid w:val="0"/>
                <w:color w:val="auto"/>
                <w:sz w:val="24"/>
                <w:szCs w:val="24"/>
                <w:highlight w:val="none"/>
              </w:rPr>
              <w:t>全厂按简单防渗区、一般污染防渗区、重点污染防渗区实施分区防渗工程</w:t>
            </w:r>
            <w:r>
              <w:rPr>
                <w:rFonts w:hint="eastAsia" w:ascii="Times New Roman" w:hAnsi="Times New Roman" w:eastAsia="宋体" w:cs="Times New Roman"/>
                <w:snapToGrid w:val="0"/>
                <w:color w:val="auto"/>
                <w:sz w:val="24"/>
                <w:szCs w:val="24"/>
                <w:highlight w:val="none"/>
                <w:lang w:eastAsia="zh-CN"/>
              </w:rPr>
              <w:t>：</w:t>
            </w:r>
          </w:p>
          <w:p w14:paraId="282E9C5E">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Times New Roman" w:hAnsi="Times New Roman" w:eastAsia="宋体" w:cs="Times New Roman"/>
                <w:snapToGrid w:val="0"/>
                <w:color w:val="auto"/>
                <w:sz w:val="24"/>
                <w:szCs w:val="24"/>
                <w:highlight w:val="none"/>
                <w:lang w:eastAsia="zh-CN"/>
              </w:rPr>
            </w:pPr>
            <w:r>
              <w:rPr>
                <w:rFonts w:hint="eastAsia" w:ascii="Times New Roman" w:hAnsi="Times New Roman" w:eastAsia="宋体" w:cs="Times New Roman"/>
                <w:snapToGrid w:val="0"/>
                <w:color w:val="auto"/>
                <w:sz w:val="24"/>
                <w:szCs w:val="24"/>
                <w:highlight w:val="none"/>
                <w:lang w:val="en-US" w:eastAsia="zh-CN"/>
              </w:rPr>
              <w:t>重点防渗：</w:t>
            </w:r>
            <w:r>
              <w:rPr>
                <w:rFonts w:hint="eastAsia" w:ascii="Times New Roman" w:hAnsi="Times New Roman" w:eastAsia="宋体" w:cs="Times New Roman"/>
                <w:color w:val="auto"/>
                <w:sz w:val="24"/>
                <w:szCs w:val="24"/>
                <w:lang w:val="en-US" w:eastAsia="zh-CN"/>
              </w:rPr>
              <w:t>危废库、低温电解液仓库、事故应急池（池体）、污水处理设施（池体）</w:t>
            </w:r>
            <w:r>
              <w:rPr>
                <w:rFonts w:hint="eastAsia" w:cs="Times New Roman"/>
                <w:color w:val="auto"/>
                <w:sz w:val="24"/>
                <w:szCs w:val="24"/>
                <w:lang w:val="en-US" w:eastAsia="zh-CN"/>
              </w:rPr>
              <w:t>、电解液间、电池拆解间、NMP暂存间</w:t>
            </w:r>
            <w:r>
              <w:rPr>
                <w:rFonts w:hint="eastAsia" w:ascii="Times New Roman" w:hAnsi="Times New Roman" w:eastAsia="宋体" w:cs="Times New Roman"/>
                <w:color w:val="auto"/>
                <w:sz w:val="24"/>
                <w:szCs w:val="24"/>
                <w:lang w:val="en-US" w:eastAsia="zh-CN"/>
              </w:rPr>
              <w:t>等，其中</w:t>
            </w:r>
            <w:r>
              <w:rPr>
                <w:rFonts w:hint="eastAsia" w:cs="Times New Roman"/>
                <w:color w:val="auto"/>
                <w:sz w:val="24"/>
                <w:szCs w:val="24"/>
                <w:lang w:val="en-US" w:eastAsia="zh-CN"/>
              </w:rPr>
              <w:t>危废</w:t>
            </w:r>
            <w:r>
              <w:rPr>
                <w:rFonts w:hint="eastAsia" w:ascii="Times New Roman" w:hAnsi="Times New Roman" w:eastAsia="宋体" w:cs="Times New Roman"/>
                <w:color w:val="auto"/>
                <w:sz w:val="24"/>
                <w:szCs w:val="24"/>
                <w:lang w:val="en-US" w:eastAsia="zh-CN"/>
              </w:rPr>
              <w:t>库、低温电解液仓库防渗系数K≤10</w:t>
            </w:r>
            <w:r>
              <w:rPr>
                <w:rFonts w:hint="eastAsia" w:ascii="Times New Roman" w:hAnsi="Times New Roman" w:eastAsia="宋体" w:cs="Times New Roman"/>
                <w:color w:val="auto"/>
                <w:sz w:val="24"/>
                <w:szCs w:val="24"/>
                <w:vertAlign w:val="superscript"/>
                <w:lang w:val="en-US" w:eastAsia="zh-CN"/>
              </w:rPr>
              <w:t>-10</w:t>
            </w:r>
            <w:r>
              <w:rPr>
                <w:rFonts w:hint="eastAsia" w:ascii="Times New Roman" w:hAnsi="Times New Roman" w:eastAsia="宋体" w:cs="Times New Roman"/>
                <w:color w:val="auto"/>
                <w:sz w:val="24"/>
                <w:szCs w:val="24"/>
                <w:lang w:val="en-US" w:eastAsia="zh-CN"/>
              </w:rPr>
              <w:t>cm/s，其余重点防渗区</w:t>
            </w:r>
            <w:r>
              <w:rPr>
                <w:rFonts w:hint="default" w:ascii="Times New Roman" w:hAnsi="Times New Roman" w:eastAsia="宋体" w:cs="Times New Roman"/>
                <w:color w:val="auto"/>
                <w:sz w:val="24"/>
                <w:szCs w:val="24"/>
                <w:lang w:val="en-US" w:eastAsia="zh-CN"/>
              </w:rPr>
              <w:t>等效黏土防渗层Mb≥6.0m，K≤10</w:t>
            </w:r>
            <w:r>
              <w:rPr>
                <w:rFonts w:hint="default" w:ascii="Times New Roman" w:hAnsi="Times New Roman" w:eastAsia="宋体" w:cs="Times New Roman"/>
                <w:color w:val="auto"/>
                <w:sz w:val="24"/>
                <w:szCs w:val="24"/>
                <w:vertAlign w:val="superscript"/>
                <w:lang w:val="en-US" w:eastAsia="zh-CN"/>
              </w:rPr>
              <w:t>-7</w:t>
            </w:r>
            <w:r>
              <w:rPr>
                <w:rFonts w:hint="default" w:ascii="Times New Roman" w:hAnsi="Times New Roman" w:eastAsia="宋体" w:cs="Times New Roman"/>
                <w:color w:val="auto"/>
                <w:sz w:val="24"/>
                <w:szCs w:val="24"/>
                <w:lang w:val="en-US" w:eastAsia="zh-CN"/>
              </w:rPr>
              <w:t>cm/s；或参照GB18598执行</w:t>
            </w:r>
            <w:r>
              <w:rPr>
                <w:rFonts w:hint="eastAsia" w:ascii="Times New Roman" w:hAnsi="Times New Roman" w:eastAsia="宋体" w:cs="Times New Roman"/>
                <w:snapToGrid w:val="0"/>
                <w:color w:val="auto"/>
                <w:sz w:val="24"/>
                <w:szCs w:val="24"/>
                <w:highlight w:val="none"/>
                <w:lang w:val="en-US" w:eastAsia="zh-CN"/>
              </w:rPr>
              <w:t>；</w:t>
            </w:r>
          </w:p>
          <w:p w14:paraId="0AB0AF17">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Times New Roman" w:hAnsi="Times New Roman" w:eastAsia="宋体" w:cs="Times New Roman"/>
                <w:snapToGrid w:val="0"/>
                <w:color w:val="auto"/>
                <w:sz w:val="24"/>
                <w:szCs w:val="24"/>
                <w:highlight w:val="none"/>
                <w:lang w:val="en-US" w:eastAsia="zh-CN"/>
              </w:rPr>
            </w:pPr>
            <w:r>
              <w:rPr>
                <w:rFonts w:hint="eastAsia" w:ascii="Times New Roman" w:hAnsi="Times New Roman" w:eastAsia="宋体" w:cs="Times New Roman"/>
                <w:snapToGrid w:val="0"/>
                <w:color w:val="auto"/>
                <w:sz w:val="24"/>
                <w:szCs w:val="24"/>
                <w:highlight w:val="none"/>
                <w:lang w:val="en-US" w:eastAsia="zh-CN"/>
              </w:rPr>
              <w:t>简单防渗：</w:t>
            </w:r>
            <w:r>
              <w:rPr>
                <w:rFonts w:hint="eastAsia" w:cs="Times New Roman"/>
                <w:snapToGrid w:val="0"/>
                <w:color w:val="auto"/>
                <w:sz w:val="24"/>
                <w:szCs w:val="24"/>
                <w:highlight w:val="none"/>
                <w:lang w:val="en-US" w:eastAsia="zh-CN"/>
              </w:rPr>
              <w:t>门卫室，水泥地面硬化</w:t>
            </w:r>
            <w:r>
              <w:rPr>
                <w:rFonts w:hint="eastAsia" w:ascii="Times New Roman" w:hAnsi="Times New Roman" w:eastAsia="宋体" w:cs="Times New Roman"/>
                <w:snapToGrid w:val="0"/>
                <w:color w:val="auto"/>
                <w:sz w:val="24"/>
                <w:szCs w:val="24"/>
                <w:highlight w:val="none"/>
                <w:lang w:val="en-US" w:eastAsia="zh-CN"/>
              </w:rPr>
              <w:t>；</w:t>
            </w:r>
          </w:p>
          <w:p w14:paraId="2C57404A">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ascii="Times New Roman" w:hAnsi="Times New Roman"/>
                <w:color w:val="auto"/>
                <w:sz w:val="24"/>
                <w:highlight w:val="none"/>
              </w:rPr>
            </w:pPr>
            <w:r>
              <w:rPr>
                <w:rFonts w:hint="eastAsia" w:ascii="Times New Roman" w:hAnsi="Times New Roman" w:eastAsia="宋体" w:cs="Times New Roman"/>
                <w:snapToGrid w:val="0"/>
                <w:color w:val="auto"/>
                <w:sz w:val="24"/>
                <w:szCs w:val="24"/>
                <w:highlight w:val="none"/>
                <w:lang w:val="en-US" w:eastAsia="zh-CN"/>
              </w:rPr>
              <w:t>一般防渗：</w:t>
            </w:r>
            <w:r>
              <w:rPr>
                <w:rFonts w:hint="eastAsia" w:ascii="Times New Roman" w:hAnsi="Times New Roman" w:eastAsia="宋体" w:cs="Times New Roman"/>
                <w:snapToGrid w:val="0"/>
                <w:color w:val="auto"/>
                <w:sz w:val="24"/>
                <w:szCs w:val="24"/>
                <w:highlight w:val="none"/>
              </w:rPr>
              <w:t>除重点防渗区和简单防渗区</w:t>
            </w:r>
            <w:r>
              <w:rPr>
                <w:rFonts w:hint="eastAsia" w:ascii="Times New Roman" w:hAnsi="Times New Roman" w:eastAsia="宋体" w:cs="Times New Roman"/>
                <w:snapToGrid w:val="0"/>
                <w:color w:val="auto"/>
                <w:sz w:val="24"/>
                <w:szCs w:val="24"/>
                <w:highlight w:val="none"/>
                <w:lang w:val="en-US" w:eastAsia="zh-CN"/>
              </w:rPr>
              <w:t>等区域</w:t>
            </w:r>
            <w:r>
              <w:rPr>
                <w:rFonts w:hint="eastAsia" w:cs="Times New Roman"/>
                <w:snapToGrid w:val="0"/>
                <w:color w:val="auto"/>
                <w:sz w:val="24"/>
                <w:szCs w:val="24"/>
                <w:highlight w:val="none"/>
                <w:lang w:val="en-US" w:eastAsia="zh-CN"/>
              </w:rPr>
              <w:t>，</w:t>
            </w:r>
            <w:r>
              <w:rPr>
                <w:rFonts w:hint="default" w:ascii="Times New Roman" w:hAnsi="Times New Roman" w:cs="Times New Roman"/>
                <w:color w:val="auto"/>
                <w:sz w:val="24"/>
                <w:szCs w:val="24"/>
                <w:lang w:val="en-US" w:eastAsia="zh-CN"/>
              </w:rPr>
              <w:t>参照《环境影响评价技术导则 地下水环境》（HJ 610-2016）中一般防渗区防渗技术要求，防渗系数达到Mb≥1.5m，K≤1×10</w:t>
            </w:r>
            <w:r>
              <w:rPr>
                <w:rFonts w:hint="default" w:ascii="Times New Roman" w:hAnsi="Times New Roman" w:cs="Times New Roman"/>
                <w:color w:val="auto"/>
                <w:sz w:val="24"/>
                <w:szCs w:val="24"/>
                <w:vertAlign w:val="superscript"/>
                <w:lang w:val="en-US" w:eastAsia="zh-CN"/>
              </w:rPr>
              <w:t>-7</w:t>
            </w:r>
            <w:r>
              <w:rPr>
                <w:rFonts w:hint="default" w:ascii="Times New Roman" w:hAnsi="Times New Roman" w:cs="Times New Roman"/>
                <w:color w:val="auto"/>
                <w:sz w:val="24"/>
                <w:szCs w:val="24"/>
                <w:lang w:val="en-US" w:eastAsia="zh-CN"/>
              </w:rPr>
              <w:t>cm/s</w:t>
            </w:r>
            <w:r>
              <w:rPr>
                <w:rFonts w:hint="eastAsia" w:ascii="Times New Roman" w:hAnsi="Times New Roman" w:eastAsia="宋体" w:cs="Times New Roman"/>
                <w:snapToGrid w:val="0"/>
                <w:color w:val="auto"/>
                <w:sz w:val="24"/>
                <w:szCs w:val="24"/>
                <w:highlight w:val="none"/>
                <w:lang w:eastAsia="zh-CN"/>
              </w:rPr>
              <w:t>。</w:t>
            </w:r>
          </w:p>
        </w:tc>
      </w:tr>
      <w:tr w14:paraId="3ADD9CB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12" w:hRule="atLeast"/>
          <w:jc w:val="center"/>
        </w:trPr>
        <w:tc>
          <w:tcPr>
            <w:tcW w:w="1556" w:type="dxa"/>
            <w:shd w:val="clear" w:color="auto" w:fill="auto"/>
            <w:noWrap w:val="0"/>
            <w:vAlign w:val="center"/>
          </w:tcPr>
          <w:p w14:paraId="434D54A1">
            <w:pPr>
              <w:adjustRightInd w:val="0"/>
              <w:snapToGrid w:val="0"/>
              <w:jc w:val="center"/>
              <w:rPr>
                <w:rFonts w:ascii="Times New Roman" w:hAnsi="Times New Roman"/>
                <w:b/>
                <w:bCs/>
                <w:color w:val="auto"/>
                <w:sz w:val="24"/>
                <w:highlight w:val="none"/>
              </w:rPr>
            </w:pPr>
            <w:r>
              <w:rPr>
                <w:rFonts w:hint="eastAsia" w:ascii="Times New Roman" w:hAnsi="Times New Roman"/>
                <w:b/>
                <w:bCs/>
                <w:color w:val="auto"/>
                <w:sz w:val="24"/>
                <w:highlight w:val="none"/>
              </w:rPr>
              <w:t>生态保护措施</w:t>
            </w:r>
          </w:p>
        </w:tc>
        <w:tc>
          <w:tcPr>
            <w:tcW w:w="7244" w:type="dxa"/>
            <w:gridSpan w:val="4"/>
            <w:shd w:val="clear" w:color="auto" w:fill="auto"/>
            <w:noWrap w:val="0"/>
            <w:vAlign w:val="center"/>
          </w:tcPr>
          <w:p w14:paraId="72714E8D">
            <w:pPr>
              <w:adjustRightInd w:val="0"/>
              <w:snapToGrid w:val="0"/>
              <w:jc w:val="center"/>
              <w:rPr>
                <w:rFonts w:ascii="Times New Roman" w:hAnsi="Times New Roman"/>
                <w:color w:val="auto"/>
                <w:sz w:val="24"/>
                <w:highlight w:val="none"/>
              </w:rPr>
            </w:pPr>
            <w:r>
              <w:rPr>
                <w:rFonts w:hint="eastAsia" w:ascii="Times New Roman" w:hAnsi="Times New Roman"/>
                <w:color w:val="auto"/>
                <w:sz w:val="24"/>
                <w:highlight w:val="none"/>
              </w:rPr>
              <w:t>无</w:t>
            </w:r>
          </w:p>
        </w:tc>
      </w:tr>
      <w:tr w14:paraId="47E7DAD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1" w:hRule="atLeast"/>
          <w:jc w:val="center"/>
        </w:trPr>
        <w:tc>
          <w:tcPr>
            <w:tcW w:w="1556" w:type="dxa"/>
            <w:shd w:val="clear" w:color="auto" w:fill="auto"/>
            <w:noWrap w:val="0"/>
            <w:vAlign w:val="center"/>
          </w:tcPr>
          <w:p w14:paraId="6388B191">
            <w:pPr>
              <w:adjustRightInd w:val="0"/>
              <w:snapToGrid w:val="0"/>
              <w:spacing w:line="360" w:lineRule="auto"/>
              <w:jc w:val="center"/>
              <w:rPr>
                <w:rFonts w:ascii="Times New Roman" w:hAnsi="Times New Roman"/>
                <w:b/>
                <w:bCs/>
                <w:color w:val="auto"/>
                <w:sz w:val="24"/>
                <w:highlight w:val="none"/>
              </w:rPr>
            </w:pPr>
            <w:r>
              <w:rPr>
                <w:rFonts w:hint="eastAsia" w:ascii="Times New Roman" w:hAnsi="Times New Roman" w:eastAsia="宋体" w:cs="Times New Roman"/>
                <w:b/>
                <w:bCs/>
                <w:color w:val="auto"/>
                <w:sz w:val="24"/>
                <w:highlight w:val="none"/>
              </w:rPr>
              <w:t>风险防范措施</w:t>
            </w:r>
          </w:p>
        </w:tc>
        <w:tc>
          <w:tcPr>
            <w:tcW w:w="7244" w:type="dxa"/>
            <w:gridSpan w:val="4"/>
            <w:shd w:val="clear" w:color="auto" w:fill="auto"/>
            <w:noWrap w:val="0"/>
            <w:vAlign w:val="center"/>
          </w:tcPr>
          <w:p w14:paraId="772A34BF">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Times New Roman" w:hAnsi="Times New Roman" w:eastAsia="宋体"/>
                <w:color w:val="auto"/>
                <w:sz w:val="24"/>
                <w:highlight w:val="none"/>
                <w:lang w:eastAsia="zh-CN"/>
              </w:rPr>
            </w:pPr>
            <w:r>
              <w:rPr>
                <w:rFonts w:ascii="宋体" w:hAnsi="宋体" w:eastAsia="宋体" w:cs="宋体"/>
                <w:color w:val="auto"/>
                <w:sz w:val="24"/>
                <w:szCs w:val="24"/>
              </w:rPr>
              <w:t>企业严格落实环境风险防控设施、管控措施及管理制度，编制完善突发环境事件应急预案，常态化开展应急培训与应急演练；按规范配套消防器材、应急物资，设置事故应急池等应急收纳设施，切实防范泄漏、火灾等环境风险</w:t>
            </w:r>
            <w:r>
              <w:rPr>
                <w:rFonts w:hint="eastAsia" w:ascii="宋体" w:hAnsi="宋体" w:eastAsia="宋体" w:cs="宋体"/>
                <w:color w:val="auto"/>
                <w:sz w:val="24"/>
                <w:szCs w:val="24"/>
                <w:lang w:eastAsia="zh-CN"/>
              </w:rPr>
              <w:t>。</w:t>
            </w:r>
          </w:p>
        </w:tc>
      </w:tr>
      <w:tr w14:paraId="3C40DE3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002" w:hRule="atLeast"/>
          <w:jc w:val="center"/>
        </w:trPr>
        <w:tc>
          <w:tcPr>
            <w:tcW w:w="1556" w:type="dxa"/>
            <w:shd w:val="clear" w:color="auto" w:fill="auto"/>
            <w:noWrap w:val="0"/>
            <w:vAlign w:val="center"/>
          </w:tcPr>
          <w:p w14:paraId="04A72D60">
            <w:pPr>
              <w:adjustRightInd w:val="0"/>
              <w:snapToGrid w:val="0"/>
              <w:jc w:val="center"/>
              <w:rPr>
                <w:rFonts w:ascii="Times New Roman" w:hAnsi="Times New Roman"/>
                <w:b/>
                <w:bCs/>
                <w:color w:val="auto"/>
                <w:sz w:val="24"/>
                <w:highlight w:val="none"/>
              </w:rPr>
            </w:pPr>
            <w:r>
              <w:rPr>
                <w:rFonts w:hint="eastAsia" w:ascii="Times New Roman" w:hAnsi="Times New Roman"/>
                <w:b/>
                <w:bCs/>
                <w:color w:val="auto"/>
                <w:sz w:val="24"/>
                <w:highlight w:val="none"/>
              </w:rPr>
              <w:t>其他环境管理要求</w:t>
            </w:r>
          </w:p>
        </w:tc>
        <w:tc>
          <w:tcPr>
            <w:tcW w:w="7244" w:type="dxa"/>
            <w:gridSpan w:val="4"/>
            <w:shd w:val="clear" w:color="auto" w:fill="auto"/>
            <w:noWrap w:val="0"/>
            <w:vAlign w:val="center"/>
          </w:tcPr>
          <w:p w14:paraId="2961598A">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Times New Roman" w:hAnsi="Times New Roman" w:eastAsia="宋体" w:cs="Times New Roman"/>
                <w:color w:val="auto"/>
                <w:sz w:val="24"/>
                <w:highlight w:val="none"/>
                <w:lang w:eastAsia="zh-CN"/>
              </w:rPr>
            </w:pPr>
            <w:r>
              <w:rPr>
                <w:rFonts w:hint="eastAsia" w:ascii="Times New Roman" w:hAnsi="Times New Roman" w:eastAsia="宋体" w:cs="Times New Roman"/>
                <w:color w:val="auto"/>
                <w:sz w:val="24"/>
                <w:highlight w:val="none"/>
              </w:rPr>
              <w:t>建立危险废物转运台账，规范排污口建设、设置标识标牌、定期进行监测</w:t>
            </w:r>
            <w:r>
              <w:rPr>
                <w:rFonts w:hint="eastAsia" w:ascii="Times New Roman" w:hAnsi="Times New Roman" w:eastAsia="宋体" w:cs="Times New Roman"/>
                <w:color w:val="auto"/>
                <w:sz w:val="24"/>
                <w:highlight w:val="none"/>
                <w:lang w:eastAsia="zh-CN"/>
              </w:rPr>
              <w:t>。</w:t>
            </w:r>
          </w:p>
          <w:p w14:paraId="10B7B91F">
            <w:pPr>
              <w:keepNext w:val="0"/>
              <w:keepLines w:val="0"/>
              <w:pageBreakBefore w:val="0"/>
              <w:widowControl w:val="0"/>
              <w:kinsoku/>
              <w:wordWrap/>
              <w:overflowPunct/>
              <w:topLinePunct w:val="0"/>
              <w:autoSpaceDE/>
              <w:autoSpaceDN/>
              <w:bidi w:val="0"/>
              <w:adjustRightInd w:val="0"/>
              <w:snapToGrid w:val="0"/>
              <w:spacing w:line="360" w:lineRule="auto"/>
              <w:ind w:firstLine="482" w:firstLineChars="200"/>
              <w:jc w:val="both"/>
              <w:textAlignment w:val="auto"/>
              <w:rPr>
                <w:rFonts w:hint="eastAsia" w:ascii="Times New Roman" w:hAnsi="Times New Roman" w:eastAsia="宋体" w:cs="Times New Roman"/>
                <w:b/>
                <w:bCs/>
                <w:color w:val="auto"/>
                <w:sz w:val="24"/>
                <w:highlight w:val="none"/>
              </w:rPr>
            </w:pPr>
            <w:r>
              <w:rPr>
                <w:rFonts w:hint="eastAsia" w:ascii="Times New Roman" w:hAnsi="Times New Roman" w:eastAsia="宋体" w:cs="Times New Roman"/>
                <w:b/>
                <w:bCs/>
                <w:color w:val="auto"/>
                <w:sz w:val="24"/>
                <w:highlight w:val="none"/>
                <w:lang w:val="en-US" w:eastAsia="zh-CN"/>
              </w:rPr>
              <w:t>废气排放口（采样口）的规范化设置要求</w:t>
            </w:r>
            <w:r>
              <w:rPr>
                <w:rFonts w:hint="eastAsia" w:ascii="Times New Roman" w:hAnsi="Times New Roman" w:eastAsia="宋体" w:cs="Times New Roman"/>
                <w:b/>
                <w:bCs/>
                <w:color w:val="auto"/>
                <w:sz w:val="24"/>
                <w:highlight w:val="none"/>
              </w:rPr>
              <w:t>：</w:t>
            </w:r>
          </w:p>
          <w:p w14:paraId="3550D90D">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eastAsia="宋体" w:cs="Times New Roman"/>
                <w:color w:val="auto"/>
                <w:sz w:val="24"/>
                <w:highlight w:val="none"/>
              </w:rPr>
            </w:pPr>
            <w:r>
              <w:rPr>
                <w:rFonts w:hint="eastAsia" w:ascii="Times New Roman" w:hAnsi="Times New Roman" w:eastAsia="宋体" w:cs="Times New Roman"/>
                <w:color w:val="auto"/>
                <w:sz w:val="24"/>
                <w:highlight w:val="none"/>
                <w:lang w:val="en-US" w:eastAsia="zh-CN"/>
              </w:rPr>
              <w:t>应</w:t>
            </w:r>
            <w:r>
              <w:rPr>
                <w:rFonts w:hint="default" w:ascii="Times New Roman" w:hAnsi="Times New Roman" w:eastAsia="宋体" w:cs="Times New Roman"/>
                <w:color w:val="auto"/>
                <w:sz w:val="24"/>
                <w:highlight w:val="none"/>
                <w:lang w:val="en-US" w:eastAsia="zh-CN"/>
              </w:rPr>
              <w:t>在废气排放口设置便于采样监测的监测点位，避开对测试人员操作有危险的场所。在流场均匀稳定的监测断面规范开设监测孔，设置工作平台、梯架及相应安全防护设施等</w:t>
            </w:r>
            <w:r>
              <w:rPr>
                <w:rFonts w:hint="default" w:ascii="Times New Roman" w:hAnsi="Times New Roman" w:eastAsia="宋体" w:cs="Times New Roman"/>
                <w:color w:val="auto"/>
                <w:sz w:val="24"/>
                <w:highlight w:val="none"/>
              </w:rPr>
              <w:t>。</w:t>
            </w:r>
          </w:p>
          <w:p w14:paraId="644348E7">
            <w:pPr>
              <w:numPr>
                <w:ilvl w:val="0"/>
                <w:numId w:val="6"/>
              </w:numPr>
              <w:snapToGrid w:val="0"/>
              <w:spacing w:line="360" w:lineRule="auto"/>
              <w:ind w:firstLine="480" w:firstLineChars="200"/>
              <w:rPr>
                <w:rFonts w:hint="eastAsia" w:ascii="Times New Roman" w:hAnsi="Times New Roman" w:eastAsia="宋体" w:cs="Times New Roman"/>
                <w:color w:val="auto"/>
                <w:sz w:val="24"/>
                <w:highlight w:val="none"/>
                <w:lang w:val="en-US" w:eastAsia="zh-CN"/>
              </w:rPr>
            </w:pPr>
            <w:r>
              <w:rPr>
                <w:rFonts w:hint="eastAsia" w:ascii="Times New Roman" w:hAnsi="Times New Roman" w:eastAsia="宋体" w:cs="Times New Roman"/>
                <w:color w:val="auto"/>
                <w:sz w:val="24"/>
                <w:highlight w:val="none"/>
                <w:lang w:val="en-US" w:eastAsia="zh-CN"/>
              </w:rPr>
              <w:t>监测断面应设置在规则的圆形、矩形排气筒/烟道上的竖直段或水平段，并避开拉筋等影响监测的内部结构件；</w:t>
            </w:r>
          </w:p>
          <w:p w14:paraId="62B76F34">
            <w:pPr>
              <w:numPr>
                <w:ilvl w:val="0"/>
                <w:numId w:val="6"/>
              </w:numPr>
              <w:snapToGrid w:val="0"/>
              <w:spacing w:line="360" w:lineRule="auto"/>
              <w:ind w:firstLine="480" w:firstLineChars="200"/>
              <w:rPr>
                <w:rFonts w:hint="eastAsia" w:ascii="Times New Roman" w:hAnsi="Times New Roman" w:eastAsia="宋体" w:cs="Times New Roman"/>
                <w:color w:val="auto"/>
                <w:sz w:val="24"/>
                <w:highlight w:val="none"/>
                <w:lang w:val="en-US" w:eastAsia="zh-CN"/>
              </w:rPr>
            </w:pPr>
            <w:r>
              <w:rPr>
                <w:rFonts w:hint="eastAsia" w:ascii="Times New Roman" w:hAnsi="Times New Roman" w:eastAsia="宋体" w:cs="Times New Roman"/>
                <w:color w:val="auto"/>
                <w:sz w:val="24"/>
                <w:highlight w:val="none"/>
                <w:lang w:val="en-US" w:eastAsia="zh-CN"/>
              </w:rPr>
              <w:t>监测断面位置应满足，其按照气流方向的上游距离弯头、阀门、变径管道≥4倍烟道直径，其下游距离上述部件≥2倍烟道直径；</w:t>
            </w:r>
          </w:p>
          <w:p w14:paraId="28B4386C">
            <w:pPr>
              <w:keepNext w:val="0"/>
              <w:keepLines w:val="0"/>
              <w:widowControl/>
              <w:numPr>
                <w:ilvl w:val="0"/>
                <w:numId w:val="6"/>
              </w:numPr>
              <w:suppressLineNumbers w:val="0"/>
              <w:snapToGrid w:val="0"/>
              <w:spacing w:line="360" w:lineRule="auto"/>
              <w:ind w:firstLine="480" w:firstLineChars="200"/>
              <w:jc w:val="left"/>
              <w:rPr>
                <w:rFonts w:hint="eastAsia" w:ascii="Times New Roman" w:hAnsi="Times New Roman" w:eastAsia="宋体" w:cs="Times New Roman"/>
                <w:color w:val="auto"/>
                <w:sz w:val="24"/>
                <w:highlight w:val="none"/>
              </w:rPr>
            </w:pPr>
            <w:r>
              <w:rPr>
                <w:rFonts w:hint="eastAsia" w:ascii="Times New Roman" w:hAnsi="Times New Roman" w:eastAsia="宋体" w:cs="Times New Roman"/>
                <w:color w:val="auto"/>
                <w:sz w:val="24"/>
                <w:highlight w:val="none"/>
                <w:lang w:val="en-US" w:eastAsia="zh-CN"/>
              </w:rPr>
              <w:t>监测孔内径应满足相关污染物和排气参数的监测需要，一般应≥80mm，监测孔应符合排气筒/烟道的密封要求，封闭形式宜优先参照HG/T 21533、HG/T 21534、HG/T 21535设计为快开方式；圆形</w:t>
            </w:r>
            <w:r>
              <w:rPr>
                <w:rFonts w:hint="eastAsia" w:ascii="Times New Roman" w:hAnsi="Times New Roman" w:eastAsia="宋体" w:cs="Times New Roman"/>
                <w:color w:val="auto"/>
                <w:kern w:val="2"/>
                <w:sz w:val="24"/>
                <w:szCs w:val="24"/>
                <w:highlight w:val="none"/>
                <w:lang w:val="en-US" w:eastAsia="zh-CN" w:bidi="ar"/>
              </w:rPr>
              <w:t>竖直排气筒/烟道直径D≤1m，至少设置1个手工监测孔；1m&lt;</w:t>
            </w:r>
            <w:r>
              <w:rPr>
                <w:rFonts w:hint="eastAsia" w:ascii="Times New Roman" w:hAnsi="Times New Roman" w:eastAsia="宋体" w:cs="Times New Roman"/>
                <w:i w:val="0"/>
                <w:iCs w:val="0"/>
                <w:color w:val="auto"/>
                <w:kern w:val="2"/>
                <w:sz w:val="24"/>
                <w:szCs w:val="24"/>
                <w:highlight w:val="none"/>
                <w:lang w:val="en-US" w:eastAsia="zh-CN" w:bidi="ar"/>
              </w:rPr>
              <w:t>D</w:t>
            </w:r>
            <w:r>
              <w:rPr>
                <w:rFonts w:hint="eastAsia" w:ascii="Times New Roman" w:hAnsi="Times New Roman" w:eastAsia="宋体" w:cs="Times New Roman"/>
                <w:color w:val="auto"/>
                <w:kern w:val="2"/>
                <w:sz w:val="24"/>
                <w:szCs w:val="24"/>
                <w:highlight w:val="none"/>
                <w:lang w:val="en-US" w:eastAsia="zh-CN" w:bidi="ar"/>
              </w:rPr>
              <w:t>≤3.5m时，至少设置相互垂直的2个手工监测孔；</w:t>
            </w:r>
            <w:r>
              <w:rPr>
                <w:rFonts w:hint="eastAsia" w:ascii="Times New Roman" w:hAnsi="Times New Roman" w:eastAsia="宋体" w:cs="Times New Roman"/>
                <w:i w:val="0"/>
                <w:iCs w:val="0"/>
                <w:color w:val="auto"/>
                <w:kern w:val="2"/>
                <w:sz w:val="24"/>
                <w:szCs w:val="24"/>
                <w:highlight w:val="none"/>
                <w:lang w:val="en-US" w:eastAsia="zh-CN" w:bidi="ar"/>
              </w:rPr>
              <w:t>D</w:t>
            </w:r>
            <w:r>
              <w:rPr>
                <w:rFonts w:hint="eastAsia" w:ascii="Times New Roman" w:hAnsi="Times New Roman" w:eastAsia="宋体" w:cs="Times New Roman"/>
                <w:color w:val="auto"/>
                <w:kern w:val="2"/>
                <w:sz w:val="24"/>
                <w:szCs w:val="24"/>
                <w:highlight w:val="none"/>
                <w:lang w:val="en-US" w:eastAsia="zh-CN" w:bidi="ar"/>
              </w:rPr>
              <w:t>&gt;3.5m时，至少设置相互垂直的4个手工监测孔。圆形水平排气筒/烟道直径</w:t>
            </w:r>
            <w:r>
              <w:rPr>
                <w:rFonts w:hint="eastAsia" w:ascii="Times New Roman" w:hAnsi="Times New Roman" w:eastAsia="宋体" w:cs="Times New Roman"/>
                <w:i w:val="0"/>
                <w:iCs w:val="0"/>
                <w:color w:val="auto"/>
                <w:kern w:val="2"/>
                <w:sz w:val="24"/>
                <w:szCs w:val="24"/>
                <w:highlight w:val="none"/>
                <w:lang w:val="en-US" w:eastAsia="zh-CN" w:bidi="ar"/>
              </w:rPr>
              <w:t>D</w:t>
            </w:r>
            <w:r>
              <w:rPr>
                <w:rFonts w:hint="eastAsia" w:ascii="Times New Roman" w:hAnsi="Times New Roman" w:eastAsia="宋体" w:cs="Times New Roman"/>
                <w:color w:val="auto"/>
                <w:kern w:val="2"/>
                <w:sz w:val="24"/>
                <w:szCs w:val="24"/>
                <w:highlight w:val="none"/>
                <w:lang w:val="en-US" w:eastAsia="zh-CN" w:bidi="ar"/>
              </w:rPr>
              <w:t>≤3.5m时，至少在侧面水平位置设置1个手工监测孔；</w:t>
            </w:r>
            <w:r>
              <w:rPr>
                <w:rFonts w:hint="eastAsia" w:ascii="Times New Roman" w:hAnsi="Times New Roman" w:eastAsia="宋体" w:cs="Times New Roman"/>
                <w:i w:val="0"/>
                <w:iCs w:val="0"/>
                <w:color w:val="auto"/>
                <w:kern w:val="2"/>
                <w:sz w:val="24"/>
                <w:szCs w:val="24"/>
                <w:highlight w:val="none"/>
                <w:lang w:val="en-US" w:eastAsia="zh-CN" w:bidi="ar"/>
              </w:rPr>
              <w:t>D</w:t>
            </w:r>
            <w:r>
              <w:rPr>
                <w:rFonts w:hint="eastAsia" w:ascii="Times New Roman" w:hAnsi="Times New Roman" w:eastAsia="宋体" w:cs="Times New Roman"/>
                <w:color w:val="auto"/>
                <w:kern w:val="2"/>
                <w:sz w:val="24"/>
                <w:szCs w:val="24"/>
                <w:highlight w:val="none"/>
                <w:lang w:val="en-US" w:eastAsia="zh-CN" w:bidi="ar"/>
              </w:rPr>
              <w:t>&gt;3.5 m时，至少在两侧水平对称的位置设置2个手工监测孔。</w:t>
            </w:r>
          </w:p>
          <w:p w14:paraId="791491E6">
            <w:pPr>
              <w:keepNext w:val="0"/>
              <w:keepLines w:val="0"/>
              <w:widowControl/>
              <w:numPr>
                <w:ilvl w:val="0"/>
                <w:numId w:val="0"/>
              </w:numPr>
              <w:suppressLineNumbers w:val="0"/>
              <w:snapToGrid w:val="0"/>
              <w:spacing w:line="360" w:lineRule="auto"/>
              <w:ind w:firstLine="480" w:firstLineChars="200"/>
              <w:jc w:val="left"/>
              <w:rPr>
                <w:rFonts w:hint="default" w:ascii="Times New Roman" w:hAnsi="Times New Roman" w:eastAsia="宋体" w:cs="Times New Roman"/>
                <w:color w:val="auto"/>
                <w:sz w:val="24"/>
                <w:highlight w:val="none"/>
                <w:lang w:val="en-US" w:eastAsia="zh-CN"/>
              </w:rPr>
            </w:pPr>
            <w:r>
              <w:rPr>
                <w:rFonts w:hint="eastAsia" w:ascii="Times New Roman" w:hAnsi="Times New Roman" w:eastAsia="宋体" w:cs="Times New Roman"/>
                <w:color w:val="auto"/>
                <w:sz w:val="24"/>
                <w:highlight w:val="none"/>
                <w:lang w:eastAsia="zh-CN"/>
              </w:rPr>
              <w:t>（</w:t>
            </w:r>
            <w:r>
              <w:rPr>
                <w:rFonts w:hint="eastAsia" w:ascii="Times New Roman" w:hAnsi="Times New Roman" w:eastAsia="宋体" w:cs="Times New Roman"/>
                <w:color w:val="auto"/>
                <w:sz w:val="24"/>
                <w:highlight w:val="none"/>
                <w:lang w:val="en-US" w:eastAsia="zh-CN"/>
              </w:rPr>
              <w:t>4</w:t>
            </w:r>
            <w:r>
              <w:rPr>
                <w:rFonts w:hint="eastAsia" w:ascii="Times New Roman" w:hAnsi="Times New Roman" w:eastAsia="宋体" w:cs="Times New Roman"/>
                <w:color w:val="auto"/>
                <w:sz w:val="24"/>
                <w:highlight w:val="none"/>
                <w:lang w:eastAsia="zh-CN"/>
              </w:rPr>
              <w:t>）</w:t>
            </w:r>
            <w:r>
              <w:rPr>
                <w:rFonts w:hint="eastAsia" w:ascii="Times New Roman" w:hAnsi="Times New Roman" w:eastAsia="宋体" w:cs="Times New Roman"/>
                <w:color w:val="auto"/>
                <w:sz w:val="24"/>
                <w:highlight w:val="none"/>
                <w:lang w:val="en-US" w:eastAsia="zh-CN"/>
              </w:rPr>
              <w:t>监测平台要求</w:t>
            </w:r>
          </w:p>
          <w:p w14:paraId="7CD9BEBB">
            <w:pPr>
              <w:keepNext w:val="0"/>
              <w:keepLines w:val="0"/>
              <w:widowControl/>
              <w:numPr>
                <w:ilvl w:val="0"/>
                <w:numId w:val="0"/>
              </w:numPr>
              <w:suppressLineNumbers w:val="0"/>
              <w:snapToGrid w:val="0"/>
              <w:spacing w:line="360" w:lineRule="auto"/>
              <w:ind w:firstLine="480" w:firstLineChars="200"/>
              <w:jc w:val="left"/>
              <w:rPr>
                <w:rFonts w:hint="default" w:ascii="Times New Roman" w:hAnsi="Times New Roman" w:eastAsia="宋体" w:cs="Times New Roman"/>
                <w:color w:val="auto"/>
                <w:sz w:val="24"/>
                <w:highlight w:val="none"/>
                <w:lang w:val="en-US" w:eastAsia="zh-CN"/>
              </w:rPr>
            </w:pPr>
            <w:r>
              <w:rPr>
                <w:rFonts w:hint="eastAsia" w:ascii="Times New Roman" w:hAnsi="Times New Roman" w:eastAsia="宋体" w:cs="Times New Roman"/>
                <w:color w:val="auto"/>
                <w:sz w:val="24"/>
                <w:highlight w:val="none"/>
                <w:lang w:val="en-US" w:eastAsia="zh-CN"/>
              </w:rPr>
              <w:t>①监测断面距离坠落高度基准面2m以上时，应配套建设永久、安全、便于采样和测试的工作平台。除在水平烟道顶部开设监测孔外，工作平台宜设置在监测孔的正下方1.2m~1.3m处。</w:t>
            </w:r>
          </w:p>
          <w:p w14:paraId="557AE19C">
            <w:pPr>
              <w:keepNext w:val="0"/>
              <w:keepLines w:val="0"/>
              <w:widowControl/>
              <w:numPr>
                <w:ilvl w:val="0"/>
                <w:numId w:val="0"/>
              </w:numPr>
              <w:suppressLineNumbers w:val="0"/>
              <w:snapToGrid w:val="0"/>
              <w:spacing w:line="360" w:lineRule="auto"/>
              <w:ind w:firstLine="480" w:firstLineChars="200"/>
              <w:jc w:val="left"/>
              <w:rPr>
                <w:rFonts w:hint="eastAsia" w:ascii="Times New Roman" w:hAnsi="Times New Roman" w:eastAsia="宋体" w:cs="Times New Roman"/>
                <w:color w:val="auto"/>
                <w:kern w:val="2"/>
                <w:sz w:val="24"/>
                <w:szCs w:val="24"/>
                <w:highlight w:val="none"/>
                <w:lang w:val="en-US" w:eastAsia="zh-CN" w:bidi="ar"/>
              </w:rPr>
            </w:pPr>
            <w:r>
              <w:rPr>
                <w:rFonts w:hint="eastAsia" w:ascii="Times New Roman" w:hAnsi="Times New Roman" w:eastAsia="宋体" w:cs="Times New Roman"/>
                <w:color w:val="auto"/>
                <w:sz w:val="24"/>
                <w:highlight w:val="none"/>
                <w:lang w:val="en-US" w:eastAsia="zh-CN"/>
              </w:rPr>
              <w:t>②</w:t>
            </w:r>
            <w:r>
              <w:rPr>
                <w:rFonts w:hint="eastAsia" w:ascii="Times New Roman" w:hAnsi="Times New Roman" w:eastAsia="宋体" w:cs="Times New Roman"/>
                <w:color w:val="auto"/>
                <w:kern w:val="2"/>
                <w:sz w:val="24"/>
                <w:szCs w:val="24"/>
                <w:highlight w:val="none"/>
                <w:lang w:val="en-US" w:eastAsia="zh-CN" w:bidi="ar"/>
              </w:rPr>
              <w:t>工作平台长度应≥2m，宽度应保证人员及采样探杆操作的空间。对于监测断面直径（圆形）或者在监测孔方向的长度（矩形）&gt;1m 的，工作平台宽度应≥2m；≤1m的，工作平台宽度应≥1.5m。工作平台宜采用厚度≥4mm的花纹钢板或经防滑处理的钢板铺装，相邻钢板不应搭接，上表面的高度差应≤4mm，载荷满足GB 4053.3要求。</w:t>
            </w:r>
          </w:p>
          <w:p w14:paraId="2AE91102">
            <w:pPr>
              <w:keepNext w:val="0"/>
              <w:keepLines w:val="0"/>
              <w:widowControl/>
              <w:numPr>
                <w:ilvl w:val="0"/>
                <w:numId w:val="0"/>
              </w:numPr>
              <w:suppressLineNumbers w:val="0"/>
              <w:snapToGrid w:val="0"/>
              <w:spacing w:line="360" w:lineRule="auto"/>
              <w:ind w:firstLine="480" w:firstLineChars="200"/>
              <w:jc w:val="both"/>
              <w:rPr>
                <w:rFonts w:hint="eastAsia" w:ascii="Times New Roman" w:hAnsi="Times New Roman" w:eastAsia="宋体" w:cs="Times New Roman"/>
                <w:color w:val="auto"/>
                <w:sz w:val="24"/>
                <w:highlight w:val="none"/>
              </w:rPr>
            </w:pPr>
            <w:r>
              <w:rPr>
                <w:rFonts w:hint="eastAsia" w:ascii="Times New Roman" w:hAnsi="Times New Roman" w:eastAsia="宋体" w:cs="Times New Roman"/>
                <w:color w:val="auto"/>
                <w:kern w:val="2"/>
                <w:sz w:val="24"/>
                <w:szCs w:val="24"/>
                <w:highlight w:val="none"/>
                <w:lang w:val="en-US" w:eastAsia="zh-CN" w:bidi="ar"/>
              </w:rPr>
              <w:t>③距离坠落高度基准面1.2m以上的工作平台及通道的所有敞开边缘应设置防护栏杆，防护栏杆的高度应≥1.2m，扶手宜选用外径30mm~50mm钢管，扶手后应有不少于75mm净空间。防护栏杆的踢脚板宜采用不小于100mm×2mm的钢板制造，其顶部在平台面之上高度应不小于100mm，底部距平台面应不大于10mm。</w:t>
            </w:r>
          </w:p>
          <w:p w14:paraId="71F2C811">
            <w:pPr>
              <w:keepNext w:val="0"/>
              <w:keepLines w:val="0"/>
              <w:widowControl/>
              <w:numPr>
                <w:ilvl w:val="0"/>
                <w:numId w:val="0"/>
              </w:numPr>
              <w:suppressLineNumbers w:val="0"/>
              <w:snapToGrid w:val="0"/>
              <w:spacing w:line="360" w:lineRule="auto"/>
              <w:ind w:firstLine="480" w:firstLineChars="200"/>
              <w:jc w:val="left"/>
              <w:rPr>
                <w:rFonts w:hint="eastAsia" w:ascii="Calibri" w:hAnsi="Calibri" w:eastAsia="宋体" w:cs="Times New Roman"/>
                <w:color w:val="auto"/>
                <w:sz w:val="24"/>
                <w:highlight w:val="none"/>
                <w:lang w:val="en-US" w:eastAsia="zh-CN"/>
              </w:rPr>
            </w:pPr>
            <w:r>
              <w:rPr>
                <w:rFonts w:hint="eastAsia" w:ascii="Times New Roman" w:hAnsi="Times New Roman" w:eastAsia="宋体" w:cs="Times New Roman"/>
                <w:color w:val="auto"/>
                <w:sz w:val="24"/>
                <w:highlight w:val="none"/>
                <w:lang w:eastAsia="zh-CN"/>
              </w:rPr>
              <w:t>（</w:t>
            </w:r>
            <w:r>
              <w:rPr>
                <w:rFonts w:hint="eastAsia" w:ascii="Times New Roman" w:hAnsi="Times New Roman" w:eastAsia="宋体" w:cs="Times New Roman"/>
                <w:color w:val="auto"/>
                <w:sz w:val="24"/>
                <w:highlight w:val="none"/>
                <w:lang w:val="en-US" w:eastAsia="zh-CN"/>
              </w:rPr>
              <w:t>5</w:t>
            </w:r>
            <w:r>
              <w:rPr>
                <w:rFonts w:hint="eastAsia" w:ascii="Times New Roman" w:hAnsi="Times New Roman" w:eastAsia="宋体" w:cs="Times New Roman"/>
                <w:color w:val="auto"/>
                <w:sz w:val="24"/>
                <w:highlight w:val="none"/>
                <w:lang w:eastAsia="zh-CN"/>
              </w:rPr>
              <w:t>）</w:t>
            </w:r>
            <w:r>
              <w:rPr>
                <w:rFonts w:hint="default" w:ascii="Times New Roman" w:hAnsi="Times New Roman" w:eastAsia="宋体" w:cs="Times New Roman"/>
                <w:color w:val="auto"/>
                <w:sz w:val="24"/>
                <w:highlight w:val="none"/>
                <w:lang w:val="en-US" w:eastAsia="zh-CN"/>
              </w:rPr>
              <w:t>排放口应按照</w:t>
            </w:r>
            <w:r>
              <w:rPr>
                <w:rFonts w:hint="eastAsia" w:ascii="Times New Roman" w:hAnsi="Times New Roman" w:eastAsia="宋体" w:cs="Times New Roman"/>
                <w:color w:val="auto"/>
                <w:sz w:val="24"/>
                <w:highlight w:val="none"/>
                <w:lang w:val="en-US" w:eastAsia="zh-CN"/>
              </w:rPr>
              <w:t>HJ1405-2024</w:t>
            </w:r>
            <w:r>
              <w:rPr>
                <w:rFonts w:hint="default" w:ascii="Times New Roman" w:hAnsi="Times New Roman" w:eastAsia="宋体" w:cs="Times New Roman"/>
                <w:color w:val="auto"/>
                <w:sz w:val="24"/>
                <w:highlight w:val="none"/>
                <w:lang w:val="en-US" w:eastAsia="zh-CN"/>
              </w:rPr>
              <w:t>的要求设置明显标志，标</w:t>
            </w:r>
            <w:r>
              <w:rPr>
                <w:rFonts w:hint="eastAsia" w:ascii="Calibri" w:hAnsi="Calibri" w:eastAsia="宋体" w:cs="Times New Roman"/>
                <w:color w:val="auto"/>
                <w:sz w:val="24"/>
                <w:highlight w:val="none"/>
                <w:lang w:val="en-US" w:eastAsia="zh-CN"/>
              </w:rPr>
              <w:t>志清晰完整。</w:t>
            </w:r>
          </w:p>
          <w:p w14:paraId="443601A8">
            <w:pPr>
              <w:keepNext w:val="0"/>
              <w:keepLines w:val="0"/>
              <w:widowControl/>
              <w:numPr>
                <w:ilvl w:val="0"/>
                <w:numId w:val="0"/>
              </w:numPr>
              <w:suppressLineNumbers w:val="0"/>
              <w:snapToGrid w:val="0"/>
              <w:spacing w:line="360" w:lineRule="auto"/>
              <w:ind w:firstLine="420" w:firstLineChars="200"/>
              <w:jc w:val="center"/>
              <w:rPr>
                <w:color w:val="auto"/>
              </w:rPr>
            </w:pPr>
            <w:r>
              <w:rPr>
                <w:color w:val="auto"/>
              </w:rPr>
              <w:drawing>
                <wp:inline distT="0" distB="0" distL="114300" distR="114300">
                  <wp:extent cx="2352675" cy="1990725"/>
                  <wp:effectExtent l="0" t="0" r="9525" b="9525"/>
                  <wp:docPr id="6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图片 9"/>
                          <pic:cNvPicPr>
                            <a:picLocks noChangeAspect="1"/>
                          </pic:cNvPicPr>
                        </pic:nvPicPr>
                        <pic:blipFill>
                          <a:blip r:embed="rId45"/>
                          <a:stretch>
                            <a:fillRect/>
                          </a:stretch>
                        </pic:blipFill>
                        <pic:spPr>
                          <a:xfrm>
                            <a:off x="0" y="0"/>
                            <a:ext cx="2352675" cy="1990725"/>
                          </a:xfrm>
                          <a:prstGeom prst="rect">
                            <a:avLst/>
                          </a:prstGeom>
                          <a:noFill/>
                          <a:ln>
                            <a:noFill/>
                          </a:ln>
                        </pic:spPr>
                      </pic:pic>
                    </a:graphicData>
                  </a:graphic>
                </wp:inline>
              </w:drawing>
            </w:r>
          </w:p>
          <w:p w14:paraId="4D86AF07">
            <w:pPr>
              <w:keepNext w:val="0"/>
              <w:keepLines w:val="0"/>
              <w:widowControl/>
              <w:numPr>
                <w:ilvl w:val="0"/>
                <w:numId w:val="0"/>
              </w:numPr>
              <w:suppressLineNumbers w:val="0"/>
              <w:snapToGrid w:val="0"/>
              <w:spacing w:line="360" w:lineRule="auto"/>
              <w:ind w:firstLine="422" w:firstLineChars="200"/>
              <w:jc w:val="center"/>
              <w:rPr>
                <w:rFonts w:hint="eastAsia" w:ascii="Times New Roman" w:hAnsi="Times New Roman"/>
                <w:color w:val="auto"/>
                <w:sz w:val="24"/>
                <w:highlight w:val="none"/>
              </w:rPr>
            </w:pPr>
            <w:r>
              <w:rPr>
                <w:rFonts w:hint="eastAsia"/>
                <w:b/>
                <w:bCs/>
                <w:color w:val="auto"/>
                <w:lang w:val="en-US" w:eastAsia="zh-CN"/>
              </w:rPr>
              <w:t>图5-1 废气监测点位信息标志牌</w:t>
            </w:r>
          </w:p>
          <w:p w14:paraId="14941D47">
            <w:pPr>
              <w:pStyle w:val="17"/>
              <w:ind w:left="0" w:leftChars="0" w:firstLine="0" w:firstLineChars="0"/>
              <w:rPr>
                <w:rFonts w:hint="eastAsia"/>
                <w:color w:val="auto"/>
              </w:rPr>
            </w:pPr>
          </w:p>
        </w:tc>
      </w:tr>
    </w:tbl>
    <w:p w14:paraId="63FF7D8D">
      <w:pPr>
        <w:pStyle w:val="37"/>
        <w:jc w:val="center"/>
        <w:outlineLvl w:val="0"/>
        <w:rPr>
          <w:rFonts w:hint="eastAsia" w:ascii="黑体" w:hAnsi="黑体" w:eastAsia="黑体"/>
          <w:snapToGrid w:val="0"/>
          <w:color w:val="auto"/>
          <w:sz w:val="30"/>
          <w:szCs w:val="30"/>
        </w:rPr>
      </w:pPr>
      <w:r>
        <w:rPr>
          <w:snapToGrid w:val="0"/>
          <w:color w:val="auto"/>
        </w:rPr>
        <w:br w:type="page"/>
      </w:r>
      <w:bookmarkStart w:id="20" w:name="_Toc186098082"/>
      <w:bookmarkStart w:id="21" w:name="_Toc25192"/>
      <w:r>
        <w:rPr>
          <w:rFonts w:hint="eastAsia" w:ascii="黑体" w:hAnsi="黑体" w:eastAsia="黑体"/>
          <w:snapToGrid w:val="0"/>
          <w:color w:val="auto"/>
          <w:sz w:val="30"/>
          <w:szCs w:val="30"/>
        </w:rPr>
        <w:t>六、结论</w:t>
      </w:r>
      <w:bookmarkEnd w:id="20"/>
      <w:bookmarkEnd w:id="21"/>
    </w:p>
    <w:tbl>
      <w:tblPr>
        <w:tblStyle w:val="41"/>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8865"/>
      </w:tblGrid>
      <w:tr w14:paraId="6C6B135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991" w:hRule="atLeast"/>
          <w:jc w:val="center"/>
        </w:trPr>
        <w:tc>
          <w:tcPr>
            <w:tcW w:w="8865" w:type="dxa"/>
          </w:tcPr>
          <w:p w14:paraId="5B808494">
            <w:pPr>
              <w:pStyle w:val="66"/>
              <w:spacing w:line="360" w:lineRule="auto"/>
              <w:rPr>
                <w:color w:val="auto"/>
              </w:rPr>
            </w:pPr>
            <w:r>
              <w:rPr>
                <w:color w:val="auto"/>
                <w:sz w:val="24"/>
                <w:szCs w:val="24"/>
              </w:rPr>
              <w:t>项目的建设</w:t>
            </w:r>
            <w:r>
              <w:rPr>
                <w:rFonts w:hint="eastAsia"/>
                <w:snapToGrid w:val="0"/>
                <w:color w:val="auto"/>
                <w:sz w:val="24"/>
                <w:highlight w:val="none"/>
              </w:rPr>
              <w:t>符合国家产业政策，选址符合相关规划、选址合理；在建设单位认真严格落实本报告提出的各项措施的前提下，项目运营期产生的废水、废气、噪声能够达标排放，固体废物得到合理有效处置，不会对地表水、地下水、环境空气、声环境产生明显影响，环境风险可控。因此，从环保角度分析，该项目的建设是可行的</w:t>
            </w:r>
            <w:r>
              <w:rPr>
                <w:rFonts w:hint="eastAsia"/>
                <w:color w:val="auto"/>
              </w:rPr>
              <w:t>。</w:t>
            </w:r>
          </w:p>
        </w:tc>
      </w:tr>
    </w:tbl>
    <w:p w14:paraId="704F7CCC">
      <w:pPr>
        <w:rPr>
          <w:rFonts w:ascii="宋体"/>
          <w:color w:val="auto"/>
        </w:rPr>
        <w:sectPr>
          <w:pgSz w:w="11906" w:h="16838"/>
          <w:pgMar w:top="1701" w:right="1531" w:bottom="1701" w:left="1531" w:header="851" w:footer="1021" w:gutter="0"/>
          <w:cols w:space="720" w:num="1"/>
          <w:docGrid w:linePitch="312" w:charSpace="0"/>
        </w:sectPr>
      </w:pPr>
    </w:p>
    <w:p w14:paraId="3E6BA7FD">
      <w:pPr>
        <w:pStyle w:val="37"/>
        <w:adjustRightInd w:val="0"/>
        <w:snapToGrid w:val="0"/>
        <w:spacing w:before="0" w:beforeAutospacing="0" w:after="0" w:afterAutospacing="0" w:line="360" w:lineRule="auto"/>
        <w:outlineLvl w:val="0"/>
        <w:rPr>
          <w:rFonts w:hint="eastAsia" w:ascii="黑体" w:hAnsi="黑体" w:eastAsia="黑体"/>
          <w:snapToGrid w:val="0"/>
          <w:color w:val="auto"/>
          <w:sz w:val="32"/>
          <w:szCs w:val="32"/>
        </w:rPr>
      </w:pPr>
      <w:bookmarkStart w:id="22" w:name="_Toc186098083"/>
      <w:bookmarkStart w:id="23" w:name="_Toc452"/>
      <w:r>
        <w:rPr>
          <w:rFonts w:hint="eastAsia" w:ascii="黑体" w:hAnsi="黑体" w:eastAsia="黑体"/>
          <w:snapToGrid w:val="0"/>
          <w:color w:val="auto"/>
          <w:sz w:val="32"/>
          <w:szCs w:val="32"/>
        </w:rPr>
        <w:t>附表</w:t>
      </w:r>
      <w:bookmarkEnd w:id="22"/>
      <w:bookmarkEnd w:id="23"/>
    </w:p>
    <w:p w14:paraId="43186DC6">
      <w:pPr>
        <w:pStyle w:val="37"/>
        <w:adjustRightInd w:val="0"/>
        <w:snapToGrid w:val="0"/>
        <w:spacing w:before="0" w:beforeAutospacing="0" w:after="0" w:afterAutospacing="0" w:line="560" w:lineRule="exact"/>
        <w:jc w:val="center"/>
        <w:outlineLvl w:val="9"/>
        <w:rPr>
          <w:rFonts w:hint="eastAsia" w:ascii="宋体" w:hAnsi="宋体" w:eastAsia="宋体" w:cs="宋体"/>
          <w:snapToGrid w:val="0"/>
          <w:color w:val="auto"/>
          <w:sz w:val="38"/>
          <w:szCs w:val="38"/>
        </w:rPr>
      </w:pPr>
      <w:bookmarkStart w:id="24" w:name="_Toc186098084"/>
      <w:r>
        <w:rPr>
          <w:rFonts w:hint="eastAsia" w:ascii="宋体" w:hAnsi="宋体" w:eastAsia="宋体" w:cs="宋体"/>
          <w:b/>
          <w:bCs/>
          <w:snapToGrid w:val="0"/>
          <w:color w:val="auto"/>
          <w:sz w:val="38"/>
          <w:szCs w:val="38"/>
        </w:rPr>
        <w:t>建设项目污染物排放量汇总表</w:t>
      </w:r>
      <w:bookmarkEnd w:id="24"/>
    </w:p>
    <w:tbl>
      <w:tblPr>
        <w:tblStyle w:val="41"/>
        <w:tblW w:w="13788"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588"/>
        <w:gridCol w:w="1417"/>
        <w:gridCol w:w="1701"/>
        <w:gridCol w:w="1276"/>
        <w:gridCol w:w="1701"/>
        <w:gridCol w:w="1559"/>
        <w:gridCol w:w="1521"/>
        <w:gridCol w:w="1985"/>
        <w:gridCol w:w="1040"/>
      </w:tblGrid>
      <w:tr w14:paraId="043B6C0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1588" w:type="dxa"/>
            <w:tcBorders>
              <w:tl2br w:val="single" w:color="auto" w:sz="4" w:space="0"/>
            </w:tcBorders>
            <w:tcMar>
              <w:left w:w="28" w:type="dxa"/>
              <w:right w:w="28" w:type="dxa"/>
            </w:tcMar>
            <w:vAlign w:val="center"/>
          </w:tcPr>
          <w:p w14:paraId="1B382F1B">
            <w:pPr>
              <w:pStyle w:val="61"/>
              <w:spacing w:beforeLines="0" w:afterLines="0" w:line="260" w:lineRule="exact"/>
              <w:jc w:val="right"/>
              <w:rPr>
                <w:rFonts w:hint="default" w:ascii="Times New Roman" w:hAnsi="Times New Roman" w:eastAsia="宋体" w:cs="Times New Roman"/>
                <w:b/>
                <w:bCs/>
                <w:snapToGrid w:val="0"/>
                <w:color w:val="auto"/>
                <w:spacing w:val="-6"/>
                <w:kern w:val="21"/>
                <w:szCs w:val="21"/>
              </w:rPr>
            </w:pPr>
            <w:r>
              <w:rPr>
                <w:rFonts w:hint="default" w:ascii="Times New Roman" w:hAnsi="Times New Roman" w:eastAsia="宋体" w:cs="Times New Roman"/>
                <w:b/>
                <w:bCs/>
                <w:snapToGrid w:val="0"/>
                <w:color w:val="auto"/>
                <w:spacing w:val="-6"/>
                <w:kern w:val="21"/>
                <w:szCs w:val="21"/>
              </w:rPr>
              <w:t>项目</w:t>
            </w:r>
          </w:p>
          <w:p w14:paraId="5573E10B">
            <w:pPr>
              <w:pStyle w:val="61"/>
              <w:spacing w:beforeLines="0" w:afterLines="0" w:line="260" w:lineRule="exact"/>
              <w:jc w:val="left"/>
              <w:rPr>
                <w:rFonts w:hint="default" w:ascii="Times New Roman" w:hAnsi="Times New Roman" w:eastAsia="宋体" w:cs="Times New Roman"/>
                <w:b/>
                <w:bCs/>
                <w:snapToGrid w:val="0"/>
                <w:color w:val="auto"/>
                <w:spacing w:val="-6"/>
                <w:kern w:val="21"/>
                <w:szCs w:val="21"/>
              </w:rPr>
            </w:pPr>
            <w:r>
              <w:rPr>
                <w:rFonts w:hint="default" w:ascii="Times New Roman" w:hAnsi="Times New Roman" w:eastAsia="宋体" w:cs="Times New Roman"/>
                <w:b/>
                <w:bCs/>
                <w:snapToGrid w:val="0"/>
                <w:color w:val="auto"/>
                <w:spacing w:val="-6"/>
                <w:kern w:val="21"/>
                <w:szCs w:val="21"/>
              </w:rPr>
              <w:t>分类</w:t>
            </w:r>
          </w:p>
        </w:tc>
        <w:tc>
          <w:tcPr>
            <w:tcW w:w="1417" w:type="dxa"/>
            <w:tcMar>
              <w:left w:w="28" w:type="dxa"/>
              <w:right w:w="28" w:type="dxa"/>
            </w:tcMar>
            <w:vAlign w:val="center"/>
          </w:tcPr>
          <w:p w14:paraId="598D52B7">
            <w:pPr>
              <w:pStyle w:val="61"/>
              <w:spacing w:beforeLines="0" w:afterLines="0" w:line="260" w:lineRule="exact"/>
              <w:rPr>
                <w:rFonts w:hint="default" w:ascii="Times New Roman" w:hAnsi="Times New Roman" w:eastAsia="宋体" w:cs="Times New Roman"/>
                <w:b/>
                <w:bCs/>
                <w:snapToGrid w:val="0"/>
                <w:color w:val="auto"/>
                <w:spacing w:val="-6"/>
                <w:kern w:val="21"/>
                <w:szCs w:val="21"/>
              </w:rPr>
            </w:pPr>
            <w:r>
              <w:rPr>
                <w:rFonts w:hint="default" w:ascii="Times New Roman" w:hAnsi="Times New Roman" w:eastAsia="宋体" w:cs="Times New Roman"/>
                <w:b/>
                <w:bCs/>
                <w:snapToGrid w:val="0"/>
                <w:color w:val="auto"/>
                <w:spacing w:val="-6"/>
                <w:kern w:val="21"/>
                <w:szCs w:val="21"/>
              </w:rPr>
              <w:t>污染物名称</w:t>
            </w:r>
          </w:p>
        </w:tc>
        <w:tc>
          <w:tcPr>
            <w:tcW w:w="1701" w:type="dxa"/>
            <w:tcMar>
              <w:left w:w="28" w:type="dxa"/>
              <w:right w:w="28" w:type="dxa"/>
            </w:tcMar>
            <w:vAlign w:val="center"/>
          </w:tcPr>
          <w:p w14:paraId="1DAB09A7">
            <w:pPr>
              <w:pStyle w:val="61"/>
              <w:spacing w:beforeLines="0" w:afterLines="0" w:line="260" w:lineRule="exact"/>
              <w:rPr>
                <w:rFonts w:hint="default" w:ascii="Times New Roman" w:hAnsi="Times New Roman" w:eastAsia="宋体" w:cs="Times New Roman"/>
                <w:b/>
                <w:bCs/>
                <w:snapToGrid w:val="0"/>
                <w:color w:val="auto"/>
                <w:spacing w:val="-6"/>
                <w:kern w:val="21"/>
                <w:szCs w:val="21"/>
              </w:rPr>
            </w:pPr>
            <w:r>
              <w:rPr>
                <w:rFonts w:hint="default" w:ascii="Times New Roman" w:hAnsi="Times New Roman" w:eastAsia="宋体" w:cs="Times New Roman"/>
                <w:b/>
                <w:bCs/>
                <w:snapToGrid w:val="0"/>
                <w:color w:val="auto"/>
                <w:spacing w:val="-6"/>
                <w:kern w:val="21"/>
                <w:szCs w:val="21"/>
              </w:rPr>
              <w:t>现有工程</w:t>
            </w:r>
          </w:p>
          <w:p w14:paraId="459E16F9">
            <w:pPr>
              <w:pStyle w:val="61"/>
              <w:spacing w:beforeLines="0" w:afterLines="0" w:line="260" w:lineRule="exact"/>
              <w:rPr>
                <w:rFonts w:hint="default" w:ascii="Times New Roman" w:hAnsi="Times New Roman" w:eastAsia="宋体" w:cs="Times New Roman"/>
                <w:b/>
                <w:bCs/>
                <w:snapToGrid w:val="0"/>
                <w:color w:val="auto"/>
                <w:spacing w:val="-6"/>
                <w:kern w:val="21"/>
                <w:szCs w:val="21"/>
              </w:rPr>
            </w:pPr>
            <w:r>
              <w:rPr>
                <w:rFonts w:hint="default" w:ascii="Times New Roman" w:hAnsi="Times New Roman" w:eastAsia="宋体" w:cs="Times New Roman"/>
                <w:b/>
                <w:bCs/>
                <w:snapToGrid w:val="0"/>
                <w:color w:val="auto"/>
                <w:spacing w:val="-6"/>
                <w:kern w:val="21"/>
                <w:szCs w:val="21"/>
              </w:rPr>
              <w:t>排放量（固体废物产生量）</w:t>
            </w:r>
            <w:r>
              <w:rPr>
                <w:rFonts w:hint="default" w:ascii="Times New Roman" w:hAnsi="Times New Roman" w:eastAsia="宋体" w:cs="Times New Roman"/>
                <w:b/>
                <w:bCs/>
                <w:snapToGrid w:val="0"/>
                <w:color w:val="auto"/>
                <w:spacing w:val="-6"/>
                <w:kern w:val="21"/>
                <w:szCs w:val="21"/>
              </w:rPr>
              <w:fldChar w:fldCharType="begin"/>
            </w:r>
            <w:r>
              <w:rPr>
                <w:rFonts w:hint="default" w:ascii="Times New Roman" w:hAnsi="Times New Roman" w:eastAsia="宋体" w:cs="Times New Roman"/>
                <w:b/>
                <w:bCs/>
                <w:snapToGrid w:val="0"/>
                <w:color w:val="auto"/>
                <w:spacing w:val="-6"/>
                <w:kern w:val="21"/>
                <w:szCs w:val="21"/>
              </w:rPr>
              <w:instrText xml:space="preserve"> = 1 \* GB3 \* MERGEFORMAT </w:instrText>
            </w:r>
            <w:r>
              <w:rPr>
                <w:rFonts w:hint="default" w:ascii="Times New Roman" w:hAnsi="Times New Roman" w:eastAsia="宋体" w:cs="Times New Roman"/>
                <w:b/>
                <w:bCs/>
                <w:snapToGrid w:val="0"/>
                <w:color w:val="auto"/>
                <w:spacing w:val="-6"/>
                <w:kern w:val="21"/>
                <w:szCs w:val="21"/>
              </w:rPr>
              <w:fldChar w:fldCharType="separate"/>
            </w:r>
            <w:r>
              <w:rPr>
                <w:rFonts w:hint="default" w:ascii="Times New Roman" w:hAnsi="Times New Roman" w:eastAsia="宋体" w:cs="Times New Roman"/>
                <w:b/>
                <w:bCs/>
                <w:color w:val="auto"/>
                <w:kern w:val="2"/>
                <w:szCs w:val="21"/>
              </w:rPr>
              <w:t>①</w:t>
            </w:r>
            <w:r>
              <w:rPr>
                <w:rFonts w:hint="default" w:ascii="Times New Roman" w:hAnsi="Times New Roman" w:eastAsia="宋体" w:cs="Times New Roman"/>
                <w:b/>
                <w:bCs/>
                <w:snapToGrid w:val="0"/>
                <w:color w:val="auto"/>
                <w:spacing w:val="-6"/>
                <w:kern w:val="21"/>
                <w:szCs w:val="21"/>
              </w:rPr>
              <w:fldChar w:fldCharType="end"/>
            </w:r>
          </w:p>
        </w:tc>
        <w:tc>
          <w:tcPr>
            <w:tcW w:w="1276" w:type="dxa"/>
            <w:tcMar>
              <w:left w:w="28" w:type="dxa"/>
              <w:right w:w="28" w:type="dxa"/>
            </w:tcMar>
            <w:vAlign w:val="center"/>
          </w:tcPr>
          <w:p w14:paraId="5CE416FC">
            <w:pPr>
              <w:pStyle w:val="61"/>
              <w:spacing w:beforeLines="0" w:afterLines="0" w:line="260" w:lineRule="exact"/>
              <w:rPr>
                <w:rFonts w:hint="default" w:ascii="Times New Roman" w:hAnsi="Times New Roman" w:eastAsia="宋体" w:cs="Times New Roman"/>
                <w:b/>
                <w:bCs/>
                <w:snapToGrid w:val="0"/>
                <w:color w:val="auto"/>
                <w:spacing w:val="-6"/>
                <w:kern w:val="21"/>
                <w:szCs w:val="21"/>
              </w:rPr>
            </w:pPr>
            <w:r>
              <w:rPr>
                <w:rFonts w:hint="default" w:ascii="Times New Roman" w:hAnsi="Times New Roman" w:eastAsia="宋体" w:cs="Times New Roman"/>
                <w:b/>
                <w:bCs/>
                <w:snapToGrid w:val="0"/>
                <w:color w:val="auto"/>
                <w:spacing w:val="-6"/>
                <w:kern w:val="21"/>
                <w:szCs w:val="21"/>
              </w:rPr>
              <w:t>现有工程</w:t>
            </w:r>
          </w:p>
          <w:p w14:paraId="3552BB28">
            <w:pPr>
              <w:pStyle w:val="61"/>
              <w:spacing w:beforeLines="0" w:afterLines="0" w:line="260" w:lineRule="exact"/>
              <w:rPr>
                <w:rFonts w:hint="default" w:ascii="Times New Roman" w:hAnsi="Times New Roman" w:eastAsia="宋体" w:cs="Times New Roman"/>
                <w:b/>
                <w:bCs/>
                <w:snapToGrid w:val="0"/>
                <w:color w:val="auto"/>
                <w:spacing w:val="-6"/>
                <w:kern w:val="21"/>
                <w:szCs w:val="21"/>
              </w:rPr>
            </w:pPr>
            <w:r>
              <w:rPr>
                <w:rFonts w:hint="default" w:ascii="Times New Roman" w:hAnsi="Times New Roman" w:eastAsia="宋体" w:cs="Times New Roman"/>
                <w:b/>
                <w:bCs/>
                <w:snapToGrid w:val="0"/>
                <w:color w:val="auto"/>
                <w:spacing w:val="-6"/>
                <w:kern w:val="21"/>
                <w:szCs w:val="21"/>
              </w:rPr>
              <w:t>许可排放量</w:t>
            </w:r>
          </w:p>
          <w:p w14:paraId="41E2BFCD">
            <w:pPr>
              <w:pStyle w:val="61"/>
              <w:spacing w:beforeLines="0" w:afterLines="0" w:line="260" w:lineRule="exact"/>
              <w:rPr>
                <w:rFonts w:hint="default" w:ascii="Times New Roman" w:hAnsi="Times New Roman" w:eastAsia="宋体" w:cs="Times New Roman"/>
                <w:b/>
                <w:bCs/>
                <w:snapToGrid w:val="0"/>
                <w:color w:val="auto"/>
                <w:spacing w:val="-6"/>
                <w:kern w:val="21"/>
                <w:szCs w:val="21"/>
              </w:rPr>
            </w:pPr>
            <w:r>
              <w:rPr>
                <w:rFonts w:hint="default" w:ascii="Times New Roman" w:hAnsi="Times New Roman" w:eastAsia="宋体" w:cs="Times New Roman"/>
                <w:b/>
                <w:bCs/>
                <w:snapToGrid w:val="0"/>
                <w:color w:val="auto"/>
                <w:spacing w:val="-6"/>
                <w:kern w:val="21"/>
                <w:szCs w:val="21"/>
              </w:rPr>
              <w:fldChar w:fldCharType="begin"/>
            </w:r>
            <w:r>
              <w:rPr>
                <w:rFonts w:hint="default" w:ascii="Times New Roman" w:hAnsi="Times New Roman" w:eastAsia="宋体" w:cs="Times New Roman"/>
                <w:b/>
                <w:bCs/>
                <w:snapToGrid w:val="0"/>
                <w:color w:val="auto"/>
                <w:spacing w:val="-6"/>
                <w:kern w:val="21"/>
                <w:szCs w:val="21"/>
              </w:rPr>
              <w:instrText xml:space="preserve"> = 2 \* GB3 \* MERGEFORMAT </w:instrText>
            </w:r>
            <w:r>
              <w:rPr>
                <w:rFonts w:hint="default" w:ascii="Times New Roman" w:hAnsi="Times New Roman" w:eastAsia="宋体" w:cs="Times New Roman"/>
                <w:b/>
                <w:bCs/>
                <w:snapToGrid w:val="0"/>
                <w:color w:val="auto"/>
                <w:spacing w:val="-6"/>
                <w:kern w:val="21"/>
                <w:szCs w:val="21"/>
              </w:rPr>
              <w:fldChar w:fldCharType="separate"/>
            </w:r>
            <w:r>
              <w:rPr>
                <w:rFonts w:hint="default" w:ascii="Times New Roman" w:hAnsi="Times New Roman" w:eastAsia="宋体" w:cs="Times New Roman"/>
                <w:b/>
                <w:bCs/>
                <w:snapToGrid w:val="0"/>
                <w:color w:val="auto"/>
                <w:spacing w:val="-6"/>
                <w:kern w:val="21"/>
                <w:szCs w:val="21"/>
              </w:rPr>
              <w:t>②</w:t>
            </w:r>
            <w:r>
              <w:rPr>
                <w:rFonts w:hint="default" w:ascii="Times New Roman" w:hAnsi="Times New Roman" w:eastAsia="宋体" w:cs="Times New Roman"/>
                <w:b/>
                <w:bCs/>
                <w:snapToGrid w:val="0"/>
                <w:color w:val="auto"/>
                <w:spacing w:val="-6"/>
                <w:kern w:val="21"/>
                <w:szCs w:val="21"/>
              </w:rPr>
              <w:fldChar w:fldCharType="end"/>
            </w:r>
          </w:p>
        </w:tc>
        <w:tc>
          <w:tcPr>
            <w:tcW w:w="1701" w:type="dxa"/>
            <w:tcMar>
              <w:left w:w="28" w:type="dxa"/>
              <w:right w:w="28" w:type="dxa"/>
            </w:tcMar>
            <w:vAlign w:val="center"/>
          </w:tcPr>
          <w:p w14:paraId="32E5063F">
            <w:pPr>
              <w:pStyle w:val="61"/>
              <w:spacing w:beforeLines="0" w:afterLines="0" w:line="260" w:lineRule="exact"/>
              <w:rPr>
                <w:rFonts w:hint="default" w:ascii="Times New Roman" w:hAnsi="Times New Roman" w:eastAsia="宋体" w:cs="Times New Roman"/>
                <w:b/>
                <w:bCs/>
                <w:snapToGrid w:val="0"/>
                <w:color w:val="auto"/>
                <w:spacing w:val="-6"/>
                <w:kern w:val="21"/>
                <w:szCs w:val="21"/>
              </w:rPr>
            </w:pPr>
            <w:r>
              <w:rPr>
                <w:rFonts w:hint="default" w:ascii="Times New Roman" w:hAnsi="Times New Roman" w:eastAsia="宋体" w:cs="Times New Roman"/>
                <w:b/>
                <w:bCs/>
                <w:snapToGrid w:val="0"/>
                <w:color w:val="auto"/>
                <w:spacing w:val="-6"/>
                <w:kern w:val="21"/>
                <w:szCs w:val="21"/>
              </w:rPr>
              <w:t>在建工程</w:t>
            </w:r>
          </w:p>
          <w:p w14:paraId="172D7282">
            <w:pPr>
              <w:pStyle w:val="61"/>
              <w:spacing w:beforeLines="0" w:afterLines="0" w:line="260" w:lineRule="exact"/>
              <w:rPr>
                <w:rFonts w:hint="default" w:ascii="Times New Roman" w:hAnsi="Times New Roman" w:eastAsia="宋体" w:cs="Times New Roman"/>
                <w:b/>
                <w:bCs/>
                <w:snapToGrid w:val="0"/>
                <w:color w:val="auto"/>
                <w:spacing w:val="-6"/>
                <w:kern w:val="21"/>
                <w:szCs w:val="21"/>
              </w:rPr>
            </w:pPr>
            <w:r>
              <w:rPr>
                <w:rFonts w:hint="default" w:ascii="Times New Roman" w:hAnsi="Times New Roman" w:eastAsia="宋体" w:cs="Times New Roman"/>
                <w:b/>
                <w:bCs/>
                <w:snapToGrid w:val="0"/>
                <w:color w:val="auto"/>
                <w:spacing w:val="-6"/>
                <w:kern w:val="21"/>
                <w:szCs w:val="21"/>
              </w:rPr>
              <w:t>排放量（固体废物产生量）</w:t>
            </w:r>
            <w:r>
              <w:rPr>
                <w:rFonts w:hint="default" w:ascii="Times New Roman" w:hAnsi="Times New Roman" w:eastAsia="宋体" w:cs="Times New Roman"/>
                <w:b/>
                <w:bCs/>
                <w:snapToGrid w:val="0"/>
                <w:color w:val="auto"/>
                <w:spacing w:val="-6"/>
                <w:kern w:val="21"/>
                <w:szCs w:val="21"/>
              </w:rPr>
              <w:fldChar w:fldCharType="begin"/>
            </w:r>
            <w:r>
              <w:rPr>
                <w:rFonts w:hint="default" w:ascii="Times New Roman" w:hAnsi="Times New Roman" w:eastAsia="宋体" w:cs="Times New Roman"/>
                <w:b/>
                <w:bCs/>
                <w:snapToGrid w:val="0"/>
                <w:color w:val="auto"/>
                <w:spacing w:val="-6"/>
                <w:kern w:val="21"/>
                <w:szCs w:val="21"/>
              </w:rPr>
              <w:instrText xml:space="preserve"> = 3 \* GB3 \* MERGEFORMAT </w:instrText>
            </w:r>
            <w:r>
              <w:rPr>
                <w:rFonts w:hint="default" w:ascii="Times New Roman" w:hAnsi="Times New Roman" w:eastAsia="宋体" w:cs="Times New Roman"/>
                <w:b/>
                <w:bCs/>
                <w:snapToGrid w:val="0"/>
                <w:color w:val="auto"/>
                <w:spacing w:val="-6"/>
                <w:kern w:val="21"/>
                <w:szCs w:val="21"/>
              </w:rPr>
              <w:fldChar w:fldCharType="separate"/>
            </w:r>
            <w:r>
              <w:rPr>
                <w:rFonts w:hint="default" w:ascii="Times New Roman" w:hAnsi="Times New Roman" w:eastAsia="宋体" w:cs="Times New Roman"/>
                <w:b/>
                <w:bCs/>
                <w:color w:val="auto"/>
                <w:kern w:val="2"/>
                <w:szCs w:val="21"/>
              </w:rPr>
              <w:t>③</w:t>
            </w:r>
            <w:r>
              <w:rPr>
                <w:rFonts w:hint="default" w:ascii="Times New Roman" w:hAnsi="Times New Roman" w:eastAsia="宋体" w:cs="Times New Roman"/>
                <w:b/>
                <w:bCs/>
                <w:snapToGrid w:val="0"/>
                <w:color w:val="auto"/>
                <w:spacing w:val="-6"/>
                <w:kern w:val="21"/>
                <w:szCs w:val="21"/>
              </w:rPr>
              <w:fldChar w:fldCharType="end"/>
            </w:r>
          </w:p>
        </w:tc>
        <w:tc>
          <w:tcPr>
            <w:tcW w:w="1559" w:type="dxa"/>
            <w:tcMar>
              <w:left w:w="28" w:type="dxa"/>
              <w:right w:w="28" w:type="dxa"/>
            </w:tcMar>
            <w:vAlign w:val="center"/>
          </w:tcPr>
          <w:p w14:paraId="458EB3FA">
            <w:pPr>
              <w:pStyle w:val="61"/>
              <w:spacing w:beforeLines="0" w:afterLines="0" w:line="260" w:lineRule="exact"/>
              <w:rPr>
                <w:rFonts w:hint="default" w:ascii="Times New Roman" w:hAnsi="Times New Roman" w:eastAsia="宋体" w:cs="Times New Roman"/>
                <w:b/>
                <w:bCs/>
                <w:snapToGrid w:val="0"/>
                <w:color w:val="auto"/>
                <w:spacing w:val="-6"/>
                <w:kern w:val="21"/>
                <w:szCs w:val="21"/>
              </w:rPr>
            </w:pPr>
            <w:r>
              <w:rPr>
                <w:rFonts w:hint="default" w:ascii="Times New Roman" w:hAnsi="Times New Roman" w:eastAsia="宋体" w:cs="Times New Roman"/>
                <w:b/>
                <w:bCs/>
                <w:snapToGrid w:val="0"/>
                <w:color w:val="auto"/>
                <w:spacing w:val="-6"/>
                <w:kern w:val="21"/>
                <w:szCs w:val="21"/>
              </w:rPr>
              <w:t>本项目</w:t>
            </w:r>
          </w:p>
          <w:p w14:paraId="0E9B53FE">
            <w:pPr>
              <w:pStyle w:val="61"/>
              <w:spacing w:beforeLines="0" w:afterLines="0" w:line="260" w:lineRule="exact"/>
              <w:rPr>
                <w:rFonts w:hint="default" w:ascii="Times New Roman" w:hAnsi="Times New Roman" w:eastAsia="宋体" w:cs="Times New Roman"/>
                <w:b/>
                <w:bCs/>
                <w:snapToGrid w:val="0"/>
                <w:color w:val="auto"/>
                <w:spacing w:val="-6"/>
                <w:kern w:val="21"/>
                <w:szCs w:val="21"/>
              </w:rPr>
            </w:pPr>
            <w:r>
              <w:rPr>
                <w:rFonts w:hint="default" w:ascii="Times New Roman" w:hAnsi="Times New Roman" w:eastAsia="宋体" w:cs="Times New Roman"/>
                <w:b/>
                <w:bCs/>
                <w:snapToGrid w:val="0"/>
                <w:color w:val="auto"/>
                <w:spacing w:val="-6"/>
                <w:kern w:val="21"/>
                <w:szCs w:val="21"/>
              </w:rPr>
              <w:t>排放量（固体废物产生量）</w:t>
            </w:r>
            <w:r>
              <w:rPr>
                <w:rFonts w:hint="default" w:ascii="Times New Roman" w:hAnsi="Times New Roman" w:eastAsia="宋体" w:cs="Times New Roman"/>
                <w:b/>
                <w:bCs/>
                <w:snapToGrid w:val="0"/>
                <w:color w:val="auto"/>
                <w:spacing w:val="-6"/>
                <w:kern w:val="21"/>
                <w:szCs w:val="21"/>
              </w:rPr>
              <w:fldChar w:fldCharType="begin"/>
            </w:r>
            <w:r>
              <w:rPr>
                <w:rFonts w:hint="default" w:ascii="Times New Roman" w:hAnsi="Times New Roman" w:eastAsia="宋体" w:cs="Times New Roman"/>
                <w:b/>
                <w:bCs/>
                <w:snapToGrid w:val="0"/>
                <w:color w:val="auto"/>
                <w:spacing w:val="-6"/>
                <w:kern w:val="21"/>
                <w:szCs w:val="21"/>
              </w:rPr>
              <w:instrText xml:space="preserve"> = 4 \* GB3 \* MERGEFORMAT </w:instrText>
            </w:r>
            <w:r>
              <w:rPr>
                <w:rFonts w:hint="default" w:ascii="Times New Roman" w:hAnsi="Times New Roman" w:eastAsia="宋体" w:cs="Times New Roman"/>
                <w:b/>
                <w:bCs/>
                <w:snapToGrid w:val="0"/>
                <w:color w:val="auto"/>
                <w:spacing w:val="-6"/>
                <w:kern w:val="21"/>
                <w:szCs w:val="21"/>
              </w:rPr>
              <w:fldChar w:fldCharType="separate"/>
            </w:r>
            <w:r>
              <w:rPr>
                <w:rFonts w:hint="default" w:ascii="Times New Roman" w:hAnsi="Times New Roman" w:eastAsia="宋体" w:cs="Times New Roman"/>
                <w:b/>
                <w:bCs/>
                <w:color w:val="auto"/>
                <w:kern w:val="2"/>
                <w:szCs w:val="21"/>
              </w:rPr>
              <w:t>④</w:t>
            </w:r>
            <w:r>
              <w:rPr>
                <w:rFonts w:hint="default" w:ascii="Times New Roman" w:hAnsi="Times New Roman" w:eastAsia="宋体" w:cs="Times New Roman"/>
                <w:b/>
                <w:bCs/>
                <w:snapToGrid w:val="0"/>
                <w:color w:val="auto"/>
                <w:spacing w:val="-6"/>
                <w:kern w:val="21"/>
                <w:szCs w:val="21"/>
              </w:rPr>
              <w:fldChar w:fldCharType="end"/>
            </w:r>
          </w:p>
        </w:tc>
        <w:tc>
          <w:tcPr>
            <w:tcW w:w="1521" w:type="dxa"/>
            <w:tcMar>
              <w:left w:w="28" w:type="dxa"/>
              <w:right w:w="28" w:type="dxa"/>
            </w:tcMar>
            <w:vAlign w:val="center"/>
          </w:tcPr>
          <w:p w14:paraId="77F1E666">
            <w:pPr>
              <w:pStyle w:val="61"/>
              <w:spacing w:beforeLines="0" w:afterLines="0" w:line="260" w:lineRule="exact"/>
              <w:rPr>
                <w:rFonts w:hint="default" w:ascii="Times New Roman" w:hAnsi="Times New Roman" w:eastAsia="宋体" w:cs="Times New Roman"/>
                <w:b/>
                <w:bCs/>
                <w:snapToGrid w:val="0"/>
                <w:color w:val="auto"/>
                <w:spacing w:val="-16"/>
                <w:kern w:val="21"/>
                <w:szCs w:val="21"/>
              </w:rPr>
            </w:pPr>
            <w:r>
              <w:rPr>
                <w:rFonts w:hint="default" w:ascii="Times New Roman" w:hAnsi="Times New Roman" w:eastAsia="宋体" w:cs="Times New Roman"/>
                <w:b/>
                <w:bCs/>
                <w:snapToGrid w:val="0"/>
                <w:color w:val="auto"/>
                <w:spacing w:val="-16"/>
                <w:kern w:val="21"/>
                <w:szCs w:val="21"/>
              </w:rPr>
              <w:t>以新带老削减量</w:t>
            </w:r>
          </w:p>
          <w:p w14:paraId="1620E0ED">
            <w:pPr>
              <w:pStyle w:val="61"/>
              <w:spacing w:beforeLines="0" w:afterLines="0" w:line="260" w:lineRule="exact"/>
              <w:rPr>
                <w:rFonts w:hint="default" w:ascii="Times New Roman" w:hAnsi="Times New Roman" w:eastAsia="宋体" w:cs="Times New Roman"/>
                <w:b/>
                <w:bCs/>
                <w:snapToGrid w:val="0"/>
                <w:color w:val="auto"/>
                <w:spacing w:val="-16"/>
                <w:kern w:val="21"/>
                <w:szCs w:val="21"/>
              </w:rPr>
            </w:pPr>
            <w:r>
              <w:rPr>
                <w:rFonts w:hint="default" w:ascii="Times New Roman" w:hAnsi="Times New Roman" w:eastAsia="宋体" w:cs="Times New Roman"/>
                <w:b/>
                <w:bCs/>
                <w:snapToGrid w:val="0"/>
                <w:color w:val="auto"/>
                <w:spacing w:val="-16"/>
                <w:kern w:val="21"/>
                <w:szCs w:val="21"/>
              </w:rPr>
              <w:t>（新建项目不填）</w:t>
            </w:r>
            <w:r>
              <w:rPr>
                <w:rFonts w:hint="default" w:ascii="Times New Roman" w:hAnsi="Times New Roman" w:eastAsia="宋体" w:cs="Times New Roman"/>
                <w:b/>
                <w:bCs/>
                <w:snapToGrid w:val="0"/>
                <w:color w:val="auto"/>
                <w:spacing w:val="-16"/>
                <w:kern w:val="21"/>
                <w:szCs w:val="21"/>
              </w:rPr>
              <w:fldChar w:fldCharType="begin"/>
            </w:r>
            <w:r>
              <w:rPr>
                <w:rFonts w:hint="default" w:ascii="Times New Roman" w:hAnsi="Times New Roman" w:eastAsia="宋体" w:cs="Times New Roman"/>
                <w:b/>
                <w:bCs/>
                <w:snapToGrid w:val="0"/>
                <w:color w:val="auto"/>
                <w:spacing w:val="-16"/>
                <w:kern w:val="21"/>
                <w:szCs w:val="21"/>
              </w:rPr>
              <w:instrText xml:space="preserve"> = 5 \* GB3 \* MERGEFORMAT </w:instrText>
            </w:r>
            <w:r>
              <w:rPr>
                <w:rFonts w:hint="default" w:ascii="Times New Roman" w:hAnsi="Times New Roman" w:eastAsia="宋体" w:cs="Times New Roman"/>
                <w:b/>
                <w:bCs/>
                <w:snapToGrid w:val="0"/>
                <w:color w:val="auto"/>
                <w:spacing w:val="-16"/>
                <w:kern w:val="21"/>
                <w:szCs w:val="21"/>
              </w:rPr>
              <w:fldChar w:fldCharType="separate"/>
            </w:r>
            <w:r>
              <w:rPr>
                <w:rFonts w:hint="default" w:ascii="Times New Roman" w:hAnsi="Times New Roman" w:eastAsia="宋体" w:cs="Times New Roman"/>
                <w:b/>
                <w:bCs/>
                <w:color w:val="auto"/>
                <w:kern w:val="2"/>
                <w:szCs w:val="21"/>
              </w:rPr>
              <w:t>⑤</w:t>
            </w:r>
            <w:r>
              <w:rPr>
                <w:rFonts w:hint="default" w:ascii="Times New Roman" w:hAnsi="Times New Roman" w:eastAsia="宋体" w:cs="Times New Roman"/>
                <w:b/>
                <w:bCs/>
                <w:snapToGrid w:val="0"/>
                <w:color w:val="auto"/>
                <w:spacing w:val="-16"/>
                <w:kern w:val="21"/>
                <w:szCs w:val="21"/>
              </w:rPr>
              <w:fldChar w:fldCharType="end"/>
            </w:r>
          </w:p>
        </w:tc>
        <w:tc>
          <w:tcPr>
            <w:tcW w:w="1985" w:type="dxa"/>
            <w:tcMar>
              <w:left w:w="28" w:type="dxa"/>
              <w:right w:w="28" w:type="dxa"/>
            </w:tcMar>
            <w:vAlign w:val="center"/>
          </w:tcPr>
          <w:p w14:paraId="06619FF8">
            <w:pPr>
              <w:pStyle w:val="61"/>
              <w:spacing w:beforeLines="0" w:afterLines="0" w:line="260" w:lineRule="exact"/>
              <w:rPr>
                <w:rFonts w:hint="default" w:ascii="Times New Roman" w:hAnsi="Times New Roman" w:eastAsia="宋体" w:cs="Times New Roman"/>
                <w:b/>
                <w:bCs/>
                <w:snapToGrid w:val="0"/>
                <w:color w:val="auto"/>
                <w:spacing w:val="-16"/>
                <w:kern w:val="21"/>
                <w:szCs w:val="21"/>
              </w:rPr>
            </w:pPr>
            <w:r>
              <w:rPr>
                <w:rFonts w:hint="default" w:ascii="Times New Roman" w:hAnsi="Times New Roman" w:eastAsia="宋体" w:cs="Times New Roman"/>
                <w:b/>
                <w:bCs/>
                <w:snapToGrid w:val="0"/>
                <w:color w:val="auto"/>
                <w:spacing w:val="-16"/>
                <w:kern w:val="21"/>
                <w:szCs w:val="21"/>
              </w:rPr>
              <w:t>本项目建成后</w:t>
            </w:r>
          </w:p>
          <w:p w14:paraId="6A42A596">
            <w:pPr>
              <w:pStyle w:val="61"/>
              <w:spacing w:beforeLines="0" w:afterLines="0" w:line="260" w:lineRule="exact"/>
              <w:rPr>
                <w:rFonts w:hint="default" w:ascii="Times New Roman" w:hAnsi="Times New Roman" w:eastAsia="宋体" w:cs="Times New Roman"/>
                <w:b/>
                <w:bCs/>
                <w:snapToGrid w:val="0"/>
                <w:color w:val="auto"/>
                <w:spacing w:val="-16"/>
                <w:kern w:val="21"/>
                <w:szCs w:val="21"/>
              </w:rPr>
            </w:pPr>
            <w:r>
              <w:rPr>
                <w:rFonts w:hint="default" w:ascii="Times New Roman" w:hAnsi="Times New Roman" w:eastAsia="宋体" w:cs="Times New Roman"/>
                <w:b/>
                <w:bCs/>
                <w:snapToGrid w:val="0"/>
                <w:color w:val="auto"/>
                <w:spacing w:val="-16"/>
                <w:kern w:val="21"/>
                <w:szCs w:val="21"/>
              </w:rPr>
              <w:t>全厂排放量（固体废物产生量）</w:t>
            </w:r>
            <w:r>
              <w:rPr>
                <w:rFonts w:hint="default" w:ascii="Times New Roman" w:hAnsi="Times New Roman" w:eastAsia="宋体" w:cs="Times New Roman"/>
                <w:b/>
                <w:bCs/>
                <w:snapToGrid w:val="0"/>
                <w:color w:val="auto"/>
                <w:spacing w:val="-16"/>
                <w:kern w:val="21"/>
                <w:szCs w:val="21"/>
              </w:rPr>
              <w:fldChar w:fldCharType="begin"/>
            </w:r>
            <w:r>
              <w:rPr>
                <w:rFonts w:hint="default" w:ascii="Times New Roman" w:hAnsi="Times New Roman" w:eastAsia="宋体" w:cs="Times New Roman"/>
                <w:b/>
                <w:bCs/>
                <w:snapToGrid w:val="0"/>
                <w:color w:val="auto"/>
                <w:spacing w:val="-16"/>
                <w:kern w:val="21"/>
                <w:szCs w:val="21"/>
              </w:rPr>
              <w:instrText xml:space="preserve"> = 6 \* GB3 \* MERGEFORMAT </w:instrText>
            </w:r>
            <w:r>
              <w:rPr>
                <w:rFonts w:hint="default" w:ascii="Times New Roman" w:hAnsi="Times New Roman" w:eastAsia="宋体" w:cs="Times New Roman"/>
                <w:b/>
                <w:bCs/>
                <w:snapToGrid w:val="0"/>
                <w:color w:val="auto"/>
                <w:spacing w:val="-16"/>
                <w:kern w:val="21"/>
                <w:szCs w:val="21"/>
              </w:rPr>
              <w:fldChar w:fldCharType="separate"/>
            </w:r>
            <w:r>
              <w:rPr>
                <w:rFonts w:hint="default" w:ascii="Times New Roman" w:hAnsi="Times New Roman" w:eastAsia="宋体" w:cs="Times New Roman"/>
                <w:b/>
                <w:bCs/>
                <w:color w:val="auto"/>
                <w:kern w:val="2"/>
                <w:szCs w:val="21"/>
              </w:rPr>
              <w:t>⑥</w:t>
            </w:r>
            <w:r>
              <w:rPr>
                <w:rFonts w:hint="default" w:ascii="Times New Roman" w:hAnsi="Times New Roman" w:eastAsia="宋体" w:cs="Times New Roman"/>
                <w:b/>
                <w:bCs/>
                <w:snapToGrid w:val="0"/>
                <w:color w:val="auto"/>
                <w:spacing w:val="-16"/>
                <w:kern w:val="21"/>
                <w:szCs w:val="21"/>
              </w:rPr>
              <w:fldChar w:fldCharType="end"/>
            </w:r>
          </w:p>
        </w:tc>
        <w:tc>
          <w:tcPr>
            <w:tcW w:w="1040" w:type="dxa"/>
            <w:tcMar>
              <w:left w:w="28" w:type="dxa"/>
              <w:right w:w="28" w:type="dxa"/>
            </w:tcMar>
            <w:vAlign w:val="center"/>
          </w:tcPr>
          <w:p w14:paraId="19D76A0C">
            <w:pPr>
              <w:pStyle w:val="61"/>
              <w:spacing w:beforeLines="0" w:afterLines="0" w:line="260" w:lineRule="exact"/>
              <w:rPr>
                <w:rFonts w:hint="default" w:ascii="Times New Roman" w:hAnsi="Times New Roman" w:eastAsia="宋体" w:cs="Times New Roman"/>
                <w:b/>
                <w:bCs/>
                <w:snapToGrid w:val="0"/>
                <w:color w:val="auto"/>
                <w:spacing w:val="-6"/>
                <w:kern w:val="21"/>
                <w:szCs w:val="21"/>
              </w:rPr>
            </w:pPr>
            <w:r>
              <w:rPr>
                <w:rFonts w:hint="default" w:ascii="Times New Roman" w:hAnsi="Times New Roman" w:eastAsia="宋体" w:cs="Times New Roman"/>
                <w:b/>
                <w:bCs/>
                <w:snapToGrid w:val="0"/>
                <w:color w:val="auto"/>
                <w:spacing w:val="-6"/>
                <w:kern w:val="21"/>
                <w:szCs w:val="21"/>
              </w:rPr>
              <w:t>变化量</w:t>
            </w:r>
          </w:p>
          <w:p w14:paraId="780C202E">
            <w:pPr>
              <w:pStyle w:val="61"/>
              <w:spacing w:beforeLines="0" w:afterLines="0" w:line="260" w:lineRule="exact"/>
              <w:rPr>
                <w:rFonts w:hint="eastAsia" w:ascii="黑体" w:hAnsi="黑体" w:eastAsia="黑体"/>
                <w:b/>
                <w:bCs/>
                <w:snapToGrid w:val="0"/>
                <w:color w:val="auto"/>
                <w:spacing w:val="-6"/>
                <w:kern w:val="21"/>
                <w:szCs w:val="21"/>
              </w:rPr>
            </w:pPr>
            <w:r>
              <w:rPr>
                <w:rFonts w:hint="default" w:ascii="Times New Roman" w:hAnsi="Times New Roman" w:eastAsia="宋体" w:cs="Times New Roman"/>
                <w:b/>
                <w:bCs/>
                <w:snapToGrid w:val="0"/>
                <w:color w:val="auto"/>
                <w:spacing w:val="-6"/>
                <w:kern w:val="21"/>
                <w:szCs w:val="21"/>
              </w:rPr>
              <w:fldChar w:fldCharType="begin"/>
            </w:r>
            <w:r>
              <w:rPr>
                <w:rFonts w:hint="default" w:ascii="Times New Roman" w:hAnsi="Times New Roman" w:eastAsia="宋体" w:cs="Times New Roman"/>
                <w:b/>
                <w:bCs/>
                <w:snapToGrid w:val="0"/>
                <w:color w:val="auto"/>
                <w:spacing w:val="-6"/>
                <w:kern w:val="21"/>
                <w:szCs w:val="21"/>
              </w:rPr>
              <w:instrText xml:space="preserve"> = 7 \* GB3 \* MERGEFORMAT </w:instrText>
            </w:r>
            <w:r>
              <w:rPr>
                <w:rFonts w:hint="default" w:ascii="Times New Roman" w:hAnsi="Times New Roman" w:eastAsia="宋体" w:cs="Times New Roman"/>
                <w:b/>
                <w:bCs/>
                <w:snapToGrid w:val="0"/>
                <w:color w:val="auto"/>
                <w:spacing w:val="-6"/>
                <w:kern w:val="21"/>
                <w:szCs w:val="21"/>
              </w:rPr>
              <w:fldChar w:fldCharType="separate"/>
            </w:r>
            <w:r>
              <w:rPr>
                <w:rFonts w:hint="default" w:ascii="Times New Roman" w:hAnsi="Times New Roman" w:eastAsia="宋体" w:cs="Times New Roman"/>
                <w:b/>
                <w:bCs/>
                <w:color w:val="auto"/>
                <w:kern w:val="2"/>
                <w:szCs w:val="21"/>
              </w:rPr>
              <w:t>⑦</w:t>
            </w:r>
            <w:r>
              <w:rPr>
                <w:rFonts w:hint="default" w:ascii="Times New Roman" w:hAnsi="Times New Roman" w:eastAsia="宋体" w:cs="Times New Roman"/>
                <w:b/>
                <w:bCs/>
                <w:snapToGrid w:val="0"/>
                <w:color w:val="auto"/>
                <w:spacing w:val="-6"/>
                <w:kern w:val="21"/>
                <w:szCs w:val="21"/>
              </w:rPr>
              <w:fldChar w:fldCharType="end"/>
            </w:r>
          </w:p>
        </w:tc>
      </w:tr>
      <w:tr w14:paraId="332B7C7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0" w:hRule="atLeast"/>
          <w:jc w:val="center"/>
        </w:trPr>
        <w:tc>
          <w:tcPr>
            <w:tcW w:w="1588" w:type="dxa"/>
            <w:vMerge w:val="restart"/>
            <w:vAlign w:val="center"/>
          </w:tcPr>
          <w:p w14:paraId="76AC81B0">
            <w:pPr>
              <w:pStyle w:val="61"/>
              <w:spacing w:beforeLines="0" w:afterLines="0" w:line="260" w:lineRule="exact"/>
              <w:jc w:val="center"/>
              <w:rPr>
                <w:rFonts w:hint="default" w:ascii="Times New Roman" w:hAnsi="Times New Roman" w:eastAsia="宋体" w:cs="Times New Roman"/>
                <w:snapToGrid w:val="0"/>
                <w:color w:val="auto"/>
                <w:spacing w:val="-6"/>
                <w:kern w:val="21"/>
                <w:szCs w:val="21"/>
              </w:rPr>
            </w:pPr>
            <w:r>
              <w:rPr>
                <w:rFonts w:hint="eastAsia" w:ascii="Times New Roman" w:hAnsi="Times New Roman" w:eastAsia="宋体" w:cs="Times New Roman"/>
                <w:snapToGrid w:val="0"/>
                <w:color w:val="auto"/>
                <w:spacing w:val="-6"/>
                <w:kern w:val="21"/>
                <w:szCs w:val="21"/>
              </w:rPr>
              <w:t>废气</w:t>
            </w:r>
          </w:p>
        </w:tc>
        <w:tc>
          <w:tcPr>
            <w:tcW w:w="1417" w:type="dxa"/>
            <w:vAlign w:val="center"/>
          </w:tcPr>
          <w:p w14:paraId="52F836C5">
            <w:pPr>
              <w:pStyle w:val="61"/>
              <w:spacing w:beforeLines="0" w:afterLines="0" w:line="260" w:lineRule="exact"/>
              <w:jc w:val="center"/>
              <w:rPr>
                <w:rFonts w:hint="default" w:ascii="Times New Roman" w:hAnsi="Times New Roman" w:eastAsia="宋体" w:cs="Times New Roman"/>
                <w:snapToGrid w:val="0"/>
                <w:color w:val="auto"/>
                <w:spacing w:val="-6"/>
                <w:kern w:val="21"/>
                <w:szCs w:val="21"/>
              </w:rPr>
            </w:pPr>
            <w:r>
              <w:rPr>
                <w:rFonts w:hint="eastAsia" w:cs="Times New Roman"/>
                <w:color w:val="auto"/>
                <w:lang w:eastAsia="zh-CN"/>
              </w:rPr>
              <w:t>挥发性有机物（以非甲烷总烃计）</w:t>
            </w:r>
          </w:p>
        </w:tc>
        <w:tc>
          <w:tcPr>
            <w:tcW w:w="1701" w:type="dxa"/>
            <w:vAlign w:val="center"/>
          </w:tcPr>
          <w:p w14:paraId="175A0AE5">
            <w:pPr>
              <w:spacing w:beforeLines="0" w:afterLines="0" w:line="260" w:lineRule="exact"/>
              <w:jc w:val="center"/>
              <w:rPr>
                <w:rFonts w:hint="eastAsia" w:ascii="Times New Roman" w:hAnsi="Times New Roman" w:eastAsia="宋体" w:cs="Times New Roman"/>
                <w:snapToGrid w:val="0"/>
                <w:color w:val="auto"/>
                <w:spacing w:val="-6"/>
                <w:kern w:val="21"/>
                <w:szCs w:val="21"/>
                <w:lang w:val="en-US" w:eastAsia="zh-CN"/>
              </w:rPr>
            </w:pPr>
            <w:r>
              <w:rPr>
                <w:rFonts w:hint="eastAsia" w:ascii="Times New Roman" w:cs="Times New Roman"/>
                <w:snapToGrid w:val="0"/>
                <w:color w:val="auto"/>
                <w:spacing w:val="-6"/>
                <w:kern w:val="21"/>
                <w:szCs w:val="21"/>
                <w:lang w:val="en-US" w:eastAsia="zh-CN"/>
              </w:rPr>
              <w:t>/</w:t>
            </w:r>
          </w:p>
        </w:tc>
        <w:tc>
          <w:tcPr>
            <w:tcW w:w="1276" w:type="dxa"/>
            <w:vAlign w:val="center"/>
          </w:tcPr>
          <w:p w14:paraId="7460B92C">
            <w:pPr>
              <w:spacing w:beforeLines="0" w:afterLines="0" w:line="260" w:lineRule="exact"/>
              <w:jc w:val="center"/>
              <w:rPr>
                <w:rFonts w:hint="default" w:ascii="Times New Roman" w:hAnsi="Times New Roman" w:eastAsia="宋体" w:cs="Times New Roman"/>
                <w:snapToGrid w:val="0"/>
                <w:color w:val="auto"/>
                <w:spacing w:val="-6"/>
                <w:kern w:val="21"/>
                <w:szCs w:val="21"/>
              </w:rPr>
            </w:pPr>
            <w:r>
              <w:rPr>
                <w:rFonts w:hint="eastAsia" w:ascii="Times New Roman" w:cs="Times New Roman"/>
                <w:snapToGrid w:val="0"/>
                <w:color w:val="auto"/>
                <w:spacing w:val="-6"/>
                <w:kern w:val="21"/>
                <w:szCs w:val="21"/>
                <w:lang w:val="en-US" w:eastAsia="zh-CN"/>
              </w:rPr>
              <w:t>/</w:t>
            </w:r>
          </w:p>
        </w:tc>
        <w:tc>
          <w:tcPr>
            <w:tcW w:w="1701" w:type="dxa"/>
            <w:vAlign w:val="center"/>
          </w:tcPr>
          <w:p w14:paraId="3DACBFDA">
            <w:pPr>
              <w:spacing w:beforeLines="0" w:afterLines="0" w:line="260" w:lineRule="exact"/>
              <w:jc w:val="center"/>
              <w:rPr>
                <w:rFonts w:hint="default" w:ascii="Times New Roman" w:hAnsi="Times New Roman" w:eastAsia="宋体" w:cs="Times New Roman"/>
                <w:snapToGrid w:val="0"/>
                <w:color w:val="auto"/>
                <w:spacing w:val="-6"/>
                <w:kern w:val="21"/>
                <w:szCs w:val="21"/>
              </w:rPr>
            </w:pPr>
            <w:r>
              <w:rPr>
                <w:rFonts w:hint="eastAsia" w:ascii="Times New Roman" w:cs="Times New Roman"/>
                <w:snapToGrid w:val="0"/>
                <w:color w:val="auto"/>
                <w:spacing w:val="-6"/>
                <w:kern w:val="21"/>
                <w:szCs w:val="21"/>
                <w:lang w:val="en-US" w:eastAsia="zh-CN"/>
              </w:rPr>
              <w:t>/</w:t>
            </w:r>
          </w:p>
        </w:tc>
        <w:tc>
          <w:tcPr>
            <w:tcW w:w="1559" w:type="dxa"/>
            <w:vAlign w:val="center"/>
          </w:tcPr>
          <w:p w14:paraId="2748D335">
            <w:pPr>
              <w:spacing w:beforeLines="0" w:afterLines="0" w:line="260" w:lineRule="exact"/>
              <w:jc w:val="center"/>
              <w:rPr>
                <w:rFonts w:hint="default" w:ascii="Times New Roman" w:hAnsi="Times New Roman" w:eastAsia="宋体" w:cs="Times New Roman"/>
                <w:snapToGrid w:val="0"/>
                <w:color w:val="auto"/>
                <w:spacing w:val="-6"/>
                <w:kern w:val="21"/>
                <w:szCs w:val="21"/>
                <w:lang w:val="en-US" w:eastAsia="zh-CN"/>
              </w:rPr>
            </w:pPr>
            <w:r>
              <w:rPr>
                <w:rFonts w:hint="eastAsia" w:cs="Times New Roman"/>
                <w:snapToGrid w:val="0"/>
                <w:color w:val="auto"/>
                <w:spacing w:val="-6"/>
                <w:kern w:val="21"/>
                <w:szCs w:val="21"/>
                <w:lang w:val="en-US" w:eastAsia="zh-CN"/>
              </w:rPr>
              <w:t>1.6908</w:t>
            </w:r>
            <w:r>
              <w:rPr>
                <w:rFonts w:hint="eastAsia" w:ascii="Times New Roman" w:hAnsi="Times New Roman" w:eastAsia="宋体" w:cs="Times New Roman"/>
                <w:snapToGrid w:val="0"/>
                <w:color w:val="auto"/>
                <w:spacing w:val="-6"/>
                <w:kern w:val="21"/>
                <w:szCs w:val="21"/>
                <w:lang w:val="en-US" w:eastAsia="zh-CN"/>
              </w:rPr>
              <w:t>t/a</w:t>
            </w:r>
          </w:p>
        </w:tc>
        <w:tc>
          <w:tcPr>
            <w:tcW w:w="1521" w:type="dxa"/>
            <w:vAlign w:val="center"/>
          </w:tcPr>
          <w:p w14:paraId="2FDB56E5">
            <w:pPr>
              <w:spacing w:beforeLines="0" w:afterLines="0" w:line="260" w:lineRule="exact"/>
              <w:jc w:val="center"/>
              <w:rPr>
                <w:rFonts w:hint="default" w:ascii="Times New Roman" w:hAnsi="Times New Roman" w:eastAsia="宋体" w:cs="Times New Roman"/>
                <w:snapToGrid w:val="0"/>
                <w:color w:val="auto"/>
                <w:spacing w:val="-6"/>
                <w:kern w:val="21"/>
                <w:szCs w:val="21"/>
                <w:lang w:val="en-US" w:eastAsia="zh-CN"/>
              </w:rPr>
            </w:pPr>
            <w:r>
              <w:rPr>
                <w:rFonts w:hint="eastAsia" w:ascii="Times New Roman" w:hAnsi="Times New Roman" w:eastAsia="宋体" w:cs="Times New Roman"/>
                <w:snapToGrid w:val="0"/>
                <w:color w:val="auto"/>
                <w:spacing w:val="-6"/>
                <w:kern w:val="21"/>
                <w:szCs w:val="21"/>
                <w:lang w:val="en-US" w:eastAsia="zh-CN"/>
              </w:rPr>
              <w:t>/</w:t>
            </w:r>
          </w:p>
        </w:tc>
        <w:tc>
          <w:tcPr>
            <w:tcW w:w="1985" w:type="dxa"/>
            <w:vAlign w:val="center"/>
          </w:tcPr>
          <w:p w14:paraId="0CA16357">
            <w:pPr>
              <w:spacing w:beforeLines="0" w:afterLines="0" w:line="260" w:lineRule="exact"/>
              <w:jc w:val="center"/>
              <w:rPr>
                <w:rFonts w:hint="default" w:ascii="Times New Roman" w:hAnsi="Times New Roman" w:eastAsia="宋体" w:cs="Times New Roman"/>
                <w:snapToGrid w:val="0"/>
                <w:color w:val="auto"/>
                <w:spacing w:val="-6"/>
                <w:kern w:val="21"/>
                <w:szCs w:val="21"/>
                <w:lang w:val="en-US" w:eastAsia="zh-CN"/>
              </w:rPr>
            </w:pPr>
            <w:r>
              <w:rPr>
                <w:rFonts w:hint="eastAsia" w:cs="Times New Roman"/>
                <w:snapToGrid w:val="0"/>
                <w:color w:val="auto"/>
                <w:spacing w:val="-6"/>
                <w:kern w:val="21"/>
                <w:szCs w:val="21"/>
                <w:lang w:val="en-US" w:eastAsia="zh-CN"/>
              </w:rPr>
              <w:t>1.6908</w:t>
            </w:r>
            <w:r>
              <w:rPr>
                <w:rFonts w:hint="eastAsia" w:ascii="Times New Roman" w:hAnsi="Times New Roman" w:eastAsia="宋体" w:cs="Times New Roman"/>
                <w:snapToGrid w:val="0"/>
                <w:color w:val="auto"/>
                <w:spacing w:val="-6"/>
                <w:kern w:val="21"/>
                <w:szCs w:val="21"/>
                <w:lang w:val="en-US" w:eastAsia="zh-CN"/>
              </w:rPr>
              <w:t>t/a</w:t>
            </w:r>
          </w:p>
        </w:tc>
        <w:tc>
          <w:tcPr>
            <w:tcW w:w="1040" w:type="dxa"/>
            <w:vAlign w:val="center"/>
          </w:tcPr>
          <w:p w14:paraId="266CB369">
            <w:pPr>
              <w:spacing w:beforeLines="0" w:afterLines="0" w:line="260" w:lineRule="exact"/>
              <w:jc w:val="center"/>
              <w:rPr>
                <w:rFonts w:hint="eastAsia" w:ascii="Times New Roman" w:hAnsi="Times New Roman" w:eastAsia="宋体" w:cs="Times New Roman"/>
                <w:snapToGrid w:val="0"/>
                <w:color w:val="auto"/>
                <w:spacing w:val="-6"/>
                <w:kern w:val="21"/>
                <w:szCs w:val="21"/>
                <w:lang w:val="en-US" w:eastAsia="zh-CN"/>
              </w:rPr>
            </w:pPr>
            <w:r>
              <w:rPr>
                <w:rFonts w:hint="eastAsia" w:ascii="Times New Roman" w:hAnsi="Times New Roman" w:eastAsia="宋体" w:cs="Times New Roman"/>
                <w:snapToGrid w:val="0"/>
                <w:color w:val="auto"/>
                <w:spacing w:val="-6"/>
                <w:kern w:val="21"/>
                <w:szCs w:val="21"/>
                <w:lang w:val="en-US" w:eastAsia="zh-CN"/>
              </w:rPr>
              <w:t>+</w:t>
            </w:r>
            <w:r>
              <w:rPr>
                <w:rFonts w:hint="eastAsia" w:cs="Times New Roman"/>
                <w:snapToGrid w:val="0"/>
                <w:color w:val="auto"/>
                <w:spacing w:val="-6"/>
                <w:kern w:val="21"/>
                <w:szCs w:val="21"/>
                <w:lang w:val="en-US" w:eastAsia="zh-CN"/>
              </w:rPr>
              <w:t>1.6908</w:t>
            </w:r>
            <w:r>
              <w:rPr>
                <w:rFonts w:hint="eastAsia" w:ascii="Times New Roman" w:hAnsi="Times New Roman" w:eastAsia="宋体" w:cs="Times New Roman"/>
                <w:snapToGrid w:val="0"/>
                <w:color w:val="auto"/>
                <w:spacing w:val="-6"/>
                <w:kern w:val="21"/>
                <w:szCs w:val="21"/>
                <w:lang w:val="en-US" w:eastAsia="zh-CN"/>
              </w:rPr>
              <w:t>t/a</w:t>
            </w:r>
          </w:p>
        </w:tc>
      </w:tr>
      <w:tr w14:paraId="241CFD8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0" w:hRule="atLeast"/>
          <w:jc w:val="center"/>
        </w:trPr>
        <w:tc>
          <w:tcPr>
            <w:tcW w:w="1588" w:type="dxa"/>
            <w:vMerge w:val="continue"/>
            <w:vAlign w:val="center"/>
          </w:tcPr>
          <w:p w14:paraId="2652B959">
            <w:pPr>
              <w:pStyle w:val="61"/>
              <w:spacing w:beforeLines="0" w:afterLines="0" w:line="260" w:lineRule="exact"/>
              <w:jc w:val="center"/>
              <w:rPr>
                <w:rFonts w:hint="default" w:ascii="Times New Roman" w:hAnsi="Times New Roman" w:eastAsia="宋体" w:cs="Times New Roman"/>
                <w:snapToGrid w:val="0"/>
                <w:color w:val="auto"/>
                <w:spacing w:val="-6"/>
                <w:kern w:val="21"/>
                <w:szCs w:val="21"/>
              </w:rPr>
            </w:pPr>
          </w:p>
        </w:tc>
        <w:tc>
          <w:tcPr>
            <w:tcW w:w="1417" w:type="dxa"/>
            <w:vAlign w:val="center"/>
          </w:tcPr>
          <w:p w14:paraId="4E9D562F">
            <w:pPr>
              <w:pStyle w:val="61"/>
              <w:spacing w:beforeLines="0" w:afterLines="0" w:line="260" w:lineRule="exact"/>
              <w:jc w:val="center"/>
              <w:rPr>
                <w:rFonts w:hint="eastAsia" w:ascii="Times New Roman" w:hAnsi="Times New Roman" w:eastAsia="宋体" w:cs="Times New Roman"/>
                <w:snapToGrid w:val="0"/>
                <w:color w:val="auto"/>
                <w:spacing w:val="-6"/>
                <w:kern w:val="21"/>
                <w:szCs w:val="21"/>
                <w:lang w:eastAsia="zh-CN"/>
              </w:rPr>
            </w:pPr>
            <w:r>
              <w:rPr>
                <w:rFonts w:hint="eastAsia" w:ascii="Times New Roman" w:cs="Times New Roman"/>
                <w:snapToGrid w:val="0"/>
                <w:color w:val="auto"/>
                <w:spacing w:val="-6"/>
                <w:kern w:val="21"/>
                <w:szCs w:val="21"/>
                <w:lang w:val="en-US" w:eastAsia="zh-CN"/>
              </w:rPr>
              <w:t>颗粒物</w:t>
            </w:r>
          </w:p>
        </w:tc>
        <w:tc>
          <w:tcPr>
            <w:tcW w:w="1701" w:type="dxa"/>
            <w:vAlign w:val="center"/>
          </w:tcPr>
          <w:p w14:paraId="05003486">
            <w:pPr>
              <w:spacing w:beforeLines="0" w:afterLines="0" w:line="260" w:lineRule="exact"/>
              <w:jc w:val="center"/>
              <w:rPr>
                <w:rFonts w:hint="default" w:ascii="Times New Roman" w:hAnsi="Times New Roman" w:eastAsia="宋体" w:cs="Times New Roman"/>
                <w:snapToGrid w:val="0"/>
                <w:color w:val="auto"/>
                <w:spacing w:val="-6"/>
                <w:kern w:val="21"/>
                <w:szCs w:val="21"/>
              </w:rPr>
            </w:pPr>
            <w:r>
              <w:rPr>
                <w:rFonts w:hint="eastAsia" w:ascii="Times New Roman" w:cs="Times New Roman"/>
                <w:snapToGrid w:val="0"/>
                <w:color w:val="auto"/>
                <w:spacing w:val="-6"/>
                <w:kern w:val="21"/>
                <w:szCs w:val="21"/>
                <w:lang w:val="en-US" w:eastAsia="zh-CN"/>
              </w:rPr>
              <w:t>/</w:t>
            </w:r>
          </w:p>
        </w:tc>
        <w:tc>
          <w:tcPr>
            <w:tcW w:w="1276" w:type="dxa"/>
            <w:vAlign w:val="center"/>
          </w:tcPr>
          <w:p w14:paraId="73EBBE49">
            <w:pPr>
              <w:spacing w:beforeLines="0" w:afterLines="0" w:line="260" w:lineRule="exact"/>
              <w:jc w:val="center"/>
              <w:rPr>
                <w:rFonts w:hint="default" w:ascii="Times New Roman" w:hAnsi="Times New Roman" w:eastAsia="宋体" w:cs="Times New Roman"/>
                <w:snapToGrid w:val="0"/>
                <w:color w:val="auto"/>
                <w:spacing w:val="-6"/>
                <w:kern w:val="21"/>
                <w:szCs w:val="21"/>
              </w:rPr>
            </w:pPr>
            <w:r>
              <w:rPr>
                <w:rFonts w:hint="eastAsia" w:ascii="Times New Roman" w:cs="Times New Roman"/>
                <w:snapToGrid w:val="0"/>
                <w:color w:val="auto"/>
                <w:spacing w:val="-6"/>
                <w:kern w:val="21"/>
                <w:szCs w:val="21"/>
                <w:lang w:val="en-US" w:eastAsia="zh-CN"/>
              </w:rPr>
              <w:t>/</w:t>
            </w:r>
          </w:p>
        </w:tc>
        <w:tc>
          <w:tcPr>
            <w:tcW w:w="1701" w:type="dxa"/>
            <w:vAlign w:val="center"/>
          </w:tcPr>
          <w:p w14:paraId="35EFECE8">
            <w:pPr>
              <w:spacing w:beforeLines="0" w:afterLines="0" w:line="260" w:lineRule="exact"/>
              <w:jc w:val="center"/>
              <w:rPr>
                <w:rFonts w:hint="default" w:ascii="Times New Roman" w:hAnsi="Times New Roman" w:eastAsia="宋体" w:cs="Times New Roman"/>
                <w:snapToGrid w:val="0"/>
                <w:color w:val="auto"/>
                <w:spacing w:val="-6"/>
                <w:kern w:val="21"/>
                <w:szCs w:val="21"/>
              </w:rPr>
            </w:pPr>
            <w:r>
              <w:rPr>
                <w:rFonts w:hint="eastAsia" w:ascii="Times New Roman" w:cs="Times New Roman"/>
                <w:snapToGrid w:val="0"/>
                <w:color w:val="auto"/>
                <w:spacing w:val="-6"/>
                <w:kern w:val="21"/>
                <w:szCs w:val="21"/>
                <w:lang w:val="en-US" w:eastAsia="zh-CN"/>
              </w:rPr>
              <w:t>/</w:t>
            </w:r>
          </w:p>
        </w:tc>
        <w:tc>
          <w:tcPr>
            <w:tcW w:w="1559" w:type="dxa"/>
            <w:vAlign w:val="center"/>
          </w:tcPr>
          <w:p w14:paraId="506059D2">
            <w:pPr>
              <w:pStyle w:val="61"/>
              <w:spacing w:beforeLines="0" w:afterLines="0" w:line="260" w:lineRule="exact"/>
              <w:jc w:val="center"/>
              <w:rPr>
                <w:rFonts w:hint="default" w:ascii="Times New Roman" w:hAnsi="Times New Roman" w:eastAsia="宋体" w:cs="Times New Roman"/>
                <w:snapToGrid w:val="0"/>
                <w:color w:val="auto"/>
                <w:spacing w:val="-6"/>
                <w:kern w:val="21"/>
                <w:szCs w:val="21"/>
                <w:lang w:val="en-US" w:eastAsia="zh-CN"/>
              </w:rPr>
            </w:pPr>
            <w:r>
              <w:rPr>
                <w:rFonts w:hint="eastAsia" w:ascii="Times New Roman" w:cs="Times New Roman"/>
                <w:snapToGrid w:val="0"/>
                <w:color w:val="auto"/>
                <w:spacing w:val="-6"/>
                <w:kern w:val="21"/>
                <w:szCs w:val="21"/>
                <w:lang w:val="en-US" w:eastAsia="zh-CN"/>
              </w:rPr>
              <w:t>0.016t/a</w:t>
            </w:r>
          </w:p>
        </w:tc>
        <w:tc>
          <w:tcPr>
            <w:tcW w:w="1521" w:type="dxa"/>
            <w:vAlign w:val="center"/>
          </w:tcPr>
          <w:p w14:paraId="1B62A974">
            <w:pPr>
              <w:spacing w:beforeLines="0" w:afterLines="0" w:line="260" w:lineRule="exact"/>
              <w:jc w:val="center"/>
              <w:rPr>
                <w:rFonts w:hint="default" w:ascii="Times New Roman" w:hAnsi="Times New Roman" w:eastAsia="宋体" w:cs="Times New Roman"/>
                <w:snapToGrid w:val="0"/>
                <w:color w:val="auto"/>
                <w:spacing w:val="-6"/>
                <w:kern w:val="21"/>
                <w:szCs w:val="21"/>
              </w:rPr>
            </w:pPr>
            <w:r>
              <w:rPr>
                <w:rFonts w:hint="eastAsia" w:ascii="Times New Roman" w:cs="Times New Roman"/>
                <w:snapToGrid w:val="0"/>
                <w:color w:val="auto"/>
                <w:spacing w:val="-6"/>
                <w:kern w:val="21"/>
                <w:szCs w:val="21"/>
                <w:lang w:val="en-US" w:eastAsia="zh-CN"/>
              </w:rPr>
              <w:t>/</w:t>
            </w:r>
          </w:p>
        </w:tc>
        <w:tc>
          <w:tcPr>
            <w:tcW w:w="1985" w:type="dxa"/>
            <w:vAlign w:val="center"/>
          </w:tcPr>
          <w:p w14:paraId="330B8AA7">
            <w:pPr>
              <w:pStyle w:val="61"/>
              <w:spacing w:beforeLines="0" w:afterLines="0" w:line="260" w:lineRule="exact"/>
              <w:jc w:val="center"/>
              <w:rPr>
                <w:rFonts w:hint="default" w:ascii="Times New Roman" w:hAnsi="Times New Roman" w:eastAsia="宋体" w:cs="Times New Roman"/>
                <w:snapToGrid w:val="0"/>
                <w:color w:val="auto"/>
                <w:spacing w:val="-6"/>
                <w:kern w:val="21"/>
                <w:szCs w:val="21"/>
              </w:rPr>
            </w:pPr>
            <w:r>
              <w:rPr>
                <w:rFonts w:hint="eastAsia" w:ascii="Times New Roman" w:cs="Times New Roman"/>
                <w:snapToGrid w:val="0"/>
                <w:color w:val="auto"/>
                <w:spacing w:val="-6"/>
                <w:kern w:val="21"/>
                <w:szCs w:val="21"/>
                <w:lang w:val="en-US" w:eastAsia="zh-CN"/>
              </w:rPr>
              <w:t>0.016tt/a</w:t>
            </w:r>
          </w:p>
        </w:tc>
        <w:tc>
          <w:tcPr>
            <w:tcW w:w="1040" w:type="dxa"/>
            <w:vAlign w:val="center"/>
          </w:tcPr>
          <w:p w14:paraId="5CD2F565">
            <w:pPr>
              <w:pStyle w:val="61"/>
              <w:spacing w:beforeLines="0" w:afterLines="0" w:line="260" w:lineRule="exact"/>
              <w:jc w:val="center"/>
              <w:rPr>
                <w:rFonts w:hint="eastAsia" w:ascii="Times New Roman" w:hAnsi="Times New Roman" w:eastAsia="宋体" w:cs="Times New Roman"/>
                <w:snapToGrid w:val="0"/>
                <w:color w:val="auto"/>
                <w:spacing w:val="-6"/>
                <w:kern w:val="21"/>
                <w:szCs w:val="21"/>
                <w:lang w:val="en-US" w:eastAsia="zh-CN"/>
              </w:rPr>
            </w:pPr>
            <w:r>
              <w:rPr>
                <w:rFonts w:hint="eastAsia" w:ascii="Times New Roman" w:cs="Times New Roman"/>
                <w:snapToGrid w:val="0"/>
                <w:color w:val="auto"/>
                <w:spacing w:val="-6"/>
                <w:kern w:val="21"/>
                <w:szCs w:val="21"/>
                <w:lang w:val="en-US" w:eastAsia="zh-CN"/>
              </w:rPr>
              <w:t>+0.016tt/a</w:t>
            </w:r>
          </w:p>
        </w:tc>
      </w:tr>
      <w:tr w14:paraId="027D5E9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55" w:hRule="atLeast"/>
          <w:jc w:val="center"/>
        </w:trPr>
        <w:tc>
          <w:tcPr>
            <w:tcW w:w="1588" w:type="dxa"/>
            <w:vMerge w:val="restart"/>
            <w:vAlign w:val="center"/>
          </w:tcPr>
          <w:p w14:paraId="07371C15">
            <w:pPr>
              <w:pStyle w:val="61"/>
              <w:spacing w:beforeLines="0" w:afterLines="0" w:line="260" w:lineRule="exact"/>
              <w:jc w:val="center"/>
              <w:rPr>
                <w:rFonts w:hint="default" w:ascii="Times New Roman" w:hAnsi="Times New Roman" w:eastAsia="宋体" w:cs="Times New Roman"/>
                <w:snapToGrid w:val="0"/>
                <w:color w:val="auto"/>
                <w:spacing w:val="-6"/>
                <w:kern w:val="21"/>
                <w:szCs w:val="21"/>
              </w:rPr>
            </w:pPr>
            <w:r>
              <w:rPr>
                <w:rFonts w:hint="eastAsia" w:ascii="Times New Roman" w:hAnsi="Times New Roman" w:eastAsia="宋体" w:cs="Times New Roman"/>
                <w:snapToGrid w:val="0"/>
                <w:color w:val="auto"/>
                <w:spacing w:val="-6"/>
                <w:kern w:val="21"/>
                <w:szCs w:val="21"/>
              </w:rPr>
              <w:t>废水</w:t>
            </w:r>
          </w:p>
        </w:tc>
        <w:tc>
          <w:tcPr>
            <w:tcW w:w="1417" w:type="dxa"/>
            <w:vAlign w:val="center"/>
          </w:tcPr>
          <w:p w14:paraId="683D04A7">
            <w:pPr>
              <w:pStyle w:val="61"/>
              <w:spacing w:beforeLines="0" w:afterLines="0" w:line="260" w:lineRule="exact"/>
              <w:jc w:val="center"/>
              <w:rPr>
                <w:rFonts w:hint="default" w:ascii="Times New Roman" w:hAnsi="Times New Roman" w:eastAsia="宋体" w:cs="Times New Roman"/>
                <w:color w:val="auto"/>
                <w:lang w:eastAsia="zh-CN"/>
              </w:rPr>
            </w:pPr>
            <w:r>
              <w:rPr>
                <w:rFonts w:hint="default" w:ascii="Times New Roman" w:hAnsi="Times New Roman" w:eastAsia="宋体" w:cs="Times New Roman"/>
                <w:color w:val="auto"/>
                <w:lang w:eastAsia="zh-CN"/>
              </w:rPr>
              <w:t>COD</w:t>
            </w:r>
          </w:p>
        </w:tc>
        <w:tc>
          <w:tcPr>
            <w:tcW w:w="1701" w:type="dxa"/>
            <w:vAlign w:val="center"/>
          </w:tcPr>
          <w:p w14:paraId="07E86F43">
            <w:pPr>
              <w:spacing w:beforeLines="0" w:afterLines="0" w:line="260" w:lineRule="exact"/>
              <w:jc w:val="center"/>
              <w:rPr>
                <w:rFonts w:hint="default" w:ascii="Times New Roman" w:hAnsi="Times New Roman" w:eastAsia="宋体" w:cs="Times New Roman"/>
                <w:snapToGrid w:val="0"/>
                <w:color w:val="auto"/>
                <w:spacing w:val="-6"/>
                <w:kern w:val="21"/>
                <w:szCs w:val="21"/>
              </w:rPr>
            </w:pPr>
            <w:r>
              <w:rPr>
                <w:rFonts w:hint="eastAsia" w:ascii="Times New Roman" w:cs="Times New Roman"/>
                <w:snapToGrid w:val="0"/>
                <w:color w:val="auto"/>
                <w:spacing w:val="-6"/>
                <w:kern w:val="21"/>
                <w:szCs w:val="21"/>
                <w:lang w:val="en-US" w:eastAsia="zh-CN"/>
              </w:rPr>
              <w:t>/</w:t>
            </w:r>
          </w:p>
        </w:tc>
        <w:tc>
          <w:tcPr>
            <w:tcW w:w="1276" w:type="dxa"/>
            <w:vAlign w:val="center"/>
          </w:tcPr>
          <w:p w14:paraId="7B0102BA">
            <w:pPr>
              <w:spacing w:beforeLines="0" w:afterLines="0" w:line="260" w:lineRule="exact"/>
              <w:jc w:val="center"/>
              <w:rPr>
                <w:rFonts w:hint="default" w:ascii="Times New Roman" w:hAnsi="Times New Roman" w:eastAsia="宋体" w:cs="Times New Roman"/>
                <w:snapToGrid w:val="0"/>
                <w:color w:val="auto"/>
                <w:spacing w:val="-6"/>
                <w:kern w:val="21"/>
                <w:szCs w:val="21"/>
              </w:rPr>
            </w:pPr>
            <w:r>
              <w:rPr>
                <w:rFonts w:hint="eastAsia" w:ascii="Times New Roman" w:cs="Times New Roman"/>
                <w:snapToGrid w:val="0"/>
                <w:color w:val="auto"/>
                <w:spacing w:val="-6"/>
                <w:kern w:val="21"/>
                <w:szCs w:val="21"/>
                <w:lang w:val="en-US" w:eastAsia="zh-CN"/>
              </w:rPr>
              <w:t>/</w:t>
            </w:r>
          </w:p>
        </w:tc>
        <w:tc>
          <w:tcPr>
            <w:tcW w:w="1701" w:type="dxa"/>
            <w:vAlign w:val="center"/>
          </w:tcPr>
          <w:p w14:paraId="70D28BE9">
            <w:pPr>
              <w:spacing w:beforeLines="0" w:afterLines="0" w:line="260" w:lineRule="exact"/>
              <w:jc w:val="center"/>
              <w:rPr>
                <w:rFonts w:hint="default" w:ascii="Times New Roman" w:hAnsi="Times New Roman" w:eastAsia="宋体" w:cs="Times New Roman"/>
                <w:snapToGrid w:val="0"/>
                <w:color w:val="auto"/>
                <w:spacing w:val="-6"/>
                <w:kern w:val="21"/>
                <w:szCs w:val="21"/>
              </w:rPr>
            </w:pPr>
            <w:r>
              <w:rPr>
                <w:rFonts w:hint="eastAsia" w:ascii="Times New Roman" w:cs="Times New Roman"/>
                <w:snapToGrid w:val="0"/>
                <w:color w:val="auto"/>
                <w:spacing w:val="-6"/>
                <w:kern w:val="21"/>
                <w:szCs w:val="21"/>
                <w:lang w:val="en-US" w:eastAsia="zh-CN"/>
              </w:rPr>
              <w:t>/</w:t>
            </w:r>
          </w:p>
        </w:tc>
        <w:tc>
          <w:tcPr>
            <w:tcW w:w="1559" w:type="dxa"/>
            <w:vAlign w:val="center"/>
          </w:tcPr>
          <w:p w14:paraId="584E4AAD">
            <w:pPr>
              <w:pStyle w:val="61"/>
              <w:spacing w:beforeLines="0" w:afterLines="0" w:line="260" w:lineRule="exact"/>
              <w:jc w:val="center"/>
              <w:rPr>
                <w:rFonts w:hint="default" w:ascii="Times New Roman" w:hAnsi="Times New Roman" w:eastAsia="宋体" w:cs="Times New Roman"/>
                <w:snapToGrid w:val="0"/>
                <w:color w:val="auto"/>
                <w:spacing w:val="-6"/>
                <w:kern w:val="21"/>
                <w:szCs w:val="21"/>
                <w:lang w:val="en-US" w:eastAsia="zh-CN"/>
              </w:rPr>
            </w:pPr>
            <w:r>
              <w:rPr>
                <w:rFonts w:hint="eastAsia" w:ascii="Times New Roman" w:cs="Times New Roman"/>
                <w:snapToGrid w:val="0"/>
                <w:color w:val="auto"/>
                <w:spacing w:val="-6"/>
                <w:kern w:val="21"/>
                <w:szCs w:val="21"/>
                <w:lang w:val="en-US" w:eastAsia="zh-CN"/>
              </w:rPr>
              <w:t>1.9t/a</w:t>
            </w:r>
          </w:p>
        </w:tc>
        <w:tc>
          <w:tcPr>
            <w:tcW w:w="1521" w:type="dxa"/>
            <w:vAlign w:val="center"/>
          </w:tcPr>
          <w:p w14:paraId="4E93B161">
            <w:pPr>
              <w:spacing w:beforeLines="0" w:afterLines="0" w:line="260" w:lineRule="exact"/>
              <w:jc w:val="center"/>
              <w:rPr>
                <w:rFonts w:hint="default" w:ascii="Times New Roman" w:hAnsi="Times New Roman" w:eastAsia="宋体" w:cs="Times New Roman"/>
                <w:snapToGrid w:val="0"/>
                <w:color w:val="auto"/>
                <w:spacing w:val="-6"/>
                <w:kern w:val="21"/>
                <w:szCs w:val="21"/>
              </w:rPr>
            </w:pPr>
            <w:r>
              <w:rPr>
                <w:rFonts w:hint="eastAsia" w:ascii="Times New Roman" w:cs="Times New Roman"/>
                <w:snapToGrid w:val="0"/>
                <w:color w:val="auto"/>
                <w:spacing w:val="-6"/>
                <w:kern w:val="21"/>
                <w:szCs w:val="21"/>
                <w:lang w:val="en-US" w:eastAsia="zh-CN"/>
              </w:rPr>
              <w:t>/</w:t>
            </w:r>
          </w:p>
        </w:tc>
        <w:tc>
          <w:tcPr>
            <w:tcW w:w="1985" w:type="dxa"/>
            <w:vAlign w:val="center"/>
          </w:tcPr>
          <w:p w14:paraId="1308AA9C">
            <w:pPr>
              <w:pStyle w:val="61"/>
              <w:spacing w:beforeLines="0" w:afterLines="0" w:line="260" w:lineRule="exact"/>
              <w:jc w:val="center"/>
              <w:rPr>
                <w:rFonts w:hint="default" w:ascii="Times New Roman" w:hAnsi="Times New Roman" w:eastAsia="宋体" w:cs="Times New Roman"/>
                <w:snapToGrid w:val="0"/>
                <w:color w:val="auto"/>
                <w:spacing w:val="-6"/>
                <w:kern w:val="21"/>
                <w:szCs w:val="21"/>
              </w:rPr>
            </w:pPr>
            <w:r>
              <w:rPr>
                <w:rFonts w:hint="eastAsia" w:ascii="Times New Roman" w:cs="Times New Roman"/>
                <w:snapToGrid w:val="0"/>
                <w:color w:val="auto"/>
                <w:spacing w:val="-6"/>
                <w:kern w:val="21"/>
                <w:szCs w:val="21"/>
                <w:lang w:val="en-US" w:eastAsia="zh-CN"/>
              </w:rPr>
              <w:t>1.9t/a</w:t>
            </w:r>
          </w:p>
        </w:tc>
        <w:tc>
          <w:tcPr>
            <w:tcW w:w="1040" w:type="dxa"/>
            <w:vAlign w:val="center"/>
          </w:tcPr>
          <w:p w14:paraId="4E85EA61">
            <w:pPr>
              <w:pStyle w:val="61"/>
              <w:spacing w:beforeLines="0" w:afterLines="0" w:line="260" w:lineRule="exact"/>
              <w:jc w:val="center"/>
              <w:rPr>
                <w:rFonts w:hint="default" w:ascii="Times New Roman" w:hAnsi="Times New Roman" w:eastAsia="宋体" w:cs="Times New Roman"/>
                <w:snapToGrid w:val="0"/>
                <w:color w:val="auto"/>
                <w:spacing w:val="-6"/>
                <w:kern w:val="21"/>
                <w:szCs w:val="21"/>
              </w:rPr>
            </w:pPr>
            <w:r>
              <w:rPr>
                <w:rFonts w:hint="eastAsia" w:ascii="Times New Roman" w:cs="Times New Roman"/>
                <w:snapToGrid w:val="0"/>
                <w:color w:val="auto"/>
                <w:spacing w:val="-6"/>
                <w:kern w:val="21"/>
                <w:szCs w:val="21"/>
                <w:lang w:val="en-US" w:eastAsia="zh-CN"/>
              </w:rPr>
              <w:t>+1.9t/a</w:t>
            </w:r>
          </w:p>
        </w:tc>
      </w:tr>
      <w:tr w14:paraId="5BF100A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2" w:hRule="atLeast"/>
          <w:jc w:val="center"/>
        </w:trPr>
        <w:tc>
          <w:tcPr>
            <w:tcW w:w="1588" w:type="dxa"/>
            <w:vMerge w:val="continue"/>
            <w:vAlign w:val="center"/>
          </w:tcPr>
          <w:p w14:paraId="393FC62E">
            <w:pPr>
              <w:pStyle w:val="61"/>
              <w:spacing w:beforeLines="0" w:afterLines="0" w:line="260" w:lineRule="exact"/>
              <w:jc w:val="center"/>
              <w:rPr>
                <w:rFonts w:hint="default" w:ascii="Times New Roman" w:hAnsi="Times New Roman" w:eastAsia="宋体" w:cs="Times New Roman"/>
                <w:snapToGrid w:val="0"/>
                <w:color w:val="auto"/>
                <w:spacing w:val="-6"/>
                <w:kern w:val="21"/>
                <w:szCs w:val="21"/>
              </w:rPr>
            </w:pPr>
          </w:p>
        </w:tc>
        <w:tc>
          <w:tcPr>
            <w:tcW w:w="1417" w:type="dxa"/>
            <w:vAlign w:val="center"/>
          </w:tcPr>
          <w:p w14:paraId="5EA2AE32">
            <w:pPr>
              <w:pStyle w:val="61"/>
              <w:spacing w:beforeLines="0" w:afterLines="0" w:line="260" w:lineRule="exact"/>
              <w:jc w:val="center"/>
              <w:rPr>
                <w:rFonts w:hint="default" w:ascii="Times New Roman" w:hAnsi="Times New Roman" w:eastAsia="宋体" w:cs="Times New Roman"/>
                <w:color w:val="auto"/>
                <w:lang w:eastAsia="zh-CN"/>
              </w:rPr>
            </w:pPr>
            <w:r>
              <w:rPr>
                <w:rFonts w:hint="default" w:ascii="Times New Roman" w:hAnsi="Times New Roman" w:eastAsia="宋体" w:cs="Times New Roman"/>
                <w:color w:val="auto"/>
                <w:lang w:eastAsia="zh-CN"/>
              </w:rPr>
              <w:t>NH</w:t>
            </w:r>
            <w:r>
              <w:rPr>
                <w:rFonts w:hint="default" w:ascii="Times New Roman" w:hAnsi="Times New Roman" w:eastAsia="宋体" w:cs="Times New Roman"/>
                <w:color w:val="auto"/>
                <w:vertAlign w:val="subscript"/>
                <w:lang w:eastAsia="zh-CN"/>
              </w:rPr>
              <w:t>3</w:t>
            </w:r>
            <w:r>
              <w:rPr>
                <w:rFonts w:hint="default" w:ascii="Times New Roman" w:hAnsi="Times New Roman" w:eastAsia="宋体" w:cs="Times New Roman"/>
                <w:color w:val="auto"/>
                <w:lang w:eastAsia="zh-CN"/>
              </w:rPr>
              <w:t>-N</w:t>
            </w:r>
          </w:p>
        </w:tc>
        <w:tc>
          <w:tcPr>
            <w:tcW w:w="1701" w:type="dxa"/>
            <w:vAlign w:val="center"/>
          </w:tcPr>
          <w:p w14:paraId="2201AC0D">
            <w:pPr>
              <w:spacing w:beforeLines="0" w:afterLines="0" w:line="260" w:lineRule="exact"/>
              <w:jc w:val="center"/>
              <w:rPr>
                <w:rFonts w:hint="default" w:ascii="Times New Roman" w:hAnsi="Times New Roman" w:eastAsia="宋体" w:cs="Times New Roman"/>
                <w:snapToGrid w:val="0"/>
                <w:color w:val="auto"/>
                <w:spacing w:val="-6"/>
                <w:kern w:val="21"/>
                <w:szCs w:val="21"/>
              </w:rPr>
            </w:pPr>
            <w:r>
              <w:rPr>
                <w:rFonts w:hint="eastAsia" w:ascii="Times New Roman" w:cs="Times New Roman"/>
                <w:snapToGrid w:val="0"/>
                <w:color w:val="auto"/>
                <w:spacing w:val="-6"/>
                <w:kern w:val="21"/>
                <w:szCs w:val="21"/>
                <w:lang w:val="en-US" w:eastAsia="zh-CN"/>
              </w:rPr>
              <w:t>/</w:t>
            </w:r>
          </w:p>
        </w:tc>
        <w:tc>
          <w:tcPr>
            <w:tcW w:w="1276" w:type="dxa"/>
            <w:vAlign w:val="center"/>
          </w:tcPr>
          <w:p w14:paraId="35323A2D">
            <w:pPr>
              <w:spacing w:beforeLines="0" w:afterLines="0" w:line="260" w:lineRule="exact"/>
              <w:jc w:val="center"/>
              <w:rPr>
                <w:rFonts w:hint="default" w:ascii="Times New Roman" w:hAnsi="Times New Roman" w:eastAsia="宋体" w:cs="Times New Roman"/>
                <w:snapToGrid w:val="0"/>
                <w:color w:val="auto"/>
                <w:spacing w:val="-6"/>
                <w:kern w:val="21"/>
                <w:szCs w:val="21"/>
              </w:rPr>
            </w:pPr>
            <w:r>
              <w:rPr>
                <w:rFonts w:hint="eastAsia" w:ascii="Times New Roman" w:cs="Times New Roman"/>
                <w:snapToGrid w:val="0"/>
                <w:color w:val="auto"/>
                <w:spacing w:val="-6"/>
                <w:kern w:val="21"/>
                <w:szCs w:val="21"/>
                <w:lang w:val="en-US" w:eastAsia="zh-CN"/>
              </w:rPr>
              <w:t>/</w:t>
            </w:r>
          </w:p>
        </w:tc>
        <w:tc>
          <w:tcPr>
            <w:tcW w:w="1701" w:type="dxa"/>
            <w:vAlign w:val="center"/>
          </w:tcPr>
          <w:p w14:paraId="62EEA6D0">
            <w:pPr>
              <w:spacing w:beforeLines="0" w:afterLines="0" w:line="260" w:lineRule="exact"/>
              <w:jc w:val="center"/>
              <w:rPr>
                <w:rFonts w:hint="default" w:ascii="Times New Roman" w:hAnsi="Times New Roman" w:eastAsia="宋体" w:cs="Times New Roman"/>
                <w:snapToGrid w:val="0"/>
                <w:color w:val="auto"/>
                <w:spacing w:val="-6"/>
                <w:kern w:val="21"/>
                <w:szCs w:val="21"/>
              </w:rPr>
            </w:pPr>
            <w:r>
              <w:rPr>
                <w:rFonts w:hint="eastAsia" w:ascii="Times New Roman" w:cs="Times New Roman"/>
                <w:snapToGrid w:val="0"/>
                <w:color w:val="auto"/>
                <w:spacing w:val="-6"/>
                <w:kern w:val="21"/>
                <w:szCs w:val="21"/>
                <w:lang w:val="en-US" w:eastAsia="zh-CN"/>
              </w:rPr>
              <w:t>/</w:t>
            </w:r>
          </w:p>
        </w:tc>
        <w:tc>
          <w:tcPr>
            <w:tcW w:w="1559" w:type="dxa"/>
            <w:vAlign w:val="center"/>
          </w:tcPr>
          <w:p w14:paraId="78826AED">
            <w:pPr>
              <w:pStyle w:val="61"/>
              <w:spacing w:beforeLines="0" w:afterLines="0" w:line="260" w:lineRule="exact"/>
              <w:jc w:val="center"/>
              <w:rPr>
                <w:rFonts w:hint="default" w:ascii="Times New Roman" w:hAnsi="Times New Roman" w:eastAsia="宋体" w:cs="Times New Roman"/>
                <w:snapToGrid w:val="0"/>
                <w:color w:val="auto"/>
                <w:spacing w:val="-6"/>
                <w:kern w:val="21"/>
                <w:szCs w:val="21"/>
                <w:lang w:val="en-US" w:eastAsia="zh-CN"/>
              </w:rPr>
            </w:pPr>
            <w:r>
              <w:rPr>
                <w:rFonts w:hint="eastAsia" w:ascii="Times New Roman" w:cs="Times New Roman"/>
                <w:snapToGrid w:val="0"/>
                <w:color w:val="auto"/>
                <w:spacing w:val="-6"/>
                <w:kern w:val="21"/>
                <w:szCs w:val="21"/>
                <w:lang w:val="en-US" w:eastAsia="zh-CN"/>
              </w:rPr>
              <w:t>0.172t/a</w:t>
            </w:r>
          </w:p>
        </w:tc>
        <w:tc>
          <w:tcPr>
            <w:tcW w:w="1521" w:type="dxa"/>
            <w:vAlign w:val="center"/>
          </w:tcPr>
          <w:p w14:paraId="3E4CFF7B">
            <w:pPr>
              <w:spacing w:beforeLines="0" w:afterLines="0" w:line="260" w:lineRule="exact"/>
              <w:jc w:val="center"/>
              <w:rPr>
                <w:rFonts w:hint="default" w:ascii="Times New Roman" w:hAnsi="Times New Roman" w:eastAsia="宋体" w:cs="Times New Roman"/>
                <w:snapToGrid w:val="0"/>
                <w:color w:val="auto"/>
                <w:spacing w:val="-6"/>
                <w:kern w:val="21"/>
                <w:szCs w:val="21"/>
              </w:rPr>
            </w:pPr>
            <w:r>
              <w:rPr>
                <w:rFonts w:hint="eastAsia" w:ascii="Times New Roman" w:cs="Times New Roman"/>
                <w:snapToGrid w:val="0"/>
                <w:color w:val="auto"/>
                <w:spacing w:val="-6"/>
                <w:kern w:val="21"/>
                <w:szCs w:val="21"/>
                <w:lang w:val="en-US" w:eastAsia="zh-CN"/>
              </w:rPr>
              <w:t>/</w:t>
            </w:r>
          </w:p>
        </w:tc>
        <w:tc>
          <w:tcPr>
            <w:tcW w:w="1985" w:type="dxa"/>
            <w:vAlign w:val="center"/>
          </w:tcPr>
          <w:p w14:paraId="2AF1F56A">
            <w:pPr>
              <w:pStyle w:val="61"/>
              <w:spacing w:beforeLines="0" w:afterLines="0" w:line="260" w:lineRule="exact"/>
              <w:jc w:val="center"/>
              <w:rPr>
                <w:rFonts w:hint="default" w:ascii="Times New Roman" w:hAnsi="Times New Roman" w:eastAsia="宋体" w:cs="Times New Roman"/>
                <w:snapToGrid w:val="0"/>
                <w:color w:val="auto"/>
                <w:spacing w:val="-6"/>
                <w:kern w:val="21"/>
                <w:szCs w:val="21"/>
              </w:rPr>
            </w:pPr>
            <w:r>
              <w:rPr>
                <w:rFonts w:hint="eastAsia" w:ascii="Times New Roman" w:cs="Times New Roman"/>
                <w:snapToGrid w:val="0"/>
                <w:color w:val="auto"/>
                <w:spacing w:val="-6"/>
                <w:kern w:val="21"/>
                <w:szCs w:val="21"/>
                <w:lang w:val="en-US" w:eastAsia="zh-CN"/>
              </w:rPr>
              <w:t>0.172t/a</w:t>
            </w:r>
          </w:p>
        </w:tc>
        <w:tc>
          <w:tcPr>
            <w:tcW w:w="1040" w:type="dxa"/>
            <w:vAlign w:val="center"/>
          </w:tcPr>
          <w:p w14:paraId="1F60B448">
            <w:pPr>
              <w:pStyle w:val="61"/>
              <w:spacing w:beforeLines="0" w:afterLines="0" w:line="260" w:lineRule="exact"/>
              <w:jc w:val="center"/>
              <w:rPr>
                <w:rFonts w:hint="default" w:ascii="Times New Roman" w:hAnsi="Times New Roman" w:eastAsia="宋体" w:cs="Times New Roman"/>
                <w:snapToGrid w:val="0"/>
                <w:color w:val="auto"/>
                <w:spacing w:val="-6"/>
                <w:kern w:val="21"/>
                <w:szCs w:val="21"/>
              </w:rPr>
            </w:pPr>
            <w:r>
              <w:rPr>
                <w:rFonts w:hint="eastAsia" w:ascii="Times New Roman" w:cs="Times New Roman"/>
                <w:snapToGrid w:val="0"/>
                <w:color w:val="auto"/>
                <w:spacing w:val="-6"/>
                <w:kern w:val="21"/>
                <w:szCs w:val="21"/>
                <w:lang w:val="en-US" w:eastAsia="zh-CN"/>
              </w:rPr>
              <w:t>+0.172t/a</w:t>
            </w:r>
          </w:p>
        </w:tc>
      </w:tr>
      <w:tr w14:paraId="144CA89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0" w:hRule="atLeast"/>
          <w:jc w:val="center"/>
        </w:trPr>
        <w:tc>
          <w:tcPr>
            <w:tcW w:w="1588" w:type="dxa"/>
            <w:vMerge w:val="continue"/>
            <w:vAlign w:val="center"/>
          </w:tcPr>
          <w:p w14:paraId="6C83EB51">
            <w:pPr>
              <w:pStyle w:val="61"/>
              <w:spacing w:beforeLines="0" w:afterLines="0" w:line="260" w:lineRule="exact"/>
              <w:jc w:val="center"/>
              <w:rPr>
                <w:rFonts w:hint="default" w:ascii="Times New Roman" w:hAnsi="Times New Roman" w:eastAsia="宋体" w:cs="Times New Roman"/>
                <w:snapToGrid w:val="0"/>
                <w:color w:val="auto"/>
                <w:spacing w:val="-6"/>
                <w:kern w:val="21"/>
                <w:szCs w:val="21"/>
              </w:rPr>
            </w:pPr>
          </w:p>
        </w:tc>
        <w:tc>
          <w:tcPr>
            <w:tcW w:w="1417" w:type="dxa"/>
            <w:vAlign w:val="center"/>
          </w:tcPr>
          <w:p w14:paraId="1BE7754B">
            <w:pPr>
              <w:pStyle w:val="61"/>
              <w:spacing w:beforeLines="0" w:afterLines="0" w:line="260" w:lineRule="exact"/>
              <w:jc w:val="center"/>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lang w:val="en-US" w:eastAsia="zh-CN"/>
              </w:rPr>
              <w:t>TP</w:t>
            </w:r>
          </w:p>
        </w:tc>
        <w:tc>
          <w:tcPr>
            <w:tcW w:w="1701" w:type="dxa"/>
            <w:vAlign w:val="center"/>
          </w:tcPr>
          <w:p w14:paraId="198B8342">
            <w:pPr>
              <w:spacing w:beforeLines="0" w:afterLines="0" w:line="260" w:lineRule="exact"/>
              <w:jc w:val="center"/>
              <w:rPr>
                <w:rFonts w:hint="default" w:ascii="Times New Roman" w:hAnsi="Times New Roman" w:eastAsia="宋体" w:cs="Times New Roman"/>
                <w:snapToGrid w:val="0"/>
                <w:color w:val="auto"/>
                <w:spacing w:val="-6"/>
                <w:kern w:val="21"/>
                <w:szCs w:val="21"/>
              </w:rPr>
            </w:pPr>
            <w:r>
              <w:rPr>
                <w:rFonts w:hint="eastAsia" w:ascii="Times New Roman" w:cs="Times New Roman"/>
                <w:snapToGrid w:val="0"/>
                <w:color w:val="auto"/>
                <w:spacing w:val="-6"/>
                <w:kern w:val="21"/>
                <w:szCs w:val="21"/>
                <w:lang w:val="en-US" w:eastAsia="zh-CN"/>
              </w:rPr>
              <w:t>/</w:t>
            </w:r>
          </w:p>
        </w:tc>
        <w:tc>
          <w:tcPr>
            <w:tcW w:w="1276" w:type="dxa"/>
            <w:vAlign w:val="center"/>
          </w:tcPr>
          <w:p w14:paraId="1837399F">
            <w:pPr>
              <w:spacing w:beforeLines="0" w:afterLines="0" w:line="260" w:lineRule="exact"/>
              <w:jc w:val="center"/>
              <w:rPr>
                <w:rFonts w:hint="default" w:ascii="Times New Roman" w:hAnsi="Times New Roman" w:eastAsia="宋体" w:cs="Times New Roman"/>
                <w:snapToGrid w:val="0"/>
                <w:color w:val="auto"/>
                <w:spacing w:val="-6"/>
                <w:kern w:val="21"/>
                <w:szCs w:val="21"/>
              </w:rPr>
            </w:pPr>
            <w:r>
              <w:rPr>
                <w:rFonts w:hint="eastAsia" w:ascii="Times New Roman" w:cs="Times New Roman"/>
                <w:snapToGrid w:val="0"/>
                <w:color w:val="auto"/>
                <w:spacing w:val="-6"/>
                <w:kern w:val="21"/>
                <w:szCs w:val="21"/>
                <w:lang w:val="en-US" w:eastAsia="zh-CN"/>
              </w:rPr>
              <w:t>/</w:t>
            </w:r>
          </w:p>
        </w:tc>
        <w:tc>
          <w:tcPr>
            <w:tcW w:w="1701" w:type="dxa"/>
            <w:vAlign w:val="center"/>
          </w:tcPr>
          <w:p w14:paraId="19AA368C">
            <w:pPr>
              <w:spacing w:beforeLines="0" w:afterLines="0" w:line="260" w:lineRule="exact"/>
              <w:jc w:val="center"/>
              <w:rPr>
                <w:rFonts w:hint="default" w:ascii="Times New Roman" w:hAnsi="Times New Roman" w:eastAsia="宋体" w:cs="Times New Roman"/>
                <w:snapToGrid w:val="0"/>
                <w:color w:val="auto"/>
                <w:spacing w:val="-6"/>
                <w:kern w:val="21"/>
                <w:szCs w:val="21"/>
              </w:rPr>
            </w:pPr>
            <w:r>
              <w:rPr>
                <w:rFonts w:hint="eastAsia" w:ascii="Times New Roman" w:cs="Times New Roman"/>
                <w:snapToGrid w:val="0"/>
                <w:color w:val="auto"/>
                <w:spacing w:val="-6"/>
                <w:kern w:val="21"/>
                <w:szCs w:val="21"/>
                <w:lang w:val="en-US" w:eastAsia="zh-CN"/>
              </w:rPr>
              <w:t>/</w:t>
            </w:r>
          </w:p>
        </w:tc>
        <w:tc>
          <w:tcPr>
            <w:tcW w:w="1559" w:type="dxa"/>
            <w:vAlign w:val="center"/>
          </w:tcPr>
          <w:p w14:paraId="31FB4BA9">
            <w:pPr>
              <w:pStyle w:val="61"/>
              <w:spacing w:beforeLines="0" w:afterLines="0" w:line="260" w:lineRule="exact"/>
              <w:jc w:val="center"/>
              <w:rPr>
                <w:rFonts w:hint="default" w:ascii="Times New Roman" w:hAnsi="Times New Roman" w:eastAsia="宋体" w:cs="Times New Roman"/>
                <w:snapToGrid w:val="0"/>
                <w:color w:val="auto"/>
                <w:spacing w:val="-6"/>
                <w:kern w:val="21"/>
                <w:szCs w:val="21"/>
                <w:lang w:val="en-US" w:eastAsia="zh-CN"/>
              </w:rPr>
            </w:pPr>
            <w:r>
              <w:rPr>
                <w:rFonts w:hint="eastAsia" w:ascii="Times New Roman" w:cs="Times New Roman"/>
                <w:snapToGrid w:val="0"/>
                <w:color w:val="auto"/>
                <w:spacing w:val="-6"/>
                <w:kern w:val="21"/>
                <w:szCs w:val="21"/>
                <w:lang w:val="en-US" w:eastAsia="zh-CN"/>
              </w:rPr>
              <w:t>0.03t/a</w:t>
            </w:r>
          </w:p>
        </w:tc>
        <w:tc>
          <w:tcPr>
            <w:tcW w:w="1521" w:type="dxa"/>
            <w:vAlign w:val="center"/>
          </w:tcPr>
          <w:p w14:paraId="10927215">
            <w:pPr>
              <w:spacing w:beforeLines="0" w:afterLines="0" w:line="260" w:lineRule="exact"/>
              <w:jc w:val="center"/>
              <w:rPr>
                <w:rFonts w:hint="default" w:ascii="Times New Roman" w:hAnsi="Times New Roman" w:eastAsia="宋体" w:cs="Times New Roman"/>
                <w:snapToGrid w:val="0"/>
                <w:color w:val="auto"/>
                <w:spacing w:val="-6"/>
                <w:kern w:val="21"/>
                <w:szCs w:val="21"/>
              </w:rPr>
            </w:pPr>
            <w:r>
              <w:rPr>
                <w:rFonts w:hint="eastAsia" w:ascii="Times New Roman" w:cs="Times New Roman"/>
                <w:snapToGrid w:val="0"/>
                <w:color w:val="auto"/>
                <w:spacing w:val="-6"/>
                <w:kern w:val="21"/>
                <w:szCs w:val="21"/>
                <w:lang w:val="en-US" w:eastAsia="zh-CN"/>
              </w:rPr>
              <w:t>/</w:t>
            </w:r>
          </w:p>
        </w:tc>
        <w:tc>
          <w:tcPr>
            <w:tcW w:w="1985" w:type="dxa"/>
            <w:vAlign w:val="center"/>
          </w:tcPr>
          <w:p w14:paraId="5D2F4161">
            <w:pPr>
              <w:pStyle w:val="61"/>
              <w:spacing w:beforeLines="0" w:afterLines="0" w:line="260" w:lineRule="exact"/>
              <w:jc w:val="center"/>
              <w:rPr>
                <w:rFonts w:hint="default" w:ascii="Times New Roman" w:hAnsi="Times New Roman" w:eastAsia="宋体" w:cs="Times New Roman"/>
                <w:snapToGrid w:val="0"/>
                <w:color w:val="auto"/>
                <w:spacing w:val="-6"/>
                <w:kern w:val="21"/>
                <w:szCs w:val="21"/>
              </w:rPr>
            </w:pPr>
            <w:r>
              <w:rPr>
                <w:rFonts w:hint="eastAsia" w:ascii="Times New Roman" w:cs="Times New Roman"/>
                <w:snapToGrid w:val="0"/>
                <w:color w:val="auto"/>
                <w:spacing w:val="-6"/>
                <w:kern w:val="21"/>
                <w:szCs w:val="21"/>
                <w:lang w:val="en-US" w:eastAsia="zh-CN"/>
              </w:rPr>
              <w:t>0.03t/a</w:t>
            </w:r>
          </w:p>
        </w:tc>
        <w:tc>
          <w:tcPr>
            <w:tcW w:w="1040" w:type="dxa"/>
            <w:vAlign w:val="center"/>
          </w:tcPr>
          <w:p w14:paraId="78EC1774">
            <w:pPr>
              <w:pStyle w:val="61"/>
              <w:spacing w:beforeLines="0" w:afterLines="0" w:line="260" w:lineRule="exact"/>
              <w:jc w:val="center"/>
              <w:rPr>
                <w:rFonts w:hint="default" w:ascii="Times New Roman" w:hAnsi="Times New Roman" w:eastAsia="宋体" w:cs="Times New Roman"/>
                <w:snapToGrid w:val="0"/>
                <w:color w:val="auto"/>
                <w:spacing w:val="-6"/>
                <w:kern w:val="21"/>
                <w:szCs w:val="21"/>
              </w:rPr>
            </w:pPr>
            <w:r>
              <w:rPr>
                <w:rFonts w:hint="eastAsia" w:ascii="Times New Roman" w:cs="Times New Roman"/>
                <w:snapToGrid w:val="0"/>
                <w:color w:val="auto"/>
                <w:spacing w:val="-6"/>
                <w:kern w:val="21"/>
                <w:szCs w:val="21"/>
                <w:lang w:val="en-US" w:eastAsia="zh-CN"/>
              </w:rPr>
              <w:t>+0.03t/a</w:t>
            </w:r>
          </w:p>
        </w:tc>
      </w:tr>
      <w:tr w14:paraId="71CA5B8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0" w:hRule="atLeast"/>
          <w:jc w:val="center"/>
        </w:trPr>
        <w:tc>
          <w:tcPr>
            <w:tcW w:w="1588" w:type="dxa"/>
            <w:vMerge w:val="restart"/>
            <w:vAlign w:val="center"/>
          </w:tcPr>
          <w:p w14:paraId="714B9449">
            <w:pPr>
              <w:pStyle w:val="61"/>
              <w:spacing w:beforeLines="0" w:afterLines="0" w:line="260" w:lineRule="exact"/>
              <w:jc w:val="center"/>
              <w:rPr>
                <w:rFonts w:hint="default" w:ascii="Times New Roman" w:hAnsi="Times New Roman" w:eastAsia="宋体" w:cs="Times New Roman"/>
                <w:snapToGrid w:val="0"/>
                <w:color w:val="auto"/>
                <w:spacing w:val="-6"/>
                <w:kern w:val="21"/>
                <w:szCs w:val="21"/>
                <w:lang w:val="en-US" w:eastAsia="zh-CN"/>
              </w:rPr>
            </w:pPr>
            <w:r>
              <w:rPr>
                <w:rFonts w:hint="eastAsia" w:ascii="Times New Roman" w:cs="Times New Roman"/>
                <w:snapToGrid w:val="0"/>
                <w:color w:val="auto"/>
                <w:spacing w:val="-6"/>
                <w:kern w:val="21"/>
                <w:szCs w:val="21"/>
                <w:lang w:val="en-US" w:eastAsia="zh-CN"/>
              </w:rPr>
              <w:t>生活垃圾</w:t>
            </w:r>
          </w:p>
        </w:tc>
        <w:tc>
          <w:tcPr>
            <w:tcW w:w="1417" w:type="dxa"/>
            <w:vAlign w:val="center"/>
          </w:tcPr>
          <w:p w14:paraId="26453413">
            <w:pPr>
              <w:pStyle w:val="61"/>
              <w:spacing w:beforeLines="0" w:afterLines="0" w:line="260" w:lineRule="exact"/>
              <w:jc w:val="center"/>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生活垃圾</w:t>
            </w:r>
          </w:p>
        </w:tc>
        <w:tc>
          <w:tcPr>
            <w:tcW w:w="1701" w:type="dxa"/>
            <w:vAlign w:val="center"/>
          </w:tcPr>
          <w:p w14:paraId="07D1824E">
            <w:pPr>
              <w:spacing w:beforeLines="0" w:afterLines="0" w:line="260" w:lineRule="exact"/>
              <w:jc w:val="center"/>
              <w:rPr>
                <w:rFonts w:hint="default" w:ascii="Times New Roman" w:hAnsi="Times New Roman" w:eastAsia="宋体" w:cs="Times New Roman"/>
                <w:snapToGrid w:val="0"/>
                <w:color w:val="auto"/>
                <w:spacing w:val="-6"/>
                <w:kern w:val="21"/>
                <w:szCs w:val="21"/>
              </w:rPr>
            </w:pPr>
            <w:r>
              <w:rPr>
                <w:rFonts w:hint="eastAsia" w:ascii="Times New Roman" w:cs="Times New Roman"/>
                <w:snapToGrid w:val="0"/>
                <w:color w:val="auto"/>
                <w:spacing w:val="-6"/>
                <w:kern w:val="21"/>
                <w:szCs w:val="21"/>
                <w:lang w:val="en-US" w:eastAsia="zh-CN"/>
              </w:rPr>
              <w:t>/</w:t>
            </w:r>
          </w:p>
        </w:tc>
        <w:tc>
          <w:tcPr>
            <w:tcW w:w="1276" w:type="dxa"/>
            <w:vAlign w:val="center"/>
          </w:tcPr>
          <w:p w14:paraId="6FC3BC52">
            <w:pPr>
              <w:spacing w:beforeLines="0" w:afterLines="0" w:line="260" w:lineRule="exact"/>
              <w:jc w:val="center"/>
              <w:rPr>
                <w:rFonts w:hint="default" w:ascii="Times New Roman" w:hAnsi="Times New Roman" w:eastAsia="宋体" w:cs="Times New Roman"/>
                <w:snapToGrid w:val="0"/>
                <w:color w:val="auto"/>
                <w:spacing w:val="-6"/>
                <w:kern w:val="21"/>
                <w:szCs w:val="21"/>
              </w:rPr>
            </w:pPr>
            <w:r>
              <w:rPr>
                <w:rFonts w:hint="eastAsia" w:ascii="Times New Roman" w:cs="Times New Roman"/>
                <w:snapToGrid w:val="0"/>
                <w:color w:val="auto"/>
                <w:spacing w:val="-6"/>
                <w:kern w:val="21"/>
                <w:szCs w:val="21"/>
                <w:lang w:val="en-US" w:eastAsia="zh-CN"/>
              </w:rPr>
              <w:t>/</w:t>
            </w:r>
          </w:p>
        </w:tc>
        <w:tc>
          <w:tcPr>
            <w:tcW w:w="1701" w:type="dxa"/>
            <w:vAlign w:val="center"/>
          </w:tcPr>
          <w:p w14:paraId="5F49A13D">
            <w:pPr>
              <w:spacing w:beforeLines="0" w:afterLines="0" w:line="260" w:lineRule="exact"/>
              <w:jc w:val="center"/>
              <w:rPr>
                <w:rFonts w:hint="default" w:ascii="Times New Roman" w:hAnsi="Times New Roman" w:eastAsia="宋体" w:cs="Times New Roman"/>
                <w:snapToGrid w:val="0"/>
                <w:color w:val="auto"/>
                <w:spacing w:val="-6"/>
                <w:kern w:val="21"/>
                <w:szCs w:val="21"/>
              </w:rPr>
            </w:pPr>
            <w:r>
              <w:rPr>
                <w:rFonts w:hint="eastAsia" w:ascii="Times New Roman" w:cs="Times New Roman"/>
                <w:snapToGrid w:val="0"/>
                <w:color w:val="auto"/>
                <w:spacing w:val="-6"/>
                <w:kern w:val="21"/>
                <w:szCs w:val="21"/>
                <w:lang w:val="en-US" w:eastAsia="zh-CN"/>
              </w:rPr>
              <w:t>/</w:t>
            </w:r>
          </w:p>
        </w:tc>
        <w:tc>
          <w:tcPr>
            <w:tcW w:w="1559" w:type="dxa"/>
            <w:vAlign w:val="center"/>
          </w:tcPr>
          <w:p w14:paraId="407D81B7">
            <w:pPr>
              <w:pStyle w:val="61"/>
              <w:spacing w:beforeLines="0" w:afterLines="0" w:line="260" w:lineRule="exact"/>
              <w:jc w:val="center"/>
              <w:rPr>
                <w:rFonts w:hint="default" w:ascii="Times New Roman" w:cs="Times New Roman"/>
                <w:snapToGrid w:val="0"/>
                <w:color w:val="auto"/>
                <w:spacing w:val="-6"/>
                <w:kern w:val="21"/>
                <w:szCs w:val="21"/>
                <w:lang w:val="en-US" w:eastAsia="zh-CN"/>
              </w:rPr>
            </w:pPr>
            <w:r>
              <w:rPr>
                <w:rFonts w:hint="eastAsia" w:ascii="Times New Roman" w:cs="Times New Roman"/>
                <w:snapToGrid w:val="0"/>
                <w:color w:val="auto"/>
                <w:spacing w:val="-6"/>
                <w:kern w:val="21"/>
                <w:szCs w:val="21"/>
                <w:lang w:val="en-US" w:eastAsia="zh-CN"/>
              </w:rPr>
              <w:t>2.4t/a</w:t>
            </w:r>
          </w:p>
        </w:tc>
        <w:tc>
          <w:tcPr>
            <w:tcW w:w="1521" w:type="dxa"/>
            <w:vAlign w:val="center"/>
          </w:tcPr>
          <w:p w14:paraId="28A32493">
            <w:pPr>
              <w:spacing w:beforeLines="0" w:afterLines="0" w:line="260" w:lineRule="exact"/>
              <w:jc w:val="center"/>
              <w:rPr>
                <w:rFonts w:hint="default" w:ascii="Times New Roman" w:hAnsi="Times New Roman" w:eastAsia="宋体" w:cs="Times New Roman"/>
                <w:snapToGrid w:val="0"/>
                <w:color w:val="auto"/>
                <w:spacing w:val="-6"/>
                <w:kern w:val="21"/>
                <w:szCs w:val="21"/>
              </w:rPr>
            </w:pPr>
            <w:r>
              <w:rPr>
                <w:rFonts w:hint="eastAsia" w:ascii="Times New Roman" w:cs="Times New Roman"/>
                <w:snapToGrid w:val="0"/>
                <w:color w:val="auto"/>
                <w:spacing w:val="-6"/>
                <w:kern w:val="21"/>
                <w:szCs w:val="21"/>
                <w:lang w:val="en-US" w:eastAsia="zh-CN"/>
              </w:rPr>
              <w:t>/</w:t>
            </w:r>
          </w:p>
        </w:tc>
        <w:tc>
          <w:tcPr>
            <w:tcW w:w="1985" w:type="dxa"/>
            <w:vAlign w:val="center"/>
          </w:tcPr>
          <w:p w14:paraId="30B69C85">
            <w:pPr>
              <w:pStyle w:val="61"/>
              <w:spacing w:beforeLines="0" w:afterLines="0" w:line="260" w:lineRule="exact"/>
              <w:jc w:val="center"/>
              <w:rPr>
                <w:rFonts w:hint="eastAsia" w:ascii="Times New Roman" w:cs="Times New Roman"/>
                <w:snapToGrid w:val="0"/>
                <w:color w:val="auto"/>
                <w:spacing w:val="-6"/>
                <w:kern w:val="21"/>
                <w:szCs w:val="21"/>
                <w:lang w:val="en-US" w:eastAsia="zh-CN"/>
              </w:rPr>
            </w:pPr>
            <w:r>
              <w:rPr>
                <w:rFonts w:hint="eastAsia" w:ascii="Times New Roman" w:cs="Times New Roman"/>
                <w:snapToGrid w:val="0"/>
                <w:color w:val="auto"/>
                <w:spacing w:val="-6"/>
                <w:kern w:val="21"/>
                <w:szCs w:val="21"/>
                <w:lang w:val="en-US" w:eastAsia="zh-CN"/>
              </w:rPr>
              <w:t>2.4t/a</w:t>
            </w:r>
          </w:p>
        </w:tc>
        <w:tc>
          <w:tcPr>
            <w:tcW w:w="1040" w:type="dxa"/>
            <w:vAlign w:val="center"/>
          </w:tcPr>
          <w:p w14:paraId="66D07631">
            <w:pPr>
              <w:pStyle w:val="61"/>
              <w:spacing w:beforeLines="0" w:afterLines="0" w:line="260" w:lineRule="exact"/>
              <w:jc w:val="center"/>
              <w:rPr>
                <w:rFonts w:hint="default" w:ascii="Times New Roman" w:cs="Times New Roman"/>
                <w:snapToGrid w:val="0"/>
                <w:color w:val="auto"/>
                <w:spacing w:val="-6"/>
                <w:kern w:val="21"/>
                <w:szCs w:val="21"/>
                <w:lang w:val="en-US" w:eastAsia="zh-CN"/>
              </w:rPr>
            </w:pPr>
            <w:r>
              <w:rPr>
                <w:rFonts w:hint="eastAsia" w:ascii="Times New Roman" w:cs="Times New Roman"/>
                <w:snapToGrid w:val="0"/>
                <w:color w:val="auto"/>
                <w:spacing w:val="-6"/>
                <w:kern w:val="21"/>
                <w:szCs w:val="21"/>
                <w:lang w:val="en-US" w:eastAsia="zh-CN"/>
              </w:rPr>
              <w:t>+2.4t/a</w:t>
            </w:r>
          </w:p>
        </w:tc>
      </w:tr>
      <w:tr w14:paraId="2B5ECE1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0" w:hRule="atLeast"/>
          <w:jc w:val="center"/>
        </w:trPr>
        <w:tc>
          <w:tcPr>
            <w:tcW w:w="1588" w:type="dxa"/>
            <w:vMerge w:val="continue"/>
            <w:vAlign w:val="center"/>
          </w:tcPr>
          <w:p w14:paraId="220FF002">
            <w:pPr>
              <w:pStyle w:val="61"/>
              <w:spacing w:beforeLines="0" w:afterLines="0" w:line="260" w:lineRule="exact"/>
              <w:jc w:val="center"/>
              <w:rPr>
                <w:rFonts w:hint="eastAsia" w:ascii="Times New Roman" w:cs="Times New Roman"/>
                <w:snapToGrid w:val="0"/>
                <w:color w:val="auto"/>
                <w:spacing w:val="-6"/>
                <w:kern w:val="21"/>
                <w:szCs w:val="21"/>
                <w:lang w:val="en-US" w:eastAsia="zh-CN"/>
              </w:rPr>
            </w:pPr>
          </w:p>
        </w:tc>
        <w:tc>
          <w:tcPr>
            <w:tcW w:w="1417" w:type="dxa"/>
            <w:vAlign w:val="center"/>
          </w:tcPr>
          <w:p w14:paraId="4FE0811B">
            <w:pPr>
              <w:pStyle w:val="61"/>
              <w:spacing w:beforeLines="0" w:afterLines="0" w:line="260" w:lineRule="exact"/>
              <w:jc w:val="center"/>
              <w:rPr>
                <w:rFonts w:hint="default" w:ascii="Times New Roman" w:hAnsi="Times New Roman" w:eastAsia="宋体" w:cs="Times New Roman"/>
                <w:color w:val="auto"/>
                <w:lang w:val="en-US" w:eastAsia="zh-CN"/>
              </w:rPr>
            </w:pPr>
            <w:r>
              <w:rPr>
                <w:rFonts w:hint="eastAsia" w:ascii="Times New Roman" w:cs="Times New Roman"/>
                <w:color w:val="auto"/>
                <w:lang w:val="en-US" w:eastAsia="zh-CN"/>
              </w:rPr>
              <w:t>预处理池污泥</w:t>
            </w:r>
          </w:p>
        </w:tc>
        <w:tc>
          <w:tcPr>
            <w:tcW w:w="1701" w:type="dxa"/>
            <w:vAlign w:val="center"/>
          </w:tcPr>
          <w:p w14:paraId="0EE038E9">
            <w:pPr>
              <w:spacing w:beforeLines="0" w:afterLines="0" w:line="260" w:lineRule="exact"/>
              <w:jc w:val="center"/>
              <w:rPr>
                <w:rFonts w:hint="default" w:ascii="Times New Roman" w:cs="Times New Roman"/>
                <w:snapToGrid w:val="0"/>
                <w:color w:val="auto"/>
                <w:spacing w:val="-6"/>
                <w:kern w:val="21"/>
                <w:szCs w:val="21"/>
                <w:lang w:val="en-US" w:eastAsia="zh-CN"/>
              </w:rPr>
            </w:pPr>
            <w:r>
              <w:rPr>
                <w:rFonts w:hint="eastAsia" w:cs="Times New Roman"/>
                <w:snapToGrid w:val="0"/>
                <w:color w:val="auto"/>
                <w:spacing w:val="-6"/>
                <w:kern w:val="21"/>
                <w:szCs w:val="21"/>
                <w:lang w:val="en-US" w:eastAsia="zh-CN"/>
              </w:rPr>
              <w:t>/</w:t>
            </w:r>
          </w:p>
        </w:tc>
        <w:tc>
          <w:tcPr>
            <w:tcW w:w="1276" w:type="dxa"/>
            <w:vAlign w:val="center"/>
          </w:tcPr>
          <w:p w14:paraId="21E0F6FC">
            <w:pPr>
              <w:spacing w:beforeLines="0" w:afterLines="0" w:line="260" w:lineRule="exact"/>
              <w:jc w:val="center"/>
              <w:rPr>
                <w:rFonts w:hint="default" w:ascii="Times New Roman" w:cs="Times New Roman"/>
                <w:snapToGrid w:val="0"/>
                <w:color w:val="auto"/>
                <w:spacing w:val="-6"/>
                <w:kern w:val="21"/>
                <w:szCs w:val="21"/>
                <w:lang w:val="en-US" w:eastAsia="zh-CN"/>
              </w:rPr>
            </w:pPr>
            <w:r>
              <w:rPr>
                <w:rFonts w:hint="eastAsia" w:cs="Times New Roman"/>
                <w:snapToGrid w:val="0"/>
                <w:color w:val="auto"/>
                <w:spacing w:val="-6"/>
                <w:kern w:val="21"/>
                <w:szCs w:val="21"/>
                <w:lang w:val="en-US" w:eastAsia="zh-CN"/>
              </w:rPr>
              <w:t>/</w:t>
            </w:r>
          </w:p>
        </w:tc>
        <w:tc>
          <w:tcPr>
            <w:tcW w:w="1701" w:type="dxa"/>
            <w:vAlign w:val="center"/>
          </w:tcPr>
          <w:p w14:paraId="3700D258">
            <w:pPr>
              <w:spacing w:beforeLines="0" w:afterLines="0" w:line="260" w:lineRule="exact"/>
              <w:jc w:val="center"/>
              <w:rPr>
                <w:rFonts w:hint="default" w:ascii="Times New Roman" w:cs="Times New Roman"/>
                <w:snapToGrid w:val="0"/>
                <w:color w:val="auto"/>
                <w:spacing w:val="-6"/>
                <w:kern w:val="21"/>
                <w:szCs w:val="21"/>
                <w:lang w:val="en-US" w:eastAsia="zh-CN"/>
              </w:rPr>
            </w:pPr>
            <w:r>
              <w:rPr>
                <w:rFonts w:hint="eastAsia" w:cs="Times New Roman"/>
                <w:snapToGrid w:val="0"/>
                <w:color w:val="auto"/>
                <w:spacing w:val="-6"/>
                <w:kern w:val="21"/>
                <w:szCs w:val="21"/>
                <w:lang w:val="en-US" w:eastAsia="zh-CN"/>
              </w:rPr>
              <w:t>/</w:t>
            </w:r>
          </w:p>
        </w:tc>
        <w:tc>
          <w:tcPr>
            <w:tcW w:w="1559" w:type="dxa"/>
            <w:vAlign w:val="center"/>
          </w:tcPr>
          <w:p w14:paraId="78D9C639">
            <w:pPr>
              <w:pStyle w:val="61"/>
              <w:spacing w:beforeLines="0" w:afterLines="0" w:line="260" w:lineRule="exact"/>
              <w:jc w:val="center"/>
              <w:rPr>
                <w:rFonts w:hint="default" w:ascii="Times New Roman" w:cs="Times New Roman"/>
                <w:snapToGrid w:val="0"/>
                <w:color w:val="auto"/>
                <w:spacing w:val="-6"/>
                <w:kern w:val="21"/>
                <w:szCs w:val="21"/>
                <w:lang w:val="en-US" w:eastAsia="zh-CN"/>
              </w:rPr>
            </w:pPr>
            <w:r>
              <w:rPr>
                <w:rFonts w:hint="eastAsia" w:ascii="Times New Roman" w:cs="Times New Roman"/>
                <w:snapToGrid w:val="0"/>
                <w:color w:val="auto"/>
                <w:spacing w:val="-6"/>
                <w:kern w:val="21"/>
                <w:szCs w:val="21"/>
                <w:lang w:val="en-US" w:eastAsia="zh-CN"/>
              </w:rPr>
              <w:t>0.6t/a</w:t>
            </w:r>
          </w:p>
        </w:tc>
        <w:tc>
          <w:tcPr>
            <w:tcW w:w="1521" w:type="dxa"/>
            <w:vAlign w:val="center"/>
          </w:tcPr>
          <w:p w14:paraId="45DE2203">
            <w:pPr>
              <w:spacing w:beforeLines="0" w:afterLines="0" w:line="260" w:lineRule="exact"/>
              <w:jc w:val="center"/>
              <w:rPr>
                <w:rFonts w:hint="default" w:ascii="Times New Roman" w:cs="Times New Roman"/>
                <w:snapToGrid w:val="0"/>
                <w:color w:val="auto"/>
                <w:spacing w:val="-6"/>
                <w:kern w:val="21"/>
                <w:szCs w:val="21"/>
                <w:lang w:val="en-US" w:eastAsia="zh-CN"/>
              </w:rPr>
            </w:pPr>
            <w:r>
              <w:rPr>
                <w:rFonts w:hint="eastAsia" w:cs="Times New Roman"/>
                <w:snapToGrid w:val="0"/>
                <w:color w:val="auto"/>
                <w:spacing w:val="-6"/>
                <w:kern w:val="21"/>
                <w:szCs w:val="21"/>
                <w:lang w:val="en-US" w:eastAsia="zh-CN"/>
              </w:rPr>
              <w:t>/</w:t>
            </w:r>
          </w:p>
        </w:tc>
        <w:tc>
          <w:tcPr>
            <w:tcW w:w="1985" w:type="dxa"/>
            <w:vAlign w:val="center"/>
          </w:tcPr>
          <w:p w14:paraId="5CC280DA">
            <w:pPr>
              <w:pStyle w:val="61"/>
              <w:spacing w:beforeLines="0" w:afterLines="0" w:line="260" w:lineRule="exact"/>
              <w:jc w:val="center"/>
              <w:rPr>
                <w:rFonts w:hint="default" w:ascii="Times New Roman" w:cs="Times New Roman"/>
                <w:snapToGrid w:val="0"/>
                <w:color w:val="auto"/>
                <w:spacing w:val="-6"/>
                <w:kern w:val="21"/>
                <w:szCs w:val="21"/>
                <w:lang w:val="en-US" w:eastAsia="zh-CN"/>
              </w:rPr>
            </w:pPr>
            <w:r>
              <w:rPr>
                <w:rFonts w:hint="eastAsia" w:ascii="Times New Roman" w:cs="Times New Roman"/>
                <w:snapToGrid w:val="0"/>
                <w:color w:val="auto"/>
                <w:spacing w:val="-6"/>
                <w:kern w:val="21"/>
                <w:szCs w:val="21"/>
                <w:lang w:val="en-US" w:eastAsia="zh-CN"/>
              </w:rPr>
              <w:t>0.6t/a</w:t>
            </w:r>
          </w:p>
        </w:tc>
        <w:tc>
          <w:tcPr>
            <w:tcW w:w="1040" w:type="dxa"/>
            <w:vAlign w:val="center"/>
          </w:tcPr>
          <w:p w14:paraId="3B25F83C">
            <w:pPr>
              <w:pStyle w:val="61"/>
              <w:spacing w:beforeLines="0" w:afterLines="0" w:line="260" w:lineRule="exact"/>
              <w:jc w:val="center"/>
              <w:rPr>
                <w:rFonts w:hint="default" w:ascii="Times New Roman" w:cs="Times New Roman"/>
                <w:snapToGrid w:val="0"/>
                <w:color w:val="auto"/>
                <w:spacing w:val="-6"/>
                <w:kern w:val="21"/>
                <w:szCs w:val="21"/>
                <w:lang w:val="en-US" w:eastAsia="zh-CN"/>
              </w:rPr>
            </w:pPr>
            <w:r>
              <w:rPr>
                <w:rFonts w:hint="eastAsia" w:ascii="Times New Roman" w:cs="Times New Roman"/>
                <w:snapToGrid w:val="0"/>
                <w:color w:val="auto"/>
                <w:spacing w:val="-6"/>
                <w:kern w:val="21"/>
                <w:szCs w:val="21"/>
                <w:lang w:val="en-US" w:eastAsia="zh-CN"/>
              </w:rPr>
              <w:t>+0.6t/a</w:t>
            </w:r>
          </w:p>
        </w:tc>
      </w:tr>
      <w:tr w14:paraId="6DE2126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0" w:hRule="atLeast"/>
          <w:jc w:val="center"/>
        </w:trPr>
        <w:tc>
          <w:tcPr>
            <w:tcW w:w="1588" w:type="dxa"/>
            <w:vMerge w:val="restart"/>
            <w:vAlign w:val="center"/>
          </w:tcPr>
          <w:p w14:paraId="5B1BC78C">
            <w:pPr>
              <w:pStyle w:val="61"/>
              <w:spacing w:beforeLines="0" w:afterLines="0" w:line="260" w:lineRule="exact"/>
              <w:jc w:val="center"/>
              <w:rPr>
                <w:rFonts w:hint="default" w:ascii="Times New Roman" w:hAnsi="Times New Roman" w:eastAsia="宋体" w:cs="Times New Roman"/>
                <w:snapToGrid w:val="0"/>
                <w:color w:val="auto"/>
                <w:spacing w:val="-6"/>
                <w:kern w:val="21"/>
                <w:szCs w:val="21"/>
              </w:rPr>
            </w:pPr>
            <w:r>
              <w:rPr>
                <w:rFonts w:hint="eastAsia" w:ascii="Times New Roman" w:hAnsi="Times New Roman" w:eastAsia="宋体" w:cs="Times New Roman"/>
                <w:snapToGrid w:val="0"/>
                <w:color w:val="auto"/>
                <w:spacing w:val="-6"/>
                <w:kern w:val="21"/>
                <w:szCs w:val="21"/>
              </w:rPr>
              <w:t>一般固体废物</w:t>
            </w:r>
          </w:p>
        </w:tc>
        <w:tc>
          <w:tcPr>
            <w:tcW w:w="1417" w:type="dxa"/>
            <w:vAlign w:val="center"/>
          </w:tcPr>
          <w:p w14:paraId="46003792">
            <w:pPr>
              <w:pStyle w:val="61"/>
              <w:spacing w:beforeLines="0" w:afterLines="0" w:line="260" w:lineRule="exact"/>
              <w:jc w:val="center"/>
              <w:rPr>
                <w:rFonts w:hint="default" w:ascii="Times New Roman" w:hAnsi="Times New Roman" w:eastAsia="宋体" w:cs="Times New Roman"/>
                <w:snapToGrid w:val="0"/>
                <w:color w:val="auto"/>
                <w:spacing w:val="-6"/>
                <w:kern w:val="21"/>
                <w:szCs w:val="21"/>
                <w:lang w:val="en-US" w:eastAsia="zh-CN"/>
              </w:rPr>
            </w:pPr>
            <w:r>
              <w:rPr>
                <w:rFonts w:hint="eastAsia" w:ascii="Times New Roman" w:cs="Times New Roman"/>
                <w:snapToGrid w:val="0"/>
                <w:color w:val="auto"/>
                <w:spacing w:val="-6"/>
                <w:kern w:val="21"/>
                <w:szCs w:val="21"/>
                <w:lang w:val="en-US" w:eastAsia="zh-CN"/>
              </w:rPr>
              <w:t>除尘器收集粉尘</w:t>
            </w:r>
          </w:p>
        </w:tc>
        <w:tc>
          <w:tcPr>
            <w:tcW w:w="1701" w:type="dxa"/>
            <w:vAlign w:val="center"/>
          </w:tcPr>
          <w:p w14:paraId="780915D6">
            <w:pPr>
              <w:spacing w:beforeLines="0" w:afterLines="0" w:line="260" w:lineRule="exact"/>
              <w:jc w:val="center"/>
              <w:rPr>
                <w:rFonts w:hint="default" w:ascii="Times New Roman" w:hAnsi="Times New Roman" w:eastAsia="宋体" w:cs="Times New Roman"/>
                <w:snapToGrid w:val="0"/>
                <w:color w:val="auto"/>
                <w:spacing w:val="-6"/>
                <w:kern w:val="21"/>
                <w:szCs w:val="21"/>
              </w:rPr>
            </w:pPr>
            <w:r>
              <w:rPr>
                <w:rFonts w:hint="eastAsia" w:ascii="Times New Roman" w:cs="Times New Roman"/>
                <w:snapToGrid w:val="0"/>
                <w:color w:val="auto"/>
                <w:spacing w:val="-6"/>
                <w:kern w:val="21"/>
                <w:szCs w:val="21"/>
                <w:lang w:val="en-US" w:eastAsia="zh-CN"/>
              </w:rPr>
              <w:t>/</w:t>
            </w:r>
          </w:p>
        </w:tc>
        <w:tc>
          <w:tcPr>
            <w:tcW w:w="1276" w:type="dxa"/>
            <w:vAlign w:val="center"/>
          </w:tcPr>
          <w:p w14:paraId="7F4ACBB4">
            <w:pPr>
              <w:spacing w:beforeLines="0" w:afterLines="0" w:line="260" w:lineRule="exact"/>
              <w:jc w:val="center"/>
              <w:rPr>
                <w:rFonts w:hint="default" w:ascii="Times New Roman" w:hAnsi="Times New Roman" w:eastAsia="宋体" w:cs="Times New Roman"/>
                <w:snapToGrid w:val="0"/>
                <w:color w:val="auto"/>
                <w:spacing w:val="-6"/>
                <w:kern w:val="21"/>
                <w:szCs w:val="21"/>
              </w:rPr>
            </w:pPr>
            <w:r>
              <w:rPr>
                <w:rFonts w:hint="eastAsia" w:ascii="Times New Roman" w:cs="Times New Roman"/>
                <w:snapToGrid w:val="0"/>
                <w:color w:val="auto"/>
                <w:spacing w:val="-6"/>
                <w:kern w:val="21"/>
                <w:szCs w:val="21"/>
                <w:lang w:val="en-US" w:eastAsia="zh-CN"/>
              </w:rPr>
              <w:t>/</w:t>
            </w:r>
          </w:p>
        </w:tc>
        <w:tc>
          <w:tcPr>
            <w:tcW w:w="1701" w:type="dxa"/>
            <w:vAlign w:val="center"/>
          </w:tcPr>
          <w:p w14:paraId="7375C4CE">
            <w:pPr>
              <w:spacing w:beforeLines="0" w:afterLines="0" w:line="260" w:lineRule="exact"/>
              <w:jc w:val="center"/>
              <w:rPr>
                <w:rFonts w:hint="default" w:ascii="Times New Roman" w:hAnsi="Times New Roman" w:eastAsia="宋体" w:cs="Times New Roman"/>
                <w:snapToGrid w:val="0"/>
                <w:color w:val="auto"/>
                <w:spacing w:val="-6"/>
                <w:kern w:val="21"/>
                <w:szCs w:val="21"/>
              </w:rPr>
            </w:pPr>
            <w:r>
              <w:rPr>
                <w:rFonts w:hint="eastAsia" w:ascii="Times New Roman" w:cs="Times New Roman"/>
                <w:snapToGrid w:val="0"/>
                <w:color w:val="auto"/>
                <w:spacing w:val="-6"/>
                <w:kern w:val="21"/>
                <w:szCs w:val="21"/>
                <w:lang w:val="en-US" w:eastAsia="zh-CN"/>
              </w:rPr>
              <w:t>/</w:t>
            </w:r>
          </w:p>
        </w:tc>
        <w:tc>
          <w:tcPr>
            <w:tcW w:w="1559" w:type="dxa"/>
            <w:vAlign w:val="center"/>
          </w:tcPr>
          <w:p w14:paraId="080BFBF7">
            <w:pPr>
              <w:pStyle w:val="61"/>
              <w:spacing w:beforeLines="0" w:afterLines="0" w:line="260" w:lineRule="exact"/>
              <w:jc w:val="center"/>
              <w:rPr>
                <w:rFonts w:hint="default" w:ascii="Times New Roman" w:hAnsi="Times New Roman" w:eastAsia="宋体" w:cs="Times New Roman"/>
                <w:snapToGrid w:val="0"/>
                <w:color w:val="auto"/>
                <w:spacing w:val="-6"/>
                <w:kern w:val="21"/>
                <w:szCs w:val="21"/>
                <w:lang w:val="en-US" w:eastAsia="zh-CN"/>
              </w:rPr>
            </w:pPr>
            <w:r>
              <w:rPr>
                <w:rFonts w:hint="eastAsia" w:ascii="Times New Roman" w:cs="Times New Roman"/>
                <w:snapToGrid w:val="0"/>
                <w:color w:val="auto"/>
                <w:spacing w:val="-6"/>
                <w:kern w:val="21"/>
                <w:szCs w:val="21"/>
                <w:lang w:val="en-US" w:eastAsia="zh-CN"/>
              </w:rPr>
              <w:t>0.133t/a</w:t>
            </w:r>
          </w:p>
        </w:tc>
        <w:tc>
          <w:tcPr>
            <w:tcW w:w="1521" w:type="dxa"/>
            <w:vAlign w:val="center"/>
          </w:tcPr>
          <w:p w14:paraId="4ECDE036">
            <w:pPr>
              <w:spacing w:beforeLines="0" w:afterLines="0" w:line="260" w:lineRule="exact"/>
              <w:jc w:val="center"/>
              <w:rPr>
                <w:rFonts w:hint="default" w:ascii="Times New Roman" w:hAnsi="Times New Roman" w:eastAsia="宋体" w:cs="Times New Roman"/>
                <w:snapToGrid w:val="0"/>
                <w:color w:val="auto"/>
                <w:spacing w:val="-6"/>
                <w:kern w:val="21"/>
                <w:szCs w:val="21"/>
              </w:rPr>
            </w:pPr>
            <w:r>
              <w:rPr>
                <w:rFonts w:hint="eastAsia" w:ascii="Times New Roman" w:cs="Times New Roman"/>
                <w:snapToGrid w:val="0"/>
                <w:color w:val="auto"/>
                <w:spacing w:val="-6"/>
                <w:kern w:val="21"/>
                <w:szCs w:val="21"/>
                <w:lang w:val="en-US" w:eastAsia="zh-CN"/>
              </w:rPr>
              <w:t>/</w:t>
            </w:r>
          </w:p>
        </w:tc>
        <w:tc>
          <w:tcPr>
            <w:tcW w:w="1985" w:type="dxa"/>
            <w:vAlign w:val="center"/>
          </w:tcPr>
          <w:p w14:paraId="4B1F5B45">
            <w:pPr>
              <w:pStyle w:val="61"/>
              <w:spacing w:beforeLines="0" w:afterLines="0" w:line="260" w:lineRule="exact"/>
              <w:jc w:val="center"/>
              <w:rPr>
                <w:rFonts w:hint="default" w:ascii="Times New Roman" w:hAnsi="Times New Roman" w:eastAsia="宋体" w:cs="Times New Roman"/>
                <w:snapToGrid w:val="0"/>
                <w:color w:val="auto"/>
                <w:spacing w:val="-6"/>
                <w:kern w:val="21"/>
                <w:szCs w:val="21"/>
              </w:rPr>
            </w:pPr>
            <w:r>
              <w:rPr>
                <w:rFonts w:hint="eastAsia" w:ascii="Times New Roman" w:cs="Times New Roman"/>
                <w:snapToGrid w:val="0"/>
                <w:color w:val="auto"/>
                <w:spacing w:val="-6"/>
                <w:kern w:val="21"/>
                <w:szCs w:val="21"/>
                <w:lang w:val="en-US" w:eastAsia="zh-CN"/>
              </w:rPr>
              <w:t>0.133t/a</w:t>
            </w:r>
          </w:p>
        </w:tc>
        <w:tc>
          <w:tcPr>
            <w:tcW w:w="1040" w:type="dxa"/>
            <w:vAlign w:val="center"/>
          </w:tcPr>
          <w:p w14:paraId="0CFD563D">
            <w:pPr>
              <w:pStyle w:val="61"/>
              <w:spacing w:beforeLines="0" w:afterLines="0" w:line="260" w:lineRule="exact"/>
              <w:jc w:val="center"/>
              <w:rPr>
                <w:rFonts w:hint="eastAsia" w:ascii="Times New Roman" w:hAnsi="Times New Roman" w:eastAsia="宋体" w:cs="Times New Roman"/>
                <w:snapToGrid w:val="0"/>
                <w:color w:val="auto"/>
                <w:spacing w:val="-6"/>
                <w:kern w:val="21"/>
                <w:szCs w:val="21"/>
                <w:lang w:val="en-US" w:eastAsia="zh-CN"/>
              </w:rPr>
            </w:pPr>
            <w:r>
              <w:rPr>
                <w:rFonts w:hint="eastAsia" w:ascii="Times New Roman" w:cs="Times New Roman"/>
                <w:snapToGrid w:val="0"/>
                <w:color w:val="auto"/>
                <w:spacing w:val="-6"/>
                <w:kern w:val="21"/>
                <w:szCs w:val="21"/>
                <w:lang w:val="en-US" w:eastAsia="zh-CN"/>
              </w:rPr>
              <w:t>+0.133t/a</w:t>
            </w:r>
          </w:p>
        </w:tc>
      </w:tr>
      <w:tr w14:paraId="6F41BE9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91" w:hRule="atLeast"/>
          <w:jc w:val="center"/>
        </w:trPr>
        <w:tc>
          <w:tcPr>
            <w:tcW w:w="1588" w:type="dxa"/>
            <w:vMerge w:val="continue"/>
            <w:vAlign w:val="center"/>
          </w:tcPr>
          <w:p w14:paraId="4009461D">
            <w:pPr>
              <w:pStyle w:val="61"/>
              <w:spacing w:beforeLines="0" w:afterLines="0" w:line="260" w:lineRule="exact"/>
              <w:jc w:val="center"/>
              <w:rPr>
                <w:rFonts w:hint="eastAsia" w:ascii="Times New Roman" w:hAnsi="Times New Roman" w:eastAsia="宋体" w:cs="Times New Roman"/>
                <w:snapToGrid w:val="0"/>
                <w:color w:val="auto"/>
                <w:spacing w:val="-6"/>
                <w:kern w:val="21"/>
                <w:szCs w:val="21"/>
              </w:rPr>
            </w:pPr>
          </w:p>
        </w:tc>
        <w:tc>
          <w:tcPr>
            <w:tcW w:w="1417" w:type="dxa"/>
            <w:vAlign w:val="center"/>
          </w:tcPr>
          <w:p w14:paraId="6FBB1A65">
            <w:pPr>
              <w:autoSpaceDE w:val="0"/>
              <w:autoSpaceDN w:val="0"/>
              <w:adjustRightInd w:val="0"/>
              <w:snapToGrid w:val="0"/>
              <w:jc w:val="center"/>
              <w:rPr>
                <w:rFonts w:hint="eastAsia" w:ascii="Times New Roman" w:cs="Times New Roman"/>
                <w:snapToGrid w:val="0"/>
                <w:color w:val="auto"/>
                <w:spacing w:val="-6"/>
                <w:kern w:val="21"/>
                <w:szCs w:val="21"/>
                <w:lang w:val="en-US" w:eastAsia="zh-CN"/>
              </w:rPr>
            </w:pPr>
            <w:r>
              <w:rPr>
                <w:rFonts w:hint="eastAsia" w:ascii="Times New Roman" w:hAnsi="Times New Roman" w:eastAsia="宋体" w:cs="Times New Roman"/>
                <w:color w:val="auto"/>
                <w:kern w:val="0"/>
                <w:sz w:val="21"/>
                <w:szCs w:val="21"/>
                <w:lang w:val="en-US" w:eastAsia="zh-CN"/>
              </w:rPr>
              <w:t>废隔膜、废极片</w:t>
            </w:r>
          </w:p>
        </w:tc>
        <w:tc>
          <w:tcPr>
            <w:tcW w:w="1701" w:type="dxa"/>
            <w:vAlign w:val="center"/>
          </w:tcPr>
          <w:p w14:paraId="065C4513">
            <w:pPr>
              <w:spacing w:beforeLines="0" w:afterLines="0" w:line="260" w:lineRule="exact"/>
              <w:jc w:val="center"/>
              <w:rPr>
                <w:rFonts w:hint="eastAsia" w:ascii="Times New Roman" w:cs="Times New Roman"/>
                <w:snapToGrid w:val="0"/>
                <w:color w:val="auto"/>
                <w:spacing w:val="-6"/>
                <w:kern w:val="21"/>
                <w:szCs w:val="21"/>
                <w:lang w:val="en-US" w:eastAsia="zh-CN"/>
              </w:rPr>
            </w:pPr>
            <w:r>
              <w:rPr>
                <w:rFonts w:hint="eastAsia" w:ascii="Times New Roman" w:cs="Times New Roman"/>
                <w:snapToGrid w:val="0"/>
                <w:color w:val="auto"/>
                <w:spacing w:val="-6"/>
                <w:kern w:val="21"/>
                <w:szCs w:val="21"/>
                <w:lang w:val="en-US" w:eastAsia="zh-CN"/>
              </w:rPr>
              <w:t>/</w:t>
            </w:r>
          </w:p>
        </w:tc>
        <w:tc>
          <w:tcPr>
            <w:tcW w:w="1276" w:type="dxa"/>
            <w:vAlign w:val="center"/>
          </w:tcPr>
          <w:p w14:paraId="3C41AA4B">
            <w:pPr>
              <w:spacing w:beforeLines="0" w:afterLines="0" w:line="260" w:lineRule="exact"/>
              <w:jc w:val="center"/>
              <w:rPr>
                <w:rFonts w:hint="eastAsia" w:ascii="Times New Roman" w:cs="Times New Roman"/>
                <w:snapToGrid w:val="0"/>
                <w:color w:val="auto"/>
                <w:spacing w:val="-6"/>
                <w:kern w:val="21"/>
                <w:szCs w:val="21"/>
                <w:lang w:val="en-US" w:eastAsia="zh-CN"/>
              </w:rPr>
            </w:pPr>
            <w:r>
              <w:rPr>
                <w:rFonts w:hint="eastAsia" w:ascii="Times New Roman" w:cs="Times New Roman"/>
                <w:snapToGrid w:val="0"/>
                <w:color w:val="auto"/>
                <w:spacing w:val="-6"/>
                <w:kern w:val="21"/>
                <w:szCs w:val="21"/>
                <w:lang w:val="en-US" w:eastAsia="zh-CN"/>
              </w:rPr>
              <w:t>/</w:t>
            </w:r>
          </w:p>
        </w:tc>
        <w:tc>
          <w:tcPr>
            <w:tcW w:w="1701" w:type="dxa"/>
            <w:vAlign w:val="center"/>
          </w:tcPr>
          <w:p w14:paraId="2EAE8743">
            <w:pPr>
              <w:spacing w:beforeLines="0" w:afterLines="0" w:line="260" w:lineRule="exact"/>
              <w:jc w:val="center"/>
              <w:rPr>
                <w:rFonts w:hint="eastAsia" w:ascii="Times New Roman" w:cs="Times New Roman"/>
                <w:snapToGrid w:val="0"/>
                <w:color w:val="auto"/>
                <w:spacing w:val="-6"/>
                <w:kern w:val="21"/>
                <w:szCs w:val="21"/>
                <w:lang w:val="en-US" w:eastAsia="zh-CN"/>
              </w:rPr>
            </w:pPr>
            <w:r>
              <w:rPr>
                <w:rFonts w:hint="eastAsia" w:ascii="Times New Roman" w:cs="Times New Roman"/>
                <w:snapToGrid w:val="0"/>
                <w:color w:val="auto"/>
                <w:spacing w:val="-6"/>
                <w:kern w:val="21"/>
                <w:szCs w:val="21"/>
                <w:lang w:val="en-US" w:eastAsia="zh-CN"/>
              </w:rPr>
              <w:t>/</w:t>
            </w:r>
          </w:p>
        </w:tc>
        <w:tc>
          <w:tcPr>
            <w:tcW w:w="1559" w:type="dxa"/>
            <w:vAlign w:val="center"/>
          </w:tcPr>
          <w:p w14:paraId="248D361A">
            <w:pPr>
              <w:pStyle w:val="61"/>
              <w:spacing w:beforeLines="0" w:afterLines="0" w:line="260" w:lineRule="exact"/>
              <w:jc w:val="center"/>
              <w:rPr>
                <w:rFonts w:hint="default" w:ascii="Times New Roman" w:hAnsi="Times New Roman" w:cs="Times New Roman"/>
                <w:color w:val="auto"/>
                <w:kern w:val="0"/>
                <w:sz w:val="21"/>
                <w:szCs w:val="21"/>
                <w:shd w:val="clear"/>
                <w:lang w:val="en-US" w:eastAsia="zh-CN"/>
              </w:rPr>
            </w:pPr>
            <w:r>
              <w:rPr>
                <w:rFonts w:hint="eastAsia" w:ascii="Times New Roman" w:hAnsi="Times New Roman" w:cs="Times New Roman"/>
                <w:color w:val="auto"/>
                <w:kern w:val="0"/>
                <w:sz w:val="21"/>
                <w:szCs w:val="21"/>
                <w:shd w:val="clear"/>
                <w:lang w:val="en-US" w:eastAsia="zh-CN"/>
              </w:rPr>
              <w:t>0.</w:t>
            </w:r>
            <w:r>
              <w:rPr>
                <w:rFonts w:hint="eastAsia" w:ascii="Times New Roman" w:cs="Times New Roman"/>
                <w:color w:val="auto"/>
                <w:kern w:val="0"/>
                <w:sz w:val="21"/>
                <w:szCs w:val="21"/>
                <w:shd w:val="clear"/>
                <w:lang w:val="en-US" w:eastAsia="zh-CN"/>
              </w:rPr>
              <w:t>565t/a</w:t>
            </w:r>
          </w:p>
        </w:tc>
        <w:tc>
          <w:tcPr>
            <w:tcW w:w="1521" w:type="dxa"/>
            <w:vAlign w:val="center"/>
          </w:tcPr>
          <w:p w14:paraId="4CC851F6">
            <w:pPr>
              <w:spacing w:beforeLines="0" w:afterLines="0" w:line="260" w:lineRule="exact"/>
              <w:jc w:val="center"/>
              <w:rPr>
                <w:rFonts w:hint="eastAsia" w:ascii="Times New Roman" w:cs="Times New Roman"/>
                <w:snapToGrid w:val="0"/>
                <w:color w:val="auto"/>
                <w:spacing w:val="-6"/>
                <w:kern w:val="21"/>
                <w:szCs w:val="21"/>
                <w:lang w:val="en-US" w:eastAsia="zh-CN"/>
              </w:rPr>
            </w:pPr>
            <w:r>
              <w:rPr>
                <w:rFonts w:hint="eastAsia" w:ascii="Times New Roman" w:cs="Times New Roman"/>
                <w:snapToGrid w:val="0"/>
                <w:color w:val="auto"/>
                <w:spacing w:val="-6"/>
                <w:kern w:val="21"/>
                <w:szCs w:val="21"/>
                <w:lang w:val="en-US" w:eastAsia="zh-CN"/>
              </w:rPr>
              <w:t>/</w:t>
            </w:r>
          </w:p>
        </w:tc>
        <w:tc>
          <w:tcPr>
            <w:tcW w:w="1985" w:type="dxa"/>
            <w:vAlign w:val="center"/>
          </w:tcPr>
          <w:p w14:paraId="25BDAE8D">
            <w:pPr>
              <w:pStyle w:val="61"/>
              <w:spacing w:beforeLines="0" w:afterLines="0" w:line="260" w:lineRule="exact"/>
              <w:jc w:val="center"/>
              <w:rPr>
                <w:rFonts w:hint="eastAsia" w:ascii="Times New Roman" w:cs="Times New Roman"/>
                <w:snapToGrid w:val="0"/>
                <w:color w:val="auto"/>
                <w:spacing w:val="-6"/>
                <w:kern w:val="21"/>
                <w:szCs w:val="21"/>
                <w:lang w:val="en-US" w:eastAsia="zh-CN"/>
              </w:rPr>
            </w:pPr>
            <w:r>
              <w:rPr>
                <w:rFonts w:hint="eastAsia" w:ascii="Times New Roman" w:hAnsi="Times New Roman" w:cs="Times New Roman"/>
                <w:color w:val="auto"/>
                <w:kern w:val="0"/>
                <w:sz w:val="21"/>
                <w:szCs w:val="21"/>
                <w:shd w:val="clear"/>
                <w:lang w:val="en-US" w:eastAsia="zh-CN"/>
              </w:rPr>
              <w:t>0.</w:t>
            </w:r>
            <w:r>
              <w:rPr>
                <w:rFonts w:hint="eastAsia" w:ascii="Times New Roman" w:cs="Times New Roman"/>
                <w:color w:val="auto"/>
                <w:kern w:val="0"/>
                <w:sz w:val="21"/>
                <w:szCs w:val="21"/>
                <w:shd w:val="clear"/>
                <w:lang w:val="en-US" w:eastAsia="zh-CN"/>
              </w:rPr>
              <w:t>565t/a</w:t>
            </w:r>
          </w:p>
        </w:tc>
        <w:tc>
          <w:tcPr>
            <w:tcW w:w="1040" w:type="dxa"/>
            <w:vAlign w:val="center"/>
          </w:tcPr>
          <w:p w14:paraId="2B665CDC">
            <w:pPr>
              <w:pStyle w:val="61"/>
              <w:spacing w:beforeLines="0" w:afterLines="0" w:line="260" w:lineRule="exact"/>
              <w:jc w:val="center"/>
              <w:rPr>
                <w:rFonts w:hint="eastAsia" w:ascii="Times New Roman" w:cs="Times New Roman"/>
                <w:snapToGrid w:val="0"/>
                <w:color w:val="auto"/>
                <w:spacing w:val="-6"/>
                <w:kern w:val="21"/>
                <w:szCs w:val="21"/>
                <w:lang w:val="en-US" w:eastAsia="zh-CN"/>
              </w:rPr>
            </w:pPr>
            <w:r>
              <w:rPr>
                <w:rFonts w:hint="eastAsia" w:ascii="Times New Roman" w:cs="Times New Roman"/>
                <w:color w:val="auto"/>
                <w:kern w:val="0"/>
                <w:sz w:val="21"/>
                <w:szCs w:val="21"/>
                <w:shd w:val="clear"/>
                <w:lang w:val="en-US" w:eastAsia="zh-CN"/>
              </w:rPr>
              <w:t>+</w:t>
            </w:r>
            <w:r>
              <w:rPr>
                <w:rFonts w:hint="eastAsia" w:ascii="Times New Roman" w:hAnsi="Times New Roman" w:cs="Times New Roman"/>
                <w:color w:val="auto"/>
                <w:kern w:val="0"/>
                <w:sz w:val="21"/>
                <w:szCs w:val="21"/>
                <w:shd w:val="clear"/>
                <w:lang w:val="en-US" w:eastAsia="zh-CN"/>
              </w:rPr>
              <w:t>0.</w:t>
            </w:r>
            <w:r>
              <w:rPr>
                <w:rFonts w:hint="eastAsia" w:ascii="Times New Roman" w:cs="Times New Roman"/>
                <w:color w:val="auto"/>
                <w:kern w:val="0"/>
                <w:sz w:val="21"/>
                <w:szCs w:val="21"/>
                <w:shd w:val="clear"/>
                <w:lang w:val="en-US" w:eastAsia="zh-CN"/>
              </w:rPr>
              <w:t>565t/a</w:t>
            </w:r>
          </w:p>
        </w:tc>
      </w:tr>
      <w:tr w14:paraId="020127F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0" w:hRule="atLeast"/>
          <w:jc w:val="center"/>
        </w:trPr>
        <w:tc>
          <w:tcPr>
            <w:tcW w:w="1588" w:type="dxa"/>
            <w:vMerge w:val="continue"/>
            <w:vAlign w:val="center"/>
          </w:tcPr>
          <w:p w14:paraId="2738B322">
            <w:pPr>
              <w:pStyle w:val="61"/>
              <w:spacing w:beforeLines="0" w:afterLines="0" w:line="260" w:lineRule="exact"/>
              <w:jc w:val="center"/>
              <w:rPr>
                <w:rFonts w:hint="eastAsia" w:ascii="Times New Roman" w:hAnsi="Times New Roman" w:eastAsia="宋体" w:cs="Times New Roman"/>
                <w:snapToGrid w:val="0"/>
                <w:color w:val="auto"/>
                <w:spacing w:val="-6"/>
                <w:kern w:val="21"/>
                <w:szCs w:val="21"/>
              </w:rPr>
            </w:pPr>
          </w:p>
        </w:tc>
        <w:tc>
          <w:tcPr>
            <w:tcW w:w="1417" w:type="dxa"/>
            <w:vAlign w:val="center"/>
          </w:tcPr>
          <w:p w14:paraId="353C1D2D">
            <w:pPr>
              <w:autoSpaceDE w:val="0"/>
              <w:autoSpaceDN w:val="0"/>
              <w:adjustRightInd w:val="0"/>
              <w:snapToGrid w:val="0"/>
              <w:jc w:val="center"/>
              <w:rPr>
                <w:rFonts w:hint="eastAsia" w:ascii="Times New Roman" w:cs="Times New Roman"/>
                <w:snapToGrid w:val="0"/>
                <w:color w:val="auto"/>
                <w:spacing w:val="-6"/>
                <w:kern w:val="21"/>
                <w:szCs w:val="21"/>
                <w:lang w:val="en-US" w:eastAsia="zh-CN"/>
              </w:rPr>
            </w:pPr>
            <w:r>
              <w:rPr>
                <w:rFonts w:hint="eastAsia" w:ascii="Times New Roman" w:hAnsi="Times New Roman" w:eastAsia="宋体" w:cs="Times New Roman"/>
                <w:color w:val="auto"/>
                <w:kern w:val="0"/>
                <w:sz w:val="21"/>
                <w:szCs w:val="21"/>
                <w:lang w:val="en-US" w:eastAsia="zh-CN"/>
              </w:rPr>
              <w:t>沾染浆料的废手套</w:t>
            </w:r>
          </w:p>
        </w:tc>
        <w:tc>
          <w:tcPr>
            <w:tcW w:w="1701" w:type="dxa"/>
            <w:vAlign w:val="center"/>
          </w:tcPr>
          <w:p w14:paraId="370A9706">
            <w:pPr>
              <w:spacing w:beforeLines="0" w:afterLines="0" w:line="260" w:lineRule="exact"/>
              <w:jc w:val="center"/>
              <w:rPr>
                <w:rFonts w:hint="eastAsia" w:ascii="Times New Roman" w:cs="Times New Roman"/>
                <w:snapToGrid w:val="0"/>
                <w:color w:val="auto"/>
                <w:spacing w:val="-6"/>
                <w:kern w:val="21"/>
                <w:szCs w:val="21"/>
                <w:lang w:val="en-US" w:eastAsia="zh-CN"/>
              </w:rPr>
            </w:pPr>
            <w:r>
              <w:rPr>
                <w:rFonts w:hint="eastAsia" w:ascii="Times New Roman" w:cs="Times New Roman"/>
                <w:snapToGrid w:val="0"/>
                <w:color w:val="auto"/>
                <w:spacing w:val="-6"/>
                <w:kern w:val="21"/>
                <w:szCs w:val="21"/>
                <w:lang w:val="en-US" w:eastAsia="zh-CN"/>
              </w:rPr>
              <w:t>/</w:t>
            </w:r>
          </w:p>
        </w:tc>
        <w:tc>
          <w:tcPr>
            <w:tcW w:w="1276" w:type="dxa"/>
            <w:vAlign w:val="center"/>
          </w:tcPr>
          <w:p w14:paraId="47FDBAC0">
            <w:pPr>
              <w:spacing w:beforeLines="0" w:afterLines="0" w:line="260" w:lineRule="exact"/>
              <w:jc w:val="center"/>
              <w:rPr>
                <w:rFonts w:hint="eastAsia" w:ascii="Times New Roman" w:cs="Times New Roman"/>
                <w:snapToGrid w:val="0"/>
                <w:color w:val="auto"/>
                <w:spacing w:val="-6"/>
                <w:kern w:val="21"/>
                <w:szCs w:val="21"/>
                <w:lang w:val="en-US" w:eastAsia="zh-CN"/>
              </w:rPr>
            </w:pPr>
            <w:r>
              <w:rPr>
                <w:rFonts w:hint="eastAsia" w:ascii="Times New Roman" w:cs="Times New Roman"/>
                <w:snapToGrid w:val="0"/>
                <w:color w:val="auto"/>
                <w:spacing w:val="-6"/>
                <w:kern w:val="21"/>
                <w:szCs w:val="21"/>
                <w:lang w:val="en-US" w:eastAsia="zh-CN"/>
              </w:rPr>
              <w:t>/</w:t>
            </w:r>
          </w:p>
        </w:tc>
        <w:tc>
          <w:tcPr>
            <w:tcW w:w="1701" w:type="dxa"/>
            <w:vAlign w:val="center"/>
          </w:tcPr>
          <w:p w14:paraId="6842FBB0">
            <w:pPr>
              <w:spacing w:beforeLines="0" w:afterLines="0" w:line="260" w:lineRule="exact"/>
              <w:jc w:val="center"/>
              <w:rPr>
                <w:rFonts w:hint="eastAsia" w:ascii="Times New Roman" w:cs="Times New Roman"/>
                <w:snapToGrid w:val="0"/>
                <w:color w:val="auto"/>
                <w:spacing w:val="-6"/>
                <w:kern w:val="21"/>
                <w:szCs w:val="21"/>
                <w:lang w:val="en-US" w:eastAsia="zh-CN"/>
              </w:rPr>
            </w:pPr>
            <w:r>
              <w:rPr>
                <w:rFonts w:hint="eastAsia" w:ascii="Times New Roman" w:cs="Times New Roman"/>
                <w:snapToGrid w:val="0"/>
                <w:color w:val="auto"/>
                <w:spacing w:val="-6"/>
                <w:kern w:val="21"/>
                <w:szCs w:val="21"/>
                <w:lang w:val="en-US" w:eastAsia="zh-CN"/>
              </w:rPr>
              <w:t>/</w:t>
            </w:r>
          </w:p>
        </w:tc>
        <w:tc>
          <w:tcPr>
            <w:tcW w:w="1559" w:type="dxa"/>
            <w:vAlign w:val="center"/>
          </w:tcPr>
          <w:p w14:paraId="2C2C1345">
            <w:pPr>
              <w:pStyle w:val="61"/>
              <w:spacing w:beforeLines="0" w:afterLines="0" w:line="260" w:lineRule="exact"/>
              <w:jc w:val="center"/>
              <w:rPr>
                <w:rFonts w:hint="eastAsia" w:ascii="Times New Roman" w:hAnsi="Times New Roman" w:cs="Times New Roman"/>
                <w:color w:val="auto"/>
                <w:kern w:val="0"/>
                <w:sz w:val="21"/>
                <w:szCs w:val="21"/>
                <w:shd w:val="clear"/>
                <w:lang w:val="en-US" w:eastAsia="zh-CN"/>
              </w:rPr>
            </w:pPr>
            <w:r>
              <w:rPr>
                <w:rFonts w:hint="eastAsia" w:ascii="Times New Roman" w:hAnsi="Times New Roman" w:cs="Times New Roman"/>
                <w:color w:val="auto"/>
                <w:kern w:val="0"/>
                <w:sz w:val="21"/>
                <w:szCs w:val="21"/>
                <w:shd w:val="clear"/>
                <w:lang w:val="en-US" w:eastAsia="zh-CN"/>
              </w:rPr>
              <w:t>1</w:t>
            </w:r>
            <w:r>
              <w:rPr>
                <w:rFonts w:hint="eastAsia" w:ascii="Times New Roman" w:cs="Times New Roman"/>
                <w:color w:val="auto"/>
                <w:kern w:val="0"/>
                <w:sz w:val="21"/>
                <w:szCs w:val="21"/>
                <w:shd w:val="clear"/>
                <w:lang w:val="en-US" w:eastAsia="zh-CN"/>
              </w:rPr>
              <w:t>t/a</w:t>
            </w:r>
          </w:p>
        </w:tc>
        <w:tc>
          <w:tcPr>
            <w:tcW w:w="1521" w:type="dxa"/>
            <w:vAlign w:val="center"/>
          </w:tcPr>
          <w:p w14:paraId="1D11AE26">
            <w:pPr>
              <w:spacing w:beforeLines="0" w:afterLines="0" w:line="260" w:lineRule="exact"/>
              <w:jc w:val="center"/>
              <w:rPr>
                <w:rFonts w:hint="eastAsia" w:ascii="Times New Roman" w:cs="Times New Roman"/>
                <w:snapToGrid w:val="0"/>
                <w:color w:val="auto"/>
                <w:spacing w:val="-6"/>
                <w:kern w:val="21"/>
                <w:szCs w:val="21"/>
                <w:lang w:val="en-US" w:eastAsia="zh-CN"/>
              </w:rPr>
            </w:pPr>
            <w:r>
              <w:rPr>
                <w:rFonts w:hint="eastAsia" w:ascii="Times New Roman" w:cs="Times New Roman"/>
                <w:snapToGrid w:val="0"/>
                <w:color w:val="auto"/>
                <w:spacing w:val="-6"/>
                <w:kern w:val="21"/>
                <w:szCs w:val="21"/>
                <w:lang w:val="en-US" w:eastAsia="zh-CN"/>
              </w:rPr>
              <w:t>/</w:t>
            </w:r>
          </w:p>
        </w:tc>
        <w:tc>
          <w:tcPr>
            <w:tcW w:w="1985" w:type="dxa"/>
            <w:vAlign w:val="center"/>
          </w:tcPr>
          <w:p w14:paraId="28950058">
            <w:pPr>
              <w:pStyle w:val="61"/>
              <w:spacing w:beforeLines="0" w:afterLines="0" w:line="260" w:lineRule="exact"/>
              <w:jc w:val="center"/>
              <w:rPr>
                <w:rFonts w:hint="eastAsia" w:ascii="Times New Roman" w:cs="Times New Roman"/>
                <w:snapToGrid w:val="0"/>
                <w:color w:val="auto"/>
                <w:spacing w:val="-6"/>
                <w:kern w:val="21"/>
                <w:szCs w:val="21"/>
                <w:lang w:val="en-US" w:eastAsia="zh-CN"/>
              </w:rPr>
            </w:pPr>
            <w:r>
              <w:rPr>
                <w:rFonts w:hint="eastAsia" w:ascii="Times New Roman" w:hAnsi="Times New Roman" w:cs="Times New Roman"/>
                <w:color w:val="auto"/>
                <w:kern w:val="0"/>
                <w:sz w:val="21"/>
                <w:szCs w:val="21"/>
                <w:shd w:val="clear"/>
                <w:lang w:val="en-US" w:eastAsia="zh-CN"/>
              </w:rPr>
              <w:t>1</w:t>
            </w:r>
            <w:r>
              <w:rPr>
                <w:rFonts w:hint="eastAsia" w:ascii="Times New Roman" w:cs="Times New Roman"/>
                <w:color w:val="auto"/>
                <w:kern w:val="0"/>
                <w:sz w:val="21"/>
                <w:szCs w:val="21"/>
                <w:shd w:val="clear"/>
                <w:lang w:val="en-US" w:eastAsia="zh-CN"/>
              </w:rPr>
              <w:t>t/a</w:t>
            </w:r>
          </w:p>
        </w:tc>
        <w:tc>
          <w:tcPr>
            <w:tcW w:w="1040" w:type="dxa"/>
            <w:vAlign w:val="center"/>
          </w:tcPr>
          <w:p w14:paraId="14D0672B">
            <w:pPr>
              <w:pStyle w:val="61"/>
              <w:spacing w:beforeLines="0" w:afterLines="0" w:line="260" w:lineRule="exact"/>
              <w:jc w:val="center"/>
              <w:rPr>
                <w:rFonts w:hint="eastAsia" w:ascii="Times New Roman" w:cs="Times New Roman"/>
                <w:snapToGrid w:val="0"/>
                <w:color w:val="auto"/>
                <w:spacing w:val="-6"/>
                <w:kern w:val="21"/>
                <w:szCs w:val="21"/>
                <w:lang w:val="en-US" w:eastAsia="zh-CN"/>
              </w:rPr>
            </w:pPr>
            <w:r>
              <w:rPr>
                <w:rFonts w:hint="eastAsia" w:ascii="Times New Roman" w:cs="Times New Roman"/>
                <w:color w:val="auto"/>
                <w:kern w:val="0"/>
                <w:sz w:val="21"/>
                <w:szCs w:val="21"/>
                <w:shd w:val="clear"/>
                <w:lang w:val="en-US" w:eastAsia="zh-CN"/>
              </w:rPr>
              <w:t>+</w:t>
            </w:r>
            <w:r>
              <w:rPr>
                <w:rFonts w:hint="eastAsia" w:ascii="Times New Roman" w:hAnsi="Times New Roman" w:cs="Times New Roman"/>
                <w:color w:val="auto"/>
                <w:kern w:val="0"/>
                <w:sz w:val="21"/>
                <w:szCs w:val="21"/>
                <w:shd w:val="clear"/>
                <w:lang w:val="en-US" w:eastAsia="zh-CN"/>
              </w:rPr>
              <w:t>1</w:t>
            </w:r>
            <w:r>
              <w:rPr>
                <w:rFonts w:hint="eastAsia" w:ascii="Times New Roman" w:cs="Times New Roman"/>
                <w:color w:val="auto"/>
                <w:kern w:val="0"/>
                <w:sz w:val="21"/>
                <w:szCs w:val="21"/>
                <w:shd w:val="clear"/>
                <w:lang w:val="en-US" w:eastAsia="zh-CN"/>
              </w:rPr>
              <w:t>t/a</w:t>
            </w:r>
          </w:p>
        </w:tc>
      </w:tr>
      <w:tr w14:paraId="1D7B109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0" w:hRule="atLeast"/>
          <w:jc w:val="center"/>
        </w:trPr>
        <w:tc>
          <w:tcPr>
            <w:tcW w:w="1588" w:type="dxa"/>
            <w:vMerge w:val="continue"/>
            <w:vAlign w:val="center"/>
          </w:tcPr>
          <w:p w14:paraId="5CBF6858">
            <w:pPr>
              <w:pStyle w:val="61"/>
              <w:spacing w:beforeLines="0" w:afterLines="0" w:line="260" w:lineRule="exact"/>
              <w:jc w:val="center"/>
              <w:rPr>
                <w:rFonts w:hint="eastAsia" w:ascii="Times New Roman" w:hAnsi="Times New Roman" w:eastAsia="宋体" w:cs="Times New Roman"/>
                <w:snapToGrid w:val="0"/>
                <w:color w:val="auto"/>
                <w:spacing w:val="-6"/>
                <w:kern w:val="21"/>
                <w:szCs w:val="21"/>
              </w:rPr>
            </w:pPr>
          </w:p>
        </w:tc>
        <w:tc>
          <w:tcPr>
            <w:tcW w:w="1417" w:type="dxa"/>
            <w:vAlign w:val="center"/>
          </w:tcPr>
          <w:p w14:paraId="73B4F15E">
            <w:pPr>
              <w:pStyle w:val="61"/>
              <w:spacing w:beforeLines="0" w:afterLines="0" w:line="260" w:lineRule="exact"/>
              <w:jc w:val="center"/>
              <w:rPr>
                <w:rFonts w:hint="eastAsia" w:ascii="Times New Roman" w:cs="Times New Roman"/>
                <w:snapToGrid w:val="0"/>
                <w:color w:val="auto"/>
                <w:spacing w:val="-6"/>
                <w:kern w:val="21"/>
                <w:szCs w:val="21"/>
                <w:lang w:val="en-US" w:eastAsia="zh-CN"/>
              </w:rPr>
            </w:pPr>
            <w:r>
              <w:rPr>
                <w:rFonts w:hint="eastAsia" w:ascii="Times New Roman" w:hAnsi="Times New Roman" w:eastAsia="宋体" w:cs="Times New Roman"/>
                <w:color w:val="auto"/>
                <w:kern w:val="0"/>
                <w:sz w:val="21"/>
                <w:szCs w:val="21"/>
                <w:lang w:val="en-US" w:eastAsia="zh-CN"/>
              </w:rPr>
              <w:t>废NMP包装桶</w:t>
            </w:r>
          </w:p>
        </w:tc>
        <w:tc>
          <w:tcPr>
            <w:tcW w:w="1701" w:type="dxa"/>
            <w:vAlign w:val="center"/>
          </w:tcPr>
          <w:p w14:paraId="65F07E95">
            <w:pPr>
              <w:spacing w:beforeLines="0" w:afterLines="0" w:line="260" w:lineRule="exact"/>
              <w:jc w:val="center"/>
              <w:rPr>
                <w:rFonts w:hint="eastAsia" w:ascii="Times New Roman" w:cs="Times New Roman"/>
                <w:snapToGrid w:val="0"/>
                <w:color w:val="auto"/>
                <w:spacing w:val="-6"/>
                <w:kern w:val="21"/>
                <w:szCs w:val="21"/>
                <w:lang w:val="en-US" w:eastAsia="zh-CN"/>
              </w:rPr>
            </w:pPr>
            <w:r>
              <w:rPr>
                <w:rFonts w:hint="eastAsia" w:ascii="Times New Roman" w:cs="Times New Roman"/>
                <w:snapToGrid w:val="0"/>
                <w:color w:val="auto"/>
                <w:spacing w:val="-6"/>
                <w:kern w:val="21"/>
                <w:szCs w:val="21"/>
                <w:lang w:val="en-US" w:eastAsia="zh-CN"/>
              </w:rPr>
              <w:t>/</w:t>
            </w:r>
          </w:p>
        </w:tc>
        <w:tc>
          <w:tcPr>
            <w:tcW w:w="1276" w:type="dxa"/>
            <w:vAlign w:val="center"/>
          </w:tcPr>
          <w:p w14:paraId="17E147FC">
            <w:pPr>
              <w:spacing w:beforeLines="0" w:afterLines="0" w:line="260" w:lineRule="exact"/>
              <w:jc w:val="center"/>
              <w:rPr>
                <w:rFonts w:hint="eastAsia" w:ascii="Times New Roman" w:cs="Times New Roman"/>
                <w:snapToGrid w:val="0"/>
                <w:color w:val="auto"/>
                <w:spacing w:val="-6"/>
                <w:kern w:val="21"/>
                <w:szCs w:val="21"/>
                <w:lang w:val="en-US" w:eastAsia="zh-CN"/>
              </w:rPr>
            </w:pPr>
            <w:r>
              <w:rPr>
                <w:rFonts w:hint="eastAsia" w:ascii="Times New Roman" w:cs="Times New Roman"/>
                <w:snapToGrid w:val="0"/>
                <w:color w:val="auto"/>
                <w:spacing w:val="-6"/>
                <w:kern w:val="21"/>
                <w:szCs w:val="21"/>
                <w:lang w:val="en-US" w:eastAsia="zh-CN"/>
              </w:rPr>
              <w:t>/</w:t>
            </w:r>
          </w:p>
        </w:tc>
        <w:tc>
          <w:tcPr>
            <w:tcW w:w="1701" w:type="dxa"/>
            <w:vAlign w:val="center"/>
          </w:tcPr>
          <w:p w14:paraId="767D73F1">
            <w:pPr>
              <w:spacing w:beforeLines="0" w:afterLines="0" w:line="260" w:lineRule="exact"/>
              <w:jc w:val="center"/>
              <w:rPr>
                <w:rFonts w:hint="eastAsia" w:ascii="Times New Roman" w:cs="Times New Roman"/>
                <w:snapToGrid w:val="0"/>
                <w:color w:val="auto"/>
                <w:spacing w:val="-6"/>
                <w:kern w:val="21"/>
                <w:szCs w:val="21"/>
                <w:lang w:val="en-US" w:eastAsia="zh-CN"/>
              </w:rPr>
            </w:pPr>
            <w:r>
              <w:rPr>
                <w:rFonts w:hint="eastAsia" w:ascii="Times New Roman" w:cs="Times New Roman"/>
                <w:snapToGrid w:val="0"/>
                <w:color w:val="auto"/>
                <w:spacing w:val="-6"/>
                <w:kern w:val="21"/>
                <w:szCs w:val="21"/>
                <w:lang w:val="en-US" w:eastAsia="zh-CN"/>
              </w:rPr>
              <w:t>/</w:t>
            </w:r>
          </w:p>
        </w:tc>
        <w:tc>
          <w:tcPr>
            <w:tcW w:w="1559" w:type="dxa"/>
            <w:vAlign w:val="center"/>
          </w:tcPr>
          <w:p w14:paraId="0ABF11B6">
            <w:pPr>
              <w:pStyle w:val="61"/>
              <w:spacing w:beforeLines="0" w:afterLines="0" w:line="260" w:lineRule="exact"/>
              <w:jc w:val="center"/>
              <w:rPr>
                <w:rFonts w:hint="eastAsia" w:ascii="Times New Roman" w:hAnsi="Times New Roman" w:cs="Times New Roman"/>
                <w:color w:val="auto"/>
                <w:kern w:val="0"/>
                <w:sz w:val="21"/>
                <w:szCs w:val="21"/>
                <w:shd w:val="clear"/>
                <w:lang w:val="en-US" w:eastAsia="zh-CN"/>
              </w:rPr>
            </w:pPr>
            <w:r>
              <w:rPr>
                <w:rFonts w:hint="eastAsia" w:ascii="Times New Roman" w:hAnsi="Times New Roman" w:cs="Times New Roman"/>
                <w:color w:val="auto"/>
                <w:kern w:val="0"/>
                <w:sz w:val="21"/>
                <w:szCs w:val="21"/>
                <w:shd w:val="clear"/>
                <w:lang w:val="en-US" w:eastAsia="zh-CN"/>
              </w:rPr>
              <w:t>3</w:t>
            </w:r>
            <w:r>
              <w:rPr>
                <w:rFonts w:hint="eastAsia" w:ascii="Times New Roman" w:cs="Times New Roman"/>
                <w:color w:val="auto"/>
                <w:kern w:val="0"/>
                <w:sz w:val="21"/>
                <w:szCs w:val="21"/>
                <w:shd w:val="clear"/>
                <w:lang w:val="en-US" w:eastAsia="zh-CN"/>
              </w:rPr>
              <w:t>t/a</w:t>
            </w:r>
          </w:p>
        </w:tc>
        <w:tc>
          <w:tcPr>
            <w:tcW w:w="1521" w:type="dxa"/>
            <w:vAlign w:val="center"/>
          </w:tcPr>
          <w:p w14:paraId="25379286">
            <w:pPr>
              <w:spacing w:beforeLines="0" w:afterLines="0" w:line="260" w:lineRule="exact"/>
              <w:jc w:val="center"/>
              <w:rPr>
                <w:rFonts w:hint="eastAsia" w:ascii="Times New Roman" w:cs="Times New Roman"/>
                <w:snapToGrid w:val="0"/>
                <w:color w:val="auto"/>
                <w:spacing w:val="-6"/>
                <w:kern w:val="21"/>
                <w:szCs w:val="21"/>
                <w:lang w:val="en-US" w:eastAsia="zh-CN"/>
              </w:rPr>
            </w:pPr>
            <w:r>
              <w:rPr>
                <w:rFonts w:hint="eastAsia" w:ascii="Times New Roman" w:cs="Times New Roman"/>
                <w:snapToGrid w:val="0"/>
                <w:color w:val="auto"/>
                <w:spacing w:val="-6"/>
                <w:kern w:val="21"/>
                <w:szCs w:val="21"/>
                <w:lang w:val="en-US" w:eastAsia="zh-CN"/>
              </w:rPr>
              <w:t>/</w:t>
            </w:r>
          </w:p>
        </w:tc>
        <w:tc>
          <w:tcPr>
            <w:tcW w:w="1985" w:type="dxa"/>
            <w:vAlign w:val="center"/>
          </w:tcPr>
          <w:p w14:paraId="0C3FA05C">
            <w:pPr>
              <w:pStyle w:val="61"/>
              <w:spacing w:beforeLines="0" w:afterLines="0" w:line="260" w:lineRule="exact"/>
              <w:jc w:val="center"/>
              <w:rPr>
                <w:rFonts w:hint="eastAsia" w:ascii="Times New Roman" w:cs="Times New Roman"/>
                <w:snapToGrid w:val="0"/>
                <w:color w:val="auto"/>
                <w:spacing w:val="-6"/>
                <w:kern w:val="21"/>
                <w:szCs w:val="21"/>
                <w:lang w:val="en-US" w:eastAsia="zh-CN"/>
              </w:rPr>
            </w:pPr>
            <w:r>
              <w:rPr>
                <w:rFonts w:hint="eastAsia" w:ascii="Times New Roman" w:hAnsi="Times New Roman" w:cs="Times New Roman"/>
                <w:color w:val="auto"/>
                <w:kern w:val="0"/>
                <w:sz w:val="21"/>
                <w:szCs w:val="21"/>
                <w:shd w:val="clear"/>
                <w:lang w:val="en-US" w:eastAsia="zh-CN"/>
              </w:rPr>
              <w:t>3</w:t>
            </w:r>
            <w:r>
              <w:rPr>
                <w:rFonts w:hint="eastAsia" w:ascii="Times New Roman" w:cs="Times New Roman"/>
                <w:color w:val="auto"/>
                <w:kern w:val="0"/>
                <w:sz w:val="21"/>
                <w:szCs w:val="21"/>
                <w:shd w:val="clear"/>
                <w:lang w:val="en-US" w:eastAsia="zh-CN"/>
              </w:rPr>
              <w:t>t/a</w:t>
            </w:r>
          </w:p>
        </w:tc>
        <w:tc>
          <w:tcPr>
            <w:tcW w:w="1040" w:type="dxa"/>
            <w:vAlign w:val="center"/>
          </w:tcPr>
          <w:p w14:paraId="510B5AB0">
            <w:pPr>
              <w:pStyle w:val="61"/>
              <w:spacing w:beforeLines="0" w:afterLines="0" w:line="260" w:lineRule="exact"/>
              <w:jc w:val="center"/>
              <w:rPr>
                <w:rFonts w:hint="eastAsia" w:ascii="Times New Roman" w:cs="Times New Roman"/>
                <w:snapToGrid w:val="0"/>
                <w:color w:val="auto"/>
                <w:spacing w:val="-6"/>
                <w:kern w:val="21"/>
                <w:szCs w:val="21"/>
                <w:lang w:val="en-US" w:eastAsia="zh-CN"/>
              </w:rPr>
            </w:pPr>
            <w:r>
              <w:rPr>
                <w:rFonts w:hint="eastAsia" w:ascii="Times New Roman" w:cs="Times New Roman"/>
                <w:color w:val="auto"/>
                <w:kern w:val="0"/>
                <w:sz w:val="21"/>
                <w:szCs w:val="21"/>
                <w:shd w:val="clear"/>
                <w:lang w:val="en-US" w:eastAsia="zh-CN"/>
              </w:rPr>
              <w:t>+</w:t>
            </w:r>
            <w:r>
              <w:rPr>
                <w:rFonts w:hint="eastAsia" w:ascii="Times New Roman" w:hAnsi="Times New Roman" w:cs="Times New Roman"/>
                <w:color w:val="auto"/>
                <w:kern w:val="0"/>
                <w:sz w:val="21"/>
                <w:szCs w:val="21"/>
                <w:shd w:val="clear"/>
                <w:lang w:val="en-US" w:eastAsia="zh-CN"/>
              </w:rPr>
              <w:t>3</w:t>
            </w:r>
            <w:r>
              <w:rPr>
                <w:rFonts w:hint="eastAsia" w:ascii="Times New Roman" w:cs="Times New Roman"/>
                <w:color w:val="auto"/>
                <w:kern w:val="0"/>
                <w:sz w:val="21"/>
                <w:szCs w:val="21"/>
                <w:shd w:val="clear"/>
                <w:lang w:val="en-US" w:eastAsia="zh-CN"/>
              </w:rPr>
              <w:t>t/a</w:t>
            </w:r>
          </w:p>
        </w:tc>
      </w:tr>
      <w:tr w14:paraId="79D5433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0" w:hRule="atLeast"/>
          <w:jc w:val="center"/>
        </w:trPr>
        <w:tc>
          <w:tcPr>
            <w:tcW w:w="1588" w:type="dxa"/>
            <w:vMerge w:val="continue"/>
            <w:vAlign w:val="center"/>
          </w:tcPr>
          <w:p w14:paraId="3C84CF6C">
            <w:pPr>
              <w:pStyle w:val="61"/>
              <w:spacing w:beforeLines="0" w:afterLines="0" w:line="260" w:lineRule="exact"/>
              <w:jc w:val="center"/>
              <w:rPr>
                <w:rFonts w:hint="eastAsia" w:ascii="Times New Roman" w:hAnsi="Times New Roman" w:eastAsia="宋体" w:cs="Times New Roman"/>
                <w:snapToGrid w:val="0"/>
                <w:color w:val="auto"/>
                <w:spacing w:val="-6"/>
                <w:kern w:val="21"/>
                <w:szCs w:val="21"/>
              </w:rPr>
            </w:pPr>
          </w:p>
        </w:tc>
        <w:tc>
          <w:tcPr>
            <w:tcW w:w="1417" w:type="dxa"/>
            <w:vAlign w:val="center"/>
          </w:tcPr>
          <w:p w14:paraId="5BE8B77F">
            <w:pPr>
              <w:pStyle w:val="61"/>
              <w:spacing w:beforeLines="0" w:afterLines="0" w:line="260" w:lineRule="exact"/>
              <w:jc w:val="center"/>
              <w:rPr>
                <w:rFonts w:hint="eastAsia" w:ascii="Times New Roman" w:cs="Times New Roman"/>
                <w:snapToGrid w:val="0"/>
                <w:color w:val="auto"/>
                <w:spacing w:val="-6"/>
                <w:kern w:val="21"/>
                <w:szCs w:val="21"/>
                <w:lang w:val="en-US" w:eastAsia="zh-CN"/>
              </w:rPr>
            </w:pPr>
            <w:r>
              <w:rPr>
                <w:rFonts w:hint="eastAsia" w:ascii="Times New Roman" w:hAnsi="Times New Roman" w:eastAsia="宋体" w:cs="Times New Roman"/>
                <w:color w:val="auto"/>
                <w:kern w:val="0"/>
                <w:sz w:val="21"/>
                <w:szCs w:val="21"/>
                <w:lang w:val="en-US" w:eastAsia="zh-CN"/>
              </w:rPr>
              <w:t>废边角料</w:t>
            </w:r>
          </w:p>
        </w:tc>
        <w:tc>
          <w:tcPr>
            <w:tcW w:w="1701" w:type="dxa"/>
            <w:vAlign w:val="center"/>
          </w:tcPr>
          <w:p w14:paraId="02102D6E">
            <w:pPr>
              <w:spacing w:beforeLines="0" w:afterLines="0" w:line="260" w:lineRule="exact"/>
              <w:jc w:val="center"/>
              <w:rPr>
                <w:rFonts w:hint="eastAsia" w:ascii="Times New Roman" w:cs="Times New Roman"/>
                <w:snapToGrid w:val="0"/>
                <w:color w:val="auto"/>
                <w:spacing w:val="-6"/>
                <w:kern w:val="21"/>
                <w:szCs w:val="21"/>
                <w:lang w:val="en-US" w:eastAsia="zh-CN"/>
              </w:rPr>
            </w:pPr>
            <w:r>
              <w:rPr>
                <w:rFonts w:hint="eastAsia" w:ascii="Times New Roman" w:cs="Times New Roman"/>
                <w:snapToGrid w:val="0"/>
                <w:color w:val="auto"/>
                <w:spacing w:val="-6"/>
                <w:kern w:val="21"/>
                <w:szCs w:val="21"/>
                <w:lang w:val="en-US" w:eastAsia="zh-CN"/>
              </w:rPr>
              <w:t>/</w:t>
            </w:r>
          </w:p>
        </w:tc>
        <w:tc>
          <w:tcPr>
            <w:tcW w:w="1276" w:type="dxa"/>
            <w:vAlign w:val="center"/>
          </w:tcPr>
          <w:p w14:paraId="60BC9C39">
            <w:pPr>
              <w:spacing w:beforeLines="0" w:afterLines="0" w:line="260" w:lineRule="exact"/>
              <w:jc w:val="center"/>
              <w:rPr>
                <w:rFonts w:hint="eastAsia" w:ascii="Times New Roman" w:cs="Times New Roman"/>
                <w:snapToGrid w:val="0"/>
                <w:color w:val="auto"/>
                <w:spacing w:val="-6"/>
                <w:kern w:val="21"/>
                <w:szCs w:val="21"/>
                <w:lang w:val="en-US" w:eastAsia="zh-CN"/>
              </w:rPr>
            </w:pPr>
            <w:r>
              <w:rPr>
                <w:rFonts w:hint="eastAsia" w:ascii="Times New Roman" w:cs="Times New Roman"/>
                <w:snapToGrid w:val="0"/>
                <w:color w:val="auto"/>
                <w:spacing w:val="-6"/>
                <w:kern w:val="21"/>
                <w:szCs w:val="21"/>
                <w:lang w:val="en-US" w:eastAsia="zh-CN"/>
              </w:rPr>
              <w:t>/</w:t>
            </w:r>
          </w:p>
        </w:tc>
        <w:tc>
          <w:tcPr>
            <w:tcW w:w="1701" w:type="dxa"/>
            <w:vAlign w:val="center"/>
          </w:tcPr>
          <w:p w14:paraId="26740D22">
            <w:pPr>
              <w:spacing w:beforeLines="0" w:afterLines="0" w:line="260" w:lineRule="exact"/>
              <w:jc w:val="center"/>
              <w:rPr>
                <w:rFonts w:hint="default" w:ascii="Times New Roman" w:cs="Times New Roman"/>
                <w:snapToGrid w:val="0"/>
                <w:color w:val="auto"/>
                <w:spacing w:val="-6"/>
                <w:kern w:val="21"/>
                <w:szCs w:val="21"/>
                <w:lang w:val="en-US" w:eastAsia="zh-CN"/>
              </w:rPr>
            </w:pPr>
            <w:r>
              <w:rPr>
                <w:rFonts w:hint="eastAsia" w:cs="Times New Roman"/>
                <w:snapToGrid w:val="0"/>
                <w:color w:val="auto"/>
                <w:spacing w:val="-6"/>
                <w:kern w:val="21"/>
                <w:szCs w:val="21"/>
                <w:lang w:val="en-US" w:eastAsia="zh-CN"/>
              </w:rPr>
              <w:t>/</w:t>
            </w:r>
          </w:p>
        </w:tc>
        <w:tc>
          <w:tcPr>
            <w:tcW w:w="1559" w:type="dxa"/>
            <w:vAlign w:val="center"/>
          </w:tcPr>
          <w:p w14:paraId="4806844F">
            <w:pPr>
              <w:pStyle w:val="61"/>
              <w:spacing w:beforeLines="0" w:afterLines="0" w:line="260" w:lineRule="exact"/>
              <w:jc w:val="center"/>
              <w:rPr>
                <w:rFonts w:hint="default" w:ascii="Times New Roman" w:hAnsi="Times New Roman" w:cs="Times New Roman"/>
                <w:color w:val="auto"/>
                <w:kern w:val="0"/>
                <w:sz w:val="21"/>
                <w:szCs w:val="21"/>
                <w:shd w:val="clear"/>
                <w:lang w:val="en-US" w:eastAsia="zh-CN"/>
              </w:rPr>
            </w:pPr>
            <w:r>
              <w:rPr>
                <w:rFonts w:hint="eastAsia" w:ascii="Times New Roman" w:hAnsi="Times New Roman" w:cs="Times New Roman"/>
                <w:color w:val="auto"/>
                <w:kern w:val="0"/>
                <w:sz w:val="21"/>
                <w:szCs w:val="21"/>
                <w:shd w:val="clear"/>
                <w:lang w:val="en-US" w:eastAsia="zh-CN"/>
              </w:rPr>
              <w:t>0.</w:t>
            </w:r>
            <w:r>
              <w:rPr>
                <w:rFonts w:hint="eastAsia" w:ascii="Times New Roman" w:cs="Times New Roman"/>
                <w:color w:val="auto"/>
                <w:kern w:val="0"/>
                <w:sz w:val="21"/>
                <w:szCs w:val="21"/>
                <w:shd w:val="clear"/>
                <w:lang w:val="en-US" w:eastAsia="zh-CN"/>
              </w:rPr>
              <w:t>2t/a</w:t>
            </w:r>
          </w:p>
        </w:tc>
        <w:tc>
          <w:tcPr>
            <w:tcW w:w="1521" w:type="dxa"/>
            <w:vAlign w:val="center"/>
          </w:tcPr>
          <w:p w14:paraId="75BEC4C7">
            <w:pPr>
              <w:spacing w:beforeLines="0" w:afterLines="0" w:line="260" w:lineRule="exact"/>
              <w:jc w:val="center"/>
              <w:rPr>
                <w:rFonts w:hint="default" w:ascii="Times New Roman" w:cs="Times New Roman"/>
                <w:snapToGrid w:val="0"/>
                <w:color w:val="auto"/>
                <w:spacing w:val="-6"/>
                <w:kern w:val="21"/>
                <w:szCs w:val="21"/>
                <w:lang w:val="en-US" w:eastAsia="zh-CN"/>
              </w:rPr>
            </w:pPr>
            <w:r>
              <w:rPr>
                <w:rFonts w:hint="eastAsia" w:cs="Times New Roman"/>
                <w:snapToGrid w:val="0"/>
                <w:color w:val="auto"/>
                <w:spacing w:val="-6"/>
                <w:kern w:val="21"/>
                <w:szCs w:val="21"/>
                <w:lang w:val="en-US" w:eastAsia="zh-CN"/>
              </w:rPr>
              <w:t>/</w:t>
            </w:r>
          </w:p>
        </w:tc>
        <w:tc>
          <w:tcPr>
            <w:tcW w:w="1985" w:type="dxa"/>
            <w:vAlign w:val="center"/>
          </w:tcPr>
          <w:p w14:paraId="1CE847DF">
            <w:pPr>
              <w:pStyle w:val="61"/>
              <w:spacing w:beforeLines="0" w:afterLines="0" w:line="260" w:lineRule="exact"/>
              <w:jc w:val="center"/>
              <w:rPr>
                <w:rFonts w:hint="eastAsia" w:ascii="Times New Roman" w:cs="Times New Roman"/>
                <w:snapToGrid w:val="0"/>
                <w:color w:val="auto"/>
                <w:spacing w:val="-6"/>
                <w:kern w:val="21"/>
                <w:szCs w:val="21"/>
                <w:lang w:val="en-US" w:eastAsia="zh-CN"/>
              </w:rPr>
            </w:pPr>
            <w:r>
              <w:rPr>
                <w:rFonts w:hint="eastAsia" w:ascii="Times New Roman" w:hAnsi="Times New Roman" w:cs="Times New Roman"/>
                <w:color w:val="auto"/>
                <w:kern w:val="0"/>
                <w:sz w:val="21"/>
                <w:szCs w:val="21"/>
                <w:shd w:val="clear"/>
                <w:lang w:val="en-US" w:eastAsia="zh-CN"/>
              </w:rPr>
              <w:t>0.</w:t>
            </w:r>
            <w:r>
              <w:rPr>
                <w:rFonts w:hint="eastAsia" w:ascii="Times New Roman" w:cs="Times New Roman"/>
                <w:color w:val="auto"/>
                <w:kern w:val="0"/>
                <w:sz w:val="21"/>
                <w:szCs w:val="21"/>
                <w:shd w:val="clear"/>
                <w:lang w:val="en-US" w:eastAsia="zh-CN"/>
              </w:rPr>
              <w:t>2t/a</w:t>
            </w:r>
          </w:p>
        </w:tc>
        <w:tc>
          <w:tcPr>
            <w:tcW w:w="1040" w:type="dxa"/>
            <w:vAlign w:val="center"/>
          </w:tcPr>
          <w:p w14:paraId="52926C39">
            <w:pPr>
              <w:pStyle w:val="61"/>
              <w:spacing w:beforeLines="0" w:afterLines="0" w:line="260" w:lineRule="exact"/>
              <w:jc w:val="center"/>
              <w:rPr>
                <w:rFonts w:hint="eastAsia" w:ascii="Times New Roman" w:cs="Times New Roman"/>
                <w:snapToGrid w:val="0"/>
                <w:color w:val="auto"/>
                <w:spacing w:val="-6"/>
                <w:kern w:val="21"/>
                <w:szCs w:val="21"/>
                <w:lang w:val="en-US" w:eastAsia="zh-CN"/>
              </w:rPr>
            </w:pPr>
            <w:r>
              <w:rPr>
                <w:rFonts w:hint="eastAsia" w:ascii="Times New Roman" w:cs="Times New Roman"/>
                <w:color w:val="auto"/>
                <w:kern w:val="0"/>
                <w:sz w:val="21"/>
                <w:szCs w:val="21"/>
                <w:shd w:val="clear"/>
                <w:lang w:val="en-US" w:eastAsia="zh-CN"/>
              </w:rPr>
              <w:t>+</w:t>
            </w:r>
            <w:r>
              <w:rPr>
                <w:rFonts w:hint="eastAsia" w:ascii="Times New Roman" w:hAnsi="Times New Roman" w:cs="Times New Roman"/>
                <w:color w:val="auto"/>
                <w:kern w:val="0"/>
                <w:sz w:val="21"/>
                <w:szCs w:val="21"/>
                <w:shd w:val="clear"/>
                <w:lang w:val="en-US" w:eastAsia="zh-CN"/>
              </w:rPr>
              <w:t>0.</w:t>
            </w:r>
            <w:r>
              <w:rPr>
                <w:rFonts w:hint="eastAsia" w:ascii="Times New Roman" w:cs="Times New Roman"/>
                <w:color w:val="auto"/>
                <w:kern w:val="0"/>
                <w:sz w:val="21"/>
                <w:szCs w:val="21"/>
                <w:shd w:val="clear"/>
                <w:lang w:val="en-US" w:eastAsia="zh-CN"/>
              </w:rPr>
              <w:t>2t/a</w:t>
            </w:r>
          </w:p>
        </w:tc>
      </w:tr>
      <w:tr w14:paraId="684E83C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588" w:type="dxa"/>
            <w:vMerge w:val="continue"/>
            <w:vAlign w:val="center"/>
          </w:tcPr>
          <w:p w14:paraId="58A62BBD">
            <w:pPr>
              <w:pStyle w:val="61"/>
              <w:spacing w:beforeLines="0" w:afterLines="0" w:line="260" w:lineRule="exact"/>
              <w:jc w:val="center"/>
              <w:rPr>
                <w:rFonts w:hint="eastAsia" w:ascii="Times New Roman" w:hAnsi="Times New Roman" w:eastAsia="宋体" w:cs="Times New Roman"/>
                <w:snapToGrid w:val="0"/>
                <w:color w:val="auto"/>
                <w:spacing w:val="-6"/>
                <w:kern w:val="21"/>
                <w:szCs w:val="21"/>
              </w:rPr>
            </w:pPr>
          </w:p>
        </w:tc>
        <w:tc>
          <w:tcPr>
            <w:tcW w:w="1417" w:type="dxa"/>
            <w:vAlign w:val="center"/>
          </w:tcPr>
          <w:p w14:paraId="679BB579">
            <w:pPr>
              <w:pStyle w:val="61"/>
              <w:spacing w:beforeLines="0" w:afterLines="0" w:line="260" w:lineRule="exact"/>
              <w:jc w:val="center"/>
              <w:rPr>
                <w:rFonts w:hint="eastAsia" w:ascii="Times New Roman" w:hAnsi="Times New Roman" w:eastAsia="宋体" w:cs="Times New Roman"/>
                <w:snapToGrid w:val="0"/>
                <w:color w:val="auto"/>
                <w:spacing w:val="-6"/>
                <w:kern w:val="21"/>
                <w:szCs w:val="21"/>
              </w:rPr>
            </w:pPr>
            <w:r>
              <w:rPr>
                <w:rFonts w:hint="eastAsia"/>
                <w:color w:val="auto"/>
                <w:kern w:val="0"/>
                <w:sz w:val="21"/>
                <w:szCs w:val="21"/>
                <w:lang w:val="en-US" w:eastAsia="zh-CN"/>
              </w:rPr>
              <w:t>废包装材料</w:t>
            </w:r>
          </w:p>
        </w:tc>
        <w:tc>
          <w:tcPr>
            <w:tcW w:w="1701" w:type="dxa"/>
            <w:vAlign w:val="center"/>
          </w:tcPr>
          <w:p w14:paraId="57F0ADEB">
            <w:pPr>
              <w:spacing w:beforeLines="0" w:afterLines="0" w:line="260" w:lineRule="exact"/>
              <w:jc w:val="center"/>
              <w:rPr>
                <w:rFonts w:hint="default" w:ascii="Times New Roman" w:hAnsi="Times New Roman" w:eastAsia="宋体" w:cs="Times New Roman"/>
                <w:snapToGrid w:val="0"/>
                <w:color w:val="auto"/>
                <w:spacing w:val="-6"/>
                <w:kern w:val="21"/>
                <w:szCs w:val="21"/>
              </w:rPr>
            </w:pPr>
            <w:r>
              <w:rPr>
                <w:rFonts w:hint="eastAsia" w:cs="Times New Roman"/>
                <w:snapToGrid w:val="0"/>
                <w:color w:val="auto"/>
                <w:spacing w:val="-6"/>
                <w:kern w:val="21"/>
                <w:szCs w:val="21"/>
                <w:lang w:val="en-US" w:eastAsia="zh-CN"/>
              </w:rPr>
              <w:t>/</w:t>
            </w:r>
          </w:p>
        </w:tc>
        <w:tc>
          <w:tcPr>
            <w:tcW w:w="1276" w:type="dxa"/>
            <w:vAlign w:val="center"/>
          </w:tcPr>
          <w:p w14:paraId="159109B6">
            <w:pPr>
              <w:spacing w:beforeLines="0" w:afterLines="0" w:line="260" w:lineRule="exact"/>
              <w:jc w:val="center"/>
              <w:rPr>
                <w:rFonts w:hint="default" w:ascii="Times New Roman" w:hAnsi="Times New Roman" w:eastAsia="宋体" w:cs="Times New Roman"/>
                <w:snapToGrid w:val="0"/>
                <w:color w:val="auto"/>
                <w:spacing w:val="-6"/>
                <w:kern w:val="21"/>
                <w:szCs w:val="21"/>
              </w:rPr>
            </w:pPr>
            <w:r>
              <w:rPr>
                <w:rFonts w:hint="eastAsia" w:cs="Times New Roman"/>
                <w:snapToGrid w:val="0"/>
                <w:color w:val="auto"/>
                <w:spacing w:val="-6"/>
                <w:kern w:val="21"/>
                <w:szCs w:val="21"/>
                <w:lang w:val="en-US" w:eastAsia="zh-CN"/>
              </w:rPr>
              <w:t>/</w:t>
            </w:r>
          </w:p>
        </w:tc>
        <w:tc>
          <w:tcPr>
            <w:tcW w:w="1701" w:type="dxa"/>
            <w:vAlign w:val="center"/>
          </w:tcPr>
          <w:p w14:paraId="537EC7BD">
            <w:pPr>
              <w:spacing w:beforeLines="0" w:afterLines="0" w:line="260" w:lineRule="exact"/>
              <w:jc w:val="center"/>
              <w:rPr>
                <w:rFonts w:hint="default" w:ascii="Times New Roman" w:hAnsi="Times New Roman" w:eastAsia="宋体" w:cs="Times New Roman"/>
                <w:snapToGrid w:val="0"/>
                <w:color w:val="auto"/>
                <w:spacing w:val="-6"/>
                <w:kern w:val="21"/>
                <w:szCs w:val="21"/>
              </w:rPr>
            </w:pPr>
            <w:r>
              <w:rPr>
                <w:rFonts w:hint="eastAsia" w:ascii="Times New Roman" w:cs="Times New Roman"/>
                <w:snapToGrid w:val="0"/>
                <w:color w:val="auto"/>
                <w:spacing w:val="-6"/>
                <w:kern w:val="21"/>
                <w:szCs w:val="21"/>
                <w:lang w:val="en-US" w:eastAsia="zh-CN"/>
              </w:rPr>
              <w:t>/</w:t>
            </w:r>
          </w:p>
        </w:tc>
        <w:tc>
          <w:tcPr>
            <w:tcW w:w="1559" w:type="dxa"/>
            <w:vAlign w:val="center"/>
          </w:tcPr>
          <w:p w14:paraId="5D04000B">
            <w:pPr>
              <w:pStyle w:val="61"/>
              <w:spacing w:beforeLines="0" w:afterLines="0" w:line="260" w:lineRule="exact"/>
              <w:jc w:val="center"/>
              <w:rPr>
                <w:rFonts w:hint="default" w:ascii="Times New Roman" w:hAnsi="Times New Roman" w:cs="Times New Roman"/>
                <w:color w:val="auto"/>
                <w:kern w:val="0"/>
                <w:sz w:val="21"/>
                <w:szCs w:val="21"/>
                <w:shd w:val="clear"/>
                <w:lang w:val="en-US" w:eastAsia="zh-CN"/>
              </w:rPr>
            </w:pPr>
            <w:r>
              <w:rPr>
                <w:rFonts w:hint="eastAsia" w:ascii="Times New Roman" w:hAnsi="Times New Roman" w:cs="Times New Roman"/>
                <w:color w:val="auto"/>
                <w:kern w:val="0"/>
                <w:sz w:val="21"/>
                <w:szCs w:val="21"/>
                <w:shd w:val="clear"/>
                <w:lang w:val="en-US" w:eastAsia="zh-CN"/>
              </w:rPr>
              <w:t>0.2t/a</w:t>
            </w:r>
          </w:p>
        </w:tc>
        <w:tc>
          <w:tcPr>
            <w:tcW w:w="1521" w:type="dxa"/>
            <w:vAlign w:val="center"/>
          </w:tcPr>
          <w:p w14:paraId="1231F595">
            <w:pPr>
              <w:spacing w:beforeLines="0" w:afterLines="0" w:line="260" w:lineRule="exact"/>
              <w:jc w:val="center"/>
              <w:rPr>
                <w:rFonts w:hint="default" w:ascii="Times New Roman" w:hAnsi="Times New Roman" w:eastAsia="宋体" w:cs="Times New Roman"/>
                <w:snapToGrid w:val="0"/>
                <w:color w:val="auto"/>
                <w:spacing w:val="-6"/>
                <w:kern w:val="21"/>
                <w:szCs w:val="21"/>
              </w:rPr>
            </w:pPr>
            <w:r>
              <w:rPr>
                <w:rFonts w:hint="eastAsia" w:ascii="Times New Roman" w:cs="Times New Roman"/>
                <w:snapToGrid w:val="0"/>
                <w:color w:val="auto"/>
                <w:spacing w:val="-6"/>
                <w:kern w:val="21"/>
                <w:szCs w:val="21"/>
                <w:lang w:val="en-US" w:eastAsia="zh-CN"/>
              </w:rPr>
              <w:t>/</w:t>
            </w:r>
          </w:p>
        </w:tc>
        <w:tc>
          <w:tcPr>
            <w:tcW w:w="1985" w:type="dxa"/>
            <w:vAlign w:val="center"/>
          </w:tcPr>
          <w:p w14:paraId="538B335C">
            <w:pPr>
              <w:pStyle w:val="61"/>
              <w:spacing w:beforeLines="0" w:afterLines="0" w:line="260" w:lineRule="exact"/>
              <w:jc w:val="center"/>
              <w:rPr>
                <w:rFonts w:hint="default" w:ascii="Times New Roman" w:hAnsi="Times New Roman" w:eastAsia="宋体" w:cs="Times New Roman"/>
                <w:snapToGrid w:val="0"/>
                <w:color w:val="auto"/>
                <w:spacing w:val="-6"/>
                <w:kern w:val="21"/>
                <w:szCs w:val="21"/>
              </w:rPr>
            </w:pPr>
            <w:r>
              <w:rPr>
                <w:rFonts w:hint="eastAsia" w:ascii="Times New Roman" w:cs="Times New Roman"/>
                <w:snapToGrid w:val="0"/>
                <w:color w:val="auto"/>
                <w:spacing w:val="-6"/>
                <w:kern w:val="21"/>
                <w:szCs w:val="21"/>
                <w:lang w:val="en-US" w:eastAsia="zh-CN"/>
              </w:rPr>
              <w:t>0.2t/a</w:t>
            </w:r>
          </w:p>
        </w:tc>
        <w:tc>
          <w:tcPr>
            <w:tcW w:w="1040" w:type="dxa"/>
            <w:vAlign w:val="center"/>
          </w:tcPr>
          <w:p w14:paraId="0B2518E9">
            <w:pPr>
              <w:pStyle w:val="61"/>
              <w:spacing w:beforeLines="0" w:afterLines="0" w:line="260" w:lineRule="exact"/>
              <w:jc w:val="center"/>
              <w:rPr>
                <w:rFonts w:hint="eastAsia" w:ascii="Times New Roman" w:hAnsi="Times New Roman" w:eastAsia="宋体" w:cs="Times New Roman"/>
                <w:snapToGrid w:val="0"/>
                <w:color w:val="auto"/>
                <w:spacing w:val="-6"/>
                <w:kern w:val="21"/>
                <w:szCs w:val="21"/>
                <w:lang w:val="en-US" w:eastAsia="zh-CN"/>
              </w:rPr>
            </w:pPr>
            <w:r>
              <w:rPr>
                <w:rFonts w:hint="eastAsia" w:ascii="Times New Roman" w:cs="Times New Roman"/>
                <w:snapToGrid w:val="0"/>
                <w:color w:val="auto"/>
                <w:spacing w:val="-6"/>
                <w:kern w:val="21"/>
                <w:szCs w:val="21"/>
                <w:lang w:val="en-US" w:eastAsia="zh-CN"/>
              </w:rPr>
              <w:t>+0.2t/a</w:t>
            </w:r>
          </w:p>
        </w:tc>
      </w:tr>
      <w:tr w14:paraId="1E12C8D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0" w:hRule="atLeast"/>
          <w:jc w:val="center"/>
        </w:trPr>
        <w:tc>
          <w:tcPr>
            <w:tcW w:w="1588" w:type="dxa"/>
            <w:vMerge w:val="continue"/>
            <w:vAlign w:val="center"/>
          </w:tcPr>
          <w:p w14:paraId="312DD48B">
            <w:pPr>
              <w:pStyle w:val="61"/>
              <w:spacing w:beforeLines="0" w:afterLines="0" w:line="260" w:lineRule="exact"/>
              <w:jc w:val="center"/>
              <w:rPr>
                <w:rFonts w:hint="eastAsia" w:ascii="Times New Roman" w:hAnsi="Times New Roman" w:eastAsia="宋体" w:cs="Times New Roman"/>
                <w:snapToGrid w:val="0"/>
                <w:color w:val="auto"/>
                <w:spacing w:val="-6"/>
                <w:kern w:val="21"/>
                <w:szCs w:val="21"/>
              </w:rPr>
            </w:pPr>
          </w:p>
        </w:tc>
        <w:tc>
          <w:tcPr>
            <w:tcW w:w="1417" w:type="dxa"/>
            <w:vAlign w:val="center"/>
          </w:tcPr>
          <w:p w14:paraId="66D9FEF0">
            <w:pPr>
              <w:pStyle w:val="61"/>
              <w:spacing w:beforeLines="0" w:afterLines="0" w:line="260" w:lineRule="exact"/>
              <w:jc w:val="center"/>
              <w:rPr>
                <w:rFonts w:hint="default"/>
                <w:color w:val="auto"/>
                <w:kern w:val="0"/>
                <w:sz w:val="21"/>
                <w:szCs w:val="21"/>
                <w:lang w:val="en-US" w:eastAsia="zh-CN"/>
              </w:rPr>
            </w:pPr>
            <w:r>
              <w:rPr>
                <w:rFonts w:hint="eastAsia"/>
                <w:color w:val="auto"/>
                <w:kern w:val="0"/>
                <w:sz w:val="21"/>
                <w:szCs w:val="21"/>
                <w:lang w:val="en-US" w:eastAsia="zh-CN"/>
              </w:rPr>
              <w:t>废浆料</w:t>
            </w:r>
          </w:p>
        </w:tc>
        <w:tc>
          <w:tcPr>
            <w:tcW w:w="1701" w:type="dxa"/>
            <w:vAlign w:val="center"/>
          </w:tcPr>
          <w:p w14:paraId="2C2061F6">
            <w:pPr>
              <w:spacing w:beforeLines="0" w:afterLines="0" w:line="260" w:lineRule="exact"/>
              <w:jc w:val="center"/>
              <w:rPr>
                <w:rFonts w:hint="default" w:ascii="Times New Roman" w:cs="Times New Roman"/>
                <w:snapToGrid w:val="0"/>
                <w:color w:val="auto"/>
                <w:spacing w:val="-6"/>
                <w:kern w:val="21"/>
                <w:szCs w:val="21"/>
                <w:lang w:val="en-US" w:eastAsia="zh-CN"/>
              </w:rPr>
            </w:pPr>
            <w:r>
              <w:rPr>
                <w:rFonts w:hint="eastAsia" w:cs="Times New Roman"/>
                <w:snapToGrid w:val="0"/>
                <w:color w:val="auto"/>
                <w:spacing w:val="-6"/>
                <w:kern w:val="21"/>
                <w:szCs w:val="21"/>
                <w:lang w:val="en-US" w:eastAsia="zh-CN"/>
              </w:rPr>
              <w:t>/</w:t>
            </w:r>
          </w:p>
        </w:tc>
        <w:tc>
          <w:tcPr>
            <w:tcW w:w="1276" w:type="dxa"/>
            <w:vAlign w:val="center"/>
          </w:tcPr>
          <w:p w14:paraId="15011804">
            <w:pPr>
              <w:spacing w:beforeLines="0" w:afterLines="0" w:line="260" w:lineRule="exact"/>
              <w:jc w:val="center"/>
              <w:rPr>
                <w:rFonts w:hint="default" w:ascii="Times New Roman" w:cs="Times New Roman"/>
                <w:snapToGrid w:val="0"/>
                <w:color w:val="auto"/>
                <w:spacing w:val="-6"/>
                <w:kern w:val="21"/>
                <w:szCs w:val="21"/>
                <w:lang w:val="en-US" w:eastAsia="zh-CN"/>
              </w:rPr>
            </w:pPr>
            <w:r>
              <w:rPr>
                <w:rFonts w:hint="eastAsia" w:cs="Times New Roman"/>
                <w:snapToGrid w:val="0"/>
                <w:color w:val="auto"/>
                <w:spacing w:val="-6"/>
                <w:kern w:val="21"/>
                <w:szCs w:val="21"/>
                <w:lang w:val="en-US" w:eastAsia="zh-CN"/>
              </w:rPr>
              <w:t>/</w:t>
            </w:r>
          </w:p>
        </w:tc>
        <w:tc>
          <w:tcPr>
            <w:tcW w:w="1701" w:type="dxa"/>
            <w:vAlign w:val="center"/>
          </w:tcPr>
          <w:p w14:paraId="433BF37F">
            <w:pPr>
              <w:spacing w:beforeLines="0" w:afterLines="0" w:line="260" w:lineRule="exact"/>
              <w:jc w:val="center"/>
              <w:rPr>
                <w:rFonts w:hint="default" w:ascii="Times New Roman" w:cs="Times New Roman"/>
                <w:snapToGrid w:val="0"/>
                <w:color w:val="auto"/>
                <w:spacing w:val="-6"/>
                <w:kern w:val="21"/>
                <w:szCs w:val="21"/>
                <w:lang w:val="en-US" w:eastAsia="zh-CN"/>
              </w:rPr>
            </w:pPr>
            <w:r>
              <w:rPr>
                <w:rFonts w:hint="eastAsia" w:cs="Times New Roman"/>
                <w:snapToGrid w:val="0"/>
                <w:color w:val="auto"/>
                <w:spacing w:val="-6"/>
                <w:kern w:val="21"/>
                <w:szCs w:val="21"/>
                <w:lang w:val="en-US" w:eastAsia="zh-CN"/>
              </w:rPr>
              <w:t>/</w:t>
            </w:r>
          </w:p>
        </w:tc>
        <w:tc>
          <w:tcPr>
            <w:tcW w:w="1559" w:type="dxa"/>
            <w:vAlign w:val="center"/>
          </w:tcPr>
          <w:p w14:paraId="549B1728">
            <w:pPr>
              <w:pStyle w:val="61"/>
              <w:spacing w:beforeLines="0" w:afterLines="0" w:line="260" w:lineRule="exact"/>
              <w:jc w:val="center"/>
              <w:rPr>
                <w:rFonts w:hint="default" w:ascii="Times New Roman" w:hAnsi="Times New Roman" w:cs="Times New Roman"/>
                <w:color w:val="auto"/>
                <w:kern w:val="0"/>
                <w:sz w:val="21"/>
                <w:szCs w:val="21"/>
                <w:shd w:val="clear"/>
                <w:lang w:val="en-US" w:eastAsia="zh-CN"/>
              </w:rPr>
            </w:pPr>
            <w:r>
              <w:rPr>
                <w:rFonts w:hint="eastAsia" w:ascii="Times New Roman" w:hAnsi="Times New Roman" w:cs="Times New Roman"/>
                <w:color w:val="auto"/>
                <w:kern w:val="0"/>
                <w:sz w:val="21"/>
                <w:szCs w:val="21"/>
                <w:shd w:val="clear"/>
                <w:lang w:val="en-US" w:eastAsia="zh-CN"/>
              </w:rPr>
              <w:t>0.2t/a</w:t>
            </w:r>
          </w:p>
        </w:tc>
        <w:tc>
          <w:tcPr>
            <w:tcW w:w="1521" w:type="dxa"/>
            <w:vAlign w:val="center"/>
          </w:tcPr>
          <w:p w14:paraId="3F954782">
            <w:pPr>
              <w:spacing w:beforeLines="0" w:afterLines="0" w:line="260" w:lineRule="exact"/>
              <w:jc w:val="center"/>
              <w:rPr>
                <w:rFonts w:hint="eastAsia" w:ascii="Times New Roman" w:cs="Times New Roman"/>
                <w:snapToGrid w:val="0"/>
                <w:color w:val="auto"/>
                <w:spacing w:val="-6"/>
                <w:kern w:val="21"/>
                <w:szCs w:val="21"/>
                <w:lang w:val="en-US" w:eastAsia="zh-CN"/>
              </w:rPr>
            </w:pPr>
            <w:r>
              <w:rPr>
                <w:rFonts w:hint="eastAsia" w:ascii="Times New Roman" w:cs="Times New Roman"/>
                <w:snapToGrid w:val="0"/>
                <w:color w:val="auto"/>
                <w:spacing w:val="-6"/>
                <w:kern w:val="21"/>
                <w:szCs w:val="21"/>
                <w:lang w:val="en-US" w:eastAsia="zh-CN"/>
              </w:rPr>
              <w:t>/</w:t>
            </w:r>
          </w:p>
        </w:tc>
        <w:tc>
          <w:tcPr>
            <w:tcW w:w="1985" w:type="dxa"/>
            <w:vAlign w:val="center"/>
          </w:tcPr>
          <w:p w14:paraId="53C27BE7">
            <w:pPr>
              <w:pStyle w:val="61"/>
              <w:spacing w:beforeLines="0" w:afterLines="0" w:line="260" w:lineRule="exact"/>
              <w:jc w:val="center"/>
              <w:rPr>
                <w:rFonts w:hint="eastAsia" w:ascii="Times New Roman" w:cs="Times New Roman"/>
                <w:snapToGrid w:val="0"/>
                <w:color w:val="auto"/>
                <w:spacing w:val="-6"/>
                <w:kern w:val="21"/>
                <w:szCs w:val="21"/>
                <w:lang w:val="en-US" w:eastAsia="zh-CN"/>
              </w:rPr>
            </w:pPr>
            <w:r>
              <w:rPr>
                <w:rFonts w:hint="eastAsia" w:ascii="Times New Roman" w:cs="Times New Roman"/>
                <w:snapToGrid w:val="0"/>
                <w:color w:val="auto"/>
                <w:spacing w:val="-6"/>
                <w:kern w:val="21"/>
                <w:szCs w:val="21"/>
                <w:lang w:val="en-US" w:eastAsia="zh-CN"/>
              </w:rPr>
              <w:t>0.2t/a</w:t>
            </w:r>
          </w:p>
        </w:tc>
        <w:tc>
          <w:tcPr>
            <w:tcW w:w="1040" w:type="dxa"/>
            <w:vAlign w:val="center"/>
          </w:tcPr>
          <w:p w14:paraId="32A4184A">
            <w:pPr>
              <w:pStyle w:val="61"/>
              <w:spacing w:beforeLines="0" w:afterLines="0" w:line="260" w:lineRule="exact"/>
              <w:jc w:val="center"/>
              <w:rPr>
                <w:rFonts w:hint="eastAsia" w:ascii="Times New Roman" w:cs="Times New Roman"/>
                <w:snapToGrid w:val="0"/>
                <w:color w:val="auto"/>
                <w:spacing w:val="-6"/>
                <w:kern w:val="21"/>
                <w:szCs w:val="21"/>
                <w:lang w:val="en-US" w:eastAsia="zh-CN"/>
              </w:rPr>
            </w:pPr>
            <w:r>
              <w:rPr>
                <w:rFonts w:hint="eastAsia" w:ascii="Times New Roman" w:cs="Times New Roman"/>
                <w:snapToGrid w:val="0"/>
                <w:color w:val="auto"/>
                <w:spacing w:val="-6"/>
                <w:kern w:val="21"/>
                <w:szCs w:val="21"/>
                <w:lang w:val="en-US" w:eastAsia="zh-CN"/>
              </w:rPr>
              <w:t>+0.2t/a</w:t>
            </w:r>
          </w:p>
        </w:tc>
      </w:tr>
      <w:tr w14:paraId="3FEAFCB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0" w:hRule="atLeast"/>
          <w:jc w:val="center"/>
        </w:trPr>
        <w:tc>
          <w:tcPr>
            <w:tcW w:w="1588" w:type="dxa"/>
            <w:vMerge w:val="continue"/>
            <w:vAlign w:val="center"/>
          </w:tcPr>
          <w:p w14:paraId="604DE787">
            <w:pPr>
              <w:pStyle w:val="61"/>
              <w:spacing w:beforeLines="0" w:afterLines="0" w:line="260" w:lineRule="exact"/>
              <w:jc w:val="center"/>
              <w:rPr>
                <w:rFonts w:hint="eastAsia" w:ascii="Times New Roman" w:hAnsi="Times New Roman" w:eastAsia="宋体" w:cs="Times New Roman"/>
                <w:snapToGrid w:val="0"/>
                <w:color w:val="auto"/>
                <w:spacing w:val="-6"/>
                <w:kern w:val="21"/>
                <w:szCs w:val="21"/>
              </w:rPr>
            </w:pPr>
          </w:p>
        </w:tc>
        <w:tc>
          <w:tcPr>
            <w:tcW w:w="1417" w:type="dxa"/>
            <w:vAlign w:val="center"/>
          </w:tcPr>
          <w:p w14:paraId="507DC57F">
            <w:pPr>
              <w:pStyle w:val="61"/>
              <w:spacing w:beforeLines="0" w:afterLines="0" w:line="260" w:lineRule="exact"/>
              <w:jc w:val="center"/>
              <w:rPr>
                <w:rFonts w:hint="default" w:ascii="Times New Roman" w:hAnsi="Times New Roman" w:eastAsia="宋体" w:cs="Times New Roman"/>
                <w:snapToGrid w:val="0"/>
                <w:color w:val="auto"/>
                <w:spacing w:val="-6"/>
                <w:kern w:val="21"/>
                <w:szCs w:val="21"/>
              </w:rPr>
            </w:pPr>
            <w:r>
              <w:rPr>
                <w:rFonts w:hint="default" w:ascii="Times New Roman" w:hAnsi="Times New Roman" w:cs="Times New Roman"/>
                <w:color w:val="auto"/>
                <w:kern w:val="0"/>
                <w:sz w:val="21"/>
                <w:szCs w:val="21"/>
                <w:lang w:val="en-US" w:eastAsia="zh-CN"/>
              </w:rPr>
              <w:t>NMP回收液</w:t>
            </w:r>
          </w:p>
        </w:tc>
        <w:tc>
          <w:tcPr>
            <w:tcW w:w="1701" w:type="dxa"/>
            <w:vAlign w:val="center"/>
          </w:tcPr>
          <w:p w14:paraId="2165787C">
            <w:pPr>
              <w:spacing w:beforeLines="0" w:afterLines="0" w:line="260" w:lineRule="exact"/>
              <w:jc w:val="center"/>
              <w:rPr>
                <w:rFonts w:hint="default" w:ascii="Times New Roman" w:hAnsi="Times New Roman" w:eastAsia="宋体" w:cs="Times New Roman"/>
                <w:snapToGrid w:val="0"/>
                <w:color w:val="auto"/>
                <w:spacing w:val="-6"/>
                <w:kern w:val="21"/>
                <w:szCs w:val="21"/>
              </w:rPr>
            </w:pPr>
            <w:r>
              <w:rPr>
                <w:rFonts w:hint="eastAsia" w:ascii="Times New Roman" w:cs="Times New Roman"/>
                <w:snapToGrid w:val="0"/>
                <w:color w:val="auto"/>
                <w:spacing w:val="-6"/>
                <w:kern w:val="21"/>
                <w:szCs w:val="21"/>
                <w:lang w:val="en-US" w:eastAsia="zh-CN"/>
              </w:rPr>
              <w:t>/</w:t>
            </w:r>
          </w:p>
        </w:tc>
        <w:tc>
          <w:tcPr>
            <w:tcW w:w="1276" w:type="dxa"/>
            <w:vAlign w:val="center"/>
          </w:tcPr>
          <w:p w14:paraId="7C98160F">
            <w:pPr>
              <w:spacing w:beforeLines="0" w:afterLines="0" w:line="260" w:lineRule="exact"/>
              <w:jc w:val="center"/>
              <w:rPr>
                <w:rFonts w:hint="default" w:ascii="Times New Roman" w:hAnsi="Times New Roman" w:eastAsia="宋体" w:cs="Times New Roman"/>
                <w:snapToGrid w:val="0"/>
                <w:color w:val="auto"/>
                <w:spacing w:val="-6"/>
                <w:kern w:val="21"/>
                <w:szCs w:val="21"/>
              </w:rPr>
            </w:pPr>
            <w:r>
              <w:rPr>
                <w:rFonts w:hint="eastAsia" w:ascii="Times New Roman" w:cs="Times New Roman"/>
                <w:snapToGrid w:val="0"/>
                <w:color w:val="auto"/>
                <w:spacing w:val="-6"/>
                <w:kern w:val="21"/>
                <w:szCs w:val="21"/>
                <w:lang w:val="en-US" w:eastAsia="zh-CN"/>
              </w:rPr>
              <w:t>/</w:t>
            </w:r>
          </w:p>
        </w:tc>
        <w:tc>
          <w:tcPr>
            <w:tcW w:w="1701" w:type="dxa"/>
            <w:vAlign w:val="center"/>
          </w:tcPr>
          <w:p w14:paraId="0FB75650">
            <w:pPr>
              <w:pStyle w:val="61"/>
              <w:spacing w:beforeLines="0" w:afterLines="0" w:line="260" w:lineRule="exact"/>
              <w:jc w:val="center"/>
              <w:rPr>
                <w:rFonts w:hint="default" w:ascii="Times New Roman" w:hAnsi="Times New Roman" w:eastAsia="宋体" w:cs="Times New Roman"/>
                <w:color w:val="auto"/>
                <w:kern w:val="0"/>
                <w:sz w:val="21"/>
                <w:szCs w:val="21"/>
                <w:shd w:val="clear"/>
                <w:lang w:val="en-US" w:eastAsia="zh-CN"/>
              </w:rPr>
            </w:pPr>
            <w:r>
              <w:rPr>
                <w:rFonts w:hint="eastAsia" w:ascii="Times New Roman" w:hAnsi="Times New Roman" w:eastAsia="宋体" w:cs="Times New Roman"/>
                <w:color w:val="auto"/>
                <w:kern w:val="0"/>
                <w:sz w:val="21"/>
                <w:szCs w:val="21"/>
                <w:shd w:val="clear"/>
                <w:lang w:val="en-US" w:eastAsia="zh-CN"/>
              </w:rPr>
              <w:t>/</w:t>
            </w:r>
          </w:p>
        </w:tc>
        <w:tc>
          <w:tcPr>
            <w:tcW w:w="1559" w:type="dxa"/>
            <w:vAlign w:val="center"/>
          </w:tcPr>
          <w:p w14:paraId="5BFC2AD2">
            <w:pPr>
              <w:pStyle w:val="61"/>
              <w:spacing w:beforeLines="0" w:afterLines="0" w:line="260" w:lineRule="exact"/>
              <w:jc w:val="center"/>
              <w:rPr>
                <w:rFonts w:hint="default" w:ascii="Times New Roman" w:hAnsi="Times New Roman" w:eastAsia="宋体" w:cs="Times New Roman"/>
                <w:color w:val="auto"/>
                <w:kern w:val="0"/>
                <w:sz w:val="21"/>
                <w:szCs w:val="21"/>
                <w:shd w:val="clear"/>
                <w:lang w:val="en-US" w:eastAsia="zh-CN"/>
              </w:rPr>
            </w:pPr>
            <w:r>
              <w:rPr>
                <w:rFonts w:hint="eastAsia" w:ascii="Times New Roman" w:cs="Times New Roman"/>
                <w:color w:val="auto"/>
                <w:kern w:val="0"/>
                <w:sz w:val="21"/>
                <w:szCs w:val="21"/>
                <w:shd w:val="clear"/>
                <w:lang w:val="en-US" w:eastAsia="zh-CN"/>
              </w:rPr>
              <w:t>1526.64</w:t>
            </w:r>
            <w:r>
              <w:rPr>
                <w:rFonts w:hint="default" w:ascii="Times New Roman" w:hAnsi="Times New Roman" w:eastAsia="宋体" w:cs="Times New Roman"/>
                <w:color w:val="auto"/>
                <w:kern w:val="0"/>
                <w:sz w:val="21"/>
                <w:szCs w:val="21"/>
                <w:shd w:val="clear"/>
                <w:lang w:val="en-US" w:eastAsia="zh-CN"/>
              </w:rPr>
              <w:t>t/a</w:t>
            </w:r>
          </w:p>
        </w:tc>
        <w:tc>
          <w:tcPr>
            <w:tcW w:w="1521" w:type="dxa"/>
            <w:vAlign w:val="center"/>
          </w:tcPr>
          <w:p w14:paraId="01A52912">
            <w:pPr>
              <w:pStyle w:val="61"/>
              <w:spacing w:beforeLines="0" w:afterLines="0" w:line="260" w:lineRule="exact"/>
              <w:jc w:val="center"/>
              <w:rPr>
                <w:rFonts w:hint="default" w:ascii="Times New Roman" w:hAnsi="Times New Roman" w:eastAsia="宋体" w:cs="Times New Roman"/>
                <w:color w:val="auto"/>
                <w:kern w:val="0"/>
                <w:sz w:val="21"/>
                <w:szCs w:val="21"/>
                <w:shd w:val="clear"/>
                <w:lang w:val="en-US" w:eastAsia="zh-CN"/>
              </w:rPr>
            </w:pPr>
            <w:r>
              <w:rPr>
                <w:rFonts w:hint="eastAsia" w:ascii="Times New Roman" w:hAnsi="Times New Roman" w:eastAsia="宋体" w:cs="Times New Roman"/>
                <w:color w:val="auto"/>
                <w:kern w:val="0"/>
                <w:sz w:val="21"/>
                <w:szCs w:val="21"/>
                <w:shd w:val="clear"/>
                <w:lang w:val="en-US" w:eastAsia="zh-CN"/>
              </w:rPr>
              <w:t>/</w:t>
            </w:r>
          </w:p>
        </w:tc>
        <w:tc>
          <w:tcPr>
            <w:tcW w:w="1985" w:type="dxa"/>
            <w:vAlign w:val="center"/>
          </w:tcPr>
          <w:p w14:paraId="4F045CF8">
            <w:pPr>
              <w:pStyle w:val="61"/>
              <w:spacing w:beforeLines="0" w:afterLines="0" w:line="260" w:lineRule="exact"/>
              <w:jc w:val="center"/>
              <w:rPr>
                <w:rFonts w:hint="default" w:ascii="Times New Roman" w:hAnsi="Times New Roman" w:eastAsia="宋体" w:cs="Times New Roman"/>
                <w:color w:val="auto"/>
                <w:kern w:val="0"/>
                <w:sz w:val="21"/>
                <w:szCs w:val="21"/>
                <w:shd w:val="clear"/>
                <w:lang w:val="en-US" w:eastAsia="zh-CN"/>
              </w:rPr>
            </w:pPr>
            <w:r>
              <w:rPr>
                <w:rFonts w:hint="eastAsia" w:ascii="Times New Roman" w:cs="Times New Roman"/>
                <w:color w:val="auto"/>
                <w:kern w:val="0"/>
                <w:sz w:val="21"/>
                <w:szCs w:val="21"/>
                <w:shd w:val="clear"/>
                <w:lang w:val="en-US" w:eastAsia="zh-CN"/>
              </w:rPr>
              <w:t>1526.64</w:t>
            </w:r>
            <w:r>
              <w:rPr>
                <w:rFonts w:hint="default" w:ascii="Times New Roman" w:hAnsi="Times New Roman" w:eastAsia="宋体" w:cs="Times New Roman"/>
                <w:color w:val="auto"/>
                <w:kern w:val="0"/>
                <w:sz w:val="21"/>
                <w:szCs w:val="21"/>
                <w:shd w:val="clear"/>
                <w:lang w:val="en-US" w:eastAsia="zh-CN"/>
              </w:rPr>
              <w:t>t/a</w:t>
            </w:r>
          </w:p>
        </w:tc>
        <w:tc>
          <w:tcPr>
            <w:tcW w:w="1040" w:type="dxa"/>
            <w:vAlign w:val="center"/>
          </w:tcPr>
          <w:p w14:paraId="3D8CF1D2">
            <w:pPr>
              <w:pStyle w:val="61"/>
              <w:spacing w:beforeLines="0" w:afterLines="0" w:line="260" w:lineRule="exact"/>
              <w:jc w:val="center"/>
              <w:rPr>
                <w:rFonts w:hint="default" w:ascii="Times New Roman" w:hAnsi="Times New Roman" w:eastAsia="宋体" w:cs="Times New Roman"/>
                <w:color w:val="auto"/>
                <w:kern w:val="0"/>
                <w:sz w:val="21"/>
                <w:szCs w:val="21"/>
                <w:shd w:val="clear"/>
                <w:lang w:val="en-US" w:eastAsia="zh-CN"/>
              </w:rPr>
            </w:pPr>
            <w:r>
              <w:rPr>
                <w:rFonts w:hint="default" w:ascii="Times New Roman" w:hAnsi="Times New Roman" w:eastAsia="宋体" w:cs="Times New Roman"/>
                <w:color w:val="auto"/>
                <w:kern w:val="0"/>
                <w:sz w:val="21"/>
                <w:szCs w:val="21"/>
                <w:shd w:val="clear"/>
                <w:lang w:val="en-US" w:eastAsia="zh-CN"/>
              </w:rPr>
              <w:t>+</w:t>
            </w:r>
            <w:r>
              <w:rPr>
                <w:rFonts w:hint="eastAsia" w:ascii="Times New Roman" w:cs="Times New Roman"/>
                <w:color w:val="auto"/>
                <w:kern w:val="0"/>
                <w:sz w:val="21"/>
                <w:szCs w:val="21"/>
                <w:shd w:val="clear"/>
                <w:lang w:val="en-US" w:eastAsia="zh-CN"/>
              </w:rPr>
              <w:t>1526.64</w:t>
            </w:r>
            <w:r>
              <w:rPr>
                <w:rFonts w:hint="default" w:ascii="Times New Roman" w:hAnsi="Times New Roman" w:eastAsia="宋体" w:cs="Times New Roman"/>
                <w:color w:val="auto"/>
                <w:kern w:val="0"/>
                <w:sz w:val="21"/>
                <w:szCs w:val="21"/>
                <w:shd w:val="clear"/>
                <w:lang w:val="en-US" w:eastAsia="zh-CN"/>
              </w:rPr>
              <w:t>t/a</w:t>
            </w:r>
          </w:p>
        </w:tc>
      </w:tr>
      <w:tr w14:paraId="5845637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23" w:hRule="atLeast"/>
          <w:jc w:val="center"/>
        </w:trPr>
        <w:tc>
          <w:tcPr>
            <w:tcW w:w="1588" w:type="dxa"/>
            <w:vMerge w:val="continue"/>
            <w:vAlign w:val="center"/>
          </w:tcPr>
          <w:p w14:paraId="3BCFF6CF">
            <w:pPr>
              <w:pStyle w:val="61"/>
              <w:spacing w:beforeLines="0" w:afterLines="0" w:line="260" w:lineRule="exact"/>
              <w:jc w:val="center"/>
              <w:rPr>
                <w:rFonts w:hint="eastAsia" w:ascii="Times New Roman" w:hAnsi="Times New Roman" w:eastAsia="宋体" w:cs="Times New Roman"/>
                <w:snapToGrid w:val="0"/>
                <w:color w:val="auto"/>
                <w:spacing w:val="-6"/>
                <w:kern w:val="21"/>
                <w:szCs w:val="21"/>
              </w:rPr>
            </w:pPr>
          </w:p>
        </w:tc>
        <w:tc>
          <w:tcPr>
            <w:tcW w:w="1417" w:type="dxa"/>
            <w:vAlign w:val="center"/>
          </w:tcPr>
          <w:p w14:paraId="3BF02E6D">
            <w:pPr>
              <w:pStyle w:val="61"/>
              <w:spacing w:beforeLines="0" w:afterLines="0" w:line="260" w:lineRule="exact"/>
              <w:jc w:val="center"/>
              <w:rPr>
                <w:rFonts w:hint="default" w:ascii="Times New Roman" w:hAnsi="Times New Roman"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纯水制备废过滤材料</w:t>
            </w:r>
          </w:p>
        </w:tc>
        <w:tc>
          <w:tcPr>
            <w:tcW w:w="1701" w:type="dxa"/>
            <w:vAlign w:val="center"/>
          </w:tcPr>
          <w:p w14:paraId="587E70CC">
            <w:pPr>
              <w:spacing w:beforeLines="0" w:afterLines="0" w:line="260" w:lineRule="exact"/>
              <w:jc w:val="center"/>
              <w:rPr>
                <w:rFonts w:hint="default" w:ascii="Times New Roman" w:hAnsi="Times New Roman" w:eastAsia="宋体" w:cs="Times New Roman"/>
                <w:snapToGrid w:val="0"/>
                <w:color w:val="auto"/>
                <w:spacing w:val="-6"/>
                <w:kern w:val="21"/>
                <w:szCs w:val="21"/>
              </w:rPr>
            </w:pPr>
            <w:r>
              <w:rPr>
                <w:rFonts w:hint="eastAsia" w:ascii="Times New Roman" w:cs="Times New Roman"/>
                <w:snapToGrid w:val="0"/>
                <w:color w:val="auto"/>
                <w:spacing w:val="-6"/>
                <w:kern w:val="21"/>
                <w:szCs w:val="21"/>
                <w:lang w:val="en-US" w:eastAsia="zh-CN"/>
              </w:rPr>
              <w:t>/</w:t>
            </w:r>
          </w:p>
        </w:tc>
        <w:tc>
          <w:tcPr>
            <w:tcW w:w="1276" w:type="dxa"/>
            <w:vAlign w:val="center"/>
          </w:tcPr>
          <w:p w14:paraId="4CA419C8">
            <w:pPr>
              <w:spacing w:beforeLines="0" w:afterLines="0" w:line="260" w:lineRule="exact"/>
              <w:jc w:val="center"/>
              <w:rPr>
                <w:rFonts w:hint="default" w:ascii="Times New Roman" w:hAnsi="Times New Roman" w:eastAsia="宋体" w:cs="Times New Roman"/>
                <w:snapToGrid w:val="0"/>
                <w:color w:val="auto"/>
                <w:spacing w:val="-6"/>
                <w:kern w:val="21"/>
                <w:szCs w:val="21"/>
              </w:rPr>
            </w:pPr>
            <w:r>
              <w:rPr>
                <w:rFonts w:hint="eastAsia" w:ascii="Times New Roman" w:cs="Times New Roman"/>
                <w:snapToGrid w:val="0"/>
                <w:color w:val="auto"/>
                <w:spacing w:val="-6"/>
                <w:kern w:val="21"/>
                <w:szCs w:val="21"/>
                <w:lang w:val="en-US" w:eastAsia="zh-CN"/>
              </w:rPr>
              <w:t>/</w:t>
            </w:r>
          </w:p>
        </w:tc>
        <w:tc>
          <w:tcPr>
            <w:tcW w:w="1701" w:type="dxa"/>
            <w:vAlign w:val="center"/>
          </w:tcPr>
          <w:p w14:paraId="59F9FBC5">
            <w:pPr>
              <w:spacing w:beforeLines="0" w:afterLines="0" w:line="260" w:lineRule="exact"/>
              <w:jc w:val="center"/>
              <w:rPr>
                <w:rFonts w:hint="default" w:ascii="Times New Roman" w:hAnsi="Times New Roman" w:eastAsia="宋体" w:cs="Times New Roman"/>
                <w:snapToGrid w:val="0"/>
                <w:color w:val="auto"/>
                <w:spacing w:val="-6"/>
                <w:kern w:val="21"/>
                <w:szCs w:val="21"/>
              </w:rPr>
            </w:pPr>
            <w:r>
              <w:rPr>
                <w:rFonts w:hint="eastAsia" w:ascii="Times New Roman" w:cs="Times New Roman"/>
                <w:snapToGrid w:val="0"/>
                <w:color w:val="auto"/>
                <w:spacing w:val="-6"/>
                <w:kern w:val="21"/>
                <w:szCs w:val="21"/>
                <w:lang w:val="en-US" w:eastAsia="zh-CN"/>
              </w:rPr>
              <w:t>/</w:t>
            </w:r>
          </w:p>
        </w:tc>
        <w:tc>
          <w:tcPr>
            <w:tcW w:w="1559" w:type="dxa"/>
            <w:vAlign w:val="center"/>
          </w:tcPr>
          <w:p w14:paraId="4D785FFF">
            <w:pPr>
              <w:pStyle w:val="61"/>
              <w:spacing w:beforeLines="0" w:afterLines="0" w:line="260" w:lineRule="exact"/>
              <w:jc w:val="center"/>
              <w:rPr>
                <w:rFonts w:hint="default" w:ascii="Times New Roman" w:hAnsi="Times New Roman" w:cs="Times New Roman"/>
                <w:color w:val="auto"/>
                <w:kern w:val="0"/>
                <w:sz w:val="21"/>
                <w:szCs w:val="21"/>
                <w:shd w:val="clear"/>
                <w:lang w:val="en-US" w:eastAsia="zh-CN"/>
              </w:rPr>
            </w:pPr>
            <w:r>
              <w:rPr>
                <w:rFonts w:hint="eastAsia" w:ascii="Times New Roman" w:hAnsi="Times New Roman" w:cs="Times New Roman"/>
                <w:color w:val="auto"/>
                <w:kern w:val="0"/>
                <w:sz w:val="21"/>
                <w:szCs w:val="21"/>
                <w:shd w:val="clear"/>
                <w:lang w:val="en-US" w:eastAsia="zh-CN"/>
              </w:rPr>
              <w:t>0.2t/a</w:t>
            </w:r>
          </w:p>
        </w:tc>
        <w:tc>
          <w:tcPr>
            <w:tcW w:w="1521" w:type="dxa"/>
            <w:vAlign w:val="center"/>
          </w:tcPr>
          <w:p w14:paraId="3DDB7A19">
            <w:pPr>
              <w:spacing w:beforeLines="0" w:afterLines="0" w:line="260" w:lineRule="exact"/>
              <w:jc w:val="center"/>
              <w:rPr>
                <w:rFonts w:hint="default" w:ascii="Times New Roman" w:hAnsi="Times New Roman" w:eastAsia="宋体" w:cs="Times New Roman"/>
                <w:snapToGrid w:val="0"/>
                <w:color w:val="auto"/>
                <w:spacing w:val="-6"/>
                <w:kern w:val="21"/>
                <w:szCs w:val="21"/>
              </w:rPr>
            </w:pPr>
            <w:r>
              <w:rPr>
                <w:rFonts w:hint="eastAsia" w:ascii="Times New Roman" w:cs="Times New Roman"/>
                <w:snapToGrid w:val="0"/>
                <w:color w:val="auto"/>
                <w:spacing w:val="-6"/>
                <w:kern w:val="21"/>
                <w:szCs w:val="21"/>
                <w:lang w:val="en-US" w:eastAsia="zh-CN"/>
              </w:rPr>
              <w:t>/</w:t>
            </w:r>
          </w:p>
        </w:tc>
        <w:tc>
          <w:tcPr>
            <w:tcW w:w="1985" w:type="dxa"/>
            <w:vAlign w:val="center"/>
          </w:tcPr>
          <w:p w14:paraId="2FEC89C6">
            <w:pPr>
              <w:pStyle w:val="61"/>
              <w:spacing w:beforeLines="0" w:afterLines="0" w:line="260" w:lineRule="exact"/>
              <w:jc w:val="center"/>
              <w:rPr>
                <w:rFonts w:hint="default" w:ascii="Times New Roman" w:hAnsi="Times New Roman" w:cs="Times New Roman"/>
                <w:color w:val="auto"/>
                <w:kern w:val="0"/>
                <w:sz w:val="21"/>
                <w:szCs w:val="21"/>
                <w:shd w:val="clear"/>
                <w:lang w:val="en-US" w:eastAsia="zh-CN"/>
              </w:rPr>
            </w:pPr>
            <w:r>
              <w:rPr>
                <w:rFonts w:hint="eastAsia" w:ascii="Times New Roman" w:hAnsi="Times New Roman" w:eastAsia="宋体" w:cs="Times New Roman"/>
                <w:color w:val="auto"/>
                <w:kern w:val="0"/>
                <w:sz w:val="21"/>
                <w:szCs w:val="21"/>
                <w:lang w:val="en-US" w:eastAsia="zh-CN"/>
              </w:rPr>
              <w:t>0.2t/a</w:t>
            </w:r>
          </w:p>
        </w:tc>
        <w:tc>
          <w:tcPr>
            <w:tcW w:w="1040" w:type="dxa"/>
            <w:vAlign w:val="center"/>
          </w:tcPr>
          <w:p w14:paraId="29EC90A6">
            <w:pPr>
              <w:pStyle w:val="61"/>
              <w:spacing w:beforeLines="0" w:afterLines="0" w:line="260" w:lineRule="exact"/>
              <w:jc w:val="center"/>
              <w:rPr>
                <w:rFonts w:hint="default" w:ascii="Times New Roman" w:hAnsi="Times New Roman" w:cs="Times New Roman"/>
                <w:snapToGrid w:val="0"/>
                <w:color w:val="auto"/>
                <w:spacing w:val="-6"/>
                <w:kern w:val="21"/>
                <w:szCs w:val="21"/>
                <w:lang w:val="en-US" w:eastAsia="zh-CN"/>
              </w:rPr>
            </w:pPr>
            <w:r>
              <w:rPr>
                <w:rFonts w:hint="eastAsia" w:ascii="Times New Roman" w:hAnsi="Times New Roman" w:cs="Times New Roman"/>
                <w:snapToGrid w:val="0"/>
                <w:color w:val="auto"/>
                <w:spacing w:val="-6"/>
                <w:kern w:val="21"/>
                <w:szCs w:val="21"/>
                <w:lang w:val="en-US" w:eastAsia="zh-CN"/>
              </w:rPr>
              <w:t>+</w:t>
            </w:r>
            <w:r>
              <w:rPr>
                <w:rFonts w:hint="eastAsia" w:ascii="Times New Roman" w:hAnsi="Times New Roman" w:eastAsia="宋体" w:cs="Times New Roman"/>
                <w:color w:val="auto"/>
                <w:kern w:val="0"/>
                <w:sz w:val="21"/>
                <w:szCs w:val="21"/>
                <w:lang w:val="en-US" w:eastAsia="zh-CN"/>
              </w:rPr>
              <w:t>0.2t/a</w:t>
            </w:r>
          </w:p>
        </w:tc>
      </w:tr>
      <w:tr w14:paraId="3711EA1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0" w:hRule="atLeast"/>
          <w:jc w:val="center"/>
        </w:trPr>
        <w:tc>
          <w:tcPr>
            <w:tcW w:w="1588" w:type="dxa"/>
            <w:vMerge w:val="continue"/>
            <w:vAlign w:val="center"/>
          </w:tcPr>
          <w:p w14:paraId="14A4704E">
            <w:pPr>
              <w:pStyle w:val="61"/>
              <w:spacing w:beforeLines="0" w:afterLines="0" w:line="260" w:lineRule="exact"/>
              <w:jc w:val="center"/>
              <w:rPr>
                <w:rFonts w:hint="eastAsia" w:ascii="Times New Roman" w:hAnsi="Times New Roman" w:eastAsia="宋体" w:cs="Times New Roman"/>
                <w:snapToGrid w:val="0"/>
                <w:color w:val="auto"/>
                <w:spacing w:val="-6"/>
                <w:kern w:val="21"/>
                <w:szCs w:val="21"/>
              </w:rPr>
            </w:pPr>
          </w:p>
        </w:tc>
        <w:tc>
          <w:tcPr>
            <w:tcW w:w="1417" w:type="dxa"/>
            <w:vAlign w:val="center"/>
          </w:tcPr>
          <w:p w14:paraId="32870E76">
            <w:pPr>
              <w:pStyle w:val="61"/>
              <w:spacing w:beforeLines="0" w:afterLines="0" w:line="260" w:lineRule="exact"/>
              <w:jc w:val="center"/>
              <w:rPr>
                <w:rFonts w:hint="default" w:ascii="Times New Roman" w:hAnsi="Times New Roman" w:cs="Times New Roman"/>
                <w:color w:val="auto"/>
                <w:kern w:val="0"/>
                <w:sz w:val="21"/>
                <w:szCs w:val="21"/>
                <w:lang w:val="en-US" w:eastAsia="zh-CN"/>
              </w:rPr>
            </w:pPr>
            <w:r>
              <w:rPr>
                <w:rFonts w:hint="eastAsia"/>
                <w:color w:val="auto"/>
                <w:kern w:val="0"/>
                <w:sz w:val="21"/>
                <w:szCs w:val="21"/>
                <w:lang w:val="en-US" w:eastAsia="zh-CN"/>
              </w:rPr>
              <w:t>废分子筛</w:t>
            </w:r>
          </w:p>
        </w:tc>
        <w:tc>
          <w:tcPr>
            <w:tcW w:w="1701" w:type="dxa"/>
            <w:vAlign w:val="center"/>
          </w:tcPr>
          <w:p w14:paraId="4486D9D6">
            <w:pPr>
              <w:spacing w:beforeLines="0" w:afterLines="0" w:line="260" w:lineRule="exact"/>
              <w:jc w:val="center"/>
              <w:rPr>
                <w:rFonts w:hint="default" w:ascii="Times New Roman" w:hAnsi="Times New Roman" w:eastAsia="宋体" w:cs="Times New Roman"/>
                <w:snapToGrid w:val="0"/>
                <w:color w:val="auto"/>
                <w:spacing w:val="-6"/>
                <w:kern w:val="21"/>
                <w:szCs w:val="21"/>
              </w:rPr>
            </w:pPr>
            <w:r>
              <w:rPr>
                <w:rFonts w:hint="eastAsia" w:ascii="Times New Roman" w:cs="Times New Roman"/>
                <w:snapToGrid w:val="0"/>
                <w:color w:val="auto"/>
                <w:spacing w:val="-6"/>
                <w:kern w:val="21"/>
                <w:szCs w:val="21"/>
                <w:lang w:val="en-US" w:eastAsia="zh-CN"/>
              </w:rPr>
              <w:t>/</w:t>
            </w:r>
          </w:p>
        </w:tc>
        <w:tc>
          <w:tcPr>
            <w:tcW w:w="1276" w:type="dxa"/>
            <w:vAlign w:val="center"/>
          </w:tcPr>
          <w:p w14:paraId="2B982F99">
            <w:pPr>
              <w:spacing w:beforeLines="0" w:afterLines="0" w:line="260" w:lineRule="exact"/>
              <w:jc w:val="center"/>
              <w:rPr>
                <w:rFonts w:hint="default" w:ascii="Times New Roman" w:hAnsi="Times New Roman" w:eastAsia="宋体" w:cs="Times New Roman"/>
                <w:snapToGrid w:val="0"/>
                <w:color w:val="auto"/>
                <w:spacing w:val="-6"/>
                <w:kern w:val="21"/>
                <w:szCs w:val="21"/>
              </w:rPr>
            </w:pPr>
            <w:r>
              <w:rPr>
                <w:rFonts w:hint="eastAsia" w:ascii="Times New Roman" w:cs="Times New Roman"/>
                <w:snapToGrid w:val="0"/>
                <w:color w:val="auto"/>
                <w:spacing w:val="-6"/>
                <w:kern w:val="21"/>
                <w:szCs w:val="21"/>
                <w:lang w:val="en-US" w:eastAsia="zh-CN"/>
              </w:rPr>
              <w:t>/</w:t>
            </w:r>
          </w:p>
        </w:tc>
        <w:tc>
          <w:tcPr>
            <w:tcW w:w="1701" w:type="dxa"/>
            <w:vAlign w:val="center"/>
          </w:tcPr>
          <w:p w14:paraId="7D8A9EE3">
            <w:pPr>
              <w:spacing w:beforeLines="0" w:afterLines="0" w:line="260" w:lineRule="exact"/>
              <w:jc w:val="center"/>
              <w:rPr>
                <w:rFonts w:hint="default" w:ascii="Times New Roman" w:hAnsi="Times New Roman" w:eastAsia="宋体" w:cs="Times New Roman"/>
                <w:snapToGrid w:val="0"/>
                <w:color w:val="auto"/>
                <w:spacing w:val="-6"/>
                <w:kern w:val="21"/>
                <w:szCs w:val="21"/>
              </w:rPr>
            </w:pPr>
            <w:r>
              <w:rPr>
                <w:rFonts w:hint="eastAsia" w:ascii="Times New Roman" w:cs="Times New Roman"/>
                <w:snapToGrid w:val="0"/>
                <w:color w:val="auto"/>
                <w:spacing w:val="-6"/>
                <w:kern w:val="21"/>
                <w:szCs w:val="21"/>
                <w:lang w:val="en-US" w:eastAsia="zh-CN"/>
              </w:rPr>
              <w:t>/</w:t>
            </w:r>
          </w:p>
        </w:tc>
        <w:tc>
          <w:tcPr>
            <w:tcW w:w="1559" w:type="dxa"/>
            <w:vAlign w:val="center"/>
          </w:tcPr>
          <w:p w14:paraId="2B264920">
            <w:pPr>
              <w:pStyle w:val="61"/>
              <w:spacing w:beforeLines="0" w:afterLines="0" w:line="260" w:lineRule="exact"/>
              <w:jc w:val="center"/>
              <w:rPr>
                <w:rFonts w:hint="default" w:ascii="Times New Roman" w:hAnsi="Times New Roman" w:cs="Times New Roman"/>
                <w:color w:val="auto"/>
                <w:kern w:val="0"/>
                <w:sz w:val="21"/>
                <w:szCs w:val="21"/>
                <w:shd w:val="clear"/>
                <w:lang w:val="en-US" w:eastAsia="zh-CN"/>
              </w:rPr>
            </w:pPr>
            <w:r>
              <w:rPr>
                <w:rFonts w:hint="eastAsia" w:ascii="Times New Roman" w:hAnsi="Times New Roman" w:cs="Times New Roman"/>
                <w:color w:val="auto"/>
                <w:kern w:val="0"/>
                <w:sz w:val="21"/>
                <w:szCs w:val="21"/>
                <w:shd w:val="clear"/>
                <w:lang w:val="en-US" w:eastAsia="zh-CN"/>
              </w:rPr>
              <w:t>0.2t/a</w:t>
            </w:r>
          </w:p>
        </w:tc>
        <w:tc>
          <w:tcPr>
            <w:tcW w:w="1521" w:type="dxa"/>
            <w:vAlign w:val="center"/>
          </w:tcPr>
          <w:p w14:paraId="294627D0">
            <w:pPr>
              <w:spacing w:beforeLines="0" w:afterLines="0" w:line="260" w:lineRule="exact"/>
              <w:jc w:val="center"/>
              <w:rPr>
                <w:rFonts w:hint="default" w:ascii="Times New Roman" w:hAnsi="Times New Roman" w:eastAsia="宋体" w:cs="Times New Roman"/>
                <w:snapToGrid w:val="0"/>
                <w:color w:val="auto"/>
                <w:spacing w:val="-6"/>
                <w:kern w:val="21"/>
                <w:szCs w:val="21"/>
              </w:rPr>
            </w:pPr>
            <w:r>
              <w:rPr>
                <w:rFonts w:hint="eastAsia" w:ascii="Times New Roman" w:cs="Times New Roman"/>
                <w:snapToGrid w:val="0"/>
                <w:color w:val="auto"/>
                <w:spacing w:val="-6"/>
                <w:kern w:val="21"/>
                <w:szCs w:val="21"/>
                <w:lang w:val="en-US" w:eastAsia="zh-CN"/>
              </w:rPr>
              <w:t>/</w:t>
            </w:r>
          </w:p>
        </w:tc>
        <w:tc>
          <w:tcPr>
            <w:tcW w:w="1985" w:type="dxa"/>
            <w:shd w:val="clear" w:color="auto" w:fill="auto"/>
            <w:vAlign w:val="center"/>
          </w:tcPr>
          <w:p w14:paraId="6686D659">
            <w:pPr>
              <w:pStyle w:val="61"/>
              <w:spacing w:beforeLines="0" w:afterLines="0" w:line="260" w:lineRule="exact"/>
              <w:jc w:val="center"/>
              <w:rPr>
                <w:rFonts w:hint="default" w:ascii="Times New Roman" w:hAnsi="Times New Roman" w:eastAsia="宋体" w:cs="Times New Roman"/>
                <w:color w:val="auto"/>
                <w:kern w:val="0"/>
                <w:sz w:val="21"/>
                <w:szCs w:val="21"/>
                <w:shd w:val="clear"/>
                <w:lang w:val="en-US" w:eastAsia="zh-CN" w:bidi="ar-SA"/>
              </w:rPr>
            </w:pPr>
            <w:r>
              <w:rPr>
                <w:rFonts w:hint="eastAsia" w:ascii="Times New Roman" w:hAnsi="Times New Roman" w:eastAsia="宋体" w:cs="Times New Roman"/>
                <w:color w:val="auto"/>
                <w:kern w:val="0"/>
                <w:sz w:val="21"/>
                <w:szCs w:val="21"/>
                <w:lang w:val="en-US" w:eastAsia="zh-CN"/>
              </w:rPr>
              <w:t>0.2t/a</w:t>
            </w:r>
          </w:p>
        </w:tc>
        <w:tc>
          <w:tcPr>
            <w:tcW w:w="1040" w:type="dxa"/>
            <w:shd w:val="clear" w:color="auto" w:fill="auto"/>
            <w:vAlign w:val="center"/>
          </w:tcPr>
          <w:p w14:paraId="1702521C">
            <w:pPr>
              <w:pStyle w:val="61"/>
              <w:spacing w:beforeLines="0" w:afterLines="0" w:line="260" w:lineRule="exact"/>
              <w:jc w:val="center"/>
              <w:rPr>
                <w:rFonts w:hint="default" w:ascii="Times New Roman" w:hAnsi="Times New Roman" w:eastAsia="宋体" w:cs="Times New Roman"/>
                <w:snapToGrid w:val="0"/>
                <w:color w:val="auto"/>
                <w:spacing w:val="-6"/>
                <w:kern w:val="21"/>
                <w:sz w:val="21"/>
                <w:szCs w:val="21"/>
                <w:lang w:val="en-US" w:eastAsia="zh-CN" w:bidi="ar-SA"/>
              </w:rPr>
            </w:pPr>
            <w:r>
              <w:rPr>
                <w:rFonts w:hint="eastAsia" w:ascii="Times New Roman" w:hAnsi="Times New Roman" w:cs="Times New Roman"/>
                <w:snapToGrid w:val="0"/>
                <w:color w:val="auto"/>
                <w:spacing w:val="-6"/>
                <w:kern w:val="21"/>
                <w:szCs w:val="21"/>
                <w:lang w:val="en-US" w:eastAsia="zh-CN"/>
              </w:rPr>
              <w:t>+</w:t>
            </w:r>
            <w:r>
              <w:rPr>
                <w:rFonts w:hint="eastAsia" w:ascii="Times New Roman" w:hAnsi="Times New Roman" w:eastAsia="宋体" w:cs="Times New Roman"/>
                <w:color w:val="auto"/>
                <w:kern w:val="0"/>
                <w:sz w:val="21"/>
                <w:szCs w:val="21"/>
                <w:lang w:val="en-US" w:eastAsia="zh-CN"/>
              </w:rPr>
              <w:t>0.2t/a</w:t>
            </w:r>
          </w:p>
        </w:tc>
      </w:tr>
      <w:tr w14:paraId="420F588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0" w:hRule="atLeast"/>
          <w:jc w:val="center"/>
        </w:trPr>
        <w:tc>
          <w:tcPr>
            <w:tcW w:w="1588" w:type="dxa"/>
            <w:vMerge w:val="continue"/>
            <w:vAlign w:val="center"/>
          </w:tcPr>
          <w:p w14:paraId="005726B1">
            <w:pPr>
              <w:pStyle w:val="61"/>
              <w:spacing w:beforeLines="0" w:afterLines="0" w:line="260" w:lineRule="exact"/>
              <w:jc w:val="center"/>
              <w:rPr>
                <w:rFonts w:hint="eastAsia" w:ascii="Times New Roman" w:hAnsi="Times New Roman" w:eastAsia="宋体" w:cs="Times New Roman"/>
                <w:snapToGrid w:val="0"/>
                <w:color w:val="auto"/>
                <w:spacing w:val="-6"/>
                <w:kern w:val="21"/>
                <w:szCs w:val="21"/>
              </w:rPr>
            </w:pPr>
          </w:p>
        </w:tc>
        <w:tc>
          <w:tcPr>
            <w:tcW w:w="1417" w:type="dxa"/>
            <w:vAlign w:val="center"/>
          </w:tcPr>
          <w:p w14:paraId="654FCA72">
            <w:pPr>
              <w:pStyle w:val="61"/>
              <w:spacing w:beforeLines="0" w:afterLines="0" w:line="260" w:lineRule="exact"/>
              <w:jc w:val="center"/>
              <w:rPr>
                <w:rFonts w:hint="default" w:ascii="Times New Roman" w:hAnsi="Times New Roman" w:cs="Times New Roman"/>
                <w:color w:val="auto"/>
                <w:kern w:val="0"/>
                <w:sz w:val="21"/>
                <w:szCs w:val="21"/>
                <w:lang w:val="en-US" w:eastAsia="zh-CN"/>
              </w:rPr>
            </w:pPr>
            <w:r>
              <w:rPr>
                <w:rFonts w:hint="eastAsia"/>
                <w:color w:val="auto"/>
                <w:kern w:val="0"/>
                <w:sz w:val="21"/>
                <w:szCs w:val="21"/>
                <w:lang w:val="en-US" w:eastAsia="zh-CN"/>
              </w:rPr>
              <w:t>不合格品</w:t>
            </w:r>
          </w:p>
        </w:tc>
        <w:tc>
          <w:tcPr>
            <w:tcW w:w="1701" w:type="dxa"/>
            <w:vAlign w:val="center"/>
          </w:tcPr>
          <w:p w14:paraId="16D618BD">
            <w:pPr>
              <w:spacing w:beforeLines="0" w:afterLines="0" w:line="260" w:lineRule="exact"/>
              <w:jc w:val="center"/>
              <w:rPr>
                <w:rFonts w:hint="default" w:ascii="Times New Roman" w:hAnsi="Times New Roman" w:eastAsia="宋体" w:cs="Times New Roman"/>
                <w:snapToGrid w:val="0"/>
                <w:color w:val="auto"/>
                <w:spacing w:val="-6"/>
                <w:kern w:val="21"/>
                <w:szCs w:val="21"/>
              </w:rPr>
            </w:pPr>
            <w:r>
              <w:rPr>
                <w:rFonts w:hint="eastAsia" w:ascii="Times New Roman" w:cs="Times New Roman"/>
                <w:snapToGrid w:val="0"/>
                <w:color w:val="auto"/>
                <w:spacing w:val="-6"/>
                <w:kern w:val="21"/>
                <w:szCs w:val="21"/>
                <w:lang w:val="en-US" w:eastAsia="zh-CN"/>
              </w:rPr>
              <w:t>/</w:t>
            </w:r>
          </w:p>
        </w:tc>
        <w:tc>
          <w:tcPr>
            <w:tcW w:w="1276" w:type="dxa"/>
            <w:vAlign w:val="center"/>
          </w:tcPr>
          <w:p w14:paraId="6B5104AE">
            <w:pPr>
              <w:spacing w:beforeLines="0" w:afterLines="0" w:line="260" w:lineRule="exact"/>
              <w:jc w:val="center"/>
              <w:rPr>
                <w:rFonts w:hint="default" w:ascii="Times New Roman" w:hAnsi="Times New Roman" w:eastAsia="宋体" w:cs="Times New Roman"/>
                <w:snapToGrid w:val="0"/>
                <w:color w:val="auto"/>
                <w:spacing w:val="-6"/>
                <w:kern w:val="21"/>
                <w:szCs w:val="21"/>
              </w:rPr>
            </w:pPr>
            <w:r>
              <w:rPr>
                <w:rFonts w:hint="eastAsia" w:ascii="Times New Roman" w:cs="Times New Roman"/>
                <w:snapToGrid w:val="0"/>
                <w:color w:val="auto"/>
                <w:spacing w:val="-6"/>
                <w:kern w:val="21"/>
                <w:szCs w:val="21"/>
                <w:lang w:val="en-US" w:eastAsia="zh-CN"/>
              </w:rPr>
              <w:t>/</w:t>
            </w:r>
          </w:p>
        </w:tc>
        <w:tc>
          <w:tcPr>
            <w:tcW w:w="1701" w:type="dxa"/>
            <w:vAlign w:val="center"/>
          </w:tcPr>
          <w:p w14:paraId="7761A57E">
            <w:pPr>
              <w:spacing w:beforeLines="0" w:afterLines="0" w:line="260" w:lineRule="exact"/>
              <w:jc w:val="center"/>
              <w:rPr>
                <w:rFonts w:hint="default" w:ascii="Times New Roman" w:hAnsi="Times New Roman" w:eastAsia="宋体" w:cs="Times New Roman"/>
                <w:snapToGrid w:val="0"/>
                <w:color w:val="auto"/>
                <w:spacing w:val="-6"/>
                <w:kern w:val="21"/>
                <w:szCs w:val="21"/>
              </w:rPr>
            </w:pPr>
            <w:r>
              <w:rPr>
                <w:rFonts w:hint="eastAsia" w:ascii="Times New Roman" w:cs="Times New Roman"/>
                <w:snapToGrid w:val="0"/>
                <w:color w:val="auto"/>
                <w:spacing w:val="-6"/>
                <w:kern w:val="21"/>
                <w:szCs w:val="21"/>
                <w:lang w:val="en-US" w:eastAsia="zh-CN"/>
              </w:rPr>
              <w:t>/</w:t>
            </w:r>
          </w:p>
        </w:tc>
        <w:tc>
          <w:tcPr>
            <w:tcW w:w="1559" w:type="dxa"/>
            <w:vAlign w:val="center"/>
          </w:tcPr>
          <w:p w14:paraId="1F4E8737">
            <w:pPr>
              <w:pStyle w:val="61"/>
              <w:spacing w:beforeLines="0" w:afterLines="0" w:line="260" w:lineRule="exact"/>
              <w:jc w:val="center"/>
              <w:rPr>
                <w:rFonts w:hint="default" w:ascii="Times New Roman" w:hAnsi="Times New Roman" w:cs="Times New Roman"/>
                <w:color w:val="auto"/>
                <w:kern w:val="0"/>
                <w:sz w:val="21"/>
                <w:szCs w:val="21"/>
                <w:shd w:val="clear"/>
                <w:lang w:val="en-US" w:eastAsia="zh-CN"/>
              </w:rPr>
            </w:pPr>
            <w:r>
              <w:rPr>
                <w:rFonts w:hint="eastAsia" w:ascii="Times New Roman" w:hAnsi="Times New Roman" w:cs="Times New Roman"/>
                <w:color w:val="auto"/>
                <w:kern w:val="0"/>
                <w:sz w:val="21"/>
                <w:szCs w:val="21"/>
                <w:shd w:val="clear"/>
                <w:lang w:val="en-US" w:eastAsia="zh-CN"/>
              </w:rPr>
              <w:t>0.</w:t>
            </w:r>
            <w:r>
              <w:rPr>
                <w:rFonts w:hint="eastAsia" w:ascii="Times New Roman" w:cs="Times New Roman"/>
                <w:color w:val="auto"/>
                <w:kern w:val="0"/>
                <w:sz w:val="21"/>
                <w:szCs w:val="21"/>
                <w:shd w:val="clear"/>
                <w:lang w:val="en-US" w:eastAsia="zh-CN"/>
              </w:rPr>
              <w:t>7</w:t>
            </w:r>
            <w:r>
              <w:rPr>
                <w:rFonts w:hint="eastAsia" w:ascii="Times New Roman" w:hAnsi="Times New Roman" w:cs="Times New Roman"/>
                <w:color w:val="auto"/>
                <w:kern w:val="0"/>
                <w:sz w:val="21"/>
                <w:szCs w:val="21"/>
                <w:shd w:val="clear"/>
                <w:lang w:val="en-US" w:eastAsia="zh-CN"/>
              </w:rPr>
              <w:t>t/a</w:t>
            </w:r>
          </w:p>
        </w:tc>
        <w:tc>
          <w:tcPr>
            <w:tcW w:w="1521" w:type="dxa"/>
            <w:vAlign w:val="center"/>
          </w:tcPr>
          <w:p w14:paraId="29DE39AC">
            <w:pPr>
              <w:spacing w:beforeLines="0" w:afterLines="0" w:line="260" w:lineRule="exact"/>
              <w:jc w:val="center"/>
              <w:rPr>
                <w:rFonts w:hint="default" w:ascii="Times New Roman" w:hAnsi="Times New Roman" w:eastAsia="宋体" w:cs="Times New Roman"/>
                <w:snapToGrid w:val="0"/>
                <w:color w:val="auto"/>
                <w:spacing w:val="-6"/>
                <w:kern w:val="21"/>
                <w:szCs w:val="21"/>
              </w:rPr>
            </w:pPr>
            <w:r>
              <w:rPr>
                <w:rFonts w:hint="eastAsia" w:ascii="Times New Roman" w:cs="Times New Roman"/>
                <w:snapToGrid w:val="0"/>
                <w:color w:val="auto"/>
                <w:spacing w:val="-6"/>
                <w:kern w:val="21"/>
                <w:szCs w:val="21"/>
                <w:lang w:val="en-US" w:eastAsia="zh-CN"/>
              </w:rPr>
              <w:t>/</w:t>
            </w:r>
          </w:p>
        </w:tc>
        <w:tc>
          <w:tcPr>
            <w:tcW w:w="1985" w:type="dxa"/>
            <w:shd w:val="clear" w:color="auto" w:fill="auto"/>
            <w:vAlign w:val="center"/>
          </w:tcPr>
          <w:p w14:paraId="64F74E00">
            <w:pPr>
              <w:pStyle w:val="61"/>
              <w:spacing w:beforeLines="0" w:afterLines="0" w:line="260" w:lineRule="exact"/>
              <w:jc w:val="center"/>
              <w:rPr>
                <w:rFonts w:hint="default" w:ascii="Times New Roman" w:hAnsi="Times New Roman" w:eastAsia="宋体" w:cs="Times New Roman"/>
                <w:color w:val="auto"/>
                <w:kern w:val="0"/>
                <w:sz w:val="21"/>
                <w:szCs w:val="21"/>
                <w:shd w:val="clear"/>
                <w:lang w:val="en-US" w:eastAsia="zh-CN" w:bidi="ar-SA"/>
              </w:rPr>
            </w:pPr>
            <w:r>
              <w:rPr>
                <w:rFonts w:hint="eastAsia" w:ascii="Times New Roman" w:hAnsi="Times New Roman" w:eastAsia="宋体" w:cs="Times New Roman"/>
                <w:color w:val="auto"/>
                <w:kern w:val="0"/>
                <w:sz w:val="21"/>
                <w:szCs w:val="21"/>
                <w:lang w:val="en-US" w:eastAsia="zh-CN"/>
              </w:rPr>
              <w:t>0.</w:t>
            </w:r>
            <w:r>
              <w:rPr>
                <w:rFonts w:hint="eastAsia" w:ascii="Times New Roman" w:cs="Times New Roman"/>
                <w:color w:val="auto"/>
                <w:kern w:val="0"/>
                <w:sz w:val="21"/>
                <w:szCs w:val="21"/>
                <w:lang w:val="en-US" w:eastAsia="zh-CN"/>
              </w:rPr>
              <w:t>7</w:t>
            </w:r>
            <w:r>
              <w:rPr>
                <w:rFonts w:hint="eastAsia" w:ascii="Times New Roman" w:hAnsi="Times New Roman" w:eastAsia="宋体" w:cs="Times New Roman"/>
                <w:color w:val="auto"/>
                <w:kern w:val="0"/>
                <w:sz w:val="21"/>
                <w:szCs w:val="21"/>
                <w:lang w:val="en-US" w:eastAsia="zh-CN"/>
              </w:rPr>
              <w:t>t/a</w:t>
            </w:r>
          </w:p>
        </w:tc>
        <w:tc>
          <w:tcPr>
            <w:tcW w:w="1040" w:type="dxa"/>
            <w:shd w:val="clear" w:color="auto" w:fill="auto"/>
            <w:vAlign w:val="center"/>
          </w:tcPr>
          <w:p w14:paraId="68A0C195">
            <w:pPr>
              <w:pStyle w:val="61"/>
              <w:spacing w:beforeLines="0" w:afterLines="0" w:line="260" w:lineRule="exact"/>
              <w:jc w:val="center"/>
              <w:rPr>
                <w:rFonts w:hint="default" w:ascii="Times New Roman" w:hAnsi="Times New Roman" w:eastAsia="宋体" w:cs="Times New Roman"/>
                <w:snapToGrid w:val="0"/>
                <w:color w:val="auto"/>
                <w:spacing w:val="-6"/>
                <w:kern w:val="21"/>
                <w:sz w:val="21"/>
                <w:szCs w:val="21"/>
                <w:lang w:val="en-US" w:eastAsia="zh-CN" w:bidi="ar-SA"/>
              </w:rPr>
            </w:pPr>
            <w:r>
              <w:rPr>
                <w:rFonts w:hint="eastAsia" w:ascii="Times New Roman" w:hAnsi="Times New Roman" w:cs="Times New Roman"/>
                <w:snapToGrid w:val="0"/>
                <w:color w:val="auto"/>
                <w:spacing w:val="-6"/>
                <w:kern w:val="21"/>
                <w:szCs w:val="21"/>
                <w:lang w:val="en-US" w:eastAsia="zh-CN"/>
              </w:rPr>
              <w:t>+</w:t>
            </w:r>
            <w:r>
              <w:rPr>
                <w:rFonts w:hint="eastAsia" w:ascii="Times New Roman" w:hAnsi="Times New Roman" w:eastAsia="宋体" w:cs="Times New Roman"/>
                <w:color w:val="auto"/>
                <w:kern w:val="0"/>
                <w:sz w:val="21"/>
                <w:szCs w:val="21"/>
                <w:lang w:val="en-US" w:eastAsia="zh-CN"/>
              </w:rPr>
              <w:t>0.</w:t>
            </w:r>
            <w:r>
              <w:rPr>
                <w:rFonts w:hint="eastAsia" w:ascii="Times New Roman" w:cs="Times New Roman"/>
                <w:color w:val="auto"/>
                <w:kern w:val="0"/>
                <w:sz w:val="21"/>
                <w:szCs w:val="21"/>
                <w:lang w:val="en-US" w:eastAsia="zh-CN"/>
              </w:rPr>
              <w:t>7</w:t>
            </w:r>
            <w:r>
              <w:rPr>
                <w:rFonts w:hint="eastAsia" w:ascii="Times New Roman" w:hAnsi="Times New Roman" w:eastAsia="宋体" w:cs="Times New Roman"/>
                <w:color w:val="auto"/>
                <w:kern w:val="0"/>
                <w:sz w:val="21"/>
                <w:szCs w:val="21"/>
                <w:lang w:val="en-US" w:eastAsia="zh-CN"/>
              </w:rPr>
              <w:t>t/a</w:t>
            </w:r>
          </w:p>
        </w:tc>
      </w:tr>
      <w:tr w14:paraId="1213168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0" w:hRule="atLeast"/>
          <w:jc w:val="center"/>
        </w:trPr>
        <w:tc>
          <w:tcPr>
            <w:tcW w:w="1588" w:type="dxa"/>
            <w:vMerge w:val="restart"/>
            <w:vAlign w:val="center"/>
          </w:tcPr>
          <w:p w14:paraId="6DB79269">
            <w:pPr>
              <w:pStyle w:val="61"/>
              <w:spacing w:beforeLines="0" w:afterLines="0" w:line="260" w:lineRule="exact"/>
              <w:jc w:val="center"/>
              <w:rPr>
                <w:rFonts w:hint="default" w:ascii="Times New Roman" w:hAnsi="Times New Roman" w:eastAsia="宋体" w:cs="Times New Roman"/>
                <w:snapToGrid w:val="0"/>
                <w:color w:val="auto"/>
                <w:spacing w:val="-6"/>
                <w:kern w:val="21"/>
                <w:szCs w:val="21"/>
              </w:rPr>
            </w:pPr>
            <w:r>
              <w:rPr>
                <w:rFonts w:hint="eastAsia" w:ascii="Times New Roman" w:hAnsi="Times New Roman" w:eastAsia="宋体" w:cs="Times New Roman"/>
                <w:snapToGrid w:val="0"/>
                <w:color w:val="auto"/>
                <w:spacing w:val="-6"/>
                <w:kern w:val="21"/>
                <w:szCs w:val="21"/>
              </w:rPr>
              <w:t>危险废物</w:t>
            </w:r>
          </w:p>
        </w:tc>
        <w:tc>
          <w:tcPr>
            <w:tcW w:w="1417" w:type="dxa"/>
            <w:vAlign w:val="center"/>
          </w:tcPr>
          <w:p w14:paraId="7D72BDE7">
            <w:pPr>
              <w:pStyle w:val="61"/>
              <w:spacing w:beforeLines="0" w:afterLines="0" w:line="260" w:lineRule="exact"/>
              <w:jc w:val="center"/>
              <w:rPr>
                <w:rFonts w:hint="eastAsia" w:ascii="Times New Roman" w:hAnsi="Times New Roman" w:eastAsia="宋体" w:cs="Times New Roman"/>
                <w:snapToGrid w:val="0"/>
                <w:color w:val="auto"/>
                <w:spacing w:val="-6"/>
                <w:kern w:val="21"/>
                <w:szCs w:val="21"/>
                <w:lang w:val="en-US" w:eastAsia="zh-CN"/>
              </w:rPr>
            </w:pPr>
            <w:r>
              <w:rPr>
                <w:rFonts w:hint="eastAsia" w:ascii="Times New Roman" w:cs="Times New Roman"/>
                <w:snapToGrid w:val="0"/>
                <w:color w:val="auto"/>
                <w:spacing w:val="-6"/>
                <w:kern w:val="21"/>
                <w:szCs w:val="21"/>
                <w:lang w:val="en-US" w:eastAsia="zh-CN"/>
              </w:rPr>
              <w:t>废活性炭</w:t>
            </w:r>
          </w:p>
        </w:tc>
        <w:tc>
          <w:tcPr>
            <w:tcW w:w="1701" w:type="dxa"/>
            <w:vAlign w:val="center"/>
          </w:tcPr>
          <w:p w14:paraId="227A4DBC">
            <w:pPr>
              <w:spacing w:beforeLines="0" w:afterLines="0" w:line="260" w:lineRule="exact"/>
              <w:jc w:val="center"/>
              <w:rPr>
                <w:rFonts w:hint="default" w:ascii="Times New Roman" w:hAnsi="Times New Roman" w:eastAsia="宋体" w:cs="Times New Roman"/>
                <w:snapToGrid w:val="0"/>
                <w:color w:val="auto"/>
                <w:spacing w:val="-6"/>
                <w:kern w:val="21"/>
                <w:szCs w:val="21"/>
              </w:rPr>
            </w:pPr>
            <w:r>
              <w:rPr>
                <w:rFonts w:hint="eastAsia" w:ascii="Times New Roman" w:cs="Times New Roman"/>
                <w:snapToGrid w:val="0"/>
                <w:color w:val="auto"/>
                <w:spacing w:val="-6"/>
                <w:kern w:val="21"/>
                <w:szCs w:val="21"/>
                <w:lang w:val="en-US" w:eastAsia="zh-CN"/>
              </w:rPr>
              <w:t>/</w:t>
            </w:r>
          </w:p>
        </w:tc>
        <w:tc>
          <w:tcPr>
            <w:tcW w:w="1276" w:type="dxa"/>
            <w:vAlign w:val="center"/>
          </w:tcPr>
          <w:p w14:paraId="50A08A0C">
            <w:pPr>
              <w:spacing w:beforeLines="0" w:afterLines="0" w:line="260" w:lineRule="exact"/>
              <w:jc w:val="center"/>
              <w:rPr>
                <w:rFonts w:hint="default" w:ascii="Times New Roman" w:hAnsi="Times New Roman" w:eastAsia="宋体" w:cs="Times New Roman"/>
                <w:snapToGrid w:val="0"/>
                <w:color w:val="auto"/>
                <w:spacing w:val="-6"/>
                <w:kern w:val="21"/>
                <w:szCs w:val="21"/>
              </w:rPr>
            </w:pPr>
            <w:r>
              <w:rPr>
                <w:rFonts w:hint="eastAsia" w:ascii="Times New Roman" w:cs="Times New Roman"/>
                <w:snapToGrid w:val="0"/>
                <w:color w:val="auto"/>
                <w:spacing w:val="-6"/>
                <w:kern w:val="21"/>
                <w:szCs w:val="21"/>
                <w:lang w:val="en-US" w:eastAsia="zh-CN"/>
              </w:rPr>
              <w:t>/</w:t>
            </w:r>
          </w:p>
        </w:tc>
        <w:tc>
          <w:tcPr>
            <w:tcW w:w="1701" w:type="dxa"/>
            <w:vAlign w:val="center"/>
          </w:tcPr>
          <w:p w14:paraId="39DCE0B3">
            <w:pPr>
              <w:spacing w:beforeLines="0" w:afterLines="0" w:line="260" w:lineRule="exact"/>
              <w:jc w:val="center"/>
              <w:rPr>
                <w:rFonts w:hint="default" w:ascii="Times New Roman" w:hAnsi="Times New Roman" w:eastAsia="宋体" w:cs="Times New Roman"/>
                <w:snapToGrid w:val="0"/>
                <w:color w:val="auto"/>
                <w:spacing w:val="-6"/>
                <w:kern w:val="21"/>
                <w:szCs w:val="21"/>
              </w:rPr>
            </w:pPr>
            <w:r>
              <w:rPr>
                <w:rFonts w:hint="eastAsia" w:ascii="Times New Roman" w:cs="Times New Roman"/>
                <w:snapToGrid w:val="0"/>
                <w:color w:val="auto"/>
                <w:spacing w:val="-6"/>
                <w:kern w:val="21"/>
                <w:szCs w:val="21"/>
                <w:lang w:val="en-US" w:eastAsia="zh-CN"/>
              </w:rPr>
              <w:t>/</w:t>
            </w:r>
          </w:p>
        </w:tc>
        <w:tc>
          <w:tcPr>
            <w:tcW w:w="1559" w:type="dxa"/>
            <w:vAlign w:val="center"/>
          </w:tcPr>
          <w:p w14:paraId="69A513E8">
            <w:pPr>
              <w:pStyle w:val="61"/>
              <w:spacing w:beforeLines="0" w:afterLines="0" w:line="260" w:lineRule="exact"/>
              <w:jc w:val="center"/>
              <w:rPr>
                <w:rFonts w:hint="default" w:ascii="Times New Roman" w:hAnsi="Times New Roman" w:eastAsia="宋体" w:cs="Times New Roman"/>
                <w:snapToGrid w:val="0"/>
                <w:color w:val="auto"/>
                <w:spacing w:val="-6"/>
                <w:kern w:val="21"/>
                <w:szCs w:val="21"/>
                <w:lang w:val="en-US" w:eastAsia="zh-CN"/>
              </w:rPr>
            </w:pPr>
            <w:r>
              <w:rPr>
                <w:rFonts w:hint="eastAsia" w:ascii="Times New Roman" w:cs="Times New Roman"/>
                <w:snapToGrid w:val="0"/>
                <w:color w:val="auto"/>
                <w:spacing w:val="-6"/>
                <w:kern w:val="21"/>
                <w:szCs w:val="21"/>
                <w:lang w:val="en-US" w:eastAsia="zh-CN"/>
              </w:rPr>
              <w:t>14.7642t/a</w:t>
            </w:r>
          </w:p>
        </w:tc>
        <w:tc>
          <w:tcPr>
            <w:tcW w:w="1521" w:type="dxa"/>
            <w:vAlign w:val="center"/>
          </w:tcPr>
          <w:p w14:paraId="7CF9A629">
            <w:pPr>
              <w:spacing w:beforeLines="0" w:afterLines="0" w:line="260" w:lineRule="exact"/>
              <w:jc w:val="center"/>
              <w:rPr>
                <w:rFonts w:hint="default" w:ascii="Times New Roman" w:hAnsi="Times New Roman" w:eastAsia="宋体" w:cs="Times New Roman"/>
                <w:snapToGrid w:val="0"/>
                <w:color w:val="auto"/>
                <w:spacing w:val="-6"/>
                <w:kern w:val="21"/>
                <w:szCs w:val="21"/>
              </w:rPr>
            </w:pPr>
            <w:r>
              <w:rPr>
                <w:rFonts w:hint="eastAsia" w:ascii="Times New Roman" w:cs="Times New Roman"/>
                <w:snapToGrid w:val="0"/>
                <w:color w:val="auto"/>
                <w:spacing w:val="-6"/>
                <w:kern w:val="21"/>
                <w:szCs w:val="21"/>
                <w:lang w:val="en-US" w:eastAsia="zh-CN"/>
              </w:rPr>
              <w:t>/</w:t>
            </w:r>
          </w:p>
        </w:tc>
        <w:tc>
          <w:tcPr>
            <w:tcW w:w="1985" w:type="dxa"/>
            <w:vAlign w:val="center"/>
          </w:tcPr>
          <w:p w14:paraId="10686EE7">
            <w:pPr>
              <w:pStyle w:val="61"/>
              <w:spacing w:beforeLines="0" w:afterLines="0" w:line="260" w:lineRule="exact"/>
              <w:jc w:val="center"/>
              <w:rPr>
                <w:rFonts w:hint="default" w:ascii="Times New Roman" w:hAnsi="Times New Roman" w:eastAsia="宋体" w:cs="Times New Roman"/>
                <w:snapToGrid w:val="0"/>
                <w:color w:val="auto"/>
                <w:spacing w:val="-6"/>
                <w:kern w:val="21"/>
                <w:szCs w:val="21"/>
              </w:rPr>
            </w:pPr>
            <w:r>
              <w:rPr>
                <w:rFonts w:hint="eastAsia" w:ascii="Times New Roman" w:cs="Times New Roman"/>
                <w:snapToGrid w:val="0"/>
                <w:color w:val="auto"/>
                <w:spacing w:val="-6"/>
                <w:kern w:val="21"/>
                <w:szCs w:val="21"/>
                <w:lang w:val="en-US" w:eastAsia="zh-CN"/>
              </w:rPr>
              <w:t>14.7642t/a</w:t>
            </w:r>
          </w:p>
        </w:tc>
        <w:tc>
          <w:tcPr>
            <w:tcW w:w="1040" w:type="dxa"/>
            <w:vAlign w:val="center"/>
          </w:tcPr>
          <w:p w14:paraId="11735F13">
            <w:pPr>
              <w:pStyle w:val="61"/>
              <w:spacing w:beforeLines="0" w:afterLines="0" w:line="260" w:lineRule="exact"/>
              <w:jc w:val="center"/>
              <w:rPr>
                <w:rFonts w:hint="eastAsia" w:ascii="Times New Roman" w:hAnsi="Times New Roman" w:eastAsia="宋体" w:cs="Times New Roman"/>
                <w:snapToGrid w:val="0"/>
                <w:color w:val="auto"/>
                <w:spacing w:val="-6"/>
                <w:kern w:val="21"/>
                <w:szCs w:val="21"/>
                <w:lang w:val="en-US" w:eastAsia="zh-CN"/>
              </w:rPr>
            </w:pPr>
            <w:r>
              <w:rPr>
                <w:rFonts w:hint="eastAsia" w:ascii="Times New Roman" w:cs="Times New Roman"/>
                <w:snapToGrid w:val="0"/>
                <w:color w:val="auto"/>
                <w:spacing w:val="-6"/>
                <w:kern w:val="21"/>
                <w:szCs w:val="21"/>
                <w:lang w:val="en-US" w:eastAsia="zh-CN"/>
              </w:rPr>
              <w:t>+14.7642t/a</w:t>
            </w:r>
          </w:p>
        </w:tc>
      </w:tr>
      <w:tr w14:paraId="3B2A5CC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0" w:hRule="atLeast"/>
          <w:jc w:val="center"/>
        </w:trPr>
        <w:tc>
          <w:tcPr>
            <w:tcW w:w="1588" w:type="dxa"/>
            <w:vMerge w:val="continue"/>
            <w:vAlign w:val="center"/>
          </w:tcPr>
          <w:p w14:paraId="70FFE497">
            <w:pPr>
              <w:pStyle w:val="61"/>
              <w:spacing w:beforeLines="0" w:afterLines="0" w:line="260" w:lineRule="exact"/>
              <w:jc w:val="center"/>
              <w:rPr>
                <w:rFonts w:hint="eastAsia" w:ascii="Times New Roman" w:hAnsi="Times New Roman" w:eastAsia="宋体" w:cs="Times New Roman"/>
                <w:snapToGrid w:val="0"/>
                <w:color w:val="auto"/>
                <w:spacing w:val="-6"/>
                <w:kern w:val="21"/>
                <w:szCs w:val="21"/>
              </w:rPr>
            </w:pPr>
          </w:p>
        </w:tc>
        <w:tc>
          <w:tcPr>
            <w:tcW w:w="1417" w:type="dxa"/>
            <w:vAlign w:val="center"/>
          </w:tcPr>
          <w:p w14:paraId="52A413D5">
            <w:pPr>
              <w:pStyle w:val="61"/>
              <w:spacing w:beforeLines="0" w:afterLines="0" w:line="260" w:lineRule="exact"/>
              <w:jc w:val="center"/>
              <w:rPr>
                <w:rFonts w:hint="default" w:ascii="Times New Roman" w:hAnsi="Times New Roman" w:eastAsia="宋体" w:cs="Times New Roman"/>
                <w:snapToGrid w:val="0"/>
                <w:color w:val="auto"/>
                <w:spacing w:val="-6"/>
                <w:kern w:val="21"/>
                <w:szCs w:val="21"/>
                <w:lang w:val="en-US" w:eastAsia="zh-CN"/>
              </w:rPr>
            </w:pPr>
            <w:r>
              <w:rPr>
                <w:rFonts w:hint="eastAsia" w:ascii="Times New Roman" w:cs="Times New Roman"/>
                <w:snapToGrid w:val="0"/>
                <w:color w:val="auto"/>
                <w:spacing w:val="-6"/>
                <w:kern w:val="21"/>
                <w:szCs w:val="21"/>
                <w:lang w:val="en-US" w:eastAsia="zh-CN"/>
              </w:rPr>
              <w:t>废水处理污泥</w:t>
            </w:r>
          </w:p>
        </w:tc>
        <w:tc>
          <w:tcPr>
            <w:tcW w:w="1701" w:type="dxa"/>
            <w:vAlign w:val="center"/>
          </w:tcPr>
          <w:p w14:paraId="62B6C0D7">
            <w:pPr>
              <w:spacing w:beforeLines="0" w:afterLines="0" w:line="260" w:lineRule="exact"/>
              <w:jc w:val="center"/>
              <w:rPr>
                <w:rFonts w:hint="default" w:ascii="Times New Roman" w:hAnsi="Times New Roman" w:eastAsia="宋体" w:cs="Times New Roman"/>
                <w:snapToGrid w:val="0"/>
                <w:color w:val="auto"/>
                <w:spacing w:val="-6"/>
                <w:kern w:val="21"/>
                <w:szCs w:val="21"/>
              </w:rPr>
            </w:pPr>
            <w:r>
              <w:rPr>
                <w:rFonts w:hint="eastAsia" w:ascii="Times New Roman" w:cs="Times New Roman"/>
                <w:snapToGrid w:val="0"/>
                <w:color w:val="auto"/>
                <w:spacing w:val="-6"/>
                <w:kern w:val="21"/>
                <w:szCs w:val="21"/>
                <w:lang w:val="en-US" w:eastAsia="zh-CN"/>
              </w:rPr>
              <w:t>/</w:t>
            </w:r>
          </w:p>
        </w:tc>
        <w:tc>
          <w:tcPr>
            <w:tcW w:w="1276" w:type="dxa"/>
            <w:vAlign w:val="center"/>
          </w:tcPr>
          <w:p w14:paraId="67C8CE2F">
            <w:pPr>
              <w:spacing w:beforeLines="0" w:afterLines="0" w:line="260" w:lineRule="exact"/>
              <w:jc w:val="center"/>
              <w:rPr>
                <w:rFonts w:hint="default" w:ascii="Times New Roman" w:hAnsi="Times New Roman" w:eastAsia="宋体" w:cs="Times New Roman"/>
                <w:snapToGrid w:val="0"/>
                <w:color w:val="auto"/>
                <w:spacing w:val="-6"/>
                <w:kern w:val="21"/>
                <w:szCs w:val="21"/>
              </w:rPr>
            </w:pPr>
            <w:r>
              <w:rPr>
                <w:rFonts w:hint="eastAsia" w:ascii="Times New Roman" w:cs="Times New Roman"/>
                <w:snapToGrid w:val="0"/>
                <w:color w:val="auto"/>
                <w:spacing w:val="-6"/>
                <w:kern w:val="21"/>
                <w:szCs w:val="21"/>
                <w:lang w:val="en-US" w:eastAsia="zh-CN"/>
              </w:rPr>
              <w:t>/</w:t>
            </w:r>
          </w:p>
        </w:tc>
        <w:tc>
          <w:tcPr>
            <w:tcW w:w="1701" w:type="dxa"/>
            <w:vAlign w:val="center"/>
          </w:tcPr>
          <w:p w14:paraId="34DF9644">
            <w:pPr>
              <w:spacing w:beforeLines="0" w:afterLines="0" w:line="260" w:lineRule="exact"/>
              <w:jc w:val="center"/>
              <w:rPr>
                <w:rFonts w:hint="default" w:ascii="Times New Roman" w:hAnsi="Times New Roman" w:eastAsia="宋体" w:cs="Times New Roman"/>
                <w:snapToGrid w:val="0"/>
                <w:color w:val="auto"/>
                <w:spacing w:val="-6"/>
                <w:kern w:val="21"/>
                <w:szCs w:val="21"/>
              </w:rPr>
            </w:pPr>
            <w:r>
              <w:rPr>
                <w:rFonts w:hint="eastAsia" w:ascii="Times New Roman" w:cs="Times New Roman"/>
                <w:snapToGrid w:val="0"/>
                <w:color w:val="auto"/>
                <w:spacing w:val="-6"/>
                <w:kern w:val="21"/>
                <w:szCs w:val="21"/>
                <w:lang w:val="en-US" w:eastAsia="zh-CN"/>
              </w:rPr>
              <w:t>/</w:t>
            </w:r>
          </w:p>
        </w:tc>
        <w:tc>
          <w:tcPr>
            <w:tcW w:w="1559" w:type="dxa"/>
            <w:vAlign w:val="center"/>
          </w:tcPr>
          <w:p w14:paraId="2563B937">
            <w:pPr>
              <w:pStyle w:val="61"/>
              <w:spacing w:beforeLines="0" w:afterLines="0" w:line="260" w:lineRule="exact"/>
              <w:jc w:val="center"/>
              <w:rPr>
                <w:rFonts w:hint="default" w:ascii="Times New Roman" w:hAnsi="Times New Roman" w:eastAsia="宋体" w:cs="Times New Roman"/>
                <w:snapToGrid w:val="0"/>
                <w:color w:val="auto"/>
                <w:spacing w:val="-6"/>
                <w:kern w:val="21"/>
                <w:szCs w:val="21"/>
                <w:lang w:val="en-US" w:eastAsia="zh-CN"/>
              </w:rPr>
            </w:pPr>
            <w:r>
              <w:rPr>
                <w:rFonts w:hint="eastAsia" w:ascii="Times New Roman" w:cs="Times New Roman"/>
                <w:snapToGrid w:val="0"/>
                <w:color w:val="auto"/>
                <w:spacing w:val="-6"/>
                <w:kern w:val="21"/>
                <w:szCs w:val="21"/>
                <w:lang w:val="en-US" w:eastAsia="zh-CN"/>
              </w:rPr>
              <w:t>0.13t/a</w:t>
            </w:r>
          </w:p>
        </w:tc>
        <w:tc>
          <w:tcPr>
            <w:tcW w:w="1521" w:type="dxa"/>
            <w:vAlign w:val="center"/>
          </w:tcPr>
          <w:p w14:paraId="2361C70E">
            <w:pPr>
              <w:spacing w:beforeLines="0" w:afterLines="0" w:line="260" w:lineRule="exact"/>
              <w:jc w:val="center"/>
              <w:rPr>
                <w:rFonts w:hint="default" w:ascii="Times New Roman" w:hAnsi="Times New Roman" w:eastAsia="宋体" w:cs="Times New Roman"/>
                <w:snapToGrid w:val="0"/>
                <w:color w:val="auto"/>
                <w:spacing w:val="-6"/>
                <w:kern w:val="21"/>
                <w:szCs w:val="21"/>
              </w:rPr>
            </w:pPr>
            <w:r>
              <w:rPr>
                <w:rFonts w:hint="eastAsia" w:ascii="Times New Roman" w:cs="Times New Roman"/>
                <w:snapToGrid w:val="0"/>
                <w:color w:val="auto"/>
                <w:spacing w:val="-6"/>
                <w:kern w:val="21"/>
                <w:szCs w:val="21"/>
                <w:lang w:val="en-US" w:eastAsia="zh-CN"/>
              </w:rPr>
              <w:t>/</w:t>
            </w:r>
          </w:p>
        </w:tc>
        <w:tc>
          <w:tcPr>
            <w:tcW w:w="1985" w:type="dxa"/>
            <w:vAlign w:val="center"/>
          </w:tcPr>
          <w:p w14:paraId="5CDC877C">
            <w:pPr>
              <w:pStyle w:val="61"/>
              <w:spacing w:beforeLines="0" w:afterLines="0" w:line="260" w:lineRule="exact"/>
              <w:jc w:val="center"/>
              <w:rPr>
                <w:rFonts w:hint="default" w:ascii="Times New Roman" w:hAnsi="Times New Roman" w:eastAsia="宋体" w:cs="Times New Roman"/>
                <w:snapToGrid w:val="0"/>
                <w:color w:val="auto"/>
                <w:spacing w:val="-6"/>
                <w:kern w:val="21"/>
                <w:szCs w:val="21"/>
                <w:lang w:val="en-US" w:eastAsia="zh-CN"/>
              </w:rPr>
            </w:pPr>
            <w:r>
              <w:rPr>
                <w:rFonts w:hint="eastAsia" w:ascii="Times New Roman" w:cs="Times New Roman"/>
                <w:snapToGrid w:val="0"/>
                <w:color w:val="auto"/>
                <w:spacing w:val="-6"/>
                <w:kern w:val="21"/>
                <w:szCs w:val="21"/>
                <w:lang w:val="en-US" w:eastAsia="zh-CN"/>
              </w:rPr>
              <w:t>0.13t/a</w:t>
            </w:r>
          </w:p>
        </w:tc>
        <w:tc>
          <w:tcPr>
            <w:tcW w:w="1040" w:type="dxa"/>
            <w:vAlign w:val="center"/>
          </w:tcPr>
          <w:p w14:paraId="131B281B">
            <w:pPr>
              <w:pStyle w:val="61"/>
              <w:spacing w:beforeLines="0" w:afterLines="0" w:line="260" w:lineRule="exact"/>
              <w:jc w:val="center"/>
              <w:rPr>
                <w:rFonts w:hint="default" w:ascii="Times New Roman" w:hAnsi="Times New Roman" w:eastAsia="宋体" w:cs="Times New Roman"/>
                <w:snapToGrid w:val="0"/>
                <w:color w:val="auto"/>
                <w:spacing w:val="-6"/>
                <w:kern w:val="21"/>
                <w:szCs w:val="21"/>
                <w:lang w:val="en-US" w:eastAsia="zh-CN"/>
              </w:rPr>
            </w:pPr>
            <w:r>
              <w:rPr>
                <w:rFonts w:hint="eastAsia" w:ascii="Times New Roman" w:cs="Times New Roman"/>
                <w:snapToGrid w:val="0"/>
                <w:color w:val="auto"/>
                <w:spacing w:val="-6"/>
                <w:kern w:val="21"/>
                <w:szCs w:val="21"/>
                <w:lang w:val="en-US" w:eastAsia="zh-CN"/>
              </w:rPr>
              <w:t>+0.13t/a</w:t>
            </w:r>
          </w:p>
        </w:tc>
      </w:tr>
      <w:tr w14:paraId="0119E33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0" w:hRule="atLeast"/>
          <w:jc w:val="center"/>
        </w:trPr>
        <w:tc>
          <w:tcPr>
            <w:tcW w:w="1588" w:type="dxa"/>
            <w:vMerge w:val="continue"/>
            <w:vAlign w:val="center"/>
          </w:tcPr>
          <w:p w14:paraId="1D88EA1C">
            <w:pPr>
              <w:pStyle w:val="61"/>
              <w:spacing w:beforeLines="0" w:afterLines="0" w:line="260" w:lineRule="exact"/>
              <w:jc w:val="center"/>
              <w:rPr>
                <w:rFonts w:hint="eastAsia" w:ascii="Times New Roman" w:hAnsi="Times New Roman" w:eastAsia="宋体" w:cs="Times New Roman"/>
                <w:snapToGrid w:val="0"/>
                <w:color w:val="auto"/>
                <w:spacing w:val="-6"/>
                <w:kern w:val="21"/>
                <w:szCs w:val="21"/>
              </w:rPr>
            </w:pPr>
          </w:p>
        </w:tc>
        <w:tc>
          <w:tcPr>
            <w:tcW w:w="1417" w:type="dxa"/>
            <w:vAlign w:val="center"/>
          </w:tcPr>
          <w:p w14:paraId="794D60B7">
            <w:pPr>
              <w:pStyle w:val="61"/>
              <w:spacing w:beforeLines="0" w:afterLines="0" w:line="260" w:lineRule="exact"/>
              <w:jc w:val="center"/>
              <w:rPr>
                <w:rFonts w:hint="eastAsia" w:ascii="Times New Roman" w:hAnsi="Times New Roman" w:eastAsia="宋体" w:cs="Times New Roman"/>
                <w:snapToGrid w:val="0"/>
                <w:color w:val="auto"/>
                <w:spacing w:val="-6"/>
                <w:kern w:val="21"/>
                <w:szCs w:val="21"/>
                <w:lang w:val="en-US" w:eastAsia="zh-CN"/>
              </w:rPr>
            </w:pPr>
            <w:r>
              <w:rPr>
                <w:rFonts w:hint="eastAsia" w:ascii="Times New Roman" w:cs="Times New Roman"/>
                <w:snapToGrid w:val="0"/>
                <w:color w:val="auto"/>
                <w:spacing w:val="-6"/>
                <w:kern w:val="21"/>
                <w:szCs w:val="21"/>
                <w:lang w:val="en-US" w:eastAsia="zh-CN"/>
              </w:rPr>
              <w:t>废机油</w:t>
            </w:r>
          </w:p>
        </w:tc>
        <w:tc>
          <w:tcPr>
            <w:tcW w:w="1701" w:type="dxa"/>
            <w:vAlign w:val="center"/>
          </w:tcPr>
          <w:p w14:paraId="64B5C857">
            <w:pPr>
              <w:spacing w:beforeLines="0" w:afterLines="0" w:line="260" w:lineRule="exact"/>
              <w:jc w:val="center"/>
              <w:rPr>
                <w:rFonts w:hint="default" w:ascii="Times New Roman" w:hAnsi="Times New Roman" w:eastAsia="宋体" w:cs="Times New Roman"/>
                <w:snapToGrid w:val="0"/>
                <w:color w:val="auto"/>
                <w:spacing w:val="-6"/>
                <w:kern w:val="21"/>
                <w:szCs w:val="21"/>
              </w:rPr>
            </w:pPr>
            <w:r>
              <w:rPr>
                <w:rFonts w:hint="eastAsia" w:ascii="Times New Roman" w:cs="Times New Roman"/>
                <w:snapToGrid w:val="0"/>
                <w:color w:val="auto"/>
                <w:spacing w:val="-6"/>
                <w:kern w:val="21"/>
                <w:szCs w:val="21"/>
                <w:lang w:val="en-US" w:eastAsia="zh-CN"/>
              </w:rPr>
              <w:t>/</w:t>
            </w:r>
          </w:p>
        </w:tc>
        <w:tc>
          <w:tcPr>
            <w:tcW w:w="1276" w:type="dxa"/>
            <w:vAlign w:val="center"/>
          </w:tcPr>
          <w:p w14:paraId="389680B4">
            <w:pPr>
              <w:spacing w:beforeLines="0" w:afterLines="0" w:line="260" w:lineRule="exact"/>
              <w:jc w:val="center"/>
              <w:rPr>
                <w:rFonts w:hint="default" w:ascii="Times New Roman" w:hAnsi="Times New Roman" w:eastAsia="宋体" w:cs="Times New Roman"/>
                <w:snapToGrid w:val="0"/>
                <w:color w:val="auto"/>
                <w:spacing w:val="-6"/>
                <w:kern w:val="21"/>
                <w:szCs w:val="21"/>
              </w:rPr>
            </w:pPr>
            <w:r>
              <w:rPr>
                <w:rFonts w:hint="eastAsia" w:ascii="Times New Roman" w:cs="Times New Roman"/>
                <w:snapToGrid w:val="0"/>
                <w:color w:val="auto"/>
                <w:spacing w:val="-6"/>
                <w:kern w:val="21"/>
                <w:szCs w:val="21"/>
                <w:lang w:val="en-US" w:eastAsia="zh-CN"/>
              </w:rPr>
              <w:t>/</w:t>
            </w:r>
          </w:p>
        </w:tc>
        <w:tc>
          <w:tcPr>
            <w:tcW w:w="1701" w:type="dxa"/>
            <w:vAlign w:val="center"/>
          </w:tcPr>
          <w:p w14:paraId="7F09CEAD">
            <w:pPr>
              <w:spacing w:beforeLines="0" w:afterLines="0" w:line="260" w:lineRule="exact"/>
              <w:jc w:val="center"/>
              <w:rPr>
                <w:rFonts w:hint="default" w:ascii="Times New Roman" w:hAnsi="Times New Roman" w:eastAsia="宋体" w:cs="Times New Roman"/>
                <w:snapToGrid w:val="0"/>
                <w:color w:val="auto"/>
                <w:spacing w:val="-6"/>
                <w:kern w:val="21"/>
                <w:szCs w:val="21"/>
              </w:rPr>
            </w:pPr>
            <w:r>
              <w:rPr>
                <w:rFonts w:hint="eastAsia" w:ascii="Times New Roman" w:cs="Times New Roman"/>
                <w:snapToGrid w:val="0"/>
                <w:color w:val="auto"/>
                <w:spacing w:val="-6"/>
                <w:kern w:val="21"/>
                <w:szCs w:val="21"/>
                <w:lang w:val="en-US" w:eastAsia="zh-CN"/>
              </w:rPr>
              <w:t>/</w:t>
            </w:r>
          </w:p>
        </w:tc>
        <w:tc>
          <w:tcPr>
            <w:tcW w:w="1559" w:type="dxa"/>
            <w:vAlign w:val="center"/>
          </w:tcPr>
          <w:p w14:paraId="49DCAB61">
            <w:pPr>
              <w:pStyle w:val="61"/>
              <w:spacing w:beforeLines="0" w:afterLines="0" w:line="260" w:lineRule="exact"/>
              <w:jc w:val="center"/>
              <w:rPr>
                <w:rFonts w:hint="default" w:ascii="Times New Roman" w:hAnsi="Times New Roman" w:eastAsia="宋体" w:cs="Times New Roman"/>
                <w:snapToGrid w:val="0"/>
                <w:color w:val="auto"/>
                <w:spacing w:val="-6"/>
                <w:kern w:val="21"/>
                <w:szCs w:val="21"/>
                <w:lang w:val="en-US" w:eastAsia="zh-CN"/>
              </w:rPr>
            </w:pPr>
            <w:r>
              <w:rPr>
                <w:rFonts w:hint="eastAsia" w:ascii="Times New Roman" w:cs="Times New Roman"/>
                <w:snapToGrid w:val="0"/>
                <w:color w:val="auto"/>
                <w:spacing w:val="-6"/>
                <w:kern w:val="21"/>
                <w:szCs w:val="21"/>
                <w:lang w:val="en-US" w:eastAsia="zh-CN"/>
              </w:rPr>
              <w:t>0.01t/a</w:t>
            </w:r>
          </w:p>
        </w:tc>
        <w:tc>
          <w:tcPr>
            <w:tcW w:w="1521" w:type="dxa"/>
            <w:vAlign w:val="center"/>
          </w:tcPr>
          <w:p w14:paraId="62E4332F">
            <w:pPr>
              <w:spacing w:beforeLines="0" w:afterLines="0" w:line="260" w:lineRule="exact"/>
              <w:jc w:val="center"/>
              <w:rPr>
                <w:rFonts w:hint="default" w:ascii="Times New Roman" w:hAnsi="Times New Roman" w:eastAsia="宋体" w:cs="Times New Roman"/>
                <w:snapToGrid w:val="0"/>
                <w:color w:val="auto"/>
                <w:spacing w:val="-6"/>
                <w:kern w:val="21"/>
                <w:szCs w:val="21"/>
              </w:rPr>
            </w:pPr>
            <w:r>
              <w:rPr>
                <w:rFonts w:hint="eastAsia" w:ascii="Times New Roman" w:cs="Times New Roman"/>
                <w:snapToGrid w:val="0"/>
                <w:color w:val="auto"/>
                <w:spacing w:val="-6"/>
                <w:kern w:val="21"/>
                <w:szCs w:val="21"/>
                <w:lang w:val="en-US" w:eastAsia="zh-CN"/>
              </w:rPr>
              <w:t>/</w:t>
            </w:r>
          </w:p>
        </w:tc>
        <w:tc>
          <w:tcPr>
            <w:tcW w:w="1985" w:type="dxa"/>
            <w:vAlign w:val="center"/>
          </w:tcPr>
          <w:p w14:paraId="6ADBE965">
            <w:pPr>
              <w:pStyle w:val="61"/>
              <w:spacing w:beforeLines="0" w:afterLines="0" w:line="260" w:lineRule="exact"/>
              <w:jc w:val="center"/>
              <w:rPr>
                <w:rFonts w:hint="default" w:ascii="Times New Roman" w:hAnsi="Times New Roman" w:eastAsia="宋体" w:cs="Times New Roman"/>
                <w:snapToGrid w:val="0"/>
                <w:color w:val="auto"/>
                <w:spacing w:val="-6"/>
                <w:kern w:val="21"/>
                <w:szCs w:val="21"/>
              </w:rPr>
            </w:pPr>
            <w:r>
              <w:rPr>
                <w:rFonts w:hint="eastAsia" w:ascii="Times New Roman" w:cs="Times New Roman"/>
                <w:snapToGrid w:val="0"/>
                <w:color w:val="auto"/>
                <w:spacing w:val="-6"/>
                <w:kern w:val="21"/>
                <w:szCs w:val="21"/>
                <w:lang w:val="en-US" w:eastAsia="zh-CN"/>
              </w:rPr>
              <w:t>0.01t/a</w:t>
            </w:r>
          </w:p>
        </w:tc>
        <w:tc>
          <w:tcPr>
            <w:tcW w:w="1040" w:type="dxa"/>
            <w:vAlign w:val="center"/>
          </w:tcPr>
          <w:p w14:paraId="7721FC7A">
            <w:pPr>
              <w:pStyle w:val="61"/>
              <w:spacing w:beforeLines="0" w:afterLines="0" w:line="260" w:lineRule="exact"/>
              <w:jc w:val="center"/>
              <w:rPr>
                <w:rFonts w:hint="eastAsia" w:ascii="Times New Roman" w:hAnsi="Times New Roman" w:eastAsia="宋体" w:cs="Times New Roman"/>
                <w:snapToGrid w:val="0"/>
                <w:color w:val="auto"/>
                <w:spacing w:val="-6"/>
                <w:kern w:val="21"/>
                <w:szCs w:val="21"/>
                <w:lang w:val="en-US" w:eastAsia="zh-CN"/>
              </w:rPr>
            </w:pPr>
            <w:r>
              <w:rPr>
                <w:rFonts w:hint="eastAsia" w:ascii="Times New Roman" w:cs="Times New Roman"/>
                <w:snapToGrid w:val="0"/>
                <w:color w:val="auto"/>
                <w:spacing w:val="-6"/>
                <w:kern w:val="21"/>
                <w:szCs w:val="21"/>
                <w:lang w:val="en-US" w:eastAsia="zh-CN"/>
              </w:rPr>
              <w:t>+0.01t/a</w:t>
            </w:r>
          </w:p>
        </w:tc>
      </w:tr>
      <w:tr w14:paraId="2396033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0" w:hRule="atLeast"/>
          <w:jc w:val="center"/>
        </w:trPr>
        <w:tc>
          <w:tcPr>
            <w:tcW w:w="1588" w:type="dxa"/>
            <w:vMerge w:val="continue"/>
            <w:vAlign w:val="center"/>
          </w:tcPr>
          <w:p w14:paraId="50874036">
            <w:pPr>
              <w:pStyle w:val="61"/>
              <w:spacing w:beforeLines="0" w:afterLines="0" w:line="260" w:lineRule="exact"/>
              <w:jc w:val="center"/>
              <w:rPr>
                <w:rFonts w:hint="eastAsia" w:ascii="Times New Roman" w:hAnsi="Times New Roman" w:eastAsia="宋体" w:cs="Times New Roman"/>
                <w:snapToGrid w:val="0"/>
                <w:color w:val="auto"/>
                <w:spacing w:val="-6"/>
                <w:kern w:val="21"/>
                <w:szCs w:val="21"/>
              </w:rPr>
            </w:pPr>
          </w:p>
        </w:tc>
        <w:tc>
          <w:tcPr>
            <w:tcW w:w="1417" w:type="dxa"/>
            <w:vAlign w:val="center"/>
          </w:tcPr>
          <w:p w14:paraId="4BEF73B6">
            <w:pPr>
              <w:pStyle w:val="61"/>
              <w:spacing w:beforeLines="0" w:afterLines="0" w:line="260" w:lineRule="exact"/>
              <w:jc w:val="center"/>
              <w:rPr>
                <w:rFonts w:hint="default" w:ascii="Times New Roman" w:hAnsi="Times New Roman" w:eastAsia="宋体" w:cs="Times New Roman"/>
                <w:snapToGrid w:val="0"/>
                <w:color w:val="auto"/>
                <w:spacing w:val="-6"/>
                <w:kern w:val="21"/>
                <w:szCs w:val="21"/>
                <w:lang w:val="en-US" w:eastAsia="zh-CN"/>
              </w:rPr>
            </w:pPr>
            <w:r>
              <w:rPr>
                <w:rFonts w:hint="eastAsia" w:ascii="Times New Roman" w:cs="Times New Roman"/>
                <w:snapToGrid w:val="0"/>
                <w:color w:val="auto"/>
                <w:spacing w:val="-6"/>
                <w:kern w:val="21"/>
                <w:szCs w:val="21"/>
                <w:lang w:val="en-US" w:eastAsia="zh-CN"/>
              </w:rPr>
              <w:t>含油棉纱手套、抹布</w:t>
            </w:r>
          </w:p>
        </w:tc>
        <w:tc>
          <w:tcPr>
            <w:tcW w:w="1701" w:type="dxa"/>
            <w:vAlign w:val="center"/>
          </w:tcPr>
          <w:p w14:paraId="73DFC922">
            <w:pPr>
              <w:spacing w:beforeLines="0" w:afterLines="0" w:line="260" w:lineRule="exact"/>
              <w:jc w:val="center"/>
              <w:rPr>
                <w:rFonts w:hint="default" w:ascii="Times New Roman" w:hAnsi="Times New Roman" w:eastAsia="宋体" w:cs="Times New Roman"/>
                <w:snapToGrid w:val="0"/>
                <w:color w:val="auto"/>
                <w:spacing w:val="-6"/>
                <w:kern w:val="21"/>
                <w:szCs w:val="21"/>
              </w:rPr>
            </w:pPr>
            <w:r>
              <w:rPr>
                <w:rFonts w:hint="eastAsia" w:ascii="Times New Roman" w:cs="Times New Roman"/>
                <w:snapToGrid w:val="0"/>
                <w:color w:val="auto"/>
                <w:spacing w:val="-6"/>
                <w:kern w:val="21"/>
                <w:szCs w:val="21"/>
                <w:lang w:val="en-US" w:eastAsia="zh-CN"/>
              </w:rPr>
              <w:t>/</w:t>
            </w:r>
          </w:p>
        </w:tc>
        <w:tc>
          <w:tcPr>
            <w:tcW w:w="1276" w:type="dxa"/>
            <w:vAlign w:val="center"/>
          </w:tcPr>
          <w:p w14:paraId="57BC1C83">
            <w:pPr>
              <w:spacing w:beforeLines="0" w:afterLines="0" w:line="260" w:lineRule="exact"/>
              <w:jc w:val="center"/>
              <w:rPr>
                <w:rFonts w:hint="default" w:ascii="Times New Roman" w:hAnsi="Times New Roman" w:eastAsia="宋体" w:cs="Times New Roman"/>
                <w:snapToGrid w:val="0"/>
                <w:color w:val="auto"/>
                <w:spacing w:val="-6"/>
                <w:kern w:val="21"/>
                <w:szCs w:val="21"/>
              </w:rPr>
            </w:pPr>
            <w:r>
              <w:rPr>
                <w:rFonts w:hint="eastAsia" w:ascii="Times New Roman" w:cs="Times New Roman"/>
                <w:snapToGrid w:val="0"/>
                <w:color w:val="auto"/>
                <w:spacing w:val="-6"/>
                <w:kern w:val="21"/>
                <w:szCs w:val="21"/>
                <w:lang w:val="en-US" w:eastAsia="zh-CN"/>
              </w:rPr>
              <w:t>/</w:t>
            </w:r>
          </w:p>
        </w:tc>
        <w:tc>
          <w:tcPr>
            <w:tcW w:w="1701" w:type="dxa"/>
            <w:vAlign w:val="center"/>
          </w:tcPr>
          <w:p w14:paraId="0E33405E">
            <w:pPr>
              <w:spacing w:beforeLines="0" w:afterLines="0" w:line="260" w:lineRule="exact"/>
              <w:jc w:val="center"/>
              <w:rPr>
                <w:rFonts w:hint="default" w:ascii="Times New Roman" w:hAnsi="Times New Roman" w:eastAsia="宋体" w:cs="Times New Roman"/>
                <w:snapToGrid w:val="0"/>
                <w:color w:val="auto"/>
                <w:spacing w:val="-6"/>
                <w:kern w:val="21"/>
                <w:szCs w:val="21"/>
              </w:rPr>
            </w:pPr>
            <w:r>
              <w:rPr>
                <w:rFonts w:hint="eastAsia" w:ascii="Times New Roman" w:cs="Times New Roman"/>
                <w:snapToGrid w:val="0"/>
                <w:color w:val="auto"/>
                <w:spacing w:val="-6"/>
                <w:kern w:val="21"/>
                <w:szCs w:val="21"/>
                <w:lang w:val="en-US" w:eastAsia="zh-CN"/>
              </w:rPr>
              <w:t>/</w:t>
            </w:r>
          </w:p>
        </w:tc>
        <w:tc>
          <w:tcPr>
            <w:tcW w:w="1559" w:type="dxa"/>
            <w:shd w:val="clear" w:color="auto" w:fill="auto"/>
            <w:vAlign w:val="center"/>
          </w:tcPr>
          <w:p w14:paraId="620EF27D">
            <w:pPr>
              <w:pStyle w:val="61"/>
              <w:spacing w:beforeLines="0" w:afterLines="0" w:line="260" w:lineRule="exact"/>
              <w:jc w:val="center"/>
              <w:rPr>
                <w:rFonts w:hint="default" w:ascii="Times New Roman" w:hAnsi="Times New Roman" w:eastAsia="宋体" w:cs="Times New Roman"/>
                <w:snapToGrid w:val="0"/>
                <w:color w:val="auto"/>
                <w:spacing w:val="-6"/>
                <w:kern w:val="21"/>
                <w:sz w:val="21"/>
                <w:szCs w:val="21"/>
                <w:lang w:val="en-US" w:eastAsia="zh-CN" w:bidi="ar-SA"/>
              </w:rPr>
            </w:pPr>
            <w:r>
              <w:rPr>
                <w:rFonts w:hint="eastAsia" w:ascii="Times New Roman" w:cs="Times New Roman"/>
                <w:snapToGrid w:val="0"/>
                <w:color w:val="auto"/>
                <w:spacing w:val="-6"/>
                <w:kern w:val="21"/>
                <w:szCs w:val="21"/>
                <w:lang w:val="en-US" w:eastAsia="zh-CN"/>
              </w:rPr>
              <w:t>0.01t/a</w:t>
            </w:r>
          </w:p>
        </w:tc>
        <w:tc>
          <w:tcPr>
            <w:tcW w:w="1521" w:type="dxa"/>
            <w:shd w:val="clear" w:color="auto" w:fill="auto"/>
            <w:vAlign w:val="center"/>
          </w:tcPr>
          <w:p w14:paraId="68DDF4BA">
            <w:pPr>
              <w:spacing w:beforeLines="0" w:afterLines="0" w:line="260" w:lineRule="exact"/>
              <w:jc w:val="center"/>
              <w:rPr>
                <w:rFonts w:hint="default" w:ascii="Times New Roman" w:hAnsi="Times New Roman" w:eastAsia="宋体" w:cs="Times New Roman"/>
                <w:snapToGrid w:val="0"/>
                <w:color w:val="auto"/>
                <w:spacing w:val="-6"/>
                <w:kern w:val="21"/>
                <w:sz w:val="21"/>
                <w:szCs w:val="21"/>
                <w:lang w:val="en-US" w:eastAsia="zh-CN" w:bidi="ar-SA"/>
              </w:rPr>
            </w:pPr>
            <w:r>
              <w:rPr>
                <w:rFonts w:hint="eastAsia" w:ascii="Times New Roman" w:cs="Times New Roman"/>
                <w:snapToGrid w:val="0"/>
                <w:color w:val="auto"/>
                <w:spacing w:val="-6"/>
                <w:kern w:val="21"/>
                <w:szCs w:val="21"/>
                <w:lang w:val="en-US" w:eastAsia="zh-CN"/>
              </w:rPr>
              <w:t>/</w:t>
            </w:r>
          </w:p>
        </w:tc>
        <w:tc>
          <w:tcPr>
            <w:tcW w:w="1985" w:type="dxa"/>
            <w:shd w:val="clear" w:color="auto" w:fill="auto"/>
            <w:vAlign w:val="center"/>
          </w:tcPr>
          <w:p w14:paraId="68593FB4">
            <w:pPr>
              <w:pStyle w:val="61"/>
              <w:spacing w:beforeLines="0" w:afterLines="0" w:line="260" w:lineRule="exact"/>
              <w:jc w:val="center"/>
              <w:rPr>
                <w:rFonts w:hint="default" w:ascii="Times New Roman" w:hAnsi="Times New Roman" w:eastAsia="宋体" w:cs="Times New Roman"/>
                <w:snapToGrid w:val="0"/>
                <w:color w:val="auto"/>
                <w:spacing w:val="-6"/>
                <w:kern w:val="21"/>
                <w:sz w:val="21"/>
                <w:szCs w:val="21"/>
                <w:lang w:val="en-US" w:eastAsia="zh-CN" w:bidi="ar-SA"/>
              </w:rPr>
            </w:pPr>
            <w:r>
              <w:rPr>
                <w:rFonts w:hint="eastAsia" w:ascii="Times New Roman" w:cs="Times New Roman"/>
                <w:snapToGrid w:val="0"/>
                <w:color w:val="auto"/>
                <w:spacing w:val="-6"/>
                <w:kern w:val="21"/>
                <w:szCs w:val="21"/>
                <w:lang w:val="en-US" w:eastAsia="zh-CN"/>
              </w:rPr>
              <w:t>0.01t/a</w:t>
            </w:r>
          </w:p>
        </w:tc>
        <w:tc>
          <w:tcPr>
            <w:tcW w:w="1040" w:type="dxa"/>
            <w:shd w:val="clear" w:color="auto" w:fill="auto"/>
            <w:vAlign w:val="center"/>
          </w:tcPr>
          <w:p w14:paraId="50CD99D1">
            <w:pPr>
              <w:pStyle w:val="61"/>
              <w:spacing w:beforeLines="0" w:afterLines="0" w:line="260" w:lineRule="exact"/>
              <w:jc w:val="center"/>
              <w:rPr>
                <w:rFonts w:hint="default" w:ascii="Times New Roman" w:hAnsi="Times New Roman" w:eastAsia="宋体" w:cs="Times New Roman"/>
                <w:snapToGrid w:val="0"/>
                <w:color w:val="auto"/>
                <w:spacing w:val="-6"/>
                <w:kern w:val="21"/>
                <w:sz w:val="21"/>
                <w:szCs w:val="21"/>
                <w:lang w:val="en-US" w:eastAsia="zh-CN" w:bidi="ar-SA"/>
              </w:rPr>
            </w:pPr>
            <w:r>
              <w:rPr>
                <w:rFonts w:hint="eastAsia" w:ascii="Times New Roman" w:cs="Times New Roman"/>
                <w:snapToGrid w:val="0"/>
                <w:color w:val="auto"/>
                <w:spacing w:val="-6"/>
                <w:kern w:val="21"/>
                <w:szCs w:val="21"/>
                <w:lang w:val="en-US" w:eastAsia="zh-CN"/>
              </w:rPr>
              <w:t>+0.01t/a</w:t>
            </w:r>
          </w:p>
        </w:tc>
      </w:tr>
      <w:tr w14:paraId="1DFDE65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0" w:hRule="atLeast"/>
          <w:jc w:val="center"/>
        </w:trPr>
        <w:tc>
          <w:tcPr>
            <w:tcW w:w="1588" w:type="dxa"/>
            <w:vMerge w:val="continue"/>
            <w:vAlign w:val="center"/>
          </w:tcPr>
          <w:p w14:paraId="40B41CAD">
            <w:pPr>
              <w:pStyle w:val="61"/>
              <w:spacing w:beforeLines="0" w:afterLines="0" w:line="260" w:lineRule="exact"/>
              <w:jc w:val="center"/>
              <w:rPr>
                <w:rFonts w:hint="eastAsia" w:ascii="Times New Roman" w:hAnsi="Times New Roman" w:eastAsia="宋体" w:cs="Times New Roman"/>
                <w:snapToGrid w:val="0"/>
                <w:color w:val="auto"/>
                <w:spacing w:val="-6"/>
                <w:kern w:val="21"/>
                <w:szCs w:val="21"/>
              </w:rPr>
            </w:pPr>
          </w:p>
        </w:tc>
        <w:tc>
          <w:tcPr>
            <w:tcW w:w="1417" w:type="dxa"/>
            <w:vAlign w:val="center"/>
          </w:tcPr>
          <w:p w14:paraId="06E51146">
            <w:pPr>
              <w:pStyle w:val="61"/>
              <w:spacing w:beforeLines="0" w:afterLines="0" w:line="260" w:lineRule="exact"/>
              <w:jc w:val="center"/>
              <w:rPr>
                <w:rFonts w:hint="default" w:ascii="Times New Roman" w:cs="Times New Roman"/>
                <w:snapToGrid w:val="0"/>
                <w:color w:val="auto"/>
                <w:spacing w:val="-6"/>
                <w:kern w:val="21"/>
                <w:szCs w:val="21"/>
                <w:lang w:val="en-US" w:eastAsia="zh-CN"/>
              </w:rPr>
            </w:pPr>
            <w:r>
              <w:rPr>
                <w:rFonts w:hint="eastAsia" w:ascii="Times New Roman" w:cs="Times New Roman"/>
                <w:snapToGrid w:val="0"/>
                <w:color w:val="auto"/>
                <w:spacing w:val="-6"/>
                <w:kern w:val="21"/>
                <w:szCs w:val="21"/>
                <w:lang w:val="en-US" w:eastAsia="zh-CN"/>
              </w:rPr>
              <w:t>沾染危险物质的废包装材料</w:t>
            </w:r>
          </w:p>
        </w:tc>
        <w:tc>
          <w:tcPr>
            <w:tcW w:w="1701" w:type="dxa"/>
            <w:vAlign w:val="center"/>
          </w:tcPr>
          <w:p w14:paraId="63C6B5CF">
            <w:pPr>
              <w:spacing w:beforeLines="0" w:afterLines="0" w:line="260" w:lineRule="exact"/>
              <w:jc w:val="center"/>
              <w:rPr>
                <w:rFonts w:hint="default" w:ascii="Times New Roman" w:hAnsi="Times New Roman" w:eastAsia="宋体" w:cs="Times New Roman"/>
                <w:snapToGrid w:val="0"/>
                <w:color w:val="auto"/>
                <w:spacing w:val="-6"/>
                <w:kern w:val="21"/>
                <w:szCs w:val="21"/>
              </w:rPr>
            </w:pPr>
            <w:r>
              <w:rPr>
                <w:rFonts w:hint="eastAsia" w:ascii="Times New Roman" w:cs="Times New Roman"/>
                <w:snapToGrid w:val="0"/>
                <w:color w:val="auto"/>
                <w:spacing w:val="-6"/>
                <w:kern w:val="21"/>
                <w:szCs w:val="21"/>
                <w:lang w:val="en-US" w:eastAsia="zh-CN"/>
              </w:rPr>
              <w:t>/</w:t>
            </w:r>
          </w:p>
        </w:tc>
        <w:tc>
          <w:tcPr>
            <w:tcW w:w="1276" w:type="dxa"/>
            <w:vAlign w:val="center"/>
          </w:tcPr>
          <w:p w14:paraId="429A702B">
            <w:pPr>
              <w:spacing w:beforeLines="0" w:afterLines="0" w:line="260" w:lineRule="exact"/>
              <w:jc w:val="center"/>
              <w:rPr>
                <w:rFonts w:hint="default" w:ascii="Times New Roman" w:hAnsi="Times New Roman" w:eastAsia="宋体" w:cs="Times New Roman"/>
                <w:snapToGrid w:val="0"/>
                <w:color w:val="auto"/>
                <w:spacing w:val="-6"/>
                <w:kern w:val="21"/>
                <w:szCs w:val="21"/>
              </w:rPr>
            </w:pPr>
            <w:r>
              <w:rPr>
                <w:rFonts w:hint="eastAsia" w:ascii="Times New Roman" w:cs="Times New Roman"/>
                <w:snapToGrid w:val="0"/>
                <w:color w:val="auto"/>
                <w:spacing w:val="-6"/>
                <w:kern w:val="21"/>
                <w:szCs w:val="21"/>
                <w:lang w:val="en-US" w:eastAsia="zh-CN"/>
              </w:rPr>
              <w:t>/</w:t>
            </w:r>
          </w:p>
        </w:tc>
        <w:tc>
          <w:tcPr>
            <w:tcW w:w="1701" w:type="dxa"/>
            <w:vAlign w:val="center"/>
          </w:tcPr>
          <w:p w14:paraId="6C0C8A21">
            <w:pPr>
              <w:spacing w:beforeLines="0" w:afterLines="0" w:line="260" w:lineRule="exact"/>
              <w:jc w:val="center"/>
              <w:rPr>
                <w:rFonts w:hint="default" w:ascii="Times New Roman" w:hAnsi="Times New Roman" w:eastAsia="宋体" w:cs="Times New Roman"/>
                <w:snapToGrid w:val="0"/>
                <w:color w:val="auto"/>
                <w:spacing w:val="-6"/>
                <w:kern w:val="21"/>
                <w:szCs w:val="21"/>
              </w:rPr>
            </w:pPr>
            <w:r>
              <w:rPr>
                <w:rFonts w:hint="eastAsia" w:ascii="Times New Roman" w:cs="Times New Roman"/>
                <w:snapToGrid w:val="0"/>
                <w:color w:val="auto"/>
                <w:spacing w:val="-6"/>
                <w:kern w:val="21"/>
                <w:szCs w:val="21"/>
                <w:lang w:val="en-US" w:eastAsia="zh-CN"/>
              </w:rPr>
              <w:t>/</w:t>
            </w:r>
          </w:p>
        </w:tc>
        <w:tc>
          <w:tcPr>
            <w:tcW w:w="1559" w:type="dxa"/>
            <w:shd w:val="clear" w:color="auto" w:fill="auto"/>
            <w:vAlign w:val="center"/>
          </w:tcPr>
          <w:p w14:paraId="5EB56FC1">
            <w:pPr>
              <w:pStyle w:val="61"/>
              <w:spacing w:beforeLines="0" w:afterLines="0" w:line="260" w:lineRule="exact"/>
              <w:jc w:val="center"/>
              <w:rPr>
                <w:rFonts w:hint="default" w:ascii="Times New Roman" w:cs="Times New Roman"/>
                <w:snapToGrid w:val="0"/>
                <w:color w:val="auto"/>
                <w:spacing w:val="-6"/>
                <w:kern w:val="21"/>
                <w:szCs w:val="21"/>
                <w:lang w:val="en-US" w:eastAsia="zh-CN"/>
              </w:rPr>
            </w:pPr>
            <w:r>
              <w:rPr>
                <w:rFonts w:hint="eastAsia" w:ascii="Times New Roman" w:cs="Times New Roman"/>
                <w:snapToGrid w:val="0"/>
                <w:color w:val="auto"/>
                <w:spacing w:val="-6"/>
                <w:kern w:val="21"/>
                <w:szCs w:val="21"/>
                <w:lang w:val="en-US" w:eastAsia="zh-CN"/>
              </w:rPr>
              <w:t>3t/a</w:t>
            </w:r>
          </w:p>
        </w:tc>
        <w:tc>
          <w:tcPr>
            <w:tcW w:w="1521" w:type="dxa"/>
            <w:shd w:val="clear" w:color="auto" w:fill="auto"/>
            <w:vAlign w:val="center"/>
          </w:tcPr>
          <w:p w14:paraId="45D0C4AD">
            <w:pPr>
              <w:spacing w:beforeLines="0" w:afterLines="0" w:line="260" w:lineRule="exact"/>
              <w:jc w:val="center"/>
              <w:rPr>
                <w:rFonts w:hint="default" w:ascii="Times New Roman" w:hAnsi="Times New Roman" w:eastAsia="宋体" w:cs="Times New Roman"/>
                <w:snapToGrid w:val="0"/>
                <w:color w:val="auto"/>
                <w:spacing w:val="-6"/>
                <w:kern w:val="21"/>
                <w:sz w:val="21"/>
                <w:szCs w:val="21"/>
                <w:lang w:val="en-US" w:eastAsia="zh-CN" w:bidi="ar-SA"/>
              </w:rPr>
            </w:pPr>
            <w:r>
              <w:rPr>
                <w:rFonts w:hint="eastAsia" w:ascii="Times New Roman" w:cs="Times New Roman"/>
                <w:snapToGrid w:val="0"/>
                <w:color w:val="auto"/>
                <w:spacing w:val="-6"/>
                <w:kern w:val="21"/>
                <w:szCs w:val="21"/>
                <w:lang w:val="en-US" w:eastAsia="zh-CN"/>
              </w:rPr>
              <w:t>/</w:t>
            </w:r>
          </w:p>
        </w:tc>
        <w:tc>
          <w:tcPr>
            <w:tcW w:w="1985" w:type="dxa"/>
            <w:shd w:val="clear" w:color="auto" w:fill="auto"/>
            <w:vAlign w:val="center"/>
          </w:tcPr>
          <w:p w14:paraId="7C149ABC">
            <w:pPr>
              <w:pStyle w:val="61"/>
              <w:spacing w:beforeLines="0" w:afterLines="0" w:line="260" w:lineRule="exact"/>
              <w:jc w:val="center"/>
              <w:rPr>
                <w:rFonts w:hint="eastAsia" w:ascii="Times New Roman" w:cs="Times New Roman"/>
                <w:snapToGrid w:val="0"/>
                <w:color w:val="auto"/>
                <w:spacing w:val="-6"/>
                <w:kern w:val="21"/>
                <w:szCs w:val="21"/>
                <w:lang w:val="en-US" w:eastAsia="zh-CN"/>
              </w:rPr>
            </w:pPr>
            <w:r>
              <w:rPr>
                <w:rFonts w:hint="eastAsia" w:ascii="Times New Roman" w:cs="Times New Roman"/>
                <w:snapToGrid w:val="0"/>
                <w:color w:val="auto"/>
                <w:spacing w:val="-6"/>
                <w:kern w:val="21"/>
                <w:szCs w:val="21"/>
                <w:lang w:val="en-US" w:eastAsia="zh-CN"/>
              </w:rPr>
              <w:t>3t/a</w:t>
            </w:r>
          </w:p>
        </w:tc>
        <w:tc>
          <w:tcPr>
            <w:tcW w:w="1040" w:type="dxa"/>
            <w:shd w:val="clear" w:color="auto" w:fill="auto"/>
            <w:vAlign w:val="center"/>
          </w:tcPr>
          <w:p w14:paraId="41B99072">
            <w:pPr>
              <w:pStyle w:val="61"/>
              <w:spacing w:beforeLines="0" w:afterLines="0" w:line="260" w:lineRule="exact"/>
              <w:jc w:val="center"/>
              <w:rPr>
                <w:rFonts w:hint="default" w:ascii="Times New Roman" w:cs="Times New Roman"/>
                <w:snapToGrid w:val="0"/>
                <w:color w:val="auto"/>
                <w:spacing w:val="-6"/>
                <w:kern w:val="21"/>
                <w:szCs w:val="21"/>
                <w:lang w:val="en-US" w:eastAsia="zh-CN"/>
              </w:rPr>
            </w:pPr>
            <w:r>
              <w:rPr>
                <w:rFonts w:hint="eastAsia" w:ascii="Times New Roman" w:cs="Times New Roman"/>
                <w:snapToGrid w:val="0"/>
                <w:color w:val="auto"/>
                <w:spacing w:val="-6"/>
                <w:kern w:val="21"/>
                <w:szCs w:val="21"/>
                <w:lang w:val="en-US" w:eastAsia="zh-CN"/>
              </w:rPr>
              <w:t>+3t/a</w:t>
            </w:r>
          </w:p>
        </w:tc>
      </w:tr>
      <w:tr w14:paraId="13EC80E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0" w:hRule="atLeast"/>
          <w:jc w:val="center"/>
        </w:trPr>
        <w:tc>
          <w:tcPr>
            <w:tcW w:w="1588" w:type="dxa"/>
            <w:vMerge w:val="continue"/>
            <w:vAlign w:val="center"/>
          </w:tcPr>
          <w:p w14:paraId="2CBDA3F2">
            <w:pPr>
              <w:pStyle w:val="61"/>
              <w:spacing w:beforeLines="0" w:afterLines="0" w:line="260" w:lineRule="exact"/>
              <w:jc w:val="center"/>
              <w:rPr>
                <w:rFonts w:hint="eastAsia" w:ascii="Times New Roman" w:hAnsi="Times New Roman" w:eastAsia="宋体" w:cs="Times New Roman"/>
                <w:snapToGrid w:val="0"/>
                <w:color w:val="auto"/>
                <w:spacing w:val="-6"/>
                <w:kern w:val="21"/>
                <w:szCs w:val="21"/>
              </w:rPr>
            </w:pPr>
          </w:p>
        </w:tc>
        <w:tc>
          <w:tcPr>
            <w:tcW w:w="1417" w:type="dxa"/>
            <w:vAlign w:val="center"/>
          </w:tcPr>
          <w:p w14:paraId="18548CD3">
            <w:pPr>
              <w:pStyle w:val="61"/>
              <w:spacing w:beforeLines="0" w:afterLines="0" w:line="260" w:lineRule="exact"/>
              <w:jc w:val="center"/>
              <w:rPr>
                <w:rFonts w:hint="default" w:ascii="Times New Roman" w:cs="Times New Roman"/>
                <w:snapToGrid w:val="0"/>
                <w:color w:val="auto"/>
                <w:spacing w:val="-6"/>
                <w:kern w:val="21"/>
                <w:szCs w:val="21"/>
                <w:lang w:val="en-US" w:eastAsia="zh-CN"/>
              </w:rPr>
            </w:pPr>
            <w:r>
              <w:rPr>
                <w:rFonts w:hint="eastAsia" w:ascii="Times New Roman" w:cs="Times New Roman"/>
                <w:snapToGrid w:val="0"/>
                <w:color w:val="auto"/>
                <w:spacing w:val="-6"/>
                <w:kern w:val="21"/>
                <w:szCs w:val="21"/>
                <w:lang w:val="en-US" w:eastAsia="zh-CN"/>
              </w:rPr>
              <w:t>沾染危险物质的废组件</w:t>
            </w:r>
          </w:p>
        </w:tc>
        <w:tc>
          <w:tcPr>
            <w:tcW w:w="1701" w:type="dxa"/>
            <w:vAlign w:val="center"/>
          </w:tcPr>
          <w:p w14:paraId="723E02EC">
            <w:pPr>
              <w:spacing w:beforeLines="0" w:afterLines="0" w:line="260" w:lineRule="exact"/>
              <w:jc w:val="center"/>
              <w:rPr>
                <w:rFonts w:hint="default" w:ascii="Times New Roman" w:cs="Times New Roman"/>
                <w:snapToGrid w:val="0"/>
                <w:color w:val="auto"/>
                <w:spacing w:val="-6"/>
                <w:kern w:val="21"/>
                <w:szCs w:val="21"/>
                <w:lang w:val="en-US" w:eastAsia="zh-CN"/>
              </w:rPr>
            </w:pPr>
            <w:r>
              <w:rPr>
                <w:rFonts w:hint="eastAsia" w:cs="Times New Roman"/>
                <w:snapToGrid w:val="0"/>
                <w:color w:val="auto"/>
                <w:spacing w:val="-6"/>
                <w:kern w:val="21"/>
                <w:szCs w:val="21"/>
                <w:lang w:val="en-US" w:eastAsia="zh-CN"/>
              </w:rPr>
              <w:t>/</w:t>
            </w:r>
          </w:p>
        </w:tc>
        <w:tc>
          <w:tcPr>
            <w:tcW w:w="1276" w:type="dxa"/>
            <w:vAlign w:val="center"/>
          </w:tcPr>
          <w:p w14:paraId="17AA1D06">
            <w:pPr>
              <w:spacing w:beforeLines="0" w:afterLines="0" w:line="260" w:lineRule="exact"/>
              <w:jc w:val="center"/>
              <w:rPr>
                <w:rFonts w:hint="default" w:ascii="Times New Roman" w:cs="Times New Roman"/>
                <w:snapToGrid w:val="0"/>
                <w:color w:val="auto"/>
                <w:spacing w:val="-6"/>
                <w:kern w:val="21"/>
                <w:szCs w:val="21"/>
                <w:lang w:val="en-US" w:eastAsia="zh-CN"/>
              </w:rPr>
            </w:pPr>
            <w:r>
              <w:rPr>
                <w:rFonts w:hint="eastAsia" w:cs="Times New Roman"/>
                <w:snapToGrid w:val="0"/>
                <w:color w:val="auto"/>
                <w:spacing w:val="-6"/>
                <w:kern w:val="21"/>
                <w:szCs w:val="21"/>
                <w:lang w:val="en-US" w:eastAsia="zh-CN"/>
              </w:rPr>
              <w:t>/</w:t>
            </w:r>
          </w:p>
        </w:tc>
        <w:tc>
          <w:tcPr>
            <w:tcW w:w="1701" w:type="dxa"/>
            <w:vAlign w:val="center"/>
          </w:tcPr>
          <w:p w14:paraId="4502E631">
            <w:pPr>
              <w:spacing w:beforeLines="0" w:afterLines="0" w:line="260" w:lineRule="exact"/>
              <w:jc w:val="center"/>
              <w:rPr>
                <w:rFonts w:hint="default" w:ascii="Times New Roman" w:cs="Times New Roman"/>
                <w:snapToGrid w:val="0"/>
                <w:color w:val="auto"/>
                <w:spacing w:val="-6"/>
                <w:kern w:val="21"/>
                <w:szCs w:val="21"/>
                <w:lang w:val="en-US" w:eastAsia="zh-CN"/>
              </w:rPr>
            </w:pPr>
            <w:r>
              <w:rPr>
                <w:rFonts w:hint="eastAsia" w:cs="Times New Roman"/>
                <w:snapToGrid w:val="0"/>
                <w:color w:val="auto"/>
                <w:spacing w:val="-6"/>
                <w:kern w:val="21"/>
                <w:szCs w:val="21"/>
                <w:lang w:val="en-US" w:eastAsia="zh-CN"/>
              </w:rPr>
              <w:t>/</w:t>
            </w:r>
          </w:p>
        </w:tc>
        <w:tc>
          <w:tcPr>
            <w:tcW w:w="1559" w:type="dxa"/>
            <w:shd w:val="clear" w:color="auto" w:fill="auto"/>
            <w:vAlign w:val="center"/>
          </w:tcPr>
          <w:p w14:paraId="0D8918FF">
            <w:pPr>
              <w:pStyle w:val="61"/>
              <w:spacing w:beforeLines="0" w:afterLines="0" w:line="260" w:lineRule="exact"/>
              <w:jc w:val="center"/>
              <w:rPr>
                <w:rFonts w:hint="default" w:ascii="Times New Roman" w:cs="Times New Roman"/>
                <w:snapToGrid w:val="0"/>
                <w:color w:val="auto"/>
                <w:spacing w:val="-6"/>
                <w:kern w:val="21"/>
                <w:szCs w:val="21"/>
                <w:lang w:val="en-US" w:eastAsia="zh-CN"/>
              </w:rPr>
            </w:pPr>
            <w:r>
              <w:rPr>
                <w:rFonts w:hint="eastAsia" w:ascii="Times New Roman" w:cs="Times New Roman"/>
                <w:snapToGrid w:val="0"/>
                <w:color w:val="auto"/>
                <w:spacing w:val="-6"/>
                <w:kern w:val="21"/>
                <w:szCs w:val="21"/>
                <w:lang w:val="en-US" w:eastAsia="zh-CN"/>
              </w:rPr>
              <w:t>1t/a</w:t>
            </w:r>
          </w:p>
        </w:tc>
        <w:tc>
          <w:tcPr>
            <w:tcW w:w="1521" w:type="dxa"/>
            <w:shd w:val="clear" w:color="auto" w:fill="auto"/>
            <w:vAlign w:val="center"/>
          </w:tcPr>
          <w:p w14:paraId="4096A6BD">
            <w:pPr>
              <w:spacing w:beforeLines="0" w:afterLines="0" w:line="260" w:lineRule="exact"/>
              <w:jc w:val="center"/>
              <w:rPr>
                <w:rFonts w:hint="default" w:ascii="Times New Roman" w:cs="Times New Roman"/>
                <w:snapToGrid w:val="0"/>
                <w:color w:val="auto"/>
                <w:spacing w:val="-6"/>
                <w:kern w:val="21"/>
                <w:szCs w:val="21"/>
                <w:lang w:val="en-US" w:eastAsia="zh-CN"/>
              </w:rPr>
            </w:pPr>
            <w:r>
              <w:rPr>
                <w:rFonts w:hint="eastAsia" w:cs="Times New Roman"/>
                <w:snapToGrid w:val="0"/>
                <w:color w:val="auto"/>
                <w:spacing w:val="-6"/>
                <w:kern w:val="21"/>
                <w:szCs w:val="21"/>
                <w:lang w:val="en-US" w:eastAsia="zh-CN"/>
              </w:rPr>
              <w:t>/</w:t>
            </w:r>
          </w:p>
        </w:tc>
        <w:tc>
          <w:tcPr>
            <w:tcW w:w="1985" w:type="dxa"/>
            <w:shd w:val="clear" w:color="auto" w:fill="auto"/>
            <w:vAlign w:val="center"/>
          </w:tcPr>
          <w:p w14:paraId="4232DB49">
            <w:pPr>
              <w:pStyle w:val="61"/>
              <w:spacing w:beforeLines="0" w:afterLines="0" w:line="260" w:lineRule="exact"/>
              <w:jc w:val="center"/>
              <w:rPr>
                <w:rFonts w:hint="default" w:ascii="Times New Roman" w:cs="Times New Roman"/>
                <w:snapToGrid w:val="0"/>
                <w:color w:val="auto"/>
                <w:spacing w:val="-6"/>
                <w:kern w:val="21"/>
                <w:szCs w:val="21"/>
                <w:lang w:val="en-US" w:eastAsia="zh-CN"/>
              </w:rPr>
            </w:pPr>
            <w:r>
              <w:rPr>
                <w:rFonts w:hint="eastAsia" w:ascii="Times New Roman" w:cs="Times New Roman"/>
                <w:snapToGrid w:val="0"/>
                <w:color w:val="auto"/>
                <w:spacing w:val="-6"/>
                <w:kern w:val="21"/>
                <w:szCs w:val="21"/>
                <w:lang w:val="en-US" w:eastAsia="zh-CN"/>
              </w:rPr>
              <w:t>1t/a</w:t>
            </w:r>
          </w:p>
        </w:tc>
        <w:tc>
          <w:tcPr>
            <w:tcW w:w="1040" w:type="dxa"/>
            <w:shd w:val="clear" w:color="auto" w:fill="auto"/>
            <w:vAlign w:val="center"/>
          </w:tcPr>
          <w:p w14:paraId="174D050F">
            <w:pPr>
              <w:pStyle w:val="61"/>
              <w:spacing w:beforeLines="0" w:afterLines="0" w:line="260" w:lineRule="exact"/>
              <w:jc w:val="center"/>
              <w:rPr>
                <w:rFonts w:hint="default" w:ascii="Times New Roman" w:cs="Times New Roman"/>
                <w:snapToGrid w:val="0"/>
                <w:color w:val="auto"/>
                <w:spacing w:val="-6"/>
                <w:kern w:val="21"/>
                <w:szCs w:val="21"/>
                <w:lang w:val="en-US" w:eastAsia="zh-CN"/>
              </w:rPr>
            </w:pPr>
            <w:r>
              <w:rPr>
                <w:rFonts w:hint="eastAsia" w:ascii="Times New Roman" w:cs="Times New Roman"/>
                <w:snapToGrid w:val="0"/>
                <w:color w:val="auto"/>
                <w:spacing w:val="-6"/>
                <w:kern w:val="21"/>
                <w:szCs w:val="21"/>
                <w:lang w:val="en-US" w:eastAsia="zh-CN"/>
              </w:rPr>
              <w:t>+1t/a</w:t>
            </w:r>
          </w:p>
        </w:tc>
      </w:tr>
      <w:tr w14:paraId="550D098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0" w:hRule="atLeast"/>
          <w:jc w:val="center"/>
        </w:trPr>
        <w:tc>
          <w:tcPr>
            <w:tcW w:w="1588" w:type="dxa"/>
            <w:vMerge w:val="continue"/>
            <w:vAlign w:val="center"/>
          </w:tcPr>
          <w:p w14:paraId="604647A1">
            <w:pPr>
              <w:pStyle w:val="61"/>
              <w:spacing w:beforeLines="0" w:afterLines="0" w:line="260" w:lineRule="exact"/>
              <w:jc w:val="center"/>
              <w:rPr>
                <w:rFonts w:hint="eastAsia" w:ascii="Times New Roman" w:hAnsi="Times New Roman" w:eastAsia="宋体" w:cs="Times New Roman"/>
                <w:snapToGrid w:val="0"/>
                <w:color w:val="auto"/>
                <w:spacing w:val="-6"/>
                <w:kern w:val="21"/>
                <w:szCs w:val="21"/>
              </w:rPr>
            </w:pPr>
          </w:p>
        </w:tc>
        <w:tc>
          <w:tcPr>
            <w:tcW w:w="1417" w:type="dxa"/>
            <w:vAlign w:val="center"/>
          </w:tcPr>
          <w:p w14:paraId="054FD603">
            <w:pPr>
              <w:pStyle w:val="61"/>
              <w:spacing w:beforeLines="0" w:afterLines="0" w:line="260" w:lineRule="exact"/>
              <w:jc w:val="center"/>
              <w:rPr>
                <w:rFonts w:hint="eastAsia" w:ascii="Times New Roman" w:hAnsi="Times New Roman" w:eastAsia="宋体" w:cs="Times New Roman"/>
                <w:snapToGrid w:val="0"/>
                <w:color w:val="auto"/>
                <w:spacing w:val="-6"/>
                <w:kern w:val="21"/>
                <w:szCs w:val="21"/>
                <w:lang w:val="en-US" w:eastAsia="zh-CN"/>
              </w:rPr>
            </w:pPr>
            <w:r>
              <w:rPr>
                <w:rFonts w:hint="eastAsia" w:ascii="Times New Roman" w:cs="Times New Roman"/>
                <w:snapToGrid w:val="0"/>
                <w:color w:val="auto"/>
                <w:spacing w:val="-6"/>
                <w:kern w:val="21"/>
                <w:szCs w:val="21"/>
                <w:lang w:val="en-US" w:eastAsia="zh-CN"/>
              </w:rPr>
              <w:t>废电解液</w:t>
            </w:r>
          </w:p>
        </w:tc>
        <w:tc>
          <w:tcPr>
            <w:tcW w:w="1701" w:type="dxa"/>
            <w:vAlign w:val="center"/>
          </w:tcPr>
          <w:p w14:paraId="03AE92EB">
            <w:pPr>
              <w:spacing w:beforeLines="0" w:afterLines="0" w:line="260" w:lineRule="exact"/>
              <w:jc w:val="center"/>
              <w:rPr>
                <w:rFonts w:hint="default" w:ascii="Times New Roman" w:hAnsi="Times New Roman" w:eastAsia="宋体" w:cs="Times New Roman"/>
                <w:snapToGrid w:val="0"/>
                <w:color w:val="auto"/>
                <w:spacing w:val="-6"/>
                <w:kern w:val="21"/>
                <w:szCs w:val="21"/>
              </w:rPr>
            </w:pPr>
            <w:r>
              <w:rPr>
                <w:rFonts w:hint="eastAsia" w:ascii="Times New Roman" w:cs="Times New Roman"/>
                <w:snapToGrid w:val="0"/>
                <w:color w:val="auto"/>
                <w:spacing w:val="-6"/>
                <w:kern w:val="21"/>
                <w:szCs w:val="21"/>
                <w:lang w:val="en-US" w:eastAsia="zh-CN"/>
              </w:rPr>
              <w:t>/</w:t>
            </w:r>
          </w:p>
        </w:tc>
        <w:tc>
          <w:tcPr>
            <w:tcW w:w="1276" w:type="dxa"/>
            <w:vAlign w:val="center"/>
          </w:tcPr>
          <w:p w14:paraId="281F8AB1">
            <w:pPr>
              <w:spacing w:beforeLines="0" w:afterLines="0" w:line="260" w:lineRule="exact"/>
              <w:jc w:val="center"/>
              <w:rPr>
                <w:rFonts w:hint="default" w:ascii="Times New Roman" w:hAnsi="Times New Roman" w:eastAsia="宋体" w:cs="Times New Roman"/>
                <w:snapToGrid w:val="0"/>
                <w:color w:val="auto"/>
                <w:spacing w:val="-6"/>
                <w:kern w:val="21"/>
                <w:szCs w:val="21"/>
              </w:rPr>
            </w:pPr>
            <w:r>
              <w:rPr>
                <w:rFonts w:hint="eastAsia" w:ascii="Times New Roman" w:cs="Times New Roman"/>
                <w:snapToGrid w:val="0"/>
                <w:color w:val="auto"/>
                <w:spacing w:val="-6"/>
                <w:kern w:val="21"/>
                <w:szCs w:val="21"/>
                <w:lang w:val="en-US" w:eastAsia="zh-CN"/>
              </w:rPr>
              <w:t>/</w:t>
            </w:r>
          </w:p>
        </w:tc>
        <w:tc>
          <w:tcPr>
            <w:tcW w:w="1701" w:type="dxa"/>
            <w:vAlign w:val="center"/>
          </w:tcPr>
          <w:p w14:paraId="41A60155">
            <w:pPr>
              <w:spacing w:beforeLines="0" w:afterLines="0" w:line="260" w:lineRule="exact"/>
              <w:jc w:val="center"/>
              <w:rPr>
                <w:rFonts w:hint="default" w:ascii="Times New Roman" w:hAnsi="Times New Roman" w:eastAsia="宋体" w:cs="Times New Roman"/>
                <w:snapToGrid w:val="0"/>
                <w:color w:val="auto"/>
                <w:spacing w:val="-6"/>
                <w:kern w:val="21"/>
                <w:szCs w:val="21"/>
              </w:rPr>
            </w:pPr>
            <w:r>
              <w:rPr>
                <w:rFonts w:hint="eastAsia" w:ascii="Times New Roman" w:cs="Times New Roman"/>
                <w:snapToGrid w:val="0"/>
                <w:color w:val="auto"/>
                <w:spacing w:val="-6"/>
                <w:kern w:val="21"/>
                <w:szCs w:val="21"/>
                <w:lang w:val="en-US" w:eastAsia="zh-CN"/>
              </w:rPr>
              <w:t>/</w:t>
            </w:r>
          </w:p>
        </w:tc>
        <w:tc>
          <w:tcPr>
            <w:tcW w:w="1559" w:type="dxa"/>
            <w:vAlign w:val="center"/>
          </w:tcPr>
          <w:p w14:paraId="77965070">
            <w:pPr>
              <w:pStyle w:val="61"/>
              <w:spacing w:beforeLines="0" w:afterLines="0" w:line="260" w:lineRule="exact"/>
              <w:jc w:val="center"/>
              <w:rPr>
                <w:rFonts w:hint="default" w:ascii="Times New Roman" w:hAnsi="Times New Roman" w:eastAsia="宋体" w:cs="Times New Roman"/>
                <w:snapToGrid w:val="0"/>
                <w:color w:val="auto"/>
                <w:spacing w:val="-6"/>
                <w:kern w:val="21"/>
                <w:szCs w:val="21"/>
                <w:lang w:val="en-US" w:eastAsia="zh-CN"/>
              </w:rPr>
            </w:pPr>
            <w:r>
              <w:rPr>
                <w:rFonts w:hint="eastAsia" w:ascii="Times New Roman" w:cs="Times New Roman"/>
                <w:snapToGrid w:val="0"/>
                <w:color w:val="auto"/>
                <w:spacing w:val="-6"/>
                <w:kern w:val="21"/>
                <w:szCs w:val="21"/>
                <w:lang w:val="en-US" w:eastAsia="zh-CN"/>
              </w:rPr>
              <w:t>1.2t/a</w:t>
            </w:r>
          </w:p>
        </w:tc>
        <w:tc>
          <w:tcPr>
            <w:tcW w:w="1521" w:type="dxa"/>
            <w:vAlign w:val="center"/>
          </w:tcPr>
          <w:p w14:paraId="0534FE60">
            <w:pPr>
              <w:spacing w:beforeLines="0" w:afterLines="0" w:line="260" w:lineRule="exact"/>
              <w:jc w:val="center"/>
              <w:rPr>
                <w:rFonts w:hint="default" w:ascii="Times New Roman" w:hAnsi="Times New Roman" w:eastAsia="宋体" w:cs="Times New Roman"/>
                <w:snapToGrid w:val="0"/>
                <w:color w:val="auto"/>
                <w:spacing w:val="-6"/>
                <w:kern w:val="21"/>
                <w:szCs w:val="21"/>
              </w:rPr>
            </w:pPr>
            <w:r>
              <w:rPr>
                <w:rFonts w:hint="eastAsia" w:ascii="Times New Roman" w:cs="Times New Roman"/>
                <w:snapToGrid w:val="0"/>
                <w:color w:val="auto"/>
                <w:spacing w:val="-6"/>
                <w:kern w:val="21"/>
                <w:szCs w:val="21"/>
                <w:lang w:val="en-US" w:eastAsia="zh-CN"/>
              </w:rPr>
              <w:t>/</w:t>
            </w:r>
          </w:p>
        </w:tc>
        <w:tc>
          <w:tcPr>
            <w:tcW w:w="1985" w:type="dxa"/>
            <w:vAlign w:val="center"/>
          </w:tcPr>
          <w:p w14:paraId="4D04B202">
            <w:pPr>
              <w:pStyle w:val="61"/>
              <w:spacing w:beforeLines="0" w:afterLines="0" w:line="260" w:lineRule="exact"/>
              <w:jc w:val="center"/>
              <w:rPr>
                <w:rFonts w:hint="default" w:ascii="Times New Roman" w:hAnsi="Times New Roman" w:eastAsia="宋体" w:cs="Times New Roman"/>
                <w:snapToGrid w:val="0"/>
                <w:color w:val="auto"/>
                <w:spacing w:val="-6"/>
                <w:kern w:val="21"/>
                <w:szCs w:val="21"/>
              </w:rPr>
            </w:pPr>
            <w:r>
              <w:rPr>
                <w:rFonts w:hint="eastAsia" w:ascii="Times New Roman" w:cs="Times New Roman"/>
                <w:snapToGrid w:val="0"/>
                <w:color w:val="auto"/>
                <w:spacing w:val="-6"/>
                <w:kern w:val="21"/>
                <w:szCs w:val="21"/>
                <w:lang w:val="en-US" w:eastAsia="zh-CN"/>
              </w:rPr>
              <w:t>1.2t/a</w:t>
            </w:r>
          </w:p>
        </w:tc>
        <w:tc>
          <w:tcPr>
            <w:tcW w:w="1040" w:type="dxa"/>
            <w:vAlign w:val="center"/>
          </w:tcPr>
          <w:p w14:paraId="077904FB">
            <w:pPr>
              <w:pStyle w:val="61"/>
              <w:spacing w:beforeLines="0" w:afterLines="0" w:line="260" w:lineRule="exact"/>
              <w:jc w:val="center"/>
              <w:rPr>
                <w:rFonts w:hint="eastAsia" w:ascii="Times New Roman" w:hAnsi="Times New Roman" w:eastAsia="宋体" w:cs="Times New Roman"/>
                <w:snapToGrid w:val="0"/>
                <w:color w:val="auto"/>
                <w:spacing w:val="-6"/>
                <w:kern w:val="21"/>
                <w:szCs w:val="21"/>
                <w:lang w:val="en-US" w:eastAsia="zh-CN"/>
              </w:rPr>
            </w:pPr>
            <w:r>
              <w:rPr>
                <w:rFonts w:hint="eastAsia" w:ascii="Times New Roman" w:cs="Times New Roman"/>
                <w:snapToGrid w:val="0"/>
                <w:color w:val="auto"/>
                <w:spacing w:val="-6"/>
                <w:kern w:val="21"/>
                <w:szCs w:val="21"/>
                <w:lang w:val="en-US" w:eastAsia="zh-CN"/>
              </w:rPr>
              <w:t>+1.2t/a</w:t>
            </w:r>
          </w:p>
        </w:tc>
      </w:tr>
    </w:tbl>
    <w:p w14:paraId="1D8D9FFF">
      <w:pPr>
        <w:pStyle w:val="61"/>
        <w:spacing w:beforeLines="0" w:afterLines="0" w:line="260" w:lineRule="exact"/>
        <w:jc w:val="left"/>
        <w:rPr>
          <w:rFonts w:hint="eastAsia" w:hAnsi="宋体" w:eastAsia="黑体"/>
        </w:rPr>
      </w:pPr>
      <w:r>
        <w:rPr>
          <w:rFonts w:hAnsi="宋体"/>
          <w:snapToGrid w:val="0"/>
          <w:kern w:val="21"/>
          <w:szCs w:val="21"/>
        </w:rPr>
        <w:t>注：</w:t>
      </w:r>
      <w:r>
        <w:rPr>
          <w:rFonts w:hAnsi="宋体"/>
          <w:snapToGrid w:val="0"/>
          <w:spacing w:val="-16"/>
          <w:kern w:val="21"/>
          <w:szCs w:val="21"/>
        </w:rPr>
        <w:fldChar w:fldCharType="begin"/>
      </w:r>
      <w:r>
        <w:rPr>
          <w:rFonts w:hAnsi="宋体"/>
          <w:snapToGrid w:val="0"/>
          <w:spacing w:val="-16"/>
          <w:kern w:val="21"/>
          <w:szCs w:val="21"/>
        </w:rPr>
        <w:instrText xml:space="preserve"> = 6 \* GB3 \* MERGEFORMAT </w:instrText>
      </w:r>
      <w:r>
        <w:rPr>
          <w:rFonts w:hAnsi="宋体"/>
          <w:snapToGrid w:val="0"/>
          <w:spacing w:val="-16"/>
          <w:kern w:val="21"/>
          <w:szCs w:val="21"/>
        </w:rPr>
        <w:fldChar w:fldCharType="separate"/>
      </w:r>
      <w:r>
        <w:rPr>
          <w:rFonts w:hint="eastAsia" w:hAnsi="宋体"/>
          <w:szCs w:val="21"/>
        </w:rPr>
        <w:t>⑥</w:t>
      </w:r>
      <w:r>
        <w:rPr>
          <w:rFonts w:hAnsi="宋体"/>
          <w:snapToGrid w:val="0"/>
          <w:spacing w:val="-16"/>
          <w:kern w:val="21"/>
          <w:szCs w:val="21"/>
        </w:rPr>
        <w:fldChar w:fldCharType="end"/>
      </w:r>
      <w:r>
        <w:rPr>
          <w:rFonts w:hAnsi="宋体"/>
          <w:snapToGrid w:val="0"/>
          <w:spacing w:val="-16"/>
          <w:kern w:val="21"/>
          <w:szCs w:val="21"/>
        </w:rPr>
        <w:t>=</w:t>
      </w:r>
      <w:r>
        <w:rPr>
          <w:rFonts w:hAnsi="宋体"/>
          <w:snapToGrid w:val="0"/>
          <w:spacing w:val="-6"/>
          <w:kern w:val="21"/>
          <w:szCs w:val="21"/>
        </w:rPr>
        <w:fldChar w:fldCharType="begin"/>
      </w:r>
      <w:r>
        <w:rPr>
          <w:rFonts w:hAnsi="宋体"/>
          <w:snapToGrid w:val="0"/>
          <w:spacing w:val="-6"/>
          <w:kern w:val="21"/>
          <w:szCs w:val="21"/>
        </w:rPr>
        <w:instrText xml:space="preserve"> = 1 \* GB3 \* MERGEFORMAT </w:instrText>
      </w:r>
      <w:r>
        <w:rPr>
          <w:rFonts w:hAnsi="宋体"/>
          <w:snapToGrid w:val="0"/>
          <w:spacing w:val="-6"/>
          <w:kern w:val="21"/>
          <w:szCs w:val="21"/>
        </w:rPr>
        <w:fldChar w:fldCharType="separate"/>
      </w:r>
      <w:r>
        <w:rPr>
          <w:rFonts w:hint="eastAsia" w:hAnsi="宋体"/>
          <w:szCs w:val="21"/>
        </w:rPr>
        <w:t>①</w:t>
      </w:r>
      <w:r>
        <w:rPr>
          <w:rFonts w:hAnsi="宋体"/>
          <w:snapToGrid w:val="0"/>
          <w:spacing w:val="-6"/>
          <w:kern w:val="21"/>
          <w:szCs w:val="21"/>
        </w:rPr>
        <w:fldChar w:fldCharType="end"/>
      </w:r>
      <w:r>
        <w:rPr>
          <w:rFonts w:hAnsi="宋体"/>
          <w:snapToGrid w:val="0"/>
          <w:spacing w:val="-6"/>
          <w:kern w:val="21"/>
          <w:szCs w:val="21"/>
        </w:rPr>
        <w:t>+</w:t>
      </w:r>
      <w:r>
        <w:rPr>
          <w:rFonts w:hAnsi="宋体"/>
          <w:snapToGrid w:val="0"/>
          <w:spacing w:val="-6"/>
          <w:kern w:val="21"/>
          <w:szCs w:val="21"/>
        </w:rPr>
        <w:fldChar w:fldCharType="begin"/>
      </w:r>
      <w:r>
        <w:rPr>
          <w:rFonts w:hAnsi="宋体"/>
          <w:snapToGrid w:val="0"/>
          <w:spacing w:val="-6"/>
          <w:kern w:val="21"/>
          <w:szCs w:val="21"/>
        </w:rPr>
        <w:instrText xml:space="preserve"> = 3 \* GB3 \* MERGEFORMAT </w:instrText>
      </w:r>
      <w:r>
        <w:rPr>
          <w:rFonts w:hAnsi="宋体"/>
          <w:snapToGrid w:val="0"/>
          <w:spacing w:val="-6"/>
          <w:kern w:val="21"/>
          <w:szCs w:val="21"/>
        </w:rPr>
        <w:fldChar w:fldCharType="separate"/>
      </w:r>
      <w:r>
        <w:rPr>
          <w:rFonts w:hint="eastAsia" w:hAnsi="宋体"/>
          <w:szCs w:val="21"/>
        </w:rPr>
        <w:t>③</w:t>
      </w:r>
      <w:r>
        <w:rPr>
          <w:rFonts w:hAnsi="宋体"/>
          <w:snapToGrid w:val="0"/>
          <w:spacing w:val="-6"/>
          <w:kern w:val="21"/>
          <w:szCs w:val="21"/>
        </w:rPr>
        <w:fldChar w:fldCharType="end"/>
      </w:r>
      <w:r>
        <w:rPr>
          <w:rFonts w:hAnsi="宋体"/>
          <w:snapToGrid w:val="0"/>
          <w:spacing w:val="-6"/>
          <w:kern w:val="21"/>
          <w:szCs w:val="21"/>
        </w:rPr>
        <w:t>+</w:t>
      </w:r>
      <w:r>
        <w:rPr>
          <w:rFonts w:hAnsi="宋体"/>
          <w:snapToGrid w:val="0"/>
          <w:spacing w:val="-6"/>
          <w:kern w:val="21"/>
          <w:szCs w:val="21"/>
        </w:rPr>
        <w:fldChar w:fldCharType="begin"/>
      </w:r>
      <w:r>
        <w:rPr>
          <w:rFonts w:hAnsi="宋体"/>
          <w:snapToGrid w:val="0"/>
          <w:spacing w:val="-6"/>
          <w:kern w:val="21"/>
          <w:szCs w:val="21"/>
        </w:rPr>
        <w:instrText xml:space="preserve"> = 4 \* GB3 \* MERGEFORMAT </w:instrText>
      </w:r>
      <w:r>
        <w:rPr>
          <w:rFonts w:hAnsi="宋体"/>
          <w:snapToGrid w:val="0"/>
          <w:spacing w:val="-6"/>
          <w:kern w:val="21"/>
          <w:szCs w:val="21"/>
        </w:rPr>
        <w:fldChar w:fldCharType="separate"/>
      </w:r>
      <w:r>
        <w:rPr>
          <w:rFonts w:hint="eastAsia" w:hAnsi="宋体"/>
          <w:szCs w:val="21"/>
        </w:rPr>
        <w:t>④</w:t>
      </w:r>
      <w:r>
        <w:rPr>
          <w:rFonts w:hAnsi="宋体"/>
          <w:snapToGrid w:val="0"/>
          <w:spacing w:val="-6"/>
          <w:kern w:val="21"/>
          <w:szCs w:val="21"/>
        </w:rPr>
        <w:fldChar w:fldCharType="end"/>
      </w:r>
      <w:r>
        <w:rPr>
          <w:rFonts w:hAnsi="宋体"/>
          <w:snapToGrid w:val="0"/>
          <w:spacing w:val="-6"/>
          <w:kern w:val="21"/>
          <w:szCs w:val="21"/>
        </w:rPr>
        <w:t>-</w:t>
      </w:r>
      <w:r>
        <w:rPr>
          <w:rFonts w:hAnsi="宋体"/>
          <w:snapToGrid w:val="0"/>
          <w:spacing w:val="-16"/>
          <w:kern w:val="21"/>
          <w:szCs w:val="21"/>
        </w:rPr>
        <w:fldChar w:fldCharType="begin"/>
      </w:r>
      <w:r>
        <w:rPr>
          <w:rFonts w:hAnsi="宋体"/>
          <w:snapToGrid w:val="0"/>
          <w:spacing w:val="-16"/>
          <w:kern w:val="21"/>
          <w:szCs w:val="21"/>
        </w:rPr>
        <w:instrText xml:space="preserve"> = 5 \* GB3 \* MERGEFORMAT </w:instrText>
      </w:r>
      <w:r>
        <w:rPr>
          <w:rFonts w:hAnsi="宋体"/>
          <w:snapToGrid w:val="0"/>
          <w:spacing w:val="-16"/>
          <w:kern w:val="21"/>
          <w:szCs w:val="21"/>
        </w:rPr>
        <w:fldChar w:fldCharType="separate"/>
      </w:r>
      <w:r>
        <w:rPr>
          <w:rFonts w:hint="eastAsia" w:hAnsi="宋体"/>
          <w:szCs w:val="21"/>
        </w:rPr>
        <w:t>⑤</w:t>
      </w:r>
      <w:r>
        <w:rPr>
          <w:rFonts w:hAnsi="宋体"/>
          <w:snapToGrid w:val="0"/>
          <w:spacing w:val="-16"/>
          <w:kern w:val="21"/>
          <w:szCs w:val="21"/>
        </w:rPr>
        <w:fldChar w:fldCharType="end"/>
      </w:r>
      <w:r>
        <w:rPr>
          <w:rFonts w:hAnsi="宋体"/>
          <w:snapToGrid w:val="0"/>
          <w:spacing w:val="-16"/>
          <w:kern w:val="21"/>
          <w:szCs w:val="21"/>
        </w:rPr>
        <w:t>；</w:t>
      </w:r>
      <w:r>
        <w:rPr>
          <w:rFonts w:hAnsi="宋体"/>
          <w:snapToGrid w:val="0"/>
          <w:spacing w:val="-6"/>
          <w:kern w:val="21"/>
          <w:szCs w:val="21"/>
        </w:rPr>
        <w:fldChar w:fldCharType="begin"/>
      </w:r>
      <w:r>
        <w:rPr>
          <w:rFonts w:hAnsi="宋体"/>
          <w:snapToGrid w:val="0"/>
          <w:spacing w:val="-6"/>
          <w:kern w:val="21"/>
          <w:szCs w:val="21"/>
        </w:rPr>
        <w:instrText xml:space="preserve"> = 7 \* GB3 \* MERGEFORMAT </w:instrText>
      </w:r>
      <w:r>
        <w:rPr>
          <w:rFonts w:hAnsi="宋体"/>
          <w:snapToGrid w:val="0"/>
          <w:spacing w:val="-6"/>
          <w:kern w:val="21"/>
          <w:szCs w:val="21"/>
        </w:rPr>
        <w:fldChar w:fldCharType="separate"/>
      </w:r>
      <w:r>
        <w:rPr>
          <w:rFonts w:hint="eastAsia" w:hAnsi="宋体"/>
          <w:szCs w:val="21"/>
        </w:rPr>
        <w:t>⑦</w:t>
      </w:r>
      <w:r>
        <w:rPr>
          <w:rFonts w:hAnsi="宋体"/>
          <w:snapToGrid w:val="0"/>
          <w:spacing w:val="-6"/>
          <w:kern w:val="21"/>
          <w:szCs w:val="21"/>
        </w:rPr>
        <w:fldChar w:fldCharType="end"/>
      </w:r>
      <w:r>
        <w:rPr>
          <w:rFonts w:hAnsi="宋体"/>
          <w:snapToGrid w:val="0"/>
          <w:spacing w:val="-6"/>
          <w:kern w:val="21"/>
          <w:szCs w:val="21"/>
        </w:rPr>
        <w:t>=</w:t>
      </w:r>
      <w:r>
        <w:rPr>
          <w:rFonts w:hAnsi="宋体"/>
          <w:snapToGrid w:val="0"/>
          <w:spacing w:val="-16"/>
          <w:kern w:val="21"/>
          <w:szCs w:val="21"/>
        </w:rPr>
        <w:fldChar w:fldCharType="begin"/>
      </w:r>
      <w:r>
        <w:rPr>
          <w:rFonts w:hAnsi="宋体"/>
          <w:snapToGrid w:val="0"/>
          <w:spacing w:val="-16"/>
          <w:kern w:val="21"/>
          <w:szCs w:val="21"/>
        </w:rPr>
        <w:instrText xml:space="preserve"> = 6 \* GB3 \* MERGEFORMAT </w:instrText>
      </w:r>
      <w:r>
        <w:rPr>
          <w:rFonts w:hAnsi="宋体"/>
          <w:snapToGrid w:val="0"/>
          <w:spacing w:val="-16"/>
          <w:kern w:val="21"/>
          <w:szCs w:val="21"/>
        </w:rPr>
        <w:fldChar w:fldCharType="separate"/>
      </w:r>
      <w:r>
        <w:rPr>
          <w:rFonts w:hint="eastAsia" w:hAnsi="宋体"/>
          <w:szCs w:val="21"/>
        </w:rPr>
        <w:t>⑥</w:t>
      </w:r>
      <w:r>
        <w:rPr>
          <w:rFonts w:hAnsi="宋体"/>
          <w:snapToGrid w:val="0"/>
          <w:spacing w:val="-16"/>
          <w:kern w:val="21"/>
          <w:szCs w:val="21"/>
        </w:rPr>
        <w:fldChar w:fldCharType="end"/>
      </w:r>
      <w:r>
        <w:rPr>
          <w:rFonts w:hAnsi="宋体"/>
          <w:snapToGrid w:val="0"/>
          <w:spacing w:val="-16"/>
          <w:kern w:val="21"/>
          <w:szCs w:val="21"/>
        </w:rPr>
        <w:t>-</w:t>
      </w:r>
      <w:r>
        <w:rPr>
          <w:rFonts w:hAnsi="宋体"/>
          <w:snapToGrid w:val="0"/>
          <w:spacing w:val="-6"/>
          <w:kern w:val="21"/>
          <w:szCs w:val="21"/>
        </w:rPr>
        <w:fldChar w:fldCharType="begin"/>
      </w:r>
      <w:r>
        <w:rPr>
          <w:rFonts w:hAnsi="宋体"/>
          <w:snapToGrid w:val="0"/>
          <w:spacing w:val="-6"/>
          <w:kern w:val="21"/>
          <w:szCs w:val="21"/>
        </w:rPr>
        <w:instrText xml:space="preserve"> = 1 \* GB3 \* MERGEFORMAT </w:instrText>
      </w:r>
      <w:r>
        <w:rPr>
          <w:rFonts w:hAnsi="宋体"/>
          <w:snapToGrid w:val="0"/>
          <w:spacing w:val="-6"/>
          <w:kern w:val="21"/>
          <w:szCs w:val="21"/>
        </w:rPr>
        <w:fldChar w:fldCharType="separate"/>
      </w:r>
      <w:r>
        <w:rPr>
          <w:rFonts w:hint="eastAsia" w:hAnsi="宋体"/>
          <w:szCs w:val="21"/>
        </w:rPr>
        <w:t>①</w:t>
      </w:r>
      <w:r>
        <w:rPr>
          <w:rFonts w:hAnsi="宋体"/>
          <w:snapToGrid w:val="0"/>
          <w:spacing w:val="-6"/>
          <w:kern w:val="21"/>
          <w:szCs w:val="21"/>
        </w:rPr>
        <w:fldChar w:fldCharType="end"/>
      </w:r>
    </w:p>
    <w:sectPr>
      <w:footerReference r:id="rId6" w:type="default"/>
      <w:pgSz w:w="16838" w:h="11906" w:orient="landscape"/>
      <w:pgMar w:top="1531" w:right="1701" w:bottom="1531" w:left="1701" w:header="851" w:footer="1021" w:gutter="0"/>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1"/>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Light">
    <w:altName w:val="宋体"/>
    <w:panose1 w:val="02010600030101010101"/>
    <w:charset w:val="86"/>
    <w:family w:val="auto"/>
    <w:pitch w:val="default"/>
    <w:sig w:usb0="00000000" w:usb1="00000000" w:usb2="00000016" w:usb3="00000000" w:csb0="0004000F" w:csb1="00000000"/>
  </w:font>
  <w:font w:name="长城楷体">
    <w:altName w:val="宋体"/>
    <w:panose1 w:val="00000000000000000000"/>
    <w:charset w:val="86"/>
    <w:family w:val="modern"/>
    <w:pitch w:val="default"/>
    <w:sig w:usb0="00000000" w:usb1="00000000" w:usb2="00000010" w:usb3="00000000" w:csb0="00040000" w:csb1="00000000"/>
  </w:font>
  <w:font w:name="等线">
    <w:altName w:val="微软雅黑"/>
    <w:panose1 w:val="02010600030101010101"/>
    <w:charset w:val="86"/>
    <w:family w:val="auto"/>
    <w:pitch w:val="default"/>
    <w:sig w:usb0="00000000" w:usb1="00000000" w:usb2="00000016" w:usb3="00000000" w:csb0="0004000F" w:csb1="00000000"/>
  </w:font>
  <w:font w:name="仿宋_GB2312">
    <w:panose1 w:val="02010609030101010101"/>
    <w:charset w:val="86"/>
    <w:family w:val="modern"/>
    <w:pitch w:val="default"/>
    <w:sig w:usb0="00000001" w:usb1="080E0000" w:usb2="00000000" w:usb3="00000000" w:csb0="00040000" w:csb1="00000000"/>
  </w:font>
  <w:font w:name="Tahoma">
    <w:panose1 w:val="020B0604030504040204"/>
    <w:charset w:val="00"/>
    <w:family w:val="swiss"/>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 w:name="方正大标宋简体">
    <w:altName w:val="微软雅黑"/>
    <w:panose1 w:val="02000000000000000000"/>
    <w:charset w:val="86"/>
    <w:family w:val="script"/>
    <w:pitch w:val="default"/>
    <w:sig w:usb0="00000000" w:usb1="00000000" w:usb2="00000012" w:usb3="00000000" w:csb0="00040001" w:csb1="00000000"/>
  </w:font>
  <w:font w:name="微软雅黑">
    <w:panose1 w:val="020B0503020204020204"/>
    <w:charset w:val="86"/>
    <w:family w:val="auto"/>
    <w:pitch w:val="default"/>
    <w:sig w:usb0="80000287" w:usb1="280F3C52" w:usb2="00000016" w:usb3="00000000" w:csb0="0004001F" w:csb1="00000000"/>
  </w:font>
  <w:font w:name="楷体">
    <w:panose1 w:val="02010609060101010101"/>
    <w:charset w:val="86"/>
    <w:family w:val="modern"/>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 w:name="Helvetica">
    <w:altName w:val="Arial"/>
    <w:panose1 w:val="00000000000000000000"/>
    <w:charset w:val="00"/>
    <w:family w:val="auto"/>
    <w:pitch w:val="default"/>
    <w:sig w:usb0="00000000" w:usb1="00000000" w:usb2="00000000" w:usb3="00000000" w:csb0="00000000" w:csb1="00000000"/>
  </w:font>
  <w:font w:name="瀹嬩綋">
    <w:altName w:val="宋体"/>
    <w:panose1 w:val="00000000000000000000"/>
    <w:charset w:val="86"/>
    <w:family w:val="auto"/>
    <w:pitch w:val="default"/>
    <w:sig w:usb0="00000000" w:usb1="00000000" w:usb2="00000010" w:usb3="00000000" w:csb0="00040000" w:csb1="00000000"/>
  </w:font>
  <w:font w:name="Segoe UI">
    <w:panose1 w:val="020B0502040204020203"/>
    <w:charset w:val="00"/>
    <w:family w:val="auto"/>
    <w:pitch w:val="default"/>
    <w:sig w:usb0="E10022FF" w:usb1="C000E47F" w:usb2="00000029" w:usb3="00000000" w:csb0="200001DF" w:csb1="20000000"/>
  </w:font>
  <w:font w:name="TimesNewRomanPSMT">
    <w:altName w:val="Times New Roman"/>
    <w:panose1 w:val="00000000000000000000"/>
    <w:charset w:val="86"/>
    <w:family w:val="auto"/>
    <w:pitch w:val="default"/>
    <w:sig w:usb0="00000000" w:usb1="00000000" w:usb2="00000000" w:usb3="00000000" w:csb0="00040000" w:csb1="00000000"/>
  </w:font>
  <w:font w:name="等线">
    <w:altName w:val="微软雅黑"/>
    <w:panose1 w:val="00000000000000000000"/>
    <w:charset w:val="00"/>
    <w:family w:val="auto"/>
    <w:pitch w:val="default"/>
    <w:sig w:usb0="00000000" w:usb1="00000000" w:usb2="00000000" w:usb3="00000000" w:csb0="00000000" w:csb1="00000000"/>
  </w:font>
  <w:font w:name="MS PGothic">
    <w:panose1 w:val="020B0600070205080204"/>
    <w:charset w:val="80"/>
    <w:family w:val="auto"/>
    <w:pitch w:val="default"/>
    <w:sig w:usb0="E00002FF" w:usb1="6AC7FDFB" w:usb2="00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D8313A">
    <w:pPr>
      <w:pStyle w:val="29"/>
      <w:ind w:right="360" w:firstLine="360"/>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864290">
    <w:pPr>
      <w:pStyle w:val="29"/>
      <w:framePr w:wrap="around" w:vAnchor="text" w:hAnchor="margin" w:xAlign="center" w:y="1"/>
      <w:rPr>
        <w:rStyle w:val="45"/>
      </w:rPr>
    </w:pPr>
    <w:r>
      <w:fldChar w:fldCharType="begin"/>
    </w:r>
    <w:r>
      <w:rPr>
        <w:rStyle w:val="45"/>
      </w:rPr>
      <w:instrText xml:space="preserve">PAGE  </w:instrText>
    </w:r>
    <w:r>
      <w:fldChar w:fldCharType="end"/>
    </w:r>
  </w:p>
  <w:p w14:paraId="5AB44562">
    <w:pPr>
      <w:pStyle w:val="29"/>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126129792"/>
      <w:docPartObj>
        <w:docPartGallery w:val="autotext"/>
      </w:docPartObj>
    </w:sdtPr>
    <w:sdtEndPr>
      <w:rPr>
        <w:sz w:val="24"/>
        <w:szCs w:val="28"/>
      </w:rPr>
    </w:sdtEndPr>
    <w:sdtContent>
      <w:p w14:paraId="005EAC54">
        <w:pPr>
          <w:pStyle w:val="29"/>
          <w:jc w:val="center"/>
          <w:rPr>
            <w:sz w:val="24"/>
            <w:szCs w:val="28"/>
          </w:rPr>
        </w:pPr>
        <w:r>
          <w:rPr>
            <w:sz w:val="24"/>
            <w:szCs w:val="28"/>
          </w:rPr>
          <w:fldChar w:fldCharType="begin"/>
        </w:r>
        <w:r>
          <w:rPr>
            <w:sz w:val="24"/>
            <w:szCs w:val="28"/>
          </w:rPr>
          <w:instrText xml:space="preserve">PAGE   \* MERGEFORMAT</w:instrText>
        </w:r>
        <w:r>
          <w:rPr>
            <w:sz w:val="24"/>
            <w:szCs w:val="28"/>
          </w:rPr>
          <w:fldChar w:fldCharType="separate"/>
        </w:r>
        <w:r>
          <w:rPr>
            <w:sz w:val="24"/>
            <w:szCs w:val="28"/>
            <w:lang w:val="zh-CN"/>
          </w:rPr>
          <w:t>2</w:t>
        </w:r>
        <w:r>
          <w:rPr>
            <w:sz w:val="24"/>
            <w:szCs w:val="28"/>
          </w:rPr>
          <w:fldChar w:fldCharType="end"/>
        </w:r>
      </w:p>
    </w:sdtContent>
  </w:sdt>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B791ED">
    <w:pPr>
      <w:pStyle w:val="29"/>
      <w:ind w:right="360" w:firstLine="360"/>
      <w:jc w:val="cente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14935" cy="131445"/>
              <wp:effectExtent l="0" t="0" r="1905" b="1905"/>
              <wp:wrapNone/>
              <wp:docPr id="1849274536" name="文本框 1035"/>
              <wp:cNvGraphicFramePr/>
              <a:graphic xmlns:a="http://schemas.openxmlformats.org/drawingml/2006/main">
                <a:graphicData uri="http://schemas.microsoft.com/office/word/2010/wordprocessingShape">
                  <wps:wsp>
                    <wps:cNvSpPr txBox="1">
                      <a:spLocks noChangeArrowheads="1"/>
                    </wps:cNvSpPr>
                    <wps:spPr bwMode="auto">
                      <a:xfrm>
                        <a:off x="0" y="0"/>
                        <a:ext cx="114935" cy="131445"/>
                      </a:xfrm>
                      <a:prstGeom prst="rect">
                        <a:avLst/>
                      </a:prstGeom>
                      <a:noFill/>
                      <a:ln>
                        <a:noFill/>
                      </a:ln>
                    </wps:spPr>
                    <wps:txbx>
                      <w:txbxContent>
                        <w:p w14:paraId="5F9AB88B">
                          <w:pPr>
                            <w:pStyle w:val="29"/>
                            <w:rPr>
                              <w:sz w:val="24"/>
                              <w:szCs w:val="24"/>
                            </w:rPr>
                          </w:pPr>
                          <w:r>
                            <w:rPr>
                              <w:sz w:val="24"/>
                              <w:szCs w:val="24"/>
                            </w:rPr>
                            <w:fldChar w:fldCharType="begin"/>
                          </w:r>
                          <w:r>
                            <w:rPr>
                              <w:sz w:val="24"/>
                              <w:szCs w:val="24"/>
                            </w:rPr>
                            <w:instrText xml:space="preserve"> PAGE  \* MERGEFORMAT </w:instrText>
                          </w:r>
                          <w:r>
                            <w:rPr>
                              <w:sz w:val="24"/>
                              <w:szCs w:val="24"/>
                            </w:rPr>
                            <w:fldChar w:fldCharType="separate"/>
                          </w:r>
                          <w:r>
                            <w:rPr>
                              <w:sz w:val="24"/>
                              <w:szCs w:val="24"/>
                            </w:rPr>
                            <w:t>126</w:t>
                          </w:r>
                          <w:r>
                            <w:rPr>
                              <w:sz w:val="24"/>
                              <w:szCs w:val="24"/>
                            </w:rPr>
                            <w:fldChar w:fldCharType="end"/>
                          </w:r>
                        </w:p>
                      </w:txbxContent>
                    </wps:txbx>
                    <wps:bodyPr rot="0" vert="horz" wrap="none" lIns="0" tIns="0" rIns="0" bIns="0" anchor="t" anchorCtr="0" upright="1">
                      <a:spAutoFit/>
                    </wps:bodyPr>
                  </wps:wsp>
                </a:graphicData>
              </a:graphic>
            </wp:anchor>
          </w:drawing>
        </mc:Choice>
        <mc:Fallback>
          <w:pict>
            <v:shape id="文本框 1035" o:spid="_x0000_s1026" o:spt="202" type="#_x0000_t202" style="position:absolute;left:0pt;margin-top:0pt;height:10.35pt;width:9.05pt;mso-position-horizontal:center;mso-position-horizontal-relative:margin;mso-wrap-style:none;z-index:251660288;mso-width-relative:page;mso-height-relative:page;" filled="f" stroked="f" coordsize="21600,21600" o:gfxdata="UEsDBAoAAAAAAIdO4kAAAAAAAAAAAAAAAAAEAAAAZHJzL1BLAwQUAAAACACHTuJAQ+V+SdAAAAAD&#10;AQAADwAAAGRycy9kb3ducmV2LnhtbE2PMW/CMBCF90r9D9ZV6lbsMJQoxGFAYmGDVkhsJj7iCPsc&#10;2SYk/76mS7uc9PSe3vuu3kzOshFD7D1JKBYCGFLrdU+dhO+v3UcJLCZFWllPKGHGCJvm9aVWlfYP&#10;OuB4TB3LJRQrJcGkNFScx9agU3HhB6TsXX1wKmUZOq6DeuRyZ/lSiE/uVE95wagBtwbb2/HuJKym&#10;k8ch4hbP17ENpp9Lu5+lfH8rxBpYwin9heGJn9GhyUwXfycdmZWQH0m/9+mVBbCLhKVYAW9q/p+9&#10;+QFQSwMEFAAAAAgAh07iQK0b0+AUAgAADgQAAA4AAABkcnMvZTJvRG9jLnhtbK1TQW7bMBC8F+gf&#10;CN5rWbaTJoLlII3hokDaBkj7AJqiLKISl1jSltwHtD/oqZfe+y6/I0vKctP0kkMvworkzs4Mh/Or&#10;rqnZTqHTYHKejsacKSOh0GaT88+fVq8uOHNemELUYFTO98rxq8XLF/PWZmoCFdSFQkYgxmWtzXnl&#10;vc2SxMlKNcKNwCpDmyVgIzz94iYpULSE3tTJZDw+T1rAwiJI5RytLvtNfkTE5wBCWWqpliC3jTK+&#10;R0VVC0+SXKWt44vItiyV9B/L0inP6pyTUh+/NITqdfgmi7nINihspeWRgngOhSeaGqENDT1BLYUX&#10;bIv6H6hGSwQHpR9JaJJeSHSEVKTjJ97cV8KqqIWsdvZkuvt/sPLD7g6ZLigJF7PLyevZ2fScMyMa&#10;uvnDj++Hn78Pv76xdDw9C1a11mXUcW+px3dvoKO2KNvZW5BfHDNwUwmzUdeI0FZKFEQ1DZ3Jo9Ye&#10;xwWQdfseCholth4iUFdiE3wkZxih0zXtT9ekOs9kGJnOLokPk7SVTtPZLHJLRDY0W3T+rYKGhSLn&#10;SCmI4GJ363wgI7LhSJhlYKXrOiahNn8t0MGwEskHvj1z3627oxlrKPYkA6EPFj0rKirAr5y1FKqc&#10;G3pDnNXvDBkR8jcUOBTroRBGUmPOPWd9eeP7nG4t6k1FuIPV12TWSkchwdWew5ElxSTqO0Y65PDx&#10;fzz15xkvHgB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BD5X5J0AAAAAMBAAAPAAAAAAAAAAEAIAAA&#10;ACIAAABkcnMvZG93bnJldi54bWxQSwECFAAUAAAACACHTuJArRvT4BQCAAAOBAAADgAAAAAAAAAB&#10;ACAAAAAfAQAAZHJzL2Uyb0RvYy54bWxQSwUGAAAAAAYABgBZAQAApQUAAAAA&#10;">
              <v:fill on="f" focussize="0,0"/>
              <v:stroke on="f"/>
              <v:imagedata o:title=""/>
              <o:lock v:ext="edit" aspectratio="f"/>
              <v:textbox inset="0mm,0mm,0mm,0mm" style="mso-fit-shape-to-text:t;">
                <w:txbxContent>
                  <w:p w14:paraId="5F9AB88B">
                    <w:pPr>
                      <w:pStyle w:val="29"/>
                      <w:rPr>
                        <w:sz w:val="24"/>
                        <w:szCs w:val="24"/>
                      </w:rPr>
                    </w:pPr>
                    <w:r>
                      <w:rPr>
                        <w:sz w:val="24"/>
                        <w:szCs w:val="24"/>
                      </w:rPr>
                      <w:fldChar w:fldCharType="begin"/>
                    </w:r>
                    <w:r>
                      <w:rPr>
                        <w:sz w:val="24"/>
                        <w:szCs w:val="24"/>
                      </w:rPr>
                      <w:instrText xml:space="preserve"> PAGE  \* MERGEFORMAT </w:instrText>
                    </w:r>
                    <w:r>
                      <w:rPr>
                        <w:sz w:val="24"/>
                        <w:szCs w:val="24"/>
                      </w:rPr>
                      <w:fldChar w:fldCharType="separate"/>
                    </w:r>
                    <w:r>
                      <w:rPr>
                        <w:sz w:val="24"/>
                        <w:szCs w:val="24"/>
                      </w:rPr>
                      <w:t>126</w:t>
                    </w:r>
                    <w:r>
                      <w:rPr>
                        <w:sz w:val="24"/>
                        <w:szCs w:val="24"/>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DF17298"/>
    <w:multiLevelType w:val="singleLevel"/>
    <w:tmpl w:val="DDF17298"/>
    <w:lvl w:ilvl="0" w:tentative="0">
      <w:start w:val="2"/>
      <w:numFmt w:val="decimal"/>
      <w:suff w:val="nothing"/>
      <w:lvlText w:val="%1）"/>
      <w:lvlJc w:val="left"/>
    </w:lvl>
  </w:abstractNum>
  <w:abstractNum w:abstractNumId="1">
    <w:nsid w:val="ECC34629"/>
    <w:multiLevelType w:val="singleLevel"/>
    <w:tmpl w:val="ECC34629"/>
    <w:lvl w:ilvl="0" w:tentative="0">
      <w:start w:val="4"/>
      <w:numFmt w:val="decimal"/>
      <w:suff w:val="nothing"/>
      <w:lvlText w:val="（%1）"/>
      <w:lvlJc w:val="left"/>
    </w:lvl>
  </w:abstractNum>
  <w:abstractNum w:abstractNumId="2">
    <w:nsid w:val="2ED4B60E"/>
    <w:multiLevelType w:val="singleLevel"/>
    <w:tmpl w:val="2ED4B60E"/>
    <w:lvl w:ilvl="0" w:tentative="0">
      <w:start w:val="1"/>
      <w:numFmt w:val="bullet"/>
      <w:pStyle w:val="24"/>
      <w:lvlText w:val=""/>
      <w:lvlJc w:val="left"/>
      <w:pPr>
        <w:tabs>
          <w:tab w:val="left" w:pos="2040"/>
        </w:tabs>
        <w:ind w:left="2040" w:hanging="360"/>
      </w:pPr>
      <w:rPr>
        <w:rFonts w:hint="default" w:ascii="Wingdings" w:hAnsi="Wingdings"/>
      </w:rPr>
    </w:lvl>
  </w:abstractNum>
  <w:abstractNum w:abstractNumId="3">
    <w:nsid w:val="39E6EE65"/>
    <w:multiLevelType w:val="singleLevel"/>
    <w:tmpl w:val="39E6EE65"/>
    <w:lvl w:ilvl="0" w:tentative="0">
      <w:start w:val="1"/>
      <w:numFmt w:val="decimal"/>
      <w:suff w:val="nothing"/>
      <w:lvlText w:val="%1）"/>
      <w:lvlJc w:val="left"/>
    </w:lvl>
  </w:abstractNum>
  <w:abstractNum w:abstractNumId="4">
    <w:nsid w:val="3E1C14C1"/>
    <w:multiLevelType w:val="singleLevel"/>
    <w:tmpl w:val="3E1C14C1"/>
    <w:lvl w:ilvl="0" w:tentative="0">
      <w:start w:val="1"/>
      <w:numFmt w:val="decimal"/>
      <w:suff w:val="nothing"/>
      <w:lvlText w:val="（%1）"/>
      <w:lvlJc w:val="left"/>
    </w:lvl>
  </w:abstractNum>
  <w:abstractNum w:abstractNumId="5">
    <w:nsid w:val="5A17E79D"/>
    <w:multiLevelType w:val="singleLevel"/>
    <w:tmpl w:val="5A17E79D"/>
    <w:lvl w:ilvl="0" w:tentative="0">
      <w:start w:val="5"/>
      <w:numFmt w:val="chineseCounting"/>
      <w:suff w:val="space"/>
      <w:lvlText w:val="第%1条"/>
      <w:lvlJc w:val="left"/>
      <w:rPr>
        <w:rFonts w:hint="eastAsia"/>
      </w:rPr>
    </w:lvl>
  </w:abstractNum>
  <w:num w:numId="1">
    <w:abstractNumId w:val="2"/>
  </w:num>
  <w:num w:numId="2">
    <w:abstractNumId w:val="1"/>
  </w:num>
  <w:num w:numId="3">
    <w:abstractNumId w:val="5"/>
  </w:num>
  <w:num w:numId="4">
    <w:abstractNumId w:val="0"/>
  </w:num>
  <w:num w:numId="5">
    <w:abstractNumId w:val="3"/>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trackedChanges" w:enforcement="0"/>
  <w:defaultTabStop w:val="420"/>
  <w:displayHorizontalDrawingGridEvery w:val="1"/>
  <w:displayVerticalDrawingGridEvery w:val="1"/>
  <w:noPunctuationKerning w:val="1"/>
  <w:characterSpacingControl w:val="doNotCompress"/>
  <w:compat>
    <w:ulTrailSpace/>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A2ZmFkMmY4OTdjZTc5YjJkNzgxYTRjYjkxMTBmNzIifQ=="/>
  </w:docVars>
  <w:rsids>
    <w:rsidRoot w:val="00172A27"/>
    <w:rsid w:val="000022CB"/>
    <w:rsid w:val="00002636"/>
    <w:rsid w:val="00002BD3"/>
    <w:rsid w:val="000036B0"/>
    <w:rsid w:val="0000597E"/>
    <w:rsid w:val="000060B3"/>
    <w:rsid w:val="00006B52"/>
    <w:rsid w:val="00006EEE"/>
    <w:rsid w:val="000071EA"/>
    <w:rsid w:val="00012181"/>
    <w:rsid w:val="00012537"/>
    <w:rsid w:val="00012DB2"/>
    <w:rsid w:val="0001303F"/>
    <w:rsid w:val="0001306E"/>
    <w:rsid w:val="00013119"/>
    <w:rsid w:val="000131BD"/>
    <w:rsid w:val="000140EE"/>
    <w:rsid w:val="00014DFB"/>
    <w:rsid w:val="00020C18"/>
    <w:rsid w:val="00022BCC"/>
    <w:rsid w:val="0002497F"/>
    <w:rsid w:val="000249CB"/>
    <w:rsid w:val="0002544A"/>
    <w:rsid w:val="0002557D"/>
    <w:rsid w:val="000255BA"/>
    <w:rsid w:val="000255D4"/>
    <w:rsid w:val="00025B9F"/>
    <w:rsid w:val="00026C1D"/>
    <w:rsid w:val="00027333"/>
    <w:rsid w:val="0003164B"/>
    <w:rsid w:val="00031802"/>
    <w:rsid w:val="00031BAE"/>
    <w:rsid w:val="00034556"/>
    <w:rsid w:val="0003480A"/>
    <w:rsid w:val="00037B5B"/>
    <w:rsid w:val="00037F22"/>
    <w:rsid w:val="0004114D"/>
    <w:rsid w:val="00042D32"/>
    <w:rsid w:val="0004364B"/>
    <w:rsid w:val="00043A72"/>
    <w:rsid w:val="00043AA0"/>
    <w:rsid w:val="00046542"/>
    <w:rsid w:val="000469BC"/>
    <w:rsid w:val="00046A49"/>
    <w:rsid w:val="00050CCF"/>
    <w:rsid w:val="00055C70"/>
    <w:rsid w:val="00056786"/>
    <w:rsid w:val="00057E59"/>
    <w:rsid w:val="0006025E"/>
    <w:rsid w:val="00061B1F"/>
    <w:rsid w:val="0006473D"/>
    <w:rsid w:val="000705B8"/>
    <w:rsid w:val="00070B2E"/>
    <w:rsid w:val="00071D3E"/>
    <w:rsid w:val="000733C4"/>
    <w:rsid w:val="00073C09"/>
    <w:rsid w:val="00074783"/>
    <w:rsid w:val="00074868"/>
    <w:rsid w:val="00074965"/>
    <w:rsid w:val="00074BE5"/>
    <w:rsid w:val="000750DE"/>
    <w:rsid w:val="0007792F"/>
    <w:rsid w:val="00080035"/>
    <w:rsid w:val="0008070B"/>
    <w:rsid w:val="00080AFD"/>
    <w:rsid w:val="000810AC"/>
    <w:rsid w:val="00081A02"/>
    <w:rsid w:val="00081E96"/>
    <w:rsid w:val="00082231"/>
    <w:rsid w:val="00083862"/>
    <w:rsid w:val="000909DB"/>
    <w:rsid w:val="00092612"/>
    <w:rsid w:val="00092D38"/>
    <w:rsid w:val="0009377B"/>
    <w:rsid w:val="000937A6"/>
    <w:rsid w:val="0009451B"/>
    <w:rsid w:val="00095ADA"/>
    <w:rsid w:val="0009679F"/>
    <w:rsid w:val="000A0666"/>
    <w:rsid w:val="000A08C8"/>
    <w:rsid w:val="000A09C3"/>
    <w:rsid w:val="000A0A3A"/>
    <w:rsid w:val="000A0D52"/>
    <w:rsid w:val="000A12FE"/>
    <w:rsid w:val="000A20C9"/>
    <w:rsid w:val="000A2349"/>
    <w:rsid w:val="000A42BE"/>
    <w:rsid w:val="000A52E8"/>
    <w:rsid w:val="000A53DC"/>
    <w:rsid w:val="000A7017"/>
    <w:rsid w:val="000B0215"/>
    <w:rsid w:val="000B058F"/>
    <w:rsid w:val="000B1A5E"/>
    <w:rsid w:val="000B28CA"/>
    <w:rsid w:val="000B29C8"/>
    <w:rsid w:val="000B4467"/>
    <w:rsid w:val="000B4DB9"/>
    <w:rsid w:val="000B637B"/>
    <w:rsid w:val="000B6712"/>
    <w:rsid w:val="000C09AC"/>
    <w:rsid w:val="000C0FE8"/>
    <w:rsid w:val="000C24DA"/>
    <w:rsid w:val="000C64E0"/>
    <w:rsid w:val="000C6559"/>
    <w:rsid w:val="000C6653"/>
    <w:rsid w:val="000C767F"/>
    <w:rsid w:val="000D0875"/>
    <w:rsid w:val="000D0919"/>
    <w:rsid w:val="000D2CE8"/>
    <w:rsid w:val="000D348B"/>
    <w:rsid w:val="000D5A44"/>
    <w:rsid w:val="000D655F"/>
    <w:rsid w:val="000E1719"/>
    <w:rsid w:val="000E17FB"/>
    <w:rsid w:val="000E3ED2"/>
    <w:rsid w:val="000E4E94"/>
    <w:rsid w:val="000E7899"/>
    <w:rsid w:val="000F105D"/>
    <w:rsid w:val="000F1A34"/>
    <w:rsid w:val="000F4B8B"/>
    <w:rsid w:val="000F4E75"/>
    <w:rsid w:val="000F7748"/>
    <w:rsid w:val="000F7A5F"/>
    <w:rsid w:val="0010058C"/>
    <w:rsid w:val="001009DC"/>
    <w:rsid w:val="00101CFC"/>
    <w:rsid w:val="0010235F"/>
    <w:rsid w:val="00103A86"/>
    <w:rsid w:val="00104C7A"/>
    <w:rsid w:val="00104DD5"/>
    <w:rsid w:val="0010709E"/>
    <w:rsid w:val="00113006"/>
    <w:rsid w:val="00113508"/>
    <w:rsid w:val="0011440E"/>
    <w:rsid w:val="0011636D"/>
    <w:rsid w:val="0011675B"/>
    <w:rsid w:val="00116FA6"/>
    <w:rsid w:val="00120143"/>
    <w:rsid w:val="00122099"/>
    <w:rsid w:val="0012583E"/>
    <w:rsid w:val="00126021"/>
    <w:rsid w:val="00126E2B"/>
    <w:rsid w:val="00131391"/>
    <w:rsid w:val="0013163E"/>
    <w:rsid w:val="00131F42"/>
    <w:rsid w:val="00133151"/>
    <w:rsid w:val="001357F1"/>
    <w:rsid w:val="00135EDC"/>
    <w:rsid w:val="00140FA8"/>
    <w:rsid w:val="00141BF7"/>
    <w:rsid w:val="00142FEB"/>
    <w:rsid w:val="00143A2D"/>
    <w:rsid w:val="00144DE9"/>
    <w:rsid w:val="00144F6D"/>
    <w:rsid w:val="00145A41"/>
    <w:rsid w:val="001512D9"/>
    <w:rsid w:val="00151675"/>
    <w:rsid w:val="00151B43"/>
    <w:rsid w:val="001520F3"/>
    <w:rsid w:val="001523A8"/>
    <w:rsid w:val="00154AA9"/>
    <w:rsid w:val="0015597C"/>
    <w:rsid w:val="001573C6"/>
    <w:rsid w:val="00157435"/>
    <w:rsid w:val="001611D2"/>
    <w:rsid w:val="001646B4"/>
    <w:rsid w:val="001647FC"/>
    <w:rsid w:val="001661CF"/>
    <w:rsid w:val="001715EC"/>
    <w:rsid w:val="0017289E"/>
    <w:rsid w:val="0017504D"/>
    <w:rsid w:val="00175FED"/>
    <w:rsid w:val="001761C0"/>
    <w:rsid w:val="0017671A"/>
    <w:rsid w:val="00176DEF"/>
    <w:rsid w:val="00177422"/>
    <w:rsid w:val="00180635"/>
    <w:rsid w:val="00180A82"/>
    <w:rsid w:val="00181C80"/>
    <w:rsid w:val="00181E65"/>
    <w:rsid w:val="00183531"/>
    <w:rsid w:val="00184590"/>
    <w:rsid w:val="00184F3C"/>
    <w:rsid w:val="00185164"/>
    <w:rsid w:val="00185FA1"/>
    <w:rsid w:val="001870D1"/>
    <w:rsid w:val="0018781E"/>
    <w:rsid w:val="001922CA"/>
    <w:rsid w:val="0019262D"/>
    <w:rsid w:val="00192993"/>
    <w:rsid w:val="00192B1F"/>
    <w:rsid w:val="00192C75"/>
    <w:rsid w:val="00192D87"/>
    <w:rsid w:val="00193336"/>
    <w:rsid w:val="00194E0D"/>
    <w:rsid w:val="00196F5E"/>
    <w:rsid w:val="00197BBF"/>
    <w:rsid w:val="001A00F5"/>
    <w:rsid w:val="001A01E3"/>
    <w:rsid w:val="001A1B35"/>
    <w:rsid w:val="001A35A9"/>
    <w:rsid w:val="001A48A2"/>
    <w:rsid w:val="001A68F3"/>
    <w:rsid w:val="001A6F61"/>
    <w:rsid w:val="001A7DB4"/>
    <w:rsid w:val="001B0AA7"/>
    <w:rsid w:val="001B1144"/>
    <w:rsid w:val="001B2A61"/>
    <w:rsid w:val="001B2F38"/>
    <w:rsid w:val="001B5C66"/>
    <w:rsid w:val="001B72B8"/>
    <w:rsid w:val="001C092A"/>
    <w:rsid w:val="001C14DF"/>
    <w:rsid w:val="001C17EA"/>
    <w:rsid w:val="001C2E45"/>
    <w:rsid w:val="001C4205"/>
    <w:rsid w:val="001C66D2"/>
    <w:rsid w:val="001C69B3"/>
    <w:rsid w:val="001C6B1B"/>
    <w:rsid w:val="001D05D8"/>
    <w:rsid w:val="001D0603"/>
    <w:rsid w:val="001D3B23"/>
    <w:rsid w:val="001D5595"/>
    <w:rsid w:val="001D7874"/>
    <w:rsid w:val="001D7D62"/>
    <w:rsid w:val="001D7F22"/>
    <w:rsid w:val="001E03D5"/>
    <w:rsid w:val="001E1AA5"/>
    <w:rsid w:val="001E40B3"/>
    <w:rsid w:val="001E4171"/>
    <w:rsid w:val="001E42B3"/>
    <w:rsid w:val="001E4566"/>
    <w:rsid w:val="001E5B37"/>
    <w:rsid w:val="001E669B"/>
    <w:rsid w:val="001E757F"/>
    <w:rsid w:val="001E797D"/>
    <w:rsid w:val="001F0032"/>
    <w:rsid w:val="001F0F17"/>
    <w:rsid w:val="001F221B"/>
    <w:rsid w:val="001F3107"/>
    <w:rsid w:val="001F3347"/>
    <w:rsid w:val="001F375B"/>
    <w:rsid w:val="001F4761"/>
    <w:rsid w:val="001F6507"/>
    <w:rsid w:val="001F65BF"/>
    <w:rsid w:val="001F69E4"/>
    <w:rsid w:val="001F7114"/>
    <w:rsid w:val="00200BE2"/>
    <w:rsid w:val="00201091"/>
    <w:rsid w:val="00201B8E"/>
    <w:rsid w:val="00207708"/>
    <w:rsid w:val="002120EB"/>
    <w:rsid w:val="002122C2"/>
    <w:rsid w:val="002125B4"/>
    <w:rsid w:val="00212630"/>
    <w:rsid w:val="002128F2"/>
    <w:rsid w:val="00212C4B"/>
    <w:rsid w:val="00213F85"/>
    <w:rsid w:val="002155B8"/>
    <w:rsid w:val="002168FC"/>
    <w:rsid w:val="00216DBB"/>
    <w:rsid w:val="00221630"/>
    <w:rsid w:val="0022255C"/>
    <w:rsid w:val="00223C66"/>
    <w:rsid w:val="00224839"/>
    <w:rsid w:val="002248FF"/>
    <w:rsid w:val="002249B2"/>
    <w:rsid w:val="00225B54"/>
    <w:rsid w:val="00225FA4"/>
    <w:rsid w:val="00226033"/>
    <w:rsid w:val="00226574"/>
    <w:rsid w:val="0022717F"/>
    <w:rsid w:val="0022748B"/>
    <w:rsid w:val="002278EC"/>
    <w:rsid w:val="002327A0"/>
    <w:rsid w:val="0023280E"/>
    <w:rsid w:val="00233678"/>
    <w:rsid w:val="00233B13"/>
    <w:rsid w:val="00234D4A"/>
    <w:rsid w:val="00235717"/>
    <w:rsid w:val="002377D1"/>
    <w:rsid w:val="0024278A"/>
    <w:rsid w:val="002432F9"/>
    <w:rsid w:val="002449D4"/>
    <w:rsid w:val="00246C0C"/>
    <w:rsid w:val="002506BC"/>
    <w:rsid w:val="00250772"/>
    <w:rsid w:val="002507D6"/>
    <w:rsid w:val="00252096"/>
    <w:rsid w:val="00252842"/>
    <w:rsid w:val="00254345"/>
    <w:rsid w:val="00254BC1"/>
    <w:rsid w:val="002607CC"/>
    <w:rsid w:val="0026125D"/>
    <w:rsid w:val="00261B87"/>
    <w:rsid w:val="00261E35"/>
    <w:rsid w:val="002630BB"/>
    <w:rsid w:val="00263B2C"/>
    <w:rsid w:val="00264557"/>
    <w:rsid w:val="00271078"/>
    <w:rsid w:val="00272534"/>
    <w:rsid w:val="002737D8"/>
    <w:rsid w:val="00273B4C"/>
    <w:rsid w:val="00273C27"/>
    <w:rsid w:val="00273EAF"/>
    <w:rsid w:val="002740F9"/>
    <w:rsid w:val="00274206"/>
    <w:rsid w:val="00274941"/>
    <w:rsid w:val="00274D9F"/>
    <w:rsid w:val="002766DD"/>
    <w:rsid w:val="0028017D"/>
    <w:rsid w:val="002805AB"/>
    <w:rsid w:val="00281222"/>
    <w:rsid w:val="00281720"/>
    <w:rsid w:val="0028312E"/>
    <w:rsid w:val="00284204"/>
    <w:rsid w:val="00285A9C"/>
    <w:rsid w:val="00286503"/>
    <w:rsid w:val="00286663"/>
    <w:rsid w:val="00291428"/>
    <w:rsid w:val="00291773"/>
    <w:rsid w:val="00292475"/>
    <w:rsid w:val="002931AC"/>
    <w:rsid w:val="00293536"/>
    <w:rsid w:val="00293AD6"/>
    <w:rsid w:val="00294311"/>
    <w:rsid w:val="00294DF6"/>
    <w:rsid w:val="00297AAC"/>
    <w:rsid w:val="00297E7C"/>
    <w:rsid w:val="002A168C"/>
    <w:rsid w:val="002A1772"/>
    <w:rsid w:val="002A1876"/>
    <w:rsid w:val="002A266A"/>
    <w:rsid w:val="002A3DC7"/>
    <w:rsid w:val="002A4442"/>
    <w:rsid w:val="002A49E6"/>
    <w:rsid w:val="002A621A"/>
    <w:rsid w:val="002B0634"/>
    <w:rsid w:val="002B1C04"/>
    <w:rsid w:val="002B3EDE"/>
    <w:rsid w:val="002B49E2"/>
    <w:rsid w:val="002B5BFC"/>
    <w:rsid w:val="002B6A49"/>
    <w:rsid w:val="002B6D54"/>
    <w:rsid w:val="002B7B00"/>
    <w:rsid w:val="002B7C44"/>
    <w:rsid w:val="002C1417"/>
    <w:rsid w:val="002C1418"/>
    <w:rsid w:val="002C2B17"/>
    <w:rsid w:val="002C3637"/>
    <w:rsid w:val="002C3C89"/>
    <w:rsid w:val="002C4199"/>
    <w:rsid w:val="002C43A8"/>
    <w:rsid w:val="002D1A2A"/>
    <w:rsid w:val="002D1D32"/>
    <w:rsid w:val="002D215E"/>
    <w:rsid w:val="002D228B"/>
    <w:rsid w:val="002D3DD0"/>
    <w:rsid w:val="002D6108"/>
    <w:rsid w:val="002D6553"/>
    <w:rsid w:val="002E0024"/>
    <w:rsid w:val="002E16F3"/>
    <w:rsid w:val="002E1F3A"/>
    <w:rsid w:val="002E2686"/>
    <w:rsid w:val="002E298A"/>
    <w:rsid w:val="002E3B5B"/>
    <w:rsid w:val="002E6244"/>
    <w:rsid w:val="002E687C"/>
    <w:rsid w:val="002E7459"/>
    <w:rsid w:val="002E76E1"/>
    <w:rsid w:val="002F23A9"/>
    <w:rsid w:val="002F2EED"/>
    <w:rsid w:val="002F3116"/>
    <w:rsid w:val="002F5044"/>
    <w:rsid w:val="002F5375"/>
    <w:rsid w:val="002F5B5B"/>
    <w:rsid w:val="002F617A"/>
    <w:rsid w:val="002F6501"/>
    <w:rsid w:val="002F6984"/>
    <w:rsid w:val="002F6A6B"/>
    <w:rsid w:val="002F71CA"/>
    <w:rsid w:val="002F7493"/>
    <w:rsid w:val="002F78B4"/>
    <w:rsid w:val="003000CF"/>
    <w:rsid w:val="00300177"/>
    <w:rsid w:val="00300C79"/>
    <w:rsid w:val="003018AB"/>
    <w:rsid w:val="00301978"/>
    <w:rsid w:val="0030332C"/>
    <w:rsid w:val="0030337B"/>
    <w:rsid w:val="00303EF4"/>
    <w:rsid w:val="003051C2"/>
    <w:rsid w:val="00305793"/>
    <w:rsid w:val="00306025"/>
    <w:rsid w:val="00306913"/>
    <w:rsid w:val="00306CC2"/>
    <w:rsid w:val="00306D5C"/>
    <w:rsid w:val="003074A0"/>
    <w:rsid w:val="00307D1D"/>
    <w:rsid w:val="00311084"/>
    <w:rsid w:val="00312165"/>
    <w:rsid w:val="00312296"/>
    <w:rsid w:val="00313076"/>
    <w:rsid w:val="00313440"/>
    <w:rsid w:val="00313707"/>
    <w:rsid w:val="0031454D"/>
    <w:rsid w:val="00314F0E"/>
    <w:rsid w:val="0031562C"/>
    <w:rsid w:val="00316AA3"/>
    <w:rsid w:val="00317B41"/>
    <w:rsid w:val="003208EF"/>
    <w:rsid w:val="00321D8E"/>
    <w:rsid w:val="00321EA9"/>
    <w:rsid w:val="00322A52"/>
    <w:rsid w:val="00322AD4"/>
    <w:rsid w:val="00322F43"/>
    <w:rsid w:val="00322F55"/>
    <w:rsid w:val="00323670"/>
    <w:rsid w:val="00324D5B"/>
    <w:rsid w:val="003255EF"/>
    <w:rsid w:val="00325928"/>
    <w:rsid w:val="00327CCF"/>
    <w:rsid w:val="00330CAA"/>
    <w:rsid w:val="00330E6F"/>
    <w:rsid w:val="00332397"/>
    <w:rsid w:val="00332863"/>
    <w:rsid w:val="00334892"/>
    <w:rsid w:val="00335110"/>
    <w:rsid w:val="0033555E"/>
    <w:rsid w:val="0033593F"/>
    <w:rsid w:val="00335E1A"/>
    <w:rsid w:val="0033684D"/>
    <w:rsid w:val="00337696"/>
    <w:rsid w:val="00337B42"/>
    <w:rsid w:val="00341B42"/>
    <w:rsid w:val="00342245"/>
    <w:rsid w:val="0034348F"/>
    <w:rsid w:val="003458D7"/>
    <w:rsid w:val="0034631F"/>
    <w:rsid w:val="00346973"/>
    <w:rsid w:val="00347E2B"/>
    <w:rsid w:val="0035010D"/>
    <w:rsid w:val="003501FD"/>
    <w:rsid w:val="003515BD"/>
    <w:rsid w:val="003548B9"/>
    <w:rsid w:val="00354965"/>
    <w:rsid w:val="00355AAB"/>
    <w:rsid w:val="00356653"/>
    <w:rsid w:val="003568BA"/>
    <w:rsid w:val="0035743F"/>
    <w:rsid w:val="00357BE2"/>
    <w:rsid w:val="003601A3"/>
    <w:rsid w:val="00360930"/>
    <w:rsid w:val="003610C3"/>
    <w:rsid w:val="0036170C"/>
    <w:rsid w:val="0036326A"/>
    <w:rsid w:val="00363984"/>
    <w:rsid w:val="00364ADC"/>
    <w:rsid w:val="00365653"/>
    <w:rsid w:val="003661F2"/>
    <w:rsid w:val="00366E0F"/>
    <w:rsid w:val="00367B0D"/>
    <w:rsid w:val="0037053C"/>
    <w:rsid w:val="00371F58"/>
    <w:rsid w:val="003721FF"/>
    <w:rsid w:val="00372FC0"/>
    <w:rsid w:val="003731D5"/>
    <w:rsid w:val="003735D2"/>
    <w:rsid w:val="0037410A"/>
    <w:rsid w:val="00374230"/>
    <w:rsid w:val="003754DD"/>
    <w:rsid w:val="00375641"/>
    <w:rsid w:val="00375E3B"/>
    <w:rsid w:val="003800DE"/>
    <w:rsid w:val="00380170"/>
    <w:rsid w:val="00381A72"/>
    <w:rsid w:val="00381B2A"/>
    <w:rsid w:val="00381C83"/>
    <w:rsid w:val="003822A5"/>
    <w:rsid w:val="003837E6"/>
    <w:rsid w:val="00384676"/>
    <w:rsid w:val="0038617B"/>
    <w:rsid w:val="003876C1"/>
    <w:rsid w:val="00390857"/>
    <w:rsid w:val="003938AB"/>
    <w:rsid w:val="00393F0A"/>
    <w:rsid w:val="00394777"/>
    <w:rsid w:val="003975FA"/>
    <w:rsid w:val="003A0914"/>
    <w:rsid w:val="003A1044"/>
    <w:rsid w:val="003A2167"/>
    <w:rsid w:val="003A2834"/>
    <w:rsid w:val="003A39C1"/>
    <w:rsid w:val="003A4BF3"/>
    <w:rsid w:val="003A67E7"/>
    <w:rsid w:val="003B088D"/>
    <w:rsid w:val="003B1465"/>
    <w:rsid w:val="003B1EBA"/>
    <w:rsid w:val="003B420D"/>
    <w:rsid w:val="003B58D9"/>
    <w:rsid w:val="003B5A42"/>
    <w:rsid w:val="003B643A"/>
    <w:rsid w:val="003B6A6C"/>
    <w:rsid w:val="003C6C16"/>
    <w:rsid w:val="003C7B56"/>
    <w:rsid w:val="003D1171"/>
    <w:rsid w:val="003D4B1A"/>
    <w:rsid w:val="003D4B84"/>
    <w:rsid w:val="003D51B8"/>
    <w:rsid w:val="003D7903"/>
    <w:rsid w:val="003D794D"/>
    <w:rsid w:val="003E1A18"/>
    <w:rsid w:val="003E2738"/>
    <w:rsid w:val="003E3058"/>
    <w:rsid w:val="003E3129"/>
    <w:rsid w:val="003E4372"/>
    <w:rsid w:val="003E6F7E"/>
    <w:rsid w:val="003E76A9"/>
    <w:rsid w:val="003E76B6"/>
    <w:rsid w:val="003F0472"/>
    <w:rsid w:val="003F0809"/>
    <w:rsid w:val="003F11FD"/>
    <w:rsid w:val="003F19DF"/>
    <w:rsid w:val="003F252A"/>
    <w:rsid w:val="003F35EF"/>
    <w:rsid w:val="003F3692"/>
    <w:rsid w:val="003F49E2"/>
    <w:rsid w:val="003F4C7C"/>
    <w:rsid w:val="003F4D3F"/>
    <w:rsid w:val="003F559A"/>
    <w:rsid w:val="003F6A8C"/>
    <w:rsid w:val="003F6ABB"/>
    <w:rsid w:val="003F6C2D"/>
    <w:rsid w:val="003F6E60"/>
    <w:rsid w:val="003F755C"/>
    <w:rsid w:val="004017E2"/>
    <w:rsid w:val="004022D4"/>
    <w:rsid w:val="00402449"/>
    <w:rsid w:val="0040266E"/>
    <w:rsid w:val="0040291A"/>
    <w:rsid w:val="004040DB"/>
    <w:rsid w:val="00405D04"/>
    <w:rsid w:val="00406841"/>
    <w:rsid w:val="00406CCC"/>
    <w:rsid w:val="00406F01"/>
    <w:rsid w:val="00407044"/>
    <w:rsid w:val="00411FB9"/>
    <w:rsid w:val="004149B3"/>
    <w:rsid w:val="00415388"/>
    <w:rsid w:val="00415A73"/>
    <w:rsid w:val="00415D46"/>
    <w:rsid w:val="00416D50"/>
    <w:rsid w:val="00416FD5"/>
    <w:rsid w:val="00417772"/>
    <w:rsid w:val="00417DA7"/>
    <w:rsid w:val="00420E12"/>
    <w:rsid w:val="00420E6A"/>
    <w:rsid w:val="00421A4F"/>
    <w:rsid w:val="00422BFB"/>
    <w:rsid w:val="0042325F"/>
    <w:rsid w:val="00425A9E"/>
    <w:rsid w:val="00426D6B"/>
    <w:rsid w:val="004319C5"/>
    <w:rsid w:val="00431E6C"/>
    <w:rsid w:val="00432386"/>
    <w:rsid w:val="004325C5"/>
    <w:rsid w:val="00433CE7"/>
    <w:rsid w:val="00434832"/>
    <w:rsid w:val="004349D8"/>
    <w:rsid w:val="00434D2C"/>
    <w:rsid w:val="004405DA"/>
    <w:rsid w:val="00441F79"/>
    <w:rsid w:val="004422F0"/>
    <w:rsid w:val="00443260"/>
    <w:rsid w:val="004442E2"/>
    <w:rsid w:val="00446B65"/>
    <w:rsid w:val="00446DB3"/>
    <w:rsid w:val="00447C0E"/>
    <w:rsid w:val="00450464"/>
    <w:rsid w:val="00451217"/>
    <w:rsid w:val="00452738"/>
    <w:rsid w:val="00455DE4"/>
    <w:rsid w:val="00456091"/>
    <w:rsid w:val="00460991"/>
    <w:rsid w:val="004613D9"/>
    <w:rsid w:val="00465DFF"/>
    <w:rsid w:val="004661C2"/>
    <w:rsid w:val="00466321"/>
    <w:rsid w:val="004676FA"/>
    <w:rsid w:val="004716E4"/>
    <w:rsid w:val="004738A2"/>
    <w:rsid w:val="00473C0A"/>
    <w:rsid w:val="00475207"/>
    <w:rsid w:val="00477569"/>
    <w:rsid w:val="00480E94"/>
    <w:rsid w:val="004836B7"/>
    <w:rsid w:val="0048378F"/>
    <w:rsid w:val="00484108"/>
    <w:rsid w:val="00484B9B"/>
    <w:rsid w:val="004855F6"/>
    <w:rsid w:val="0048661E"/>
    <w:rsid w:val="00487F00"/>
    <w:rsid w:val="00492A71"/>
    <w:rsid w:val="00492AE5"/>
    <w:rsid w:val="00493C73"/>
    <w:rsid w:val="00494670"/>
    <w:rsid w:val="00494DF7"/>
    <w:rsid w:val="00494F46"/>
    <w:rsid w:val="00496C58"/>
    <w:rsid w:val="00497F0F"/>
    <w:rsid w:val="004A3823"/>
    <w:rsid w:val="004A3958"/>
    <w:rsid w:val="004A5A90"/>
    <w:rsid w:val="004A72E4"/>
    <w:rsid w:val="004A7A01"/>
    <w:rsid w:val="004B1403"/>
    <w:rsid w:val="004B462C"/>
    <w:rsid w:val="004B4BAD"/>
    <w:rsid w:val="004B670F"/>
    <w:rsid w:val="004B7A4C"/>
    <w:rsid w:val="004C15E4"/>
    <w:rsid w:val="004C266B"/>
    <w:rsid w:val="004C34D1"/>
    <w:rsid w:val="004C3623"/>
    <w:rsid w:val="004C4CAB"/>
    <w:rsid w:val="004C50D8"/>
    <w:rsid w:val="004C71B4"/>
    <w:rsid w:val="004C787E"/>
    <w:rsid w:val="004C7D2C"/>
    <w:rsid w:val="004D11F2"/>
    <w:rsid w:val="004D1D92"/>
    <w:rsid w:val="004D2C68"/>
    <w:rsid w:val="004E03D0"/>
    <w:rsid w:val="004E4196"/>
    <w:rsid w:val="004E5DAD"/>
    <w:rsid w:val="004E616D"/>
    <w:rsid w:val="004E6418"/>
    <w:rsid w:val="004E66B4"/>
    <w:rsid w:val="004E6946"/>
    <w:rsid w:val="004E6CB1"/>
    <w:rsid w:val="004E6CD3"/>
    <w:rsid w:val="004E7F83"/>
    <w:rsid w:val="004F0EB1"/>
    <w:rsid w:val="004F0F8F"/>
    <w:rsid w:val="004F1AD8"/>
    <w:rsid w:val="004F215E"/>
    <w:rsid w:val="004F40E6"/>
    <w:rsid w:val="004F5423"/>
    <w:rsid w:val="004F5D3A"/>
    <w:rsid w:val="004F64A7"/>
    <w:rsid w:val="004F73F8"/>
    <w:rsid w:val="005019A7"/>
    <w:rsid w:val="005039CB"/>
    <w:rsid w:val="00504673"/>
    <w:rsid w:val="00504C50"/>
    <w:rsid w:val="00504F2A"/>
    <w:rsid w:val="0050558F"/>
    <w:rsid w:val="00506286"/>
    <w:rsid w:val="00506B1E"/>
    <w:rsid w:val="00506E85"/>
    <w:rsid w:val="00507F3A"/>
    <w:rsid w:val="00510813"/>
    <w:rsid w:val="005117E0"/>
    <w:rsid w:val="00511990"/>
    <w:rsid w:val="00511BDC"/>
    <w:rsid w:val="00511DE0"/>
    <w:rsid w:val="00512ECB"/>
    <w:rsid w:val="00514044"/>
    <w:rsid w:val="00514870"/>
    <w:rsid w:val="00514B9B"/>
    <w:rsid w:val="00516CCD"/>
    <w:rsid w:val="0051769F"/>
    <w:rsid w:val="00517F02"/>
    <w:rsid w:val="005223BD"/>
    <w:rsid w:val="00522C60"/>
    <w:rsid w:val="00522CAD"/>
    <w:rsid w:val="00523346"/>
    <w:rsid w:val="00524303"/>
    <w:rsid w:val="00524F51"/>
    <w:rsid w:val="005258A2"/>
    <w:rsid w:val="00525932"/>
    <w:rsid w:val="00526585"/>
    <w:rsid w:val="00526B77"/>
    <w:rsid w:val="00526FF8"/>
    <w:rsid w:val="005279F9"/>
    <w:rsid w:val="00527F9A"/>
    <w:rsid w:val="00530E75"/>
    <w:rsid w:val="00531166"/>
    <w:rsid w:val="005319D6"/>
    <w:rsid w:val="00533CA7"/>
    <w:rsid w:val="005364B5"/>
    <w:rsid w:val="005365DA"/>
    <w:rsid w:val="0054008D"/>
    <w:rsid w:val="005401AE"/>
    <w:rsid w:val="00540C01"/>
    <w:rsid w:val="00541563"/>
    <w:rsid w:val="00542500"/>
    <w:rsid w:val="00542E07"/>
    <w:rsid w:val="00542E15"/>
    <w:rsid w:val="00543BF5"/>
    <w:rsid w:val="00544141"/>
    <w:rsid w:val="00544DEA"/>
    <w:rsid w:val="00545424"/>
    <w:rsid w:val="0054646E"/>
    <w:rsid w:val="00546C98"/>
    <w:rsid w:val="00551FF7"/>
    <w:rsid w:val="00554A7B"/>
    <w:rsid w:val="00554A90"/>
    <w:rsid w:val="0055572C"/>
    <w:rsid w:val="00556A96"/>
    <w:rsid w:val="00557A44"/>
    <w:rsid w:val="005607C0"/>
    <w:rsid w:val="0056106A"/>
    <w:rsid w:val="00561401"/>
    <w:rsid w:val="0056231E"/>
    <w:rsid w:val="00563CD3"/>
    <w:rsid w:val="005646DF"/>
    <w:rsid w:val="00565EC5"/>
    <w:rsid w:val="005668D1"/>
    <w:rsid w:val="00566928"/>
    <w:rsid w:val="00566BB6"/>
    <w:rsid w:val="005671B8"/>
    <w:rsid w:val="00567268"/>
    <w:rsid w:val="005678F4"/>
    <w:rsid w:val="00570548"/>
    <w:rsid w:val="00570D24"/>
    <w:rsid w:val="005720AE"/>
    <w:rsid w:val="00572AF4"/>
    <w:rsid w:val="00574B94"/>
    <w:rsid w:val="005763F4"/>
    <w:rsid w:val="005769B0"/>
    <w:rsid w:val="00576F56"/>
    <w:rsid w:val="00576FA2"/>
    <w:rsid w:val="005835A4"/>
    <w:rsid w:val="005852ED"/>
    <w:rsid w:val="0058693D"/>
    <w:rsid w:val="00586DF6"/>
    <w:rsid w:val="005872B1"/>
    <w:rsid w:val="0058779C"/>
    <w:rsid w:val="00590AA1"/>
    <w:rsid w:val="00590C70"/>
    <w:rsid w:val="00592A4D"/>
    <w:rsid w:val="0059382D"/>
    <w:rsid w:val="00594D77"/>
    <w:rsid w:val="0059602C"/>
    <w:rsid w:val="00596642"/>
    <w:rsid w:val="005969E4"/>
    <w:rsid w:val="005A06B7"/>
    <w:rsid w:val="005A1759"/>
    <w:rsid w:val="005A20A9"/>
    <w:rsid w:val="005A215C"/>
    <w:rsid w:val="005A313B"/>
    <w:rsid w:val="005A3F6A"/>
    <w:rsid w:val="005A45DA"/>
    <w:rsid w:val="005A58A4"/>
    <w:rsid w:val="005A66A7"/>
    <w:rsid w:val="005A68A7"/>
    <w:rsid w:val="005B0F43"/>
    <w:rsid w:val="005B164D"/>
    <w:rsid w:val="005B2085"/>
    <w:rsid w:val="005B23ED"/>
    <w:rsid w:val="005B29C1"/>
    <w:rsid w:val="005B4D04"/>
    <w:rsid w:val="005B51F0"/>
    <w:rsid w:val="005B60E7"/>
    <w:rsid w:val="005B6415"/>
    <w:rsid w:val="005C0F6E"/>
    <w:rsid w:val="005C204F"/>
    <w:rsid w:val="005C222C"/>
    <w:rsid w:val="005C4683"/>
    <w:rsid w:val="005C5CAF"/>
    <w:rsid w:val="005C6240"/>
    <w:rsid w:val="005C7D3C"/>
    <w:rsid w:val="005D0F75"/>
    <w:rsid w:val="005D31A0"/>
    <w:rsid w:val="005D36AB"/>
    <w:rsid w:val="005D4603"/>
    <w:rsid w:val="005D5181"/>
    <w:rsid w:val="005E0C38"/>
    <w:rsid w:val="005E19D3"/>
    <w:rsid w:val="005E23D6"/>
    <w:rsid w:val="005E253B"/>
    <w:rsid w:val="005E2853"/>
    <w:rsid w:val="005E48F6"/>
    <w:rsid w:val="005E682A"/>
    <w:rsid w:val="005F323B"/>
    <w:rsid w:val="005F4158"/>
    <w:rsid w:val="00602923"/>
    <w:rsid w:val="00603CFC"/>
    <w:rsid w:val="0060568D"/>
    <w:rsid w:val="00606F13"/>
    <w:rsid w:val="006077F9"/>
    <w:rsid w:val="006078DB"/>
    <w:rsid w:val="00612EC0"/>
    <w:rsid w:val="00616950"/>
    <w:rsid w:val="00616B21"/>
    <w:rsid w:val="006171E1"/>
    <w:rsid w:val="00617CC3"/>
    <w:rsid w:val="00617FD9"/>
    <w:rsid w:val="00620AF0"/>
    <w:rsid w:val="0062365F"/>
    <w:rsid w:val="00623F14"/>
    <w:rsid w:val="00626D1F"/>
    <w:rsid w:val="006323F4"/>
    <w:rsid w:val="00632B8E"/>
    <w:rsid w:val="00633EFC"/>
    <w:rsid w:val="006360BD"/>
    <w:rsid w:val="006377A6"/>
    <w:rsid w:val="00637A3D"/>
    <w:rsid w:val="006411EF"/>
    <w:rsid w:val="006419A6"/>
    <w:rsid w:val="0064319C"/>
    <w:rsid w:val="00644F3F"/>
    <w:rsid w:val="0064579E"/>
    <w:rsid w:val="0065120D"/>
    <w:rsid w:val="00651B63"/>
    <w:rsid w:val="00652AA1"/>
    <w:rsid w:val="00652D52"/>
    <w:rsid w:val="006534E2"/>
    <w:rsid w:val="00655AA2"/>
    <w:rsid w:val="006560CE"/>
    <w:rsid w:val="006612B5"/>
    <w:rsid w:val="0066207D"/>
    <w:rsid w:val="00664662"/>
    <w:rsid w:val="00664A8C"/>
    <w:rsid w:val="006656F9"/>
    <w:rsid w:val="00667140"/>
    <w:rsid w:val="006712BC"/>
    <w:rsid w:val="006742BF"/>
    <w:rsid w:val="006748B8"/>
    <w:rsid w:val="00674E86"/>
    <w:rsid w:val="00675339"/>
    <w:rsid w:val="0067589C"/>
    <w:rsid w:val="006773D8"/>
    <w:rsid w:val="006775C3"/>
    <w:rsid w:val="00677C81"/>
    <w:rsid w:val="006803D7"/>
    <w:rsid w:val="00680D47"/>
    <w:rsid w:val="0068257A"/>
    <w:rsid w:val="00682957"/>
    <w:rsid w:val="00683A8F"/>
    <w:rsid w:val="00684030"/>
    <w:rsid w:val="00684F90"/>
    <w:rsid w:val="00685785"/>
    <w:rsid w:val="00685F19"/>
    <w:rsid w:val="0068663A"/>
    <w:rsid w:val="0068778B"/>
    <w:rsid w:val="00687925"/>
    <w:rsid w:val="00687B22"/>
    <w:rsid w:val="00690E5A"/>
    <w:rsid w:val="00691767"/>
    <w:rsid w:val="0069290A"/>
    <w:rsid w:val="00692C8E"/>
    <w:rsid w:val="00693175"/>
    <w:rsid w:val="0069466F"/>
    <w:rsid w:val="006949D9"/>
    <w:rsid w:val="00696748"/>
    <w:rsid w:val="00697087"/>
    <w:rsid w:val="0069775A"/>
    <w:rsid w:val="00697813"/>
    <w:rsid w:val="006A2C8E"/>
    <w:rsid w:val="006A3D0D"/>
    <w:rsid w:val="006A3EE8"/>
    <w:rsid w:val="006A4346"/>
    <w:rsid w:val="006A5394"/>
    <w:rsid w:val="006A53CA"/>
    <w:rsid w:val="006A72BF"/>
    <w:rsid w:val="006B03F2"/>
    <w:rsid w:val="006B080A"/>
    <w:rsid w:val="006B236E"/>
    <w:rsid w:val="006B31B0"/>
    <w:rsid w:val="006B32DD"/>
    <w:rsid w:val="006B37DC"/>
    <w:rsid w:val="006B4F68"/>
    <w:rsid w:val="006B6416"/>
    <w:rsid w:val="006B64A5"/>
    <w:rsid w:val="006B7CAF"/>
    <w:rsid w:val="006C0592"/>
    <w:rsid w:val="006C0BD2"/>
    <w:rsid w:val="006C116D"/>
    <w:rsid w:val="006C1490"/>
    <w:rsid w:val="006C272E"/>
    <w:rsid w:val="006C3B4E"/>
    <w:rsid w:val="006C5479"/>
    <w:rsid w:val="006C5811"/>
    <w:rsid w:val="006C5D00"/>
    <w:rsid w:val="006D13B5"/>
    <w:rsid w:val="006D19DB"/>
    <w:rsid w:val="006D1F8E"/>
    <w:rsid w:val="006D44AA"/>
    <w:rsid w:val="006D52A8"/>
    <w:rsid w:val="006D724F"/>
    <w:rsid w:val="006D7A57"/>
    <w:rsid w:val="006E00CB"/>
    <w:rsid w:val="006E0A0C"/>
    <w:rsid w:val="006E121A"/>
    <w:rsid w:val="006E12FF"/>
    <w:rsid w:val="006E2AE1"/>
    <w:rsid w:val="006E2C6D"/>
    <w:rsid w:val="006E386D"/>
    <w:rsid w:val="006E442D"/>
    <w:rsid w:val="006E5E27"/>
    <w:rsid w:val="006E607E"/>
    <w:rsid w:val="006E6AD1"/>
    <w:rsid w:val="006E77A4"/>
    <w:rsid w:val="006F0D4E"/>
    <w:rsid w:val="006F1305"/>
    <w:rsid w:val="006F2E55"/>
    <w:rsid w:val="006F505F"/>
    <w:rsid w:val="006F513B"/>
    <w:rsid w:val="006F5985"/>
    <w:rsid w:val="006F7885"/>
    <w:rsid w:val="00700332"/>
    <w:rsid w:val="00701476"/>
    <w:rsid w:val="007019EE"/>
    <w:rsid w:val="00702DF9"/>
    <w:rsid w:val="007037C0"/>
    <w:rsid w:val="00706C5D"/>
    <w:rsid w:val="007071A3"/>
    <w:rsid w:val="0070789B"/>
    <w:rsid w:val="00707CF1"/>
    <w:rsid w:val="00707F5D"/>
    <w:rsid w:val="007150D4"/>
    <w:rsid w:val="00716BEC"/>
    <w:rsid w:val="00724D36"/>
    <w:rsid w:val="007252C4"/>
    <w:rsid w:val="00726710"/>
    <w:rsid w:val="0072694F"/>
    <w:rsid w:val="0072699E"/>
    <w:rsid w:val="00727816"/>
    <w:rsid w:val="007303D9"/>
    <w:rsid w:val="00730C21"/>
    <w:rsid w:val="0073230C"/>
    <w:rsid w:val="007328C9"/>
    <w:rsid w:val="00732922"/>
    <w:rsid w:val="00732D09"/>
    <w:rsid w:val="007362AF"/>
    <w:rsid w:val="007363E8"/>
    <w:rsid w:val="00736407"/>
    <w:rsid w:val="007408BD"/>
    <w:rsid w:val="00740AB0"/>
    <w:rsid w:val="007423C7"/>
    <w:rsid w:val="00747B69"/>
    <w:rsid w:val="0075162E"/>
    <w:rsid w:val="0075264A"/>
    <w:rsid w:val="007527A9"/>
    <w:rsid w:val="007530CB"/>
    <w:rsid w:val="00754034"/>
    <w:rsid w:val="0075521A"/>
    <w:rsid w:val="007560DC"/>
    <w:rsid w:val="00756556"/>
    <w:rsid w:val="0075795F"/>
    <w:rsid w:val="00761281"/>
    <w:rsid w:val="007618C4"/>
    <w:rsid w:val="007622F5"/>
    <w:rsid w:val="007625CB"/>
    <w:rsid w:val="007630BF"/>
    <w:rsid w:val="00763810"/>
    <w:rsid w:val="00764BB0"/>
    <w:rsid w:val="00766784"/>
    <w:rsid w:val="00767980"/>
    <w:rsid w:val="00770B19"/>
    <w:rsid w:val="00770EBC"/>
    <w:rsid w:val="0077463F"/>
    <w:rsid w:val="0077508B"/>
    <w:rsid w:val="00775D50"/>
    <w:rsid w:val="007770C1"/>
    <w:rsid w:val="007770D6"/>
    <w:rsid w:val="00782156"/>
    <w:rsid w:val="0078272F"/>
    <w:rsid w:val="007827C8"/>
    <w:rsid w:val="00783355"/>
    <w:rsid w:val="007836EA"/>
    <w:rsid w:val="007843EF"/>
    <w:rsid w:val="00784CDA"/>
    <w:rsid w:val="00784EB0"/>
    <w:rsid w:val="007850B1"/>
    <w:rsid w:val="007858F6"/>
    <w:rsid w:val="0078719D"/>
    <w:rsid w:val="00787351"/>
    <w:rsid w:val="0078768E"/>
    <w:rsid w:val="007906C4"/>
    <w:rsid w:val="007920F2"/>
    <w:rsid w:val="00792434"/>
    <w:rsid w:val="007940EA"/>
    <w:rsid w:val="007962CF"/>
    <w:rsid w:val="007967E8"/>
    <w:rsid w:val="007A084A"/>
    <w:rsid w:val="007A1FAE"/>
    <w:rsid w:val="007A2170"/>
    <w:rsid w:val="007A22BF"/>
    <w:rsid w:val="007A3323"/>
    <w:rsid w:val="007A4950"/>
    <w:rsid w:val="007A60A0"/>
    <w:rsid w:val="007A60A7"/>
    <w:rsid w:val="007A6755"/>
    <w:rsid w:val="007A7A26"/>
    <w:rsid w:val="007B0269"/>
    <w:rsid w:val="007B0EE0"/>
    <w:rsid w:val="007B309A"/>
    <w:rsid w:val="007B34F4"/>
    <w:rsid w:val="007B352B"/>
    <w:rsid w:val="007B49B2"/>
    <w:rsid w:val="007B4EC0"/>
    <w:rsid w:val="007B6075"/>
    <w:rsid w:val="007B62FB"/>
    <w:rsid w:val="007B72B8"/>
    <w:rsid w:val="007B7A58"/>
    <w:rsid w:val="007C0367"/>
    <w:rsid w:val="007C03A9"/>
    <w:rsid w:val="007C1AD4"/>
    <w:rsid w:val="007C21B5"/>
    <w:rsid w:val="007C3ED7"/>
    <w:rsid w:val="007C4850"/>
    <w:rsid w:val="007C5BAD"/>
    <w:rsid w:val="007C5C41"/>
    <w:rsid w:val="007C6B6F"/>
    <w:rsid w:val="007C7DF9"/>
    <w:rsid w:val="007D2122"/>
    <w:rsid w:val="007D2648"/>
    <w:rsid w:val="007D2B18"/>
    <w:rsid w:val="007D322B"/>
    <w:rsid w:val="007D3554"/>
    <w:rsid w:val="007D47C4"/>
    <w:rsid w:val="007D535B"/>
    <w:rsid w:val="007D597E"/>
    <w:rsid w:val="007D6BA2"/>
    <w:rsid w:val="007D6DD5"/>
    <w:rsid w:val="007E147E"/>
    <w:rsid w:val="007E1B1B"/>
    <w:rsid w:val="007E4BD2"/>
    <w:rsid w:val="007E7BE9"/>
    <w:rsid w:val="007F0F5A"/>
    <w:rsid w:val="007F487E"/>
    <w:rsid w:val="007F4A60"/>
    <w:rsid w:val="007F5EDA"/>
    <w:rsid w:val="007F70D7"/>
    <w:rsid w:val="00801393"/>
    <w:rsid w:val="00802268"/>
    <w:rsid w:val="00802F88"/>
    <w:rsid w:val="008032A9"/>
    <w:rsid w:val="00804AFD"/>
    <w:rsid w:val="008051C1"/>
    <w:rsid w:val="0080540D"/>
    <w:rsid w:val="008110D0"/>
    <w:rsid w:val="0081293E"/>
    <w:rsid w:val="008145AB"/>
    <w:rsid w:val="008145E1"/>
    <w:rsid w:val="00814849"/>
    <w:rsid w:val="008149EE"/>
    <w:rsid w:val="00815465"/>
    <w:rsid w:val="00816543"/>
    <w:rsid w:val="00816E0F"/>
    <w:rsid w:val="00817C1C"/>
    <w:rsid w:val="00817E9A"/>
    <w:rsid w:val="0082100C"/>
    <w:rsid w:val="00821060"/>
    <w:rsid w:val="00821CCD"/>
    <w:rsid w:val="00826F71"/>
    <w:rsid w:val="0082771D"/>
    <w:rsid w:val="008300E3"/>
    <w:rsid w:val="008306BD"/>
    <w:rsid w:val="00831A80"/>
    <w:rsid w:val="00831CBC"/>
    <w:rsid w:val="00831DA6"/>
    <w:rsid w:val="00832A78"/>
    <w:rsid w:val="00833743"/>
    <w:rsid w:val="008340A4"/>
    <w:rsid w:val="008370F8"/>
    <w:rsid w:val="00840AAE"/>
    <w:rsid w:val="00841C29"/>
    <w:rsid w:val="00841E26"/>
    <w:rsid w:val="00843CDB"/>
    <w:rsid w:val="00844A6D"/>
    <w:rsid w:val="00845FDF"/>
    <w:rsid w:val="008467E1"/>
    <w:rsid w:val="0085057D"/>
    <w:rsid w:val="0085152C"/>
    <w:rsid w:val="00853010"/>
    <w:rsid w:val="00854D00"/>
    <w:rsid w:val="008556BB"/>
    <w:rsid w:val="00855D53"/>
    <w:rsid w:val="008570A6"/>
    <w:rsid w:val="0086075E"/>
    <w:rsid w:val="00863F2D"/>
    <w:rsid w:val="008647E5"/>
    <w:rsid w:val="00865F91"/>
    <w:rsid w:val="00867B6F"/>
    <w:rsid w:val="00870CC4"/>
    <w:rsid w:val="0087135F"/>
    <w:rsid w:val="0087187A"/>
    <w:rsid w:val="008722A4"/>
    <w:rsid w:val="008723B0"/>
    <w:rsid w:val="00872D94"/>
    <w:rsid w:val="008734FD"/>
    <w:rsid w:val="008738B9"/>
    <w:rsid w:val="00873C94"/>
    <w:rsid w:val="008754C0"/>
    <w:rsid w:val="008800E1"/>
    <w:rsid w:val="00880364"/>
    <w:rsid w:val="00880530"/>
    <w:rsid w:val="00881254"/>
    <w:rsid w:val="0088132A"/>
    <w:rsid w:val="008821D3"/>
    <w:rsid w:val="008837C6"/>
    <w:rsid w:val="008849E4"/>
    <w:rsid w:val="00884A80"/>
    <w:rsid w:val="008855A5"/>
    <w:rsid w:val="00885C53"/>
    <w:rsid w:val="008862B2"/>
    <w:rsid w:val="0088671A"/>
    <w:rsid w:val="008901A9"/>
    <w:rsid w:val="00890674"/>
    <w:rsid w:val="00891592"/>
    <w:rsid w:val="008917F3"/>
    <w:rsid w:val="00891E9E"/>
    <w:rsid w:val="008932BD"/>
    <w:rsid w:val="00893649"/>
    <w:rsid w:val="008940BE"/>
    <w:rsid w:val="008A1976"/>
    <w:rsid w:val="008A2C96"/>
    <w:rsid w:val="008A2F68"/>
    <w:rsid w:val="008A304C"/>
    <w:rsid w:val="008A3113"/>
    <w:rsid w:val="008A3F14"/>
    <w:rsid w:val="008A5441"/>
    <w:rsid w:val="008A55C3"/>
    <w:rsid w:val="008A79AC"/>
    <w:rsid w:val="008B0779"/>
    <w:rsid w:val="008B08B9"/>
    <w:rsid w:val="008B32D6"/>
    <w:rsid w:val="008B4FA6"/>
    <w:rsid w:val="008B5282"/>
    <w:rsid w:val="008B5E99"/>
    <w:rsid w:val="008B6D60"/>
    <w:rsid w:val="008B7505"/>
    <w:rsid w:val="008B7964"/>
    <w:rsid w:val="008B7BE6"/>
    <w:rsid w:val="008B7C17"/>
    <w:rsid w:val="008C0901"/>
    <w:rsid w:val="008C1874"/>
    <w:rsid w:val="008C2D01"/>
    <w:rsid w:val="008C3082"/>
    <w:rsid w:val="008C409E"/>
    <w:rsid w:val="008C40E6"/>
    <w:rsid w:val="008C58A1"/>
    <w:rsid w:val="008C6CFA"/>
    <w:rsid w:val="008C7747"/>
    <w:rsid w:val="008C7E7C"/>
    <w:rsid w:val="008D0F7A"/>
    <w:rsid w:val="008D17FD"/>
    <w:rsid w:val="008D3236"/>
    <w:rsid w:val="008D4560"/>
    <w:rsid w:val="008D4806"/>
    <w:rsid w:val="008D4EE8"/>
    <w:rsid w:val="008D68E4"/>
    <w:rsid w:val="008E0506"/>
    <w:rsid w:val="008E0CFF"/>
    <w:rsid w:val="008E2065"/>
    <w:rsid w:val="008E21E9"/>
    <w:rsid w:val="008E3479"/>
    <w:rsid w:val="008E4ADF"/>
    <w:rsid w:val="008E521B"/>
    <w:rsid w:val="008E5A4A"/>
    <w:rsid w:val="008E5D6B"/>
    <w:rsid w:val="008E6B8D"/>
    <w:rsid w:val="008E76F0"/>
    <w:rsid w:val="008F04DE"/>
    <w:rsid w:val="008F14E1"/>
    <w:rsid w:val="008F15FE"/>
    <w:rsid w:val="008F24AA"/>
    <w:rsid w:val="008F2D29"/>
    <w:rsid w:val="008F30BC"/>
    <w:rsid w:val="008F3C67"/>
    <w:rsid w:val="008F4311"/>
    <w:rsid w:val="008F4BC4"/>
    <w:rsid w:val="008F5187"/>
    <w:rsid w:val="008F53F0"/>
    <w:rsid w:val="008F5EAC"/>
    <w:rsid w:val="008F60D8"/>
    <w:rsid w:val="008F69D2"/>
    <w:rsid w:val="008F6AEF"/>
    <w:rsid w:val="008F7147"/>
    <w:rsid w:val="008F74F5"/>
    <w:rsid w:val="00902004"/>
    <w:rsid w:val="00902727"/>
    <w:rsid w:val="0090312B"/>
    <w:rsid w:val="0090384E"/>
    <w:rsid w:val="00905DF7"/>
    <w:rsid w:val="00910B26"/>
    <w:rsid w:val="00915640"/>
    <w:rsid w:val="0091615A"/>
    <w:rsid w:val="0091736D"/>
    <w:rsid w:val="00920536"/>
    <w:rsid w:val="00920859"/>
    <w:rsid w:val="009210A7"/>
    <w:rsid w:val="00921CEC"/>
    <w:rsid w:val="009220B0"/>
    <w:rsid w:val="00923486"/>
    <w:rsid w:val="009244CA"/>
    <w:rsid w:val="00924B58"/>
    <w:rsid w:val="00926505"/>
    <w:rsid w:val="009265BA"/>
    <w:rsid w:val="00927BD1"/>
    <w:rsid w:val="0093037A"/>
    <w:rsid w:val="0093103A"/>
    <w:rsid w:val="00931C5F"/>
    <w:rsid w:val="00933652"/>
    <w:rsid w:val="00934995"/>
    <w:rsid w:val="009375DA"/>
    <w:rsid w:val="00940114"/>
    <w:rsid w:val="0094142D"/>
    <w:rsid w:val="0094154D"/>
    <w:rsid w:val="00941A86"/>
    <w:rsid w:val="0094255B"/>
    <w:rsid w:val="00942675"/>
    <w:rsid w:val="00944A28"/>
    <w:rsid w:val="00946557"/>
    <w:rsid w:val="00947328"/>
    <w:rsid w:val="00947416"/>
    <w:rsid w:val="0095155F"/>
    <w:rsid w:val="00951882"/>
    <w:rsid w:val="00954429"/>
    <w:rsid w:val="00954BFE"/>
    <w:rsid w:val="009563CE"/>
    <w:rsid w:val="0095651D"/>
    <w:rsid w:val="00956786"/>
    <w:rsid w:val="009600A7"/>
    <w:rsid w:val="009630DB"/>
    <w:rsid w:val="00963D63"/>
    <w:rsid w:val="00965805"/>
    <w:rsid w:val="00967796"/>
    <w:rsid w:val="00970C3C"/>
    <w:rsid w:val="00971632"/>
    <w:rsid w:val="00971AA3"/>
    <w:rsid w:val="009731C1"/>
    <w:rsid w:val="00973E47"/>
    <w:rsid w:val="00974AA1"/>
    <w:rsid w:val="00976328"/>
    <w:rsid w:val="0097680D"/>
    <w:rsid w:val="0097765C"/>
    <w:rsid w:val="00981869"/>
    <w:rsid w:val="00981CE9"/>
    <w:rsid w:val="00982438"/>
    <w:rsid w:val="00983EC9"/>
    <w:rsid w:val="0098404C"/>
    <w:rsid w:val="00985283"/>
    <w:rsid w:val="00986C49"/>
    <w:rsid w:val="00987452"/>
    <w:rsid w:val="00992EF9"/>
    <w:rsid w:val="009949D0"/>
    <w:rsid w:val="009953F3"/>
    <w:rsid w:val="00995992"/>
    <w:rsid w:val="00995D3B"/>
    <w:rsid w:val="00995ECC"/>
    <w:rsid w:val="0099616B"/>
    <w:rsid w:val="00996959"/>
    <w:rsid w:val="009A002A"/>
    <w:rsid w:val="009A03E5"/>
    <w:rsid w:val="009A082E"/>
    <w:rsid w:val="009A0F3B"/>
    <w:rsid w:val="009A1BB4"/>
    <w:rsid w:val="009A2628"/>
    <w:rsid w:val="009A3200"/>
    <w:rsid w:val="009A3D11"/>
    <w:rsid w:val="009A46E6"/>
    <w:rsid w:val="009B0897"/>
    <w:rsid w:val="009B188C"/>
    <w:rsid w:val="009B34C9"/>
    <w:rsid w:val="009B3BD2"/>
    <w:rsid w:val="009B41CF"/>
    <w:rsid w:val="009B4CC3"/>
    <w:rsid w:val="009B56EB"/>
    <w:rsid w:val="009B735A"/>
    <w:rsid w:val="009B73B9"/>
    <w:rsid w:val="009B7A81"/>
    <w:rsid w:val="009B7BD9"/>
    <w:rsid w:val="009C04D4"/>
    <w:rsid w:val="009C2064"/>
    <w:rsid w:val="009C364D"/>
    <w:rsid w:val="009C42E9"/>
    <w:rsid w:val="009C4F7D"/>
    <w:rsid w:val="009C5217"/>
    <w:rsid w:val="009C59A2"/>
    <w:rsid w:val="009C5D78"/>
    <w:rsid w:val="009C7DD5"/>
    <w:rsid w:val="009D00BE"/>
    <w:rsid w:val="009D03AA"/>
    <w:rsid w:val="009D0672"/>
    <w:rsid w:val="009D1ECE"/>
    <w:rsid w:val="009D32C0"/>
    <w:rsid w:val="009D50EE"/>
    <w:rsid w:val="009D52BB"/>
    <w:rsid w:val="009D5D13"/>
    <w:rsid w:val="009D5EA4"/>
    <w:rsid w:val="009D781D"/>
    <w:rsid w:val="009E0CD7"/>
    <w:rsid w:val="009E1742"/>
    <w:rsid w:val="009E1A7B"/>
    <w:rsid w:val="009E227D"/>
    <w:rsid w:val="009E2E95"/>
    <w:rsid w:val="009E3533"/>
    <w:rsid w:val="009E3CC6"/>
    <w:rsid w:val="009E5019"/>
    <w:rsid w:val="009E5DB3"/>
    <w:rsid w:val="009E79E5"/>
    <w:rsid w:val="009F37CA"/>
    <w:rsid w:val="009F3F51"/>
    <w:rsid w:val="009F59C4"/>
    <w:rsid w:val="009F6782"/>
    <w:rsid w:val="009F736B"/>
    <w:rsid w:val="00A00255"/>
    <w:rsid w:val="00A00A69"/>
    <w:rsid w:val="00A00EF7"/>
    <w:rsid w:val="00A012DD"/>
    <w:rsid w:val="00A014EF"/>
    <w:rsid w:val="00A01C5E"/>
    <w:rsid w:val="00A02C27"/>
    <w:rsid w:val="00A04D51"/>
    <w:rsid w:val="00A04F1B"/>
    <w:rsid w:val="00A0501B"/>
    <w:rsid w:val="00A05BFF"/>
    <w:rsid w:val="00A072A2"/>
    <w:rsid w:val="00A10FB7"/>
    <w:rsid w:val="00A1184D"/>
    <w:rsid w:val="00A12860"/>
    <w:rsid w:val="00A12CC0"/>
    <w:rsid w:val="00A136AC"/>
    <w:rsid w:val="00A14947"/>
    <w:rsid w:val="00A15539"/>
    <w:rsid w:val="00A1715E"/>
    <w:rsid w:val="00A1760E"/>
    <w:rsid w:val="00A222AE"/>
    <w:rsid w:val="00A2316E"/>
    <w:rsid w:val="00A2337C"/>
    <w:rsid w:val="00A252E7"/>
    <w:rsid w:val="00A25565"/>
    <w:rsid w:val="00A25AF9"/>
    <w:rsid w:val="00A25B60"/>
    <w:rsid w:val="00A26112"/>
    <w:rsid w:val="00A264FE"/>
    <w:rsid w:val="00A30338"/>
    <w:rsid w:val="00A30C7C"/>
    <w:rsid w:val="00A30E65"/>
    <w:rsid w:val="00A30FCE"/>
    <w:rsid w:val="00A32A83"/>
    <w:rsid w:val="00A32B51"/>
    <w:rsid w:val="00A32FF7"/>
    <w:rsid w:val="00A330E5"/>
    <w:rsid w:val="00A336FC"/>
    <w:rsid w:val="00A34245"/>
    <w:rsid w:val="00A35785"/>
    <w:rsid w:val="00A35FD7"/>
    <w:rsid w:val="00A36261"/>
    <w:rsid w:val="00A368DB"/>
    <w:rsid w:val="00A37716"/>
    <w:rsid w:val="00A40556"/>
    <w:rsid w:val="00A42161"/>
    <w:rsid w:val="00A423AA"/>
    <w:rsid w:val="00A4314D"/>
    <w:rsid w:val="00A437D3"/>
    <w:rsid w:val="00A43B7E"/>
    <w:rsid w:val="00A43BDC"/>
    <w:rsid w:val="00A440C0"/>
    <w:rsid w:val="00A45438"/>
    <w:rsid w:val="00A4605F"/>
    <w:rsid w:val="00A50EA3"/>
    <w:rsid w:val="00A51442"/>
    <w:rsid w:val="00A52428"/>
    <w:rsid w:val="00A53EC6"/>
    <w:rsid w:val="00A5545E"/>
    <w:rsid w:val="00A55AC7"/>
    <w:rsid w:val="00A55C0F"/>
    <w:rsid w:val="00A571A6"/>
    <w:rsid w:val="00A57466"/>
    <w:rsid w:val="00A6162E"/>
    <w:rsid w:val="00A63525"/>
    <w:rsid w:val="00A65292"/>
    <w:rsid w:val="00A72223"/>
    <w:rsid w:val="00A727DA"/>
    <w:rsid w:val="00A72A16"/>
    <w:rsid w:val="00A762EB"/>
    <w:rsid w:val="00A76AAF"/>
    <w:rsid w:val="00A77D2B"/>
    <w:rsid w:val="00A80345"/>
    <w:rsid w:val="00A80E13"/>
    <w:rsid w:val="00A80F84"/>
    <w:rsid w:val="00A82854"/>
    <w:rsid w:val="00A85936"/>
    <w:rsid w:val="00A87003"/>
    <w:rsid w:val="00A8713F"/>
    <w:rsid w:val="00A877EA"/>
    <w:rsid w:val="00A90BA1"/>
    <w:rsid w:val="00A90F06"/>
    <w:rsid w:val="00A91114"/>
    <w:rsid w:val="00A946EF"/>
    <w:rsid w:val="00A9553E"/>
    <w:rsid w:val="00A96030"/>
    <w:rsid w:val="00A96854"/>
    <w:rsid w:val="00A97A9A"/>
    <w:rsid w:val="00AA0671"/>
    <w:rsid w:val="00AA0DE8"/>
    <w:rsid w:val="00AA2531"/>
    <w:rsid w:val="00AA2A83"/>
    <w:rsid w:val="00AA3B1B"/>
    <w:rsid w:val="00AA4E0B"/>
    <w:rsid w:val="00AA7700"/>
    <w:rsid w:val="00AB0C11"/>
    <w:rsid w:val="00AB1120"/>
    <w:rsid w:val="00AB1545"/>
    <w:rsid w:val="00AB1978"/>
    <w:rsid w:val="00AB1E09"/>
    <w:rsid w:val="00AB3146"/>
    <w:rsid w:val="00AB3CA0"/>
    <w:rsid w:val="00AB4D2A"/>
    <w:rsid w:val="00AB5078"/>
    <w:rsid w:val="00AB50DE"/>
    <w:rsid w:val="00AB5330"/>
    <w:rsid w:val="00AB551D"/>
    <w:rsid w:val="00AB55AD"/>
    <w:rsid w:val="00AB5F3B"/>
    <w:rsid w:val="00AB68C8"/>
    <w:rsid w:val="00AB7352"/>
    <w:rsid w:val="00AB7747"/>
    <w:rsid w:val="00AC08F1"/>
    <w:rsid w:val="00AC14CE"/>
    <w:rsid w:val="00AC1664"/>
    <w:rsid w:val="00AC1F64"/>
    <w:rsid w:val="00AC26F7"/>
    <w:rsid w:val="00AC2A56"/>
    <w:rsid w:val="00AC4066"/>
    <w:rsid w:val="00AC554F"/>
    <w:rsid w:val="00AC643B"/>
    <w:rsid w:val="00AC676D"/>
    <w:rsid w:val="00AC79BA"/>
    <w:rsid w:val="00AD055E"/>
    <w:rsid w:val="00AD077E"/>
    <w:rsid w:val="00AD10E0"/>
    <w:rsid w:val="00AD3D3B"/>
    <w:rsid w:val="00AD4594"/>
    <w:rsid w:val="00AD47A7"/>
    <w:rsid w:val="00AE01D2"/>
    <w:rsid w:val="00AE39F2"/>
    <w:rsid w:val="00AE5CB9"/>
    <w:rsid w:val="00AF0CBF"/>
    <w:rsid w:val="00AF189E"/>
    <w:rsid w:val="00AF257F"/>
    <w:rsid w:val="00AF28F7"/>
    <w:rsid w:val="00AF2A69"/>
    <w:rsid w:val="00AF33CF"/>
    <w:rsid w:val="00AF4D50"/>
    <w:rsid w:val="00AF6179"/>
    <w:rsid w:val="00AF7088"/>
    <w:rsid w:val="00B014F6"/>
    <w:rsid w:val="00B0298F"/>
    <w:rsid w:val="00B04A1B"/>
    <w:rsid w:val="00B077C8"/>
    <w:rsid w:val="00B078E7"/>
    <w:rsid w:val="00B11195"/>
    <w:rsid w:val="00B1295A"/>
    <w:rsid w:val="00B13671"/>
    <w:rsid w:val="00B14F98"/>
    <w:rsid w:val="00B16858"/>
    <w:rsid w:val="00B16D5D"/>
    <w:rsid w:val="00B17169"/>
    <w:rsid w:val="00B17FA3"/>
    <w:rsid w:val="00B20A45"/>
    <w:rsid w:val="00B20E68"/>
    <w:rsid w:val="00B2117A"/>
    <w:rsid w:val="00B21F5B"/>
    <w:rsid w:val="00B22C5C"/>
    <w:rsid w:val="00B236A8"/>
    <w:rsid w:val="00B23823"/>
    <w:rsid w:val="00B23C5A"/>
    <w:rsid w:val="00B24F30"/>
    <w:rsid w:val="00B258A5"/>
    <w:rsid w:val="00B2683C"/>
    <w:rsid w:val="00B26BB1"/>
    <w:rsid w:val="00B302F1"/>
    <w:rsid w:val="00B30E44"/>
    <w:rsid w:val="00B31155"/>
    <w:rsid w:val="00B31ABF"/>
    <w:rsid w:val="00B32632"/>
    <w:rsid w:val="00B3364E"/>
    <w:rsid w:val="00B33BE3"/>
    <w:rsid w:val="00B34001"/>
    <w:rsid w:val="00B35FB3"/>
    <w:rsid w:val="00B413F6"/>
    <w:rsid w:val="00B41EB3"/>
    <w:rsid w:val="00B4296C"/>
    <w:rsid w:val="00B43E1C"/>
    <w:rsid w:val="00B4475B"/>
    <w:rsid w:val="00B4502F"/>
    <w:rsid w:val="00B46FF1"/>
    <w:rsid w:val="00B531C8"/>
    <w:rsid w:val="00B53B5D"/>
    <w:rsid w:val="00B54623"/>
    <w:rsid w:val="00B5498C"/>
    <w:rsid w:val="00B55BD8"/>
    <w:rsid w:val="00B5745A"/>
    <w:rsid w:val="00B6055E"/>
    <w:rsid w:val="00B62113"/>
    <w:rsid w:val="00B62854"/>
    <w:rsid w:val="00B6317D"/>
    <w:rsid w:val="00B64C3B"/>
    <w:rsid w:val="00B659D6"/>
    <w:rsid w:val="00B66E7E"/>
    <w:rsid w:val="00B713E5"/>
    <w:rsid w:val="00B71741"/>
    <w:rsid w:val="00B71D53"/>
    <w:rsid w:val="00B74056"/>
    <w:rsid w:val="00B7723F"/>
    <w:rsid w:val="00B77286"/>
    <w:rsid w:val="00B80534"/>
    <w:rsid w:val="00B81EBE"/>
    <w:rsid w:val="00B8251B"/>
    <w:rsid w:val="00B82A69"/>
    <w:rsid w:val="00B82DB8"/>
    <w:rsid w:val="00B82E60"/>
    <w:rsid w:val="00B837CF"/>
    <w:rsid w:val="00B8418D"/>
    <w:rsid w:val="00B8433C"/>
    <w:rsid w:val="00B855DE"/>
    <w:rsid w:val="00B866E8"/>
    <w:rsid w:val="00B8744D"/>
    <w:rsid w:val="00B87491"/>
    <w:rsid w:val="00B9114D"/>
    <w:rsid w:val="00B9171F"/>
    <w:rsid w:val="00B92D69"/>
    <w:rsid w:val="00B95868"/>
    <w:rsid w:val="00B95BCC"/>
    <w:rsid w:val="00B979B2"/>
    <w:rsid w:val="00BA060F"/>
    <w:rsid w:val="00BA11ED"/>
    <w:rsid w:val="00BA29E9"/>
    <w:rsid w:val="00BA2E10"/>
    <w:rsid w:val="00BA39E1"/>
    <w:rsid w:val="00BA6640"/>
    <w:rsid w:val="00BA7142"/>
    <w:rsid w:val="00BA78E6"/>
    <w:rsid w:val="00BB0C12"/>
    <w:rsid w:val="00BB237C"/>
    <w:rsid w:val="00BB2B32"/>
    <w:rsid w:val="00BB2D14"/>
    <w:rsid w:val="00BB41A3"/>
    <w:rsid w:val="00BB5892"/>
    <w:rsid w:val="00BB6E57"/>
    <w:rsid w:val="00BC047A"/>
    <w:rsid w:val="00BC32DC"/>
    <w:rsid w:val="00BC35B6"/>
    <w:rsid w:val="00BC3779"/>
    <w:rsid w:val="00BC4112"/>
    <w:rsid w:val="00BC46D8"/>
    <w:rsid w:val="00BC4F01"/>
    <w:rsid w:val="00BC7E6A"/>
    <w:rsid w:val="00BD0736"/>
    <w:rsid w:val="00BD1877"/>
    <w:rsid w:val="00BD1B51"/>
    <w:rsid w:val="00BD291E"/>
    <w:rsid w:val="00BD3293"/>
    <w:rsid w:val="00BD4596"/>
    <w:rsid w:val="00BD4F85"/>
    <w:rsid w:val="00BD4FED"/>
    <w:rsid w:val="00BD6ACC"/>
    <w:rsid w:val="00BD73C6"/>
    <w:rsid w:val="00BD79AF"/>
    <w:rsid w:val="00BE04F1"/>
    <w:rsid w:val="00BE0948"/>
    <w:rsid w:val="00BE1405"/>
    <w:rsid w:val="00BE2806"/>
    <w:rsid w:val="00BE312D"/>
    <w:rsid w:val="00BE3AD7"/>
    <w:rsid w:val="00BE3C70"/>
    <w:rsid w:val="00BE5E2D"/>
    <w:rsid w:val="00BE625C"/>
    <w:rsid w:val="00BE62A9"/>
    <w:rsid w:val="00BE7503"/>
    <w:rsid w:val="00BF102D"/>
    <w:rsid w:val="00BF1C20"/>
    <w:rsid w:val="00BF1D9C"/>
    <w:rsid w:val="00BF289B"/>
    <w:rsid w:val="00BF3166"/>
    <w:rsid w:val="00BF47F5"/>
    <w:rsid w:val="00BF700E"/>
    <w:rsid w:val="00BF7B3F"/>
    <w:rsid w:val="00C00508"/>
    <w:rsid w:val="00C01385"/>
    <w:rsid w:val="00C03705"/>
    <w:rsid w:val="00C053E1"/>
    <w:rsid w:val="00C05D67"/>
    <w:rsid w:val="00C05EC2"/>
    <w:rsid w:val="00C06ED4"/>
    <w:rsid w:val="00C074F6"/>
    <w:rsid w:val="00C104E3"/>
    <w:rsid w:val="00C10578"/>
    <w:rsid w:val="00C12FAC"/>
    <w:rsid w:val="00C135BC"/>
    <w:rsid w:val="00C15C95"/>
    <w:rsid w:val="00C1670B"/>
    <w:rsid w:val="00C169F2"/>
    <w:rsid w:val="00C20198"/>
    <w:rsid w:val="00C22B0F"/>
    <w:rsid w:val="00C24591"/>
    <w:rsid w:val="00C24C4D"/>
    <w:rsid w:val="00C2596A"/>
    <w:rsid w:val="00C27537"/>
    <w:rsid w:val="00C27819"/>
    <w:rsid w:val="00C300BC"/>
    <w:rsid w:val="00C328FE"/>
    <w:rsid w:val="00C33507"/>
    <w:rsid w:val="00C3547A"/>
    <w:rsid w:val="00C354BC"/>
    <w:rsid w:val="00C35677"/>
    <w:rsid w:val="00C369A2"/>
    <w:rsid w:val="00C37DEC"/>
    <w:rsid w:val="00C43F0B"/>
    <w:rsid w:val="00C4409D"/>
    <w:rsid w:val="00C443AD"/>
    <w:rsid w:val="00C44E72"/>
    <w:rsid w:val="00C45A06"/>
    <w:rsid w:val="00C46827"/>
    <w:rsid w:val="00C46AF4"/>
    <w:rsid w:val="00C46EAC"/>
    <w:rsid w:val="00C46EDA"/>
    <w:rsid w:val="00C479DD"/>
    <w:rsid w:val="00C47E5B"/>
    <w:rsid w:val="00C534E2"/>
    <w:rsid w:val="00C53A39"/>
    <w:rsid w:val="00C543D7"/>
    <w:rsid w:val="00C55B86"/>
    <w:rsid w:val="00C61E4B"/>
    <w:rsid w:val="00C62F0C"/>
    <w:rsid w:val="00C63765"/>
    <w:rsid w:val="00C64BFF"/>
    <w:rsid w:val="00C653F1"/>
    <w:rsid w:val="00C65713"/>
    <w:rsid w:val="00C6592D"/>
    <w:rsid w:val="00C6744E"/>
    <w:rsid w:val="00C704E9"/>
    <w:rsid w:val="00C72AD2"/>
    <w:rsid w:val="00C75A15"/>
    <w:rsid w:val="00C763C9"/>
    <w:rsid w:val="00C77FAE"/>
    <w:rsid w:val="00C80057"/>
    <w:rsid w:val="00C81E67"/>
    <w:rsid w:val="00C820C8"/>
    <w:rsid w:val="00C82232"/>
    <w:rsid w:val="00C82913"/>
    <w:rsid w:val="00C85995"/>
    <w:rsid w:val="00C87785"/>
    <w:rsid w:val="00C901F3"/>
    <w:rsid w:val="00C905FE"/>
    <w:rsid w:val="00C92EE4"/>
    <w:rsid w:val="00C930C5"/>
    <w:rsid w:val="00C95D6B"/>
    <w:rsid w:val="00C960F7"/>
    <w:rsid w:val="00C9693F"/>
    <w:rsid w:val="00C971E4"/>
    <w:rsid w:val="00C972B1"/>
    <w:rsid w:val="00CA0DA7"/>
    <w:rsid w:val="00CA13B3"/>
    <w:rsid w:val="00CA2CCE"/>
    <w:rsid w:val="00CA2D6F"/>
    <w:rsid w:val="00CA43FD"/>
    <w:rsid w:val="00CA4999"/>
    <w:rsid w:val="00CA5294"/>
    <w:rsid w:val="00CA7011"/>
    <w:rsid w:val="00CA7E8E"/>
    <w:rsid w:val="00CA7EF8"/>
    <w:rsid w:val="00CB0FBD"/>
    <w:rsid w:val="00CB2D82"/>
    <w:rsid w:val="00CB3319"/>
    <w:rsid w:val="00CB372C"/>
    <w:rsid w:val="00CB435B"/>
    <w:rsid w:val="00CB6024"/>
    <w:rsid w:val="00CB63DA"/>
    <w:rsid w:val="00CB780D"/>
    <w:rsid w:val="00CC068E"/>
    <w:rsid w:val="00CC0B4C"/>
    <w:rsid w:val="00CC1EF7"/>
    <w:rsid w:val="00CC489B"/>
    <w:rsid w:val="00CC5565"/>
    <w:rsid w:val="00CC5973"/>
    <w:rsid w:val="00CC793D"/>
    <w:rsid w:val="00CD0266"/>
    <w:rsid w:val="00CD0D77"/>
    <w:rsid w:val="00CD2674"/>
    <w:rsid w:val="00CD2BCD"/>
    <w:rsid w:val="00CD2C90"/>
    <w:rsid w:val="00CD2EC6"/>
    <w:rsid w:val="00CD3A4C"/>
    <w:rsid w:val="00CD3DE4"/>
    <w:rsid w:val="00CD5066"/>
    <w:rsid w:val="00CD5E71"/>
    <w:rsid w:val="00CD5ECC"/>
    <w:rsid w:val="00CD6C48"/>
    <w:rsid w:val="00CE10E9"/>
    <w:rsid w:val="00CE26BE"/>
    <w:rsid w:val="00CE2910"/>
    <w:rsid w:val="00CE3A20"/>
    <w:rsid w:val="00CE4082"/>
    <w:rsid w:val="00CE5393"/>
    <w:rsid w:val="00CE5CA9"/>
    <w:rsid w:val="00CE67F7"/>
    <w:rsid w:val="00CE77D2"/>
    <w:rsid w:val="00CF0867"/>
    <w:rsid w:val="00CF17D6"/>
    <w:rsid w:val="00CF2EC5"/>
    <w:rsid w:val="00CF36BE"/>
    <w:rsid w:val="00CF4C99"/>
    <w:rsid w:val="00CF6000"/>
    <w:rsid w:val="00CF7FC0"/>
    <w:rsid w:val="00D003F3"/>
    <w:rsid w:val="00D00556"/>
    <w:rsid w:val="00D012A4"/>
    <w:rsid w:val="00D02482"/>
    <w:rsid w:val="00D035BF"/>
    <w:rsid w:val="00D0364F"/>
    <w:rsid w:val="00D040F7"/>
    <w:rsid w:val="00D05580"/>
    <w:rsid w:val="00D063A8"/>
    <w:rsid w:val="00D06834"/>
    <w:rsid w:val="00D06D68"/>
    <w:rsid w:val="00D07D24"/>
    <w:rsid w:val="00D111FB"/>
    <w:rsid w:val="00D1414F"/>
    <w:rsid w:val="00D1746C"/>
    <w:rsid w:val="00D17882"/>
    <w:rsid w:val="00D17A72"/>
    <w:rsid w:val="00D21252"/>
    <w:rsid w:val="00D232DE"/>
    <w:rsid w:val="00D24EE1"/>
    <w:rsid w:val="00D2562E"/>
    <w:rsid w:val="00D25A9D"/>
    <w:rsid w:val="00D25FED"/>
    <w:rsid w:val="00D2684B"/>
    <w:rsid w:val="00D308ED"/>
    <w:rsid w:val="00D3123A"/>
    <w:rsid w:val="00D31C32"/>
    <w:rsid w:val="00D329EE"/>
    <w:rsid w:val="00D32A9A"/>
    <w:rsid w:val="00D32F72"/>
    <w:rsid w:val="00D34515"/>
    <w:rsid w:val="00D34D2B"/>
    <w:rsid w:val="00D3632D"/>
    <w:rsid w:val="00D36D86"/>
    <w:rsid w:val="00D37ABC"/>
    <w:rsid w:val="00D40510"/>
    <w:rsid w:val="00D412AF"/>
    <w:rsid w:val="00D418E3"/>
    <w:rsid w:val="00D424FA"/>
    <w:rsid w:val="00D428AA"/>
    <w:rsid w:val="00D42ED4"/>
    <w:rsid w:val="00D45327"/>
    <w:rsid w:val="00D454C1"/>
    <w:rsid w:val="00D46188"/>
    <w:rsid w:val="00D46A1C"/>
    <w:rsid w:val="00D46A20"/>
    <w:rsid w:val="00D46B96"/>
    <w:rsid w:val="00D46BFE"/>
    <w:rsid w:val="00D47CD6"/>
    <w:rsid w:val="00D50A34"/>
    <w:rsid w:val="00D519EF"/>
    <w:rsid w:val="00D51A19"/>
    <w:rsid w:val="00D51A35"/>
    <w:rsid w:val="00D52528"/>
    <w:rsid w:val="00D53D14"/>
    <w:rsid w:val="00D53EFA"/>
    <w:rsid w:val="00D60561"/>
    <w:rsid w:val="00D629D1"/>
    <w:rsid w:val="00D63261"/>
    <w:rsid w:val="00D6347F"/>
    <w:rsid w:val="00D6357C"/>
    <w:rsid w:val="00D650A0"/>
    <w:rsid w:val="00D65631"/>
    <w:rsid w:val="00D670AE"/>
    <w:rsid w:val="00D71BD6"/>
    <w:rsid w:val="00D727A0"/>
    <w:rsid w:val="00D73459"/>
    <w:rsid w:val="00D73936"/>
    <w:rsid w:val="00D7683E"/>
    <w:rsid w:val="00D77475"/>
    <w:rsid w:val="00D80870"/>
    <w:rsid w:val="00D81B8E"/>
    <w:rsid w:val="00D81C51"/>
    <w:rsid w:val="00D84242"/>
    <w:rsid w:val="00D8488D"/>
    <w:rsid w:val="00D8653D"/>
    <w:rsid w:val="00D86A21"/>
    <w:rsid w:val="00D90A19"/>
    <w:rsid w:val="00D90D27"/>
    <w:rsid w:val="00D924D3"/>
    <w:rsid w:val="00D941F3"/>
    <w:rsid w:val="00D94A7C"/>
    <w:rsid w:val="00D950F5"/>
    <w:rsid w:val="00D955F4"/>
    <w:rsid w:val="00D95896"/>
    <w:rsid w:val="00D96A3A"/>
    <w:rsid w:val="00D96FE1"/>
    <w:rsid w:val="00D97EC5"/>
    <w:rsid w:val="00D97EFA"/>
    <w:rsid w:val="00DA17D0"/>
    <w:rsid w:val="00DA2607"/>
    <w:rsid w:val="00DA3C01"/>
    <w:rsid w:val="00DA3E24"/>
    <w:rsid w:val="00DA5F4E"/>
    <w:rsid w:val="00DB0BC3"/>
    <w:rsid w:val="00DB2983"/>
    <w:rsid w:val="00DB342D"/>
    <w:rsid w:val="00DB3A70"/>
    <w:rsid w:val="00DB4766"/>
    <w:rsid w:val="00DB48EF"/>
    <w:rsid w:val="00DB55BD"/>
    <w:rsid w:val="00DC1257"/>
    <w:rsid w:val="00DC268B"/>
    <w:rsid w:val="00DC2CC3"/>
    <w:rsid w:val="00DC3DC0"/>
    <w:rsid w:val="00DC4C2E"/>
    <w:rsid w:val="00DC4D77"/>
    <w:rsid w:val="00DC55FB"/>
    <w:rsid w:val="00DC5B2B"/>
    <w:rsid w:val="00DC6EA2"/>
    <w:rsid w:val="00DC6F0F"/>
    <w:rsid w:val="00DC784A"/>
    <w:rsid w:val="00DD1373"/>
    <w:rsid w:val="00DD1CA3"/>
    <w:rsid w:val="00DD318D"/>
    <w:rsid w:val="00DD5994"/>
    <w:rsid w:val="00DD5CA1"/>
    <w:rsid w:val="00DD664A"/>
    <w:rsid w:val="00DD6BAB"/>
    <w:rsid w:val="00DD6C41"/>
    <w:rsid w:val="00DD7EDC"/>
    <w:rsid w:val="00DE2DEE"/>
    <w:rsid w:val="00DE31EB"/>
    <w:rsid w:val="00DE36D7"/>
    <w:rsid w:val="00DE7C9D"/>
    <w:rsid w:val="00DF112C"/>
    <w:rsid w:val="00DF1A3E"/>
    <w:rsid w:val="00DF2AA9"/>
    <w:rsid w:val="00DF2E12"/>
    <w:rsid w:val="00DF42DB"/>
    <w:rsid w:val="00DF4994"/>
    <w:rsid w:val="00DF4B0E"/>
    <w:rsid w:val="00DF514A"/>
    <w:rsid w:val="00DF5E43"/>
    <w:rsid w:val="00DF6690"/>
    <w:rsid w:val="00DF6804"/>
    <w:rsid w:val="00DF7BD2"/>
    <w:rsid w:val="00E0020D"/>
    <w:rsid w:val="00E0038D"/>
    <w:rsid w:val="00E00688"/>
    <w:rsid w:val="00E0142E"/>
    <w:rsid w:val="00E0358D"/>
    <w:rsid w:val="00E03641"/>
    <w:rsid w:val="00E042C8"/>
    <w:rsid w:val="00E04323"/>
    <w:rsid w:val="00E0438B"/>
    <w:rsid w:val="00E0455E"/>
    <w:rsid w:val="00E05F7E"/>
    <w:rsid w:val="00E070A2"/>
    <w:rsid w:val="00E07161"/>
    <w:rsid w:val="00E078C2"/>
    <w:rsid w:val="00E1047B"/>
    <w:rsid w:val="00E10E06"/>
    <w:rsid w:val="00E113CA"/>
    <w:rsid w:val="00E11DF8"/>
    <w:rsid w:val="00E136C6"/>
    <w:rsid w:val="00E1695D"/>
    <w:rsid w:val="00E17A2C"/>
    <w:rsid w:val="00E17BD0"/>
    <w:rsid w:val="00E17FCD"/>
    <w:rsid w:val="00E20109"/>
    <w:rsid w:val="00E208CC"/>
    <w:rsid w:val="00E2183D"/>
    <w:rsid w:val="00E22AA8"/>
    <w:rsid w:val="00E25913"/>
    <w:rsid w:val="00E2656A"/>
    <w:rsid w:val="00E27005"/>
    <w:rsid w:val="00E27596"/>
    <w:rsid w:val="00E27A11"/>
    <w:rsid w:val="00E32D5A"/>
    <w:rsid w:val="00E3377C"/>
    <w:rsid w:val="00E3389F"/>
    <w:rsid w:val="00E34B97"/>
    <w:rsid w:val="00E412D0"/>
    <w:rsid w:val="00E433FE"/>
    <w:rsid w:val="00E43A80"/>
    <w:rsid w:val="00E44115"/>
    <w:rsid w:val="00E44C07"/>
    <w:rsid w:val="00E454E7"/>
    <w:rsid w:val="00E46020"/>
    <w:rsid w:val="00E47E27"/>
    <w:rsid w:val="00E50A31"/>
    <w:rsid w:val="00E51707"/>
    <w:rsid w:val="00E56322"/>
    <w:rsid w:val="00E57E56"/>
    <w:rsid w:val="00E60982"/>
    <w:rsid w:val="00E62275"/>
    <w:rsid w:val="00E6262E"/>
    <w:rsid w:val="00E6271A"/>
    <w:rsid w:val="00E62C62"/>
    <w:rsid w:val="00E62CF8"/>
    <w:rsid w:val="00E6337C"/>
    <w:rsid w:val="00E63E53"/>
    <w:rsid w:val="00E654C1"/>
    <w:rsid w:val="00E658A3"/>
    <w:rsid w:val="00E65D97"/>
    <w:rsid w:val="00E67037"/>
    <w:rsid w:val="00E6774F"/>
    <w:rsid w:val="00E67A88"/>
    <w:rsid w:val="00E67B04"/>
    <w:rsid w:val="00E71EBF"/>
    <w:rsid w:val="00E72A5A"/>
    <w:rsid w:val="00E73354"/>
    <w:rsid w:val="00E75789"/>
    <w:rsid w:val="00E75C96"/>
    <w:rsid w:val="00E75F5B"/>
    <w:rsid w:val="00E7653D"/>
    <w:rsid w:val="00E768F4"/>
    <w:rsid w:val="00E76977"/>
    <w:rsid w:val="00E76AFE"/>
    <w:rsid w:val="00E76E4A"/>
    <w:rsid w:val="00E80370"/>
    <w:rsid w:val="00E8171E"/>
    <w:rsid w:val="00E81BCF"/>
    <w:rsid w:val="00E83D7F"/>
    <w:rsid w:val="00E840B8"/>
    <w:rsid w:val="00E842C4"/>
    <w:rsid w:val="00E847C9"/>
    <w:rsid w:val="00E86778"/>
    <w:rsid w:val="00E90288"/>
    <w:rsid w:val="00E9242D"/>
    <w:rsid w:val="00E93EF8"/>
    <w:rsid w:val="00E94A3A"/>
    <w:rsid w:val="00E951F9"/>
    <w:rsid w:val="00E9563A"/>
    <w:rsid w:val="00E95CA1"/>
    <w:rsid w:val="00E96064"/>
    <w:rsid w:val="00E96F41"/>
    <w:rsid w:val="00E97577"/>
    <w:rsid w:val="00EA2F74"/>
    <w:rsid w:val="00EA3019"/>
    <w:rsid w:val="00EA32D2"/>
    <w:rsid w:val="00EA64D1"/>
    <w:rsid w:val="00EA6ED0"/>
    <w:rsid w:val="00EA7CB7"/>
    <w:rsid w:val="00EB0AFF"/>
    <w:rsid w:val="00EB1F9C"/>
    <w:rsid w:val="00EB20E0"/>
    <w:rsid w:val="00EB2D46"/>
    <w:rsid w:val="00EB3502"/>
    <w:rsid w:val="00EB5255"/>
    <w:rsid w:val="00EB581F"/>
    <w:rsid w:val="00EB5C47"/>
    <w:rsid w:val="00EB7071"/>
    <w:rsid w:val="00EB7C90"/>
    <w:rsid w:val="00EC1A60"/>
    <w:rsid w:val="00EC2544"/>
    <w:rsid w:val="00EC260F"/>
    <w:rsid w:val="00EC34FE"/>
    <w:rsid w:val="00EC4FFF"/>
    <w:rsid w:val="00EC5BB1"/>
    <w:rsid w:val="00EC5F55"/>
    <w:rsid w:val="00EC6988"/>
    <w:rsid w:val="00ED0065"/>
    <w:rsid w:val="00ED0639"/>
    <w:rsid w:val="00ED0ED0"/>
    <w:rsid w:val="00ED2FD2"/>
    <w:rsid w:val="00ED5797"/>
    <w:rsid w:val="00ED6084"/>
    <w:rsid w:val="00ED71F5"/>
    <w:rsid w:val="00ED7264"/>
    <w:rsid w:val="00EE1241"/>
    <w:rsid w:val="00EE1ADB"/>
    <w:rsid w:val="00EE1CF0"/>
    <w:rsid w:val="00EE21C5"/>
    <w:rsid w:val="00EE26CE"/>
    <w:rsid w:val="00EE2A65"/>
    <w:rsid w:val="00EE2B80"/>
    <w:rsid w:val="00EE3096"/>
    <w:rsid w:val="00EE45C6"/>
    <w:rsid w:val="00EE626C"/>
    <w:rsid w:val="00EF0437"/>
    <w:rsid w:val="00EF4079"/>
    <w:rsid w:val="00EF4755"/>
    <w:rsid w:val="00EF5EC6"/>
    <w:rsid w:val="00EF7135"/>
    <w:rsid w:val="00EF76F6"/>
    <w:rsid w:val="00F01C16"/>
    <w:rsid w:val="00F027DB"/>
    <w:rsid w:val="00F03149"/>
    <w:rsid w:val="00F05A7E"/>
    <w:rsid w:val="00F05CDE"/>
    <w:rsid w:val="00F06553"/>
    <w:rsid w:val="00F0676A"/>
    <w:rsid w:val="00F10028"/>
    <w:rsid w:val="00F11DF9"/>
    <w:rsid w:val="00F1260B"/>
    <w:rsid w:val="00F135D7"/>
    <w:rsid w:val="00F13AA4"/>
    <w:rsid w:val="00F14A7A"/>
    <w:rsid w:val="00F14D0B"/>
    <w:rsid w:val="00F14DF8"/>
    <w:rsid w:val="00F21F54"/>
    <w:rsid w:val="00F22485"/>
    <w:rsid w:val="00F2261E"/>
    <w:rsid w:val="00F22985"/>
    <w:rsid w:val="00F230F8"/>
    <w:rsid w:val="00F248E8"/>
    <w:rsid w:val="00F24F96"/>
    <w:rsid w:val="00F259F3"/>
    <w:rsid w:val="00F27460"/>
    <w:rsid w:val="00F27BFB"/>
    <w:rsid w:val="00F3383E"/>
    <w:rsid w:val="00F33D87"/>
    <w:rsid w:val="00F3439A"/>
    <w:rsid w:val="00F34EC2"/>
    <w:rsid w:val="00F378F0"/>
    <w:rsid w:val="00F4082A"/>
    <w:rsid w:val="00F40D40"/>
    <w:rsid w:val="00F418FB"/>
    <w:rsid w:val="00F42331"/>
    <w:rsid w:val="00F425C7"/>
    <w:rsid w:val="00F44561"/>
    <w:rsid w:val="00F45053"/>
    <w:rsid w:val="00F465A7"/>
    <w:rsid w:val="00F46E16"/>
    <w:rsid w:val="00F50B7C"/>
    <w:rsid w:val="00F514D1"/>
    <w:rsid w:val="00F550E6"/>
    <w:rsid w:val="00F55F59"/>
    <w:rsid w:val="00F56881"/>
    <w:rsid w:val="00F6059A"/>
    <w:rsid w:val="00F61056"/>
    <w:rsid w:val="00F63B5A"/>
    <w:rsid w:val="00F64CA9"/>
    <w:rsid w:val="00F65B7B"/>
    <w:rsid w:val="00F66844"/>
    <w:rsid w:val="00F709E2"/>
    <w:rsid w:val="00F70D71"/>
    <w:rsid w:val="00F713F7"/>
    <w:rsid w:val="00F71917"/>
    <w:rsid w:val="00F74345"/>
    <w:rsid w:val="00F74669"/>
    <w:rsid w:val="00F750CE"/>
    <w:rsid w:val="00F76962"/>
    <w:rsid w:val="00F76FC0"/>
    <w:rsid w:val="00F805A0"/>
    <w:rsid w:val="00F80A0A"/>
    <w:rsid w:val="00F81130"/>
    <w:rsid w:val="00F82B19"/>
    <w:rsid w:val="00F831CD"/>
    <w:rsid w:val="00F85ED5"/>
    <w:rsid w:val="00F865E1"/>
    <w:rsid w:val="00F86AC0"/>
    <w:rsid w:val="00F873B5"/>
    <w:rsid w:val="00F90527"/>
    <w:rsid w:val="00F9150A"/>
    <w:rsid w:val="00F91A5D"/>
    <w:rsid w:val="00F9212D"/>
    <w:rsid w:val="00F926D5"/>
    <w:rsid w:val="00F93AEC"/>
    <w:rsid w:val="00F941D7"/>
    <w:rsid w:val="00F94BC8"/>
    <w:rsid w:val="00F950CE"/>
    <w:rsid w:val="00F950D4"/>
    <w:rsid w:val="00F965DA"/>
    <w:rsid w:val="00F96E33"/>
    <w:rsid w:val="00FA0316"/>
    <w:rsid w:val="00FA406A"/>
    <w:rsid w:val="00FA56C5"/>
    <w:rsid w:val="00FB28E7"/>
    <w:rsid w:val="00FB34C0"/>
    <w:rsid w:val="00FB4B64"/>
    <w:rsid w:val="00FB503A"/>
    <w:rsid w:val="00FB516C"/>
    <w:rsid w:val="00FB790E"/>
    <w:rsid w:val="00FC0610"/>
    <w:rsid w:val="00FC36F8"/>
    <w:rsid w:val="00FC4784"/>
    <w:rsid w:val="00FC5563"/>
    <w:rsid w:val="00FC6ADA"/>
    <w:rsid w:val="00FC7B1E"/>
    <w:rsid w:val="00FD0236"/>
    <w:rsid w:val="00FD18F4"/>
    <w:rsid w:val="00FD36F2"/>
    <w:rsid w:val="00FD38CE"/>
    <w:rsid w:val="00FD5471"/>
    <w:rsid w:val="00FD54DB"/>
    <w:rsid w:val="00FD619F"/>
    <w:rsid w:val="00FD6DB1"/>
    <w:rsid w:val="00FD7DD1"/>
    <w:rsid w:val="00FE001D"/>
    <w:rsid w:val="00FE07C6"/>
    <w:rsid w:val="00FE152B"/>
    <w:rsid w:val="00FE17C5"/>
    <w:rsid w:val="00FE3217"/>
    <w:rsid w:val="00FE542A"/>
    <w:rsid w:val="00FE62C8"/>
    <w:rsid w:val="00FE6D7D"/>
    <w:rsid w:val="00FF0884"/>
    <w:rsid w:val="00FF0F13"/>
    <w:rsid w:val="00FF145C"/>
    <w:rsid w:val="00FF27F8"/>
    <w:rsid w:val="00FF30B4"/>
    <w:rsid w:val="00FF324D"/>
    <w:rsid w:val="00FF3BF1"/>
    <w:rsid w:val="00FF5910"/>
    <w:rsid w:val="00FF741E"/>
    <w:rsid w:val="00FF79DE"/>
    <w:rsid w:val="010A36F1"/>
    <w:rsid w:val="01105490"/>
    <w:rsid w:val="01184357"/>
    <w:rsid w:val="012242D3"/>
    <w:rsid w:val="01290F7E"/>
    <w:rsid w:val="012C2FF8"/>
    <w:rsid w:val="012D66CB"/>
    <w:rsid w:val="013225FF"/>
    <w:rsid w:val="013531F3"/>
    <w:rsid w:val="01362291"/>
    <w:rsid w:val="013730A5"/>
    <w:rsid w:val="01426AE8"/>
    <w:rsid w:val="014C21BA"/>
    <w:rsid w:val="014D28C9"/>
    <w:rsid w:val="014F4893"/>
    <w:rsid w:val="01521C8D"/>
    <w:rsid w:val="01571DEA"/>
    <w:rsid w:val="015D1E09"/>
    <w:rsid w:val="01603852"/>
    <w:rsid w:val="016234D2"/>
    <w:rsid w:val="016539DF"/>
    <w:rsid w:val="016634ED"/>
    <w:rsid w:val="016D50E6"/>
    <w:rsid w:val="016F43BB"/>
    <w:rsid w:val="01791910"/>
    <w:rsid w:val="017930F7"/>
    <w:rsid w:val="01893391"/>
    <w:rsid w:val="018A2791"/>
    <w:rsid w:val="018B3281"/>
    <w:rsid w:val="018C519F"/>
    <w:rsid w:val="018E309C"/>
    <w:rsid w:val="018E781B"/>
    <w:rsid w:val="01910A08"/>
    <w:rsid w:val="019571A4"/>
    <w:rsid w:val="019977F4"/>
    <w:rsid w:val="01A4698D"/>
    <w:rsid w:val="01A93FA3"/>
    <w:rsid w:val="01AC1EA5"/>
    <w:rsid w:val="01B2400A"/>
    <w:rsid w:val="01B35E43"/>
    <w:rsid w:val="01B666C0"/>
    <w:rsid w:val="01B87F15"/>
    <w:rsid w:val="01C42B8B"/>
    <w:rsid w:val="01C62DC8"/>
    <w:rsid w:val="01CD6404"/>
    <w:rsid w:val="01D31020"/>
    <w:rsid w:val="01D45666"/>
    <w:rsid w:val="01D5448D"/>
    <w:rsid w:val="01D64ED1"/>
    <w:rsid w:val="01D86994"/>
    <w:rsid w:val="01D96CA4"/>
    <w:rsid w:val="01DD6BE8"/>
    <w:rsid w:val="01E07299"/>
    <w:rsid w:val="01E463DE"/>
    <w:rsid w:val="01E46C6A"/>
    <w:rsid w:val="01E734EB"/>
    <w:rsid w:val="01F571E8"/>
    <w:rsid w:val="01FE0D50"/>
    <w:rsid w:val="01FE3350"/>
    <w:rsid w:val="01FF4D18"/>
    <w:rsid w:val="020016E9"/>
    <w:rsid w:val="0200481C"/>
    <w:rsid w:val="020531A4"/>
    <w:rsid w:val="020923AA"/>
    <w:rsid w:val="020A383A"/>
    <w:rsid w:val="020E7C68"/>
    <w:rsid w:val="0211236D"/>
    <w:rsid w:val="021653B1"/>
    <w:rsid w:val="021A10B2"/>
    <w:rsid w:val="021C1951"/>
    <w:rsid w:val="021D1CB0"/>
    <w:rsid w:val="021E42F5"/>
    <w:rsid w:val="02261A9D"/>
    <w:rsid w:val="02263A7E"/>
    <w:rsid w:val="022D7723"/>
    <w:rsid w:val="022E7DE4"/>
    <w:rsid w:val="023C35FE"/>
    <w:rsid w:val="023F66B6"/>
    <w:rsid w:val="02460EB6"/>
    <w:rsid w:val="024A69D2"/>
    <w:rsid w:val="024A6B88"/>
    <w:rsid w:val="024D6822"/>
    <w:rsid w:val="025612CA"/>
    <w:rsid w:val="02583957"/>
    <w:rsid w:val="025C116B"/>
    <w:rsid w:val="025D2470"/>
    <w:rsid w:val="026105A1"/>
    <w:rsid w:val="02614383"/>
    <w:rsid w:val="02623074"/>
    <w:rsid w:val="02641890"/>
    <w:rsid w:val="02652589"/>
    <w:rsid w:val="02673B42"/>
    <w:rsid w:val="02684FE7"/>
    <w:rsid w:val="02697903"/>
    <w:rsid w:val="02714395"/>
    <w:rsid w:val="02765572"/>
    <w:rsid w:val="0277727D"/>
    <w:rsid w:val="027A149C"/>
    <w:rsid w:val="02840131"/>
    <w:rsid w:val="02874612"/>
    <w:rsid w:val="028C0A7F"/>
    <w:rsid w:val="02902A6D"/>
    <w:rsid w:val="02A44DE3"/>
    <w:rsid w:val="02AC4631"/>
    <w:rsid w:val="02AF6ACF"/>
    <w:rsid w:val="02B26E88"/>
    <w:rsid w:val="02B8562E"/>
    <w:rsid w:val="02BC3862"/>
    <w:rsid w:val="02C66526"/>
    <w:rsid w:val="02C95554"/>
    <w:rsid w:val="02CB5FE2"/>
    <w:rsid w:val="02CE01AC"/>
    <w:rsid w:val="02D212D8"/>
    <w:rsid w:val="02D471DF"/>
    <w:rsid w:val="02D55B34"/>
    <w:rsid w:val="02DA6AC8"/>
    <w:rsid w:val="02DA6C7E"/>
    <w:rsid w:val="02DB6D23"/>
    <w:rsid w:val="02E84657"/>
    <w:rsid w:val="02ED4929"/>
    <w:rsid w:val="02EE3C38"/>
    <w:rsid w:val="02F079B0"/>
    <w:rsid w:val="02F30B38"/>
    <w:rsid w:val="02F96569"/>
    <w:rsid w:val="02FA5B72"/>
    <w:rsid w:val="02FB3EF3"/>
    <w:rsid w:val="02FC45A7"/>
    <w:rsid w:val="0300236B"/>
    <w:rsid w:val="03065425"/>
    <w:rsid w:val="030E7E36"/>
    <w:rsid w:val="030F10B7"/>
    <w:rsid w:val="031E451D"/>
    <w:rsid w:val="03222CFC"/>
    <w:rsid w:val="03280EF8"/>
    <w:rsid w:val="0328714A"/>
    <w:rsid w:val="03312448"/>
    <w:rsid w:val="0331568B"/>
    <w:rsid w:val="03333611"/>
    <w:rsid w:val="033624C6"/>
    <w:rsid w:val="033661D5"/>
    <w:rsid w:val="03404493"/>
    <w:rsid w:val="03476509"/>
    <w:rsid w:val="034A73CC"/>
    <w:rsid w:val="034A79EF"/>
    <w:rsid w:val="034B2E38"/>
    <w:rsid w:val="03501E80"/>
    <w:rsid w:val="03535B3A"/>
    <w:rsid w:val="03597303"/>
    <w:rsid w:val="035E0DBD"/>
    <w:rsid w:val="035E2888"/>
    <w:rsid w:val="036119A3"/>
    <w:rsid w:val="0365456D"/>
    <w:rsid w:val="036803A4"/>
    <w:rsid w:val="036B6BBE"/>
    <w:rsid w:val="03703425"/>
    <w:rsid w:val="03824AAC"/>
    <w:rsid w:val="03882E13"/>
    <w:rsid w:val="038A3F97"/>
    <w:rsid w:val="038B765F"/>
    <w:rsid w:val="038C30FA"/>
    <w:rsid w:val="038E6361"/>
    <w:rsid w:val="038F539C"/>
    <w:rsid w:val="03900A0C"/>
    <w:rsid w:val="039667A9"/>
    <w:rsid w:val="03A013D6"/>
    <w:rsid w:val="03A323C4"/>
    <w:rsid w:val="03A66872"/>
    <w:rsid w:val="03A859A0"/>
    <w:rsid w:val="03A85D0B"/>
    <w:rsid w:val="03AC070B"/>
    <w:rsid w:val="03AC7D7B"/>
    <w:rsid w:val="03B34073"/>
    <w:rsid w:val="03B82ACE"/>
    <w:rsid w:val="03B976C1"/>
    <w:rsid w:val="03BA24E1"/>
    <w:rsid w:val="03BC4D98"/>
    <w:rsid w:val="03BE2679"/>
    <w:rsid w:val="03BE360A"/>
    <w:rsid w:val="03C86237"/>
    <w:rsid w:val="03CA29C7"/>
    <w:rsid w:val="03CF2906"/>
    <w:rsid w:val="03D251BA"/>
    <w:rsid w:val="03D42F29"/>
    <w:rsid w:val="03D53375"/>
    <w:rsid w:val="03D567D9"/>
    <w:rsid w:val="03D66BA6"/>
    <w:rsid w:val="03D9195C"/>
    <w:rsid w:val="03E01199"/>
    <w:rsid w:val="03E017D2"/>
    <w:rsid w:val="03E1775F"/>
    <w:rsid w:val="03E2226C"/>
    <w:rsid w:val="03E365A7"/>
    <w:rsid w:val="03E716A2"/>
    <w:rsid w:val="03E91BF7"/>
    <w:rsid w:val="03EA7B21"/>
    <w:rsid w:val="03EC63C9"/>
    <w:rsid w:val="03EF1A15"/>
    <w:rsid w:val="03F637F9"/>
    <w:rsid w:val="03F92894"/>
    <w:rsid w:val="03FE4719"/>
    <w:rsid w:val="04027606"/>
    <w:rsid w:val="040F20B8"/>
    <w:rsid w:val="041A14B3"/>
    <w:rsid w:val="04222816"/>
    <w:rsid w:val="04230AD7"/>
    <w:rsid w:val="04282780"/>
    <w:rsid w:val="042D6B08"/>
    <w:rsid w:val="04310280"/>
    <w:rsid w:val="0431202E"/>
    <w:rsid w:val="04394F62"/>
    <w:rsid w:val="044116F6"/>
    <w:rsid w:val="04467D92"/>
    <w:rsid w:val="04565F0C"/>
    <w:rsid w:val="045C1F77"/>
    <w:rsid w:val="045C66B2"/>
    <w:rsid w:val="046224C2"/>
    <w:rsid w:val="04650E5C"/>
    <w:rsid w:val="04662176"/>
    <w:rsid w:val="04671F7C"/>
    <w:rsid w:val="0467259A"/>
    <w:rsid w:val="04711F5E"/>
    <w:rsid w:val="04714B20"/>
    <w:rsid w:val="0473605D"/>
    <w:rsid w:val="04811B11"/>
    <w:rsid w:val="04844854"/>
    <w:rsid w:val="0486237A"/>
    <w:rsid w:val="048A6A6A"/>
    <w:rsid w:val="048E0EAD"/>
    <w:rsid w:val="048E122E"/>
    <w:rsid w:val="04926F7C"/>
    <w:rsid w:val="04975E7B"/>
    <w:rsid w:val="04980C9F"/>
    <w:rsid w:val="04A171B4"/>
    <w:rsid w:val="04A47A17"/>
    <w:rsid w:val="04A9250C"/>
    <w:rsid w:val="04AC51BF"/>
    <w:rsid w:val="04B17E6C"/>
    <w:rsid w:val="04B769D7"/>
    <w:rsid w:val="04B914C8"/>
    <w:rsid w:val="04BA64C7"/>
    <w:rsid w:val="04BC0CE2"/>
    <w:rsid w:val="04BF2C00"/>
    <w:rsid w:val="04C258B7"/>
    <w:rsid w:val="04C335CE"/>
    <w:rsid w:val="04C44DDD"/>
    <w:rsid w:val="04C64537"/>
    <w:rsid w:val="04C86C51"/>
    <w:rsid w:val="04CB6AC9"/>
    <w:rsid w:val="04CF728E"/>
    <w:rsid w:val="04D31337"/>
    <w:rsid w:val="04D5637C"/>
    <w:rsid w:val="04D87E49"/>
    <w:rsid w:val="04D94D82"/>
    <w:rsid w:val="04D969C6"/>
    <w:rsid w:val="04DC643E"/>
    <w:rsid w:val="04E11CA6"/>
    <w:rsid w:val="04E50449"/>
    <w:rsid w:val="04E80917"/>
    <w:rsid w:val="04E946B7"/>
    <w:rsid w:val="04EB6681"/>
    <w:rsid w:val="04F56EF8"/>
    <w:rsid w:val="04F83365"/>
    <w:rsid w:val="04FE63B4"/>
    <w:rsid w:val="04FF037E"/>
    <w:rsid w:val="05127D9B"/>
    <w:rsid w:val="051756C8"/>
    <w:rsid w:val="051F15AE"/>
    <w:rsid w:val="051F4905"/>
    <w:rsid w:val="05263B5D"/>
    <w:rsid w:val="05264E82"/>
    <w:rsid w:val="052B2F21"/>
    <w:rsid w:val="052C2255"/>
    <w:rsid w:val="052F5C3B"/>
    <w:rsid w:val="05300538"/>
    <w:rsid w:val="05361BEA"/>
    <w:rsid w:val="05461B09"/>
    <w:rsid w:val="05561E22"/>
    <w:rsid w:val="055F0D07"/>
    <w:rsid w:val="05697868"/>
    <w:rsid w:val="056E0609"/>
    <w:rsid w:val="05701D6C"/>
    <w:rsid w:val="05793607"/>
    <w:rsid w:val="057D5890"/>
    <w:rsid w:val="05882122"/>
    <w:rsid w:val="058C6BE9"/>
    <w:rsid w:val="059554A6"/>
    <w:rsid w:val="05A00C76"/>
    <w:rsid w:val="05A131E3"/>
    <w:rsid w:val="05A351AD"/>
    <w:rsid w:val="05A47ACE"/>
    <w:rsid w:val="05AC22B4"/>
    <w:rsid w:val="05B41169"/>
    <w:rsid w:val="05B437EC"/>
    <w:rsid w:val="05BA1E72"/>
    <w:rsid w:val="05BA78F4"/>
    <w:rsid w:val="05BB0984"/>
    <w:rsid w:val="05BB3177"/>
    <w:rsid w:val="05C3315A"/>
    <w:rsid w:val="05C45670"/>
    <w:rsid w:val="05C649F8"/>
    <w:rsid w:val="05C83664"/>
    <w:rsid w:val="05CA098C"/>
    <w:rsid w:val="05CD2772"/>
    <w:rsid w:val="05CE7CA6"/>
    <w:rsid w:val="05D16848"/>
    <w:rsid w:val="05D3666F"/>
    <w:rsid w:val="05D4049D"/>
    <w:rsid w:val="05D84E57"/>
    <w:rsid w:val="05DC2518"/>
    <w:rsid w:val="05E24C49"/>
    <w:rsid w:val="05EA6938"/>
    <w:rsid w:val="05EC3EB4"/>
    <w:rsid w:val="05ED0A99"/>
    <w:rsid w:val="05EF315A"/>
    <w:rsid w:val="05F30D52"/>
    <w:rsid w:val="05F83EAE"/>
    <w:rsid w:val="05FE23E4"/>
    <w:rsid w:val="060317A8"/>
    <w:rsid w:val="06040FED"/>
    <w:rsid w:val="06071F71"/>
    <w:rsid w:val="060E19D4"/>
    <w:rsid w:val="060E1B99"/>
    <w:rsid w:val="06175254"/>
    <w:rsid w:val="061A6980"/>
    <w:rsid w:val="061C3F1E"/>
    <w:rsid w:val="061E5131"/>
    <w:rsid w:val="06284F47"/>
    <w:rsid w:val="062C318E"/>
    <w:rsid w:val="062D6D97"/>
    <w:rsid w:val="062D7C32"/>
    <w:rsid w:val="062F259D"/>
    <w:rsid w:val="06310741"/>
    <w:rsid w:val="0634029A"/>
    <w:rsid w:val="063407BB"/>
    <w:rsid w:val="063B2989"/>
    <w:rsid w:val="063D4CBA"/>
    <w:rsid w:val="063E7D85"/>
    <w:rsid w:val="063F6C84"/>
    <w:rsid w:val="06432B56"/>
    <w:rsid w:val="064509FD"/>
    <w:rsid w:val="064674D8"/>
    <w:rsid w:val="064D23F9"/>
    <w:rsid w:val="064E48E4"/>
    <w:rsid w:val="06532B03"/>
    <w:rsid w:val="0659586C"/>
    <w:rsid w:val="066C559F"/>
    <w:rsid w:val="066F314B"/>
    <w:rsid w:val="06742FF7"/>
    <w:rsid w:val="06763BE5"/>
    <w:rsid w:val="0683733C"/>
    <w:rsid w:val="06840264"/>
    <w:rsid w:val="068602C1"/>
    <w:rsid w:val="06897EFF"/>
    <w:rsid w:val="068B677B"/>
    <w:rsid w:val="0696261C"/>
    <w:rsid w:val="06971860"/>
    <w:rsid w:val="069D7E4F"/>
    <w:rsid w:val="069E3612"/>
    <w:rsid w:val="069E5BE2"/>
    <w:rsid w:val="069F4357"/>
    <w:rsid w:val="06A16104"/>
    <w:rsid w:val="06A74829"/>
    <w:rsid w:val="06A92474"/>
    <w:rsid w:val="06A967F3"/>
    <w:rsid w:val="06B66892"/>
    <w:rsid w:val="06B70F10"/>
    <w:rsid w:val="06B73250"/>
    <w:rsid w:val="06B867FC"/>
    <w:rsid w:val="06C21663"/>
    <w:rsid w:val="06C950BF"/>
    <w:rsid w:val="06CB49BC"/>
    <w:rsid w:val="06D27AF8"/>
    <w:rsid w:val="06D84848"/>
    <w:rsid w:val="06E14CBE"/>
    <w:rsid w:val="06E15F8D"/>
    <w:rsid w:val="06E573E1"/>
    <w:rsid w:val="06E73135"/>
    <w:rsid w:val="06E92564"/>
    <w:rsid w:val="06FA74CE"/>
    <w:rsid w:val="06FB68B7"/>
    <w:rsid w:val="07043D9E"/>
    <w:rsid w:val="07060142"/>
    <w:rsid w:val="070A2A99"/>
    <w:rsid w:val="070D4E50"/>
    <w:rsid w:val="07145F39"/>
    <w:rsid w:val="0718536E"/>
    <w:rsid w:val="071C5C45"/>
    <w:rsid w:val="0721282E"/>
    <w:rsid w:val="072365A6"/>
    <w:rsid w:val="07245773"/>
    <w:rsid w:val="072551A7"/>
    <w:rsid w:val="07265D95"/>
    <w:rsid w:val="07293586"/>
    <w:rsid w:val="07295285"/>
    <w:rsid w:val="072B7BD7"/>
    <w:rsid w:val="072D5D12"/>
    <w:rsid w:val="072D607D"/>
    <w:rsid w:val="07356D81"/>
    <w:rsid w:val="073863A1"/>
    <w:rsid w:val="073A744C"/>
    <w:rsid w:val="0747177C"/>
    <w:rsid w:val="074A27AC"/>
    <w:rsid w:val="07510C8F"/>
    <w:rsid w:val="075B2E8F"/>
    <w:rsid w:val="075F5104"/>
    <w:rsid w:val="07636392"/>
    <w:rsid w:val="076775B0"/>
    <w:rsid w:val="0768220B"/>
    <w:rsid w:val="07691ADF"/>
    <w:rsid w:val="076D7821"/>
    <w:rsid w:val="076E3F95"/>
    <w:rsid w:val="076F41ED"/>
    <w:rsid w:val="07705CC0"/>
    <w:rsid w:val="07717112"/>
    <w:rsid w:val="07752B3A"/>
    <w:rsid w:val="07767BC9"/>
    <w:rsid w:val="07770C56"/>
    <w:rsid w:val="077948BA"/>
    <w:rsid w:val="07835317"/>
    <w:rsid w:val="07856E3C"/>
    <w:rsid w:val="0788465B"/>
    <w:rsid w:val="078D0CC0"/>
    <w:rsid w:val="078D4BA5"/>
    <w:rsid w:val="078D77EF"/>
    <w:rsid w:val="07981A06"/>
    <w:rsid w:val="079A613C"/>
    <w:rsid w:val="07A111B9"/>
    <w:rsid w:val="07A5586E"/>
    <w:rsid w:val="07AF3996"/>
    <w:rsid w:val="07B611C8"/>
    <w:rsid w:val="07B71267"/>
    <w:rsid w:val="07BE6173"/>
    <w:rsid w:val="07C338E5"/>
    <w:rsid w:val="07D2646F"/>
    <w:rsid w:val="07D60EE8"/>
    <w:rsid w:val="07DA1B79"/>
    <w:rsid w:val="07DB2C0D"/>
    <w:rsid w:val="07DC537F"/>
    <w:rsid w:val="07E31891"/>
    <w:rsid w:val="07E80381"/>
    <w:rsid w:val="07EA2C20"/>
    <w:rsid w:val="07EA49A8"/>
    <w:rsid w:val="07EC1369"/>
    <w:rsid w:val="07EE4A01"/>
    <w:rsid w:val="07EF7893"/>
    <w:rsid w:val="07F01A92"/>
    <w:rsid w:val="07F25C3B"/>
    <w:rsid w:val="07F25F78"/>
    <w:rsid w:val="07F615C4"/>
    <w:rsid w:val="07F901A3"/>
    <w:rsid w:val="07F920A1"/>
    <w:rsid w:val="08017F69"/>
    <w:rsid w:val="0802440D"/>
    <w:rsid w:val="08036534"/>
    <w:rsid w:val="08042CA2"/>
    <w:rsid w:val="080710D7"/>
    <w:rsid w:val="08163A15"/>
    <w:rsid w:val="081658FD"/>
    <w:rsid w:val="081751D4"/>
    <w:rsid w:val="081A6159"/>
    <w:rsid w:val="081B102B"/>
    <w:rsid w:val="081E0B1B"/>
    <w:rsid w:val="08207405"/>
    <w:rsid w:val="08275449"/>
    <w:rsid w:val="08275DB7"/>
    <w:rsid w:val="08287C16"/>
    <w:rsid w:val="0829023B"/>
    <w:rsid w:val="082A6FA6"/>
    <w:rsid w:val="082A74C0"/>
    <w:rsid w:val="08310FF5"/>
    <w:rsid w:val="083245C7"/>
    <w:rsid w:val="0837398B"/>
    <w:rsid w:val="083F69E2"/>
    <w:rsid w:val="084635EB"/>
    <w:rsid w:val="084A7B62"/>
    <w:rsid w:val="084F2865"/>
    <w:rsid w:val="0850391A"/>
    <w:rsid w:val="08564CB9"/>
    <w:rsid w:val="08575FBE"/>
    <w:rsid w:val="0858227F"/>
    <w:rsid w:val="085B3309"/>
    <w:rsid w:val="085C3CE3"/>
    <w:rsid w:val="08617538"/>
    <w:rsid w:val="0865674A"/>
    <w:rsid w:val="086E091D"/>
    <w:rsid w:val="08734D3B"/>
    <w:rsid w:val="087370B9"/>
    <w:rsid w:val="0874698D"/>
    <w:rsid w:val="087C1540"/>
    <w:rsid w:val="087D3A94"/>
    <w:rsid w:val="087E3BC1"/>
    <w:rsid w:val="088071ED"/>
    <w:rsid w:val="08816951"/>
    <w:rsid w:val="088D22D9"/>
    <w:rsid w:val="08932B62"/>
    <w:rsid w:val="0895349E"/>
    <w:rsid w:val="089944A9"/>
    <w:rsid w:val="089F5B63"/>
    <w:rsid w:val="08B33959"/>
    <w:rsid w:val="08B84ACC"/>
    <w:rsid w:val="08BB5CE2"/>
    <w:rsid w:val="08BF5E5A"/>
    <w:rsid w:val="08D3272D"/>
    <w:rsid w:val="08D44585"/>
    <w:rsid w:val="08D544C6"/>
    <w:rsid w:val="08DB66CD"/>
    <w:rsid w:val="08E104C7"/>
    <w:rsid w:val="08E12275"/>
    <w:rsid w:val="08E50D18"/>
    <w:rsid w:val="08E753B1"/>
    <w:rsid w:val="08EE4992"/>
    <w:rsid w:val="08EF5238"/>
    <w:rsid w:val="08F11B50"/>
    <w:rsid w:val="08F54642"/>
    <w:rsid w:val="0902043D"/>
    <w:rsid w:val="090917CB"/>
    <w:rsid w:val="090B4EFE"/>
    <w:rsid w:val="090B6D66"/>
    <w:rsid w:val="09104908"/>
    <w:rsid w:val="092054F4"/>
    <w:rsid w:val="092217DD"/>
    <w:rsid w:val="0922698B"/>
    <w:rsid w:val="09267C87"/>
    <w:rsid w:val="092A73FE"/>
    <w:rsid w:val="092D32CF"/>
    <w:rsid w:val="092E1A43"/>
    <w:rsid w:val="09305432"/>
    <w:rsid w:val="093431FC"/>
    <w:rsid w:val="0935611C"/>
    <w:rsid w:val="09381D91"/>
    <w:rsid w:val="093830AD"/>
    <w:rsid w:val="093916BA"/>
    <w:rsid w:val="093A7294"/>
    <w:rsid w:val="094445B2"/>
    <w:rsid w:val="09465165"/>
    <w:rsid w:val="09491BC8"/>
    <w:rsid w:val="094921B7"/>
    <w:rsid w:val="094B3B92"/>
    <w:rsid w:val="094E4842"/>
    <w:rsid w:val="094E5430"/>
    <w:rsid w:val="094E71DE"/>
    <w:rsid w:val="09500754"/>
    <w:rsid w:val="09523172"/>
    <w:rsid w:val="09524F20"/>
    <w:rsid w:val="0953715A"/>
    <w:rsid w:val="095376BF"/>
    <w:rsid w:val="095531B4"/>
    <w:rsid w:val="095A5B83"/>
    <w:rsid w:val="095D1468"/>
    <w:rsid w:val="0962641F"/>
    <w:rsid w:val="09714AB2"/>
    <w:rsid w:val="09750994"/>
    <w:rsid w:val="09774987"/>
    <w:rsid w:val="09793B17"/>
    <w:rsid w:val="097A4477"/>
    <w:rsid w:val="097C7D74"/>
    <w:rsid w:val="098456E1"/>
    <w:rsid w:val="098B2719"/>
    <w:rsid w:val="098C3863"/>
    <w:rsid w:val="099346C1"/>
    <w:rsid w:val="09953447"/>
    <w:rsid w:val="09975029"/>
    <w:rsid w:val="099B1395"/>
    <w:rsid w:val="099C619C"/>
    <w:rsid w:val="09A92667"/>
    <w:rsid w:val="09B07E99"/>
    <w:rsid w:val="09B41737"/>
    <w:rsid w:val="09B82DDB"/>
    <w:rsid w:val="09BA6059"/>
    <w:rsid w:val="09BC354A"/>
    <w:rsid w:val="09BC7DF2"/>
    <w:rsid w:val="09C35E1E"/>
    <w:rsid w:val="09C556F2"/>
    <w:rsid w:val="09C56195"/>
    <w:rsid w:val="09C6146A"/>
    <w:rsid w:val="09D45935"/>
    <w:rsid w:val="09D83A6D"/>
    <w:rsid w:val="09D83DD8"/>
    <w:rsid w:val="09DB5F31"/>
    <w:rsid w:val="09DC1693"/>
    <w:rsid w:val="09DD13F2"/>
    <w:rsid w:val="09E1354D"/>
    <w:rsid w:val="09E57B43"/>
    <w:rsid w:val="09E66E41"/>
    <w:rsid w:val="09E81BCC"/>
    <w:rsid w:val="09E9544D"/>
    <w:rsid w:val="09F14739"/>
    <w:rsid w:val="09F2400E"/>
    <w:rsid w:val="09F8320D"/>
    <w:rsid w:val="09F932B6"/>
    <w:rsid w:val="0A003D9B"/>
    <w:rsid w:val="0A0D7F56"/>
    <w:rsid w:val="0A1848F4"/>
    <w:rsid w:val="0A193C90"/>
    <w:rsid w:val="0A2368BD"/>
    <w:rsid w:val="0A263993"/>
    <w:rsid w:val="0A267F84"/>
    <w:rsid w:val="0A2729B6"/>
    <w:rsid w:val="0A27573A"/>
    <w:rsid w:val="0A2950EA"/>
    <w:rsid w:val="0A2D3AC2"/>
    <w:rsid w:val="0A2E2D1E"/>
    <w:rsid w:val="0A2F3646"/>
    <w:rsid w:val="0A3010C7"/>
    <w:rsid w:val="0A3463D4"/>
    <w:rsid w:val="0A362FD0"/>
    <w:rsid w:val="0A3A3B56"/>
    <w:rsid w:val="0A477FFC"/>
    <w:rsid w:val="0A4A6AD9"/>
    <w:rsid w:val="0A4D5A91"/>
    <w:rsid w:val="0A560A40"/>
    <w:rsid w:val="0A573505"/>
    <w:rsid w:val="0A5847B8"/>
    <w:rsid w:val="0A5C798D"/>
    <w:rsid w:val="0A5F2B10"/>
    <w:rsid w:val="0A5F6638"/>
    <w:rsid w:val="0A631516"/>
    <w:rsid w:val="0A6568C6"/>
    <w:rsid w:val="0A693D18"/>
    <w:rsid w:val="0A6A23A8"/>
    <w:rsid w:val="0A782273"/>
    <w:rsid w:val="0A791D37"/>
    <w:rsid w:val="0A816019"/>
    <w:rsid w:val="0A8779FC"/>
    <w:rsid w:val="0A880415"/>
    <w:rsid w:val="0A8D2745"/>
    <w:rsid w:val="0A8F10E0"/>
    <w:rsid w:val="0AA6225D"/>
    <w:rsid w:val="0AA755DF"/>
    <w:rsid w:val="0AA860E3"/>
    <w:rsid w:val="0AAB0D8C"/>
    <w:rsid w:val="0AAB7859"/>
    <w:rsid w:val="0AAF0151"/>
    <w:rsid w:val="0AB15C77"/>
    <w:rsid w:val="0AB45B0E"/>
    <w:rsid w:val="0AB64C87"/>
    <w:rsid w:val="0ABA4C8A"/>
    <w:rsid w:val="0ABB79A6"/>
    <w:rsid w:val="0ABF5171"/>
    <w:rsid w:val="0AC21C32"/>
    <w:rsid w:val="0AC37758"/>
    <w:rsid w:val="0AC459AA"/>
    <w:rsid w:val="0AC76FBA"/>
    <w:rsid w:val="0AE33940"/>
    <w:rsid w:val="0AE43B71"/>
    <w:rsid w:val="0AEA7098"/>
    <w:rsid w:val="0AEB12C6"/>
    <w:rsid w:val="0AF12517"/>
    <w:rsid w:val="0AF33A92"/>
    <w:rsid w:val="0AFF69E2"/>
    <w:rsid w:val="0B02541A"/>
    <w:rsid w:val="0B095168"/>
    <w:rsid w:val="0B0A3B2F"/>
    <w:rsid w:val="0B0E003D"/>
    <w:rsid w:val="0B120D44"/>
    <w:rsid w:val="0B154979"/>
    <w:rsid w:val="0B204BAA"/>
    <w:rsid w:val="0B217D3F"/>
    <w:rsid w:val="0B226B74"/>
    <w:rsid w:val="0B304DED"/>
    <w:rsid w:val="0B3501C0"/>
    <w:rsid w:val="0B3643CE"/>
    <w:rsid w:val="0B3831C9"/>
    <w:rsid w:val="0B511704"/>
    <w:rsid w:val="0B520957"/>
    <w:rsid w:val="0B606E9B"/>
    <w:rsid w:val="0B623F32"/>
    <w:rsid w:val="0B657B87"/>
    <w:rsid w:val="0B6658C1"/>
    <w:rsid w:val="0B6A0996"/>
    <w:rsid w:val="0B6D172F"/>
    <w:rsid w:val="0B7423F7"/>
    <w:rsid w:val="0B755EDB"/>
    <w:rsid w:val="0B7735DC"/>
    <w:rsid w:val="0B7B0681"/>
    <w:rsid w:val="0B7B5325"/>
    <w:rsid w:val="0B7E6E21"/>
    <w:rsid w:val="0B7E7342"/>
    <w:rsid w:val="0B7F6074"/>
    <w:rsid w:val="0B845139"/>
    <w:rsid w:val="0B865355"/>
    <w:rsid w:val="0B8A683F"/>
    <w:rsid w:val="0B8B64C8"/>
    <w:rsid w:val="0B8C21F5"/>
    <w:rsid w:val="0B905452"/>
    <w:rsid w:val="0B917C52"/>
    <w:rsid w:val="0B9A44B2"/>
    <w:rsid w:val="0B9A495D"/>
    <w:rsid w:val="0BA437A0"/>
    <w:rsid w:val="0BA47589"/>
    <w:rsid w:val="0BA56A3C"/>
    <w:rsid w:val="0BB0055A"/>
    <w:rsid w:val="0BB35A1E"/>
    <w:rsid w:val="0BB91287"/>
    <w:rsid w:val="0BBC16CE"/>
    <w:rsid w:val="0BC01E57"/>
    <w:rsid w:val="0BC62CE6"/>
    <w:rsid w:val="0BC65752"/>
    <w:rsid w:val="0BC727C6"/>
    <w:rsid w:val="0BCB149F"/>
    <w:rsid w:val="0BD27BF6"/>
    <w:rsid w:val="0BD84435"/>
    <w:rsid w:val="0BDC31C7"/>
    <w:rsid w:val="0BDC4F75"/>
    <w:rsid w:val="0BDE6804"/>
    <w:rsid w:val="0BE0477C"/>
    <w:rsid w:val="0BE8391A"/>
    <w:rsid w:val="0BEA7692"/>
    <w:rsid w:val="0BED15C5"/>
    <w:rsid w:val="0BF30924"/>
    <w:rsid w:val="0BF6609E"/>
    <w:rsid w:val="0BFE4EEC"/>
    <w:rsid w:val="0C022F4C"/>
    <w:rsid w:val="0C087396"/>
    <w:rsid w:val="0C0D3730"/>
    <w:rsid w:val="0C105729"/>
    <w:rsid w:val="0C126DC0"/>
    <w:rsid w:val="0C13795F"/>
    <w:rsid w:val="0C1704AC"/>
    <w:rsid w:val="0C1B09F4"/>
    <w:rsid w:val="0C1C2136"/>
    <w:rsid w:val="0C1E733C"/>
    <w:rsid w:val="0C216E2C"/>
    <w:rsid w:val="0C2410DF"/>
    <w:rsid w:val="0C2A7A8F"/>
    <w:rsid w:val="0C2D2378"/>
    <w:rsid w:val="0C2F1549"/>
    <w:rsid w:val="0C2F1AFF"/>
    <w:rsid w:val="0C394176"/>
    <w:rsid w:val="0C3B3C7D"/>
    <w:rsid w:val="0C3C3C66"/>
    <w:rsid w:val="0C3C42C9"/>
    <w:rsid w:val="0C3D5924"/>
    <w:rsid w:val="0C450D6C"/>
    <w:rsid w:val="0C474AE5"/>
    <w:rsid w:val="0C522046"/>
    <w:rsid w:val="0C56381E"/>
    <w:rsid w:val="0C5719E5"/>
    <w:rsid w:val="0C635F3F"/>
    <w:rsid w:val="0C686072"/>
    <w:rsid w:val="0C694A9D"/>
    <w:rsid w:val="0C6B00FB"/>
    <w:rsid w:val="0C6E02C3"/>
    <w:rsid w:val="0C6E7A55"/>
    <w:rsid w:val="0C782D8D"/>
    <w:rsid w:val="0C7B320A"/>
    <w:rsid w:val="0C811679"/>
    <w:rsid w:val="0C831895"/>
    <w:rsid w:val="0C874AB1"/>
    <w:rsid w:val="0C922C74"/>
    <w:rsid w:val="0C943AA2"/>
    <w:rsid w:val="0C9E047D"/>
    <w:rsid w:val="0CA2678D"/>
    <w:rsid w:val="0CA313D8"/>
    <w:rsid w:val="0CA77331"/>
    <w:rsid w:val="0CAB2EAE"/>
    <w:rsid w:val="0CAF204C"/>
    <w:rsid w:val="0CB17E61"/>
    <w:rsid w:val="0CB657C6"/>
    <w:rsid w:val="0CBD6B55"/>
    <w:rsid w:val="0CC51EAD"/>
    <w:rsid w:val="0CC9374C"/>
    <w:rsid w:val="0CCC5321"/>
    <w:rsid w:val="0CDE6ACB"/>
    <w:rsid w:val="0CE271A4"/>
    <w:rsid w:val="0CE41347"/>
    <w:rsid w:val="0CE75980"/>
    <w:rsid w:val="0CE916F8"/>
    <w:rsid w:val="0CEA0AED"/>
    <w:rsid w:val="0CEB0F40"/>
    <w:rsid w:val="0CEB7EF6"/>
    <w:rsid w:val="0CEF0CD8"/>
    <w:rsid w:val="0CF12DCE"/>
    <w:rsid w:val="0CF167FE"/>
    <w:rsid w:val="0CF62B54"/>
    <w:rsid w:val="0D00791F"/>
    <w:rsid w:val="0D1878EB"/>
    <w:rsid w:val="0D1A0E57"/>
    <w:rsid w:val="0D242020"/>
    <w:rsid w:val="0D286D68"/>
    <w:rsid w:val="0D3000CB"/>
    <w:rsid w:val="0D335069"/>
    <w:rsid w:val="0D386EBC"/>
    <w:rsid w:val="0D3E2F48"/>
    <w:rsid w:val="0D466B4A"/>
    <w:rsid w:val="0D593C27"/>
    <w:rsid w:val="0D621C7D"/>
    <w:rsid w:val="0D635706"/>
    <w:rsid w:val="0D650A0F"/>
    <w:rsid w:val="0D6671EC"/>
    <w:rsid w:val="0D690A8B"/>
    <w:rsid w:val="0D6A07BF"/>
    <w:rsid w:val="0D6E5C96"/>
    <w:rsid w:val="0D72790C"/>
    <w:rsid w:val="0D796C86"/>
    <w:rsid w:val="0D7B7C81"/>
    <w:rsid w:val="0D7C4FAB"/>
    <w:rsid w:val="0D7D0092"/>
    <w:rsid w:val="0D7E33C4"/>
    <w:rsid w:val="0D8E6D0D"/>
    <w:rsid w:val="0D98311E"/>
    <w:rsid w:val="0D985311"/>
    <w:rsid w:val="0D9E6986"/>
    <w:rsid w:val="0D9F012F"/>
    <w:rsid w:val="0DA15914"/>
    <w:rsid w:val="0DA53BF1"/>
    <w:rsid w:val="0DA770AD"/>
    <w:rsid w:val="0DB00467"/>
    <w:rsid w:val="0DB3678A"/>
    <w:rsid w:val="0DB6446C"/>
    <w:rsid w:val="0DB66733"/>
    <w:rsid w:val="0DB717F6"/>
    <w:rsid w:val="0DBA12E6"/>
    <w:rsid w:val="0DBC0BBA"/>
    <w:rsid w:val="0DBF06AB"/>
    <w:rsid w:val="0DC343D2"/>
    <w:rsid w:val="0DC45258"/>
    <w:rsid w:val="0DC70935"/>
    <w:rsid w:val="0DC93E31"/>
    <w:rsid w:val="0DCC7B69"/>
    <w:rsid w:val="0DCE6B40"/>
    <w:rsid w:val="0DD028B8"/>
    <w:rsid w:val="0DD1743B"/>
    <w:rsid w:val="0DD35E02"/>
    <w:rsid w:val="0DDF1CCF"/>
    <w:rsid w:val="0DE17D54"/>
    <w:rsid w:val="0DE2411D"/>
    <w:rsid w:val="0DE246BD"/>
    <w:rsid w:val="0DE436D6"/>
    <w:rsid w:val="0DE620DB"/>
    <w:rsid w:val="0DEA2931"/>
    <w:rsid w:val="0DEC6564"/>
    <w:rsid w:val="0DED1DE7"/>
    <w:rsid w:val="0DEF4FE8"/>
    <w:rsid w:val="0DFA02FC"/>
    <w:rsid w:val="0DFA3B07"/>
    <w:rsid w:val="0DFE5079"/>
    <w:rsid w:val="0DFF1B83"/>
    <w:rsid w:val="0E0013EF"/>
    <w:rsid w:val="0E1844BF"/>
    <w:rsid w:val="0E213113"/>
    <w:rsid w:val="0E252C04"/>
    <w:rsid w:val="0E274D1C"/>
    <w:rsid w:val="0E2941CB"/>
    <w:rsid w:val="0E2D0652"/>
    <w:rsid w:val="0E317059"/>
    <w:rsid w:val="0E324ADA"/>
    <w:rsid w:val="0E3E1F17"/>
    <w:rsid w:val="0E3E2AEB"/>
    <w:rsid w:val="0E4116DF"/>
    <w:rsid w:val="0E4449F4"/>
    <w:rsid w:val="0E53628F"/>
    <w:rsid w:val="0E56100F"/>
    <w:rsid w:val="0E590AFF"/>
    <w:rsid w:val="0E5C02D2"/>
    <w:rsid w:val="0E5C414B"/>
    <w:rsid w:val="0E670397"/>
    <w:rsid w:val="0E6E3B77"/>
    <w:rsid w:val="0E713C39"/>
    <w:rsid w:val="0E73034D"/>
    <w:rsid w:val="0E7E6F16"/>
    <w:rsid w:val="0E803068"/>
    <w:rsid w:val="0E812471"/>
    <w:rsid w:val="0E813BB2"/>
    <w:rsid w:val="0E820056"/>
    <w:rsid w:val="0E835B7C"/>
    <w:rsid w:val="0E8A7DA7"/>
    <w:rsid w:val="0E8D096C"/>
    <w:rsid w:val="0E8E5F1C"/>
    <w:rsid w:val="0E9D59AD"/>
    <w:rsid w:val="0EA45387"/>
    <w:rsid w:val="0EB17B5C"/>
    <w:rsid w:val="0EB63C89"/>
    <w:rsid w:val="0EBB39A4"/>
    <w:rsid w:val="0EBB5316"/>
    <w:rsid w:val="0ECB4993"/>
    <w:rsid w:val="0ECC307F"/>
    <w:rsid w:val="0ED038B9"/>
    <w:rsid w:val="0ED25C64"/>
    <w:rsid w:val="0ED25E75"/>
    <w:rsid w:val="0ED308B1"/>
    <w:rsid w:val="0EDB61ED"/>
    <w:rsid w:val="0EE83C31"/>
    <w:rsid w:val="0EE95F3F"/>
    <w:rsid w:val="0EEE7499"/>
    <w:rsid w:val="0EF5261A"/>
    <w:rsid w:val="0EF97BEC"/>
    <w:rsid w:val="0EFB470B"/>
    <w:rsid w:val="0F040A6B"/>
    <w:rsid w:val="0F073DDF"/>
    <w:rsid w:val="0F0C791F"/>
    <w:rsid w:val="0F13775A"/>
    <w:rsid w:val="0F1669F0"/>
    <w:rsid w:val="0F1F3AF7"/>
    <w:rsid w:val="0F212E80"/>
    <w:rsid w:val="0F22536C"/>
    <w:rsid w:val="0F230706"/>
    <w:rsid w:val="0F234C69"/>
    <w:rsid w:val="0F254DD5"/>
    <w:rsid w:val="0F26343A"/>
    <w:rsid w:val="0F2A7686"/>
    <w:rsid w:val="0F2B6A4C"/>
    <w:rsid w:val="0F376CE6"/>
    <w:rsid w:val="0F386966"/>
    <w:rsid w:val="0F3D1F95"/>
    <w:rsid w:val="0F3F5F11"/>
    <w:rsid w:val="0F4F0B1B"/>
    <w:rsid w:val="0F5016BA"/>
    <w:rsid w:val="0F53065C"/>
    <w:rsid w:val="0F53597F"/>
    <w:rsid w:val="0F5B2655"/>
    <w:rsid w:val="0F5B4403"/>
    <w:rsid w:val="0F5C3CDC"/>
    <w:rsid w:val="0F5F45FE"/>
    <w:rsid w:val="0F691B78"/>
    <w:rsid w:val="0F692FC4"/>
    <w:rsid w:val="0F6A69DA"/>
    <w:rsid w:val="0F7014AD"/>
    <w:rsid w:val="0F717F8E"/>
    <w:rsid w:val="0F7756E1"/>
    <w:rsid w:val="0F7961A0"/>
    <w:rsid w:val="0F7A6F7F"/>
    <w:rsid w:val="0F827BE2"/>
    <w:rsid w:val="0F83329A"/>
    <w:rsid w:val="0F834D37"/>
    <w:rsid w:val="0F86138F"/>
    <w:rsid w:val="0F8B0ADD"/>
    <w:rsid w:val="0F911464"/>
    <w:rsid w:val="0F91589E"/>
    <w:rsid w:val="0F975858"/>
    <w:rsid w:val="0F977B31"/>
    <w:rsid w:val="0F993CB9"/>
    <w:rsid w:val="0F9A112B"/>
    <w:rsid w:val="0FA25CB6"/>
    <w:rsid w:val="0FA40799"/>
    <w:rsid w:val="0FA51A1F"/>
    <w:rsid w:val="0FA61B22"/>
    <w:rsid w:val="0FAA73A1"/>
    <w:rsid w:val="0FAC2408"/>
    <w:rsid w:val="0FAE09D7"/>
    <w:rsid w:val="0FAE3FC6"/>
    <w:rsid w:val="0FB26250"/>
    <w:rsid w:val="0FB32013"/>
    <w:rsid w:val="0FB8726D"/>
    <w:rsid w:val="0FBA55CD"/>
    <w:rsid w:val="0FC03992"/>
    <w:rsid w:val="0FC05068"/>
    <w:rsid w:val="0FC8650D"/>
    <w:rsid w:val="0FCF76A4"/>
    <w:rsid w:val="0FD21598"/>
    <w:rsid w:val="0FD75BE1"/>
    <w:rsid w:val="0FD967CF"/>
    <w:rsid w:val="0FD97D81"/>
    <w:rsid w:val="0FDE2595"/>
    <w:rsid w:val="0FE8038D"/>
    <w:rsid w:val="0FEC3AAB"/>
    <w:rsid w:val="0FED5320"/>
    <w:rsid w:val="0FEF4B78"/>
    <w:rsid w:val="0FF420EE"/>
    <w:rsid w:val="0FF9631D"/>
    <w:rsid w:val="0FFC339B"/>
    <w:rsid w:val="0FFF1232"/>
    <w:rsid w:val="10067155"/>
    <w:rsid w:val="10073D7B"/>
    <w:rsid w:val="100910F7"/>
    <w:rsid w:val="100F4387"/>
    <w:rsid w:val="10154C70"/>
    <w:rsid w:val="101F3C57"/>
    <w:rsid w:val="1021389E"/>
    <w:rsid w:val="10273DFE"/>
    <w:rsid w:val="10277CAB"/>
    <w:rsid w:val="10281712"/>
    <w:rsid w:val="10352EA6"/>
    <w:rsid w:val="10455B4B"/>
    <w:rsid w:val="1046543F"/>
    <w:rsid w:val="104B091B"/>
    <w:rsid w:val="104E0165"/>
    <w:rsid w:val="105154DE"/>
    <w:rsid w:val="105477D0"/>
    <w:rsid w:val="10597D75"/>
    <w:rsid w:val="105B6408"/>
    <w:rsid w:val="105F7E70"/>
    <w:rsid w:val="10612472"/>
    <w:rsid w:val="10613A0A"/>
    <w:rsid w:val="10637A13"/>
    <w:rsid w:val="10680D0C"/>
    <w:rsid w:val="106A6FF4"/>
    <w:rsid w:val="106C3100"/>
    <w:rsid w:val="106D2F64"/>
    <w:rsid w:val="106E1C0C"/>
    <w:rsid w:val="10700268"/>
    <w:rsid w:val="107134FF"/>
    <w:rsid w:val="10750558"/>
    <w:rsid w:val="1077526D"/>
    <w:rsid w:val="107B7FF2"/>
    <w:rsid w:val="107E311B"/>
    <w:rsid w:val="1080431F"/>
    <w:rsid w:val="1081433D"/>
    <w:rsid w:val="10840B88"/>
    <w:rsid w:val="1085287F"/>
    <w:rsid w:val="108570CB"/>
    <w:rsid w:val="10881C14"/>
    <w:rsid w:val="10887D92"/>
    <w:rsid w:val="10897BD2"/>
    <w:rsid w:val="108D2CE2"/>
    <w:rsid w:val="108F4B64"/>
    <w:rsid w:val="108F4E99"/>
    <w:rsid w:val="10945E1E"/>
    <w:rsid w:val="1095480E"/>
    <w:rsid w:val="10A15E89"/>
    <w:rsid w:val="10A27D57"/>
    <w:rsid w:val="10A46ADD"/>
    <w:rsid w:val="10AC54AA"/>
    <w:rsid w:val="10AD6EE0"/>
    <w:rsid w:val="10AE566F"/>
    <w:rsid w:val="10B310F1"/>
    <w:rsid w:val="10B464C1"/>
    <w:rsid w:val="10B63710"/>
    <w:rsid w:val="10BD35C7"/>
    <w:rsid w:val="10CA7D05"/>
    <w:rsid w:val="10CD30DE"/>
    <w:rsid w:val="10CE7EBA"/>
    <w:rsid w:val="10D92C55"/>
    <w:rsid w:val="10DC30EE"/>
    <w:rsid w:val="10E326D9"/>
    <w:rsid w:val="10E33F9B"/>
    <w:rsid w:val="10E34306"/>
    <w:rsid w:val="10EE6860"/>
    <w:rsid w:val="10EF12A7"/>
    <w:rsid w:val="10F10820"/>
    <w:rsid w:val="10F26257"/>
    <w:rsid w:val="10F75985"/>
    <w:rsid w:val="10F863AD"/>
    <w:rsid w:val="10FE65A5"/>
    <w:rsid w:val="10FE679F"/>
    <w:rsid w:val="1102192B"/>
    <w:rsid w:val="11036B00"/>
    <w:rsid w:val="110416CA"/>
    <w:rsid w:val="110E3A9D"/>
    <w:rsid w:val="111331E7"/>
    <w:rsid w:val="111B02EE"/>
    <w:rsid w:val="111C2F7A"/>
    <w:rsid w:val="111D5D5A"/>
    <w:rsid w:val="11205904"/>
    <w:rsid w:val="11273833"/>
    <w:rsid w:val="112E0994"/>
    <w:rsid w:val="1131366D"/>
    <w:rsid w:val="1132401F"/>
    <w:rsid w:val="11340E0C"/>
    <w:rsid w:val="113413B0"/>
    <w:rsid w:val="11364558"/>
    <w:rsid w:val="11365CF6"/>
    <w:rsid w:val="11387E9F"/>
    <w:rsid w:val="113D288D"/>
    <w:rsid w:val="11447845"/>
    <w:rsid w:val="114A128D"/>
    <w:rsid w:val="114C494B"/>
    <w:rsid w:val="114C66F9"/>
    <w:rsid w:val="114E06C3"/>
    <w:rsid w:val="115349B0"/>
    <w:rsid w:val="115A05BF"/>
    <w:rsid w:val="11627900"/>
    <w:rsid w:val="11651BDC"/>
    <w:rsid w:val="11655D12"/>
    <w:rsid w:val="11665CA1"/>
    <w:rsid w:val="11683B30"/>
    <w:rsid w:val="116D0724"/>
    <w:rsid w:val="11734152"/>
    <w:rsid w:val="11743805"/>
    <w:rsid w:val="11744968"/>
    <w:rsid w:val="11785236"/>
    <w:rsid w:val="117937AD"/>
    <w:rsid w:val="11800151"/>
    <w:rsid w:val="118151C6"/>
    <w:rsid w:val="1184614B"/>
    <w:rsid w:val="11852F84"/>
    <w:rsid w:val="118E13DA"/>
    <w:rsid w:val="11902A8A"/>
    <w:rsid w:val="11930964"/>
    <w:rsid w:val="11983F0E"/>
    <w:rsid w:val="11A025A1"/>
    <w:rsid w:val="11A46535"/>
    <w:rsid w:val="11A6405B"/>
    <w:rsid w:val="11A93139"/>
    <w:rsid w:val="11B031DE"/>
    <w:rsid w:val="11B65419"/>
    <w:rsid w:val="11B84D73"/>
    <w:rsid w:val="11B85B3D"/>
    <w:rsid w:val="11BE3980"/>
    <w:rsid w:val="11BE5610"/>
    <w:rsid w:val="11CB257E"/>
    <w:rsid w:val="11CC0572"/>
    <w:rsid w:val="11D3293B"/>
    <w:rsid w:val="11D56E4F"/>
    <w:rsid w:val="11D83B31"/>
    <w:rsid w:val="11D96B6A"/>
    <w:rsid w:val="11DA1F57"/>
    <w:rsid w:val="11E401CD"/>
    <w:rsid w:val="11E741A1"/>
    <w:rsid w:val="11E95829"/>
    <w:rsid w:val="11EB5F12"/>
    <w:rsid w:val="11ED1C8A"/>
    <w:rsid w:val="11F1049F"/>
    <w:rsid w:val="11F203C2"/>
    <w:rsid w:val="11F35E75"/>
    <w:rsid w:val="11F70F68"/>
    <w:rsid w:val="11FD1613"/>
    <w:rsid w:val="120142CA"/>
    <w:rsid w:val="120622C2"/>
    <w:rsid w:val="120963A4"/>
    <w:rsid w:val="120B0362"/>
    <w:rsid w:val="1216778C"/>
    <w:rsid w:val="12217B86"/>
    <w:rsid w:val="122B4561"/>
    <w:rsid w:val="12317569"/>
    <w:rsid w:val="12343F4F"/>
    <w:rsid w:val="12354366"/>
    <w:rsid w:val="123F1DBA"/>
    <w:rsid w:val="12463148"/>
    <w:rsid w:val="1249138C"/>
    <w:rsid w:val="124E5235"/>
    <w:rsid w:val="124F5746"/>
    <w:rsid w:val="12525F91"/>
    <w:rsid w:val="12561BF0"/>
    <w:rsid w:val="125A3098"/>
    <w:rsid w:val="125D07AF"/>
    <w:rsid w:val="125F732C"/>
    <w:rsid w:val="126A5144"/>
    <w:rsid w:val="126C2DD7"/>
    <w:rsid w:val="126D3C74"/>
    <w:rsid w:val="127777A6"/>
    <w:rsid w:val="127E53C9"/>
    <w:rsid w:val="128802B2"/>
    <w:rsid w:val="1289790B"/>
    <w:rsid w:val="128A63ED"/>
    <w:rsid w:val="1292521C"/>
    <w:rsid w:val="12945F88"/>
    <w:rsid w:val="12966FEF"/>
    <w:rsid w:val="12972F1F"/>
    <w:rsid w:val="129E4708"/>
    <w:rsid w:val="12A63F9E"/>
    <w:rsid w:val="12A72E93"/>
    <w:rsid w:val="12B10F0A"/>
    <w:rsid w:val="12B72FCD"/>
    <w:rsid w:val="12C217E4"/>
    <w:rsid w:val="12C329EB"/>
    <w:rsid w:val="12C66037"/>
    <w:rsid w:val="12D30A20"/>
    <w:rsid w:val="12E06408"/>
    <w:rsid w:val="12E1456F"/>
    <w:rsid w:val="12E148DA"/>
    <w:rsid w:val="12E260D8"/>
    <w:rsid w:val="12E27315"/>
    <w:rsid w:val="12E86A0C"/>
    <w:rsid w:val="12F4307A"/>
    <w:rsid w:val="12F8205D"/>
    <w:rsid w:val="12F86B39"/>
    <w:rsid w:val="12FC6E20"/>
    <w:rsid w:val="12FD22D6"/>
    <w:rsid w:val="13000FEA"/>
    <w:rsid w:val="130F0CEA"/>
    <w:rsid w:val="130F5C30"/>
    <w:rsid w:val="131A3C63"/>
    <w:rsid w:val="13221A98"/>
    <w:rsid w:val="1329181A"/>
    <w:rsid w:val="1330168A"/>
    <w:rsid w:val="1331204B"/>
    <w:rsid w:val="13313261"/>
    <w:rsid w:val="13360F67"/>
    <w:rsid w:val="133645B5"/>
    <w:rsid w:val="133832E8"/>
    <w:rsid w:val="133B07D3"/>
    <w:rsid w:val="133B693D"/>
    <w:rsid w:val="13446422"/>
    <w:rsid w:val="13456171"/>
    <w:rsid w:val="13465DAC"/>
    <w:rsid w:val="134E49AB"/>
    <w:rsid w:val="13515442"/>
    <w:rsid w:val="1353104E"/>
    <w:rsid w:val="135618C9"/>
    <w:rsid w:val="13587176"/>
    <w:rsid w:val="1358736F"/>
    <w:rsid w:val="135B7FE0"/>
    <w:rsid w:val="135F50D6"/>
    <w:rsid w:val="13622204"/>
    <w:rsid w:val="136316FA"/>
    <w:rsid w:val="13637D2A"/>
    <w:rsid w:val="13641842"/>
    <w:rsid w:val="13641967"/>
    <w:rsid w:val="13655850"/>
    <w:rsid w:val="136B6FEA"/>
    <w:rsid w:val="136F66CF"/>
    <w:rsid w:val="13702B73"/>
    <w:rsid w:val="1373302C"/>
    <w:rsid w:val="13755ED0"/>
    <w:rsid w:val="1377657B"/>
    <w:rsid w:val="13791560"/>
    <w:rsid w:val="13815D2A"/>
    <w:rsid w:val="13817C8D"/>
    <w:rsid w:val="138A3509"/>
    <w:rsid w:val="138A5A29"/>
    <w:rsid w:val="138A5FE6"/>
    <w:rsid w:val="138F10FE"/>
    <w:rsid w:val="139127F7"/>
    <w:rsid w:val="13951726"/>
    <w:rsid w:val="13A43F2F"/>
    <w:rsid w:val="13AC5677"/>
    <w:rsid w:val="13AE5449"/>
    <w:rsid w:val="13B127AE"/>
    <w:rsid w:val="13B769DD"/>
    <w:rsid w:val="13BB14CF"/>
    <w:rsid w:val="13BB79E5"/>
    <w:rsid w:val="13BF22AD"/>
    <w:rsid w:val="13BF7656"/>
    <w:rsid w:val="13C57CD5"/>
    <w:rsid w:val="13C833DE"/>
    <w:rsid w:val="13C92283"/>
    <w:rsid w:val="13D053C0"/>
    <w:rsid w:val="13D12EE6"/>
    <w:rsid w:val="13D1738A"/>
    <w:rsid w:val="13DA1398"/>
    <w:rsid w:val="13DE01AE"/>
    <w:rsid w:val="13E40912"/>
    <w:rsid w:val="13E46BAF"/>
    <w:rsid w:val="13EB607D"/>
    <w:rsid w:val="13F06245"/>
    <w:rsid w:val="13F13CC6"/>
    <w:rsid w:val="13F866C4"/>
    <w:rsid w:val="13FB7F63"/>
    <w:rsid w:val="13FD3CDB"/>
    <w:rsid w:val="13FE2B7B"/>
    <w:rsid w:val="1404150D"/>
    <w:rsid w:val="140A6DEE"/>
    <w:rsid w:val="140D6614"/>
    <w:rsid w:val="140E5EE8"/>
    <w:rsid w:val="14162DD5"/>
    <w:rsid w:val="14173200"/>
    <w:rsid w:val="14186D67"/>
    <w:rsid w:val="141A2ADF"/>
    <w:rsid w:val="141B6690"/>
    <w:rsid w:val="141C258C"/>
    <w:rsid w:val="14225262"/>
    <w:rsid w:val="14290F74"/>
    <w:rsid w:val="142E3D3C"/>
    <w:rsid w:val="14301957"/>
    <w:rsid w:val="143037AB"/>
    <w:rsid w:val="1432672C"/>
    <w:rsid w:val="1437543F"/>
    <w:rsid w:val="14396509"/>
    <w:rsid w:val="143D55B7"/>
    <w:rsid w:val="14465682"/>
    <w:rsid w:val="144B3AE7"/>
    <w:rsid w:val="145219D7"/>
    <w:rsid w:val="14537D9F"/>
    <w:rsid w:val="14592C48"/>
    <w:rsid w:val="14603804"/>
    <w:rsid w:val="14607359"/>
    <w:rsid w:val="146A2B1E"/>
    <w:rsid w:val="146D4ED5"/>
    <w:rsid w:val="14702016"/>
    <w:rsid w:val="14726477"/>
    <w:rsid w:val="14786D6E"/>
    <w:rsid w:val="147C5E29"/>
    <w:rsid w:val="148166BA"/>
    <w:rsid w:val="148D45F4"/>
    <w:rsid w:val="14982FB4"/>
    <w:rsid w:val="14990155"/>
    <w:rsid w:val="149947E3"/>
    <w:rsid w:val="149E4997"/>
    <w:rsid w:val="14AF4635"/>
    <w:rsid w:val="14B720DC"/>
    <w:rsid w:val="14C72E68"/>
    <w:rsid w:val="14C8078D"/>
    <w:rsid w:val="14CB3DD9"/>
    <w:rsid w:val="14CF4595"/>
    <w:rsid w:val="14CF6317"/>
    <w:rsid w:val="14D47131"/>
    <w:rsid w:val="14D7452C"/>
    <w:rsid w:val="14DA401C"/>
    <w:rsid w:val="14DD2C3C"/>
    <w:rsid w:val="14DF6889"/>
    <w:rsid w:val="14E7655D"/>
    <w:rsid w:val="14EF5D19"/>
    <w:rsid w:val="14F10A6A"/>
    <w:rsid w:val="14F4310F"/>
    <w:rsid w:val="14F55AF2"/>
    <w:rsid w:val="14F90946"/>
    <w:rsid w:val="14F93B6A"/>
    <w:rsid w:val="15032E84"/>
    <w:rsid w:val="150866D4"/>
    <w:rsid w:val="150C1E94"/>
    <w:rsid w:val="150D43F1"/>
    <w:rsid w:val="150D7916"/>
    <w:rsid w:val="151267AE"/>
    <w:rsid w:val="15166027"/>
    <w:rsid w:val="151F4766"/>
    <w:rsid w:val="15213BB3"/>
    <w:rsid w:val="15270BBD"/>
    <w:rsid w:val="15304CA1"/>
    <w:rsid w:val="153542FD"/>
    <w:rsid w:val="1536302F"/>
    <w:rsid w:val="15363706"/>
    <w:rsid w:val="153A336F"/>
    <w:rsid w:val="153B29E4"/>
    <w:rsid w:val="153B2D0D"/>
    <w:rsid w:val="153F7762"/>
    <w:rsid w:val="154058E7"/>
    <w:rsid w:val="15431BC1"/>
    <w:rsid w:val="154537CD"/>
    <w:rsid w:val="15520056"/>
    <w:rsid w:val="15537FE9"/>
    <w:rsid w:val="15543DCE"/>
    <w:rsid w:val="15567E5A"/>
    <w:rsid w:val="155D099A"/>
    <w:rsid w:val="15610299"/>
    <w:rsid w:val="15671D54"/>
    <w:rsid w:val="1568787A"/>
    <w:rsid w:val="156B7CAF"/>
    <w:rsid w:val="1572255E"/>
    <w:rsid w:val="157F6950"/>
    <w:rsid w:val="1589441B"/>
    <w:rsid w:val="158E49EC"/>
    <w:rsid w:val="159272E1"/>
    <w:rsid w:val="159643E7"/>
    <w:rsid w:val="15A4110E"/>
    <w:rsid w:val="15AB4BE4"/>
    <w:rsid w:val="15AE34DE"/>
    <w:rsid w:val="15B23B51"/>
    <w:rsid w:val="15B624A2"/>
    <w:rsid w:val="15B75D58"/>
    <w:rsid w:val="15B900D5"/>
    <w:rsid w:val="15B90272"/>
    <w:rsid w:val="15BB487B"/>
    <w:rsid w:val="15BE4B4E"/>
    <w:rsid w:val="15D114D0"/>
    <w:rsid w:val="15D93B67"/>
    <w:rsid w:val="15E11B06"/>
    <w:rsid w:val="15E223B1"/>
    <w:rsid w:val="15E3035A"/>
    <w:rsid w:val="15E82AFC"/>
    <w:rsid w:val="15EA0BE7"/>
    <w:rsid w:val="15EB7304"/>
    <w:rsid w:val="15F07F9B"/>
    <w:rsid w:val="15F1161D"/>
    <w:rsid w:val="15F51685"/>
    <w:rsid w:val="15F82F0A"/>
    <w:rsid w:val="15F93AD9"/>
    <w:rsid w:val="15F97EB4"/>
    <w:rsid w:val="15FC5020"/>
    <w:rsid w:val="16024CD6"/>
    <w:rsid w:val="160354C3"/>
    <w:rsid w:val="16087E1D"/>
    <w:rsid w:val="16124C15"/>
    <w:rsid w:val="16197E6B"/>
    <w:rsid w:val="161C28E0"/>
    <w:rsid w:val="161F618A"/>
    <w:rsid w:val="162157D8"/>
    <w:rsid w:val="162177F5"/>
    <w:rsid w:val="162239A3"/>
    <w:rsid w:val="162639BD"/>
    <w:rsid w:val="16290DB7"/>
    <w:rsid w:val="1632283F"/>
    <w:rsid w:val="16397448"/>
    <w:rsid w:val="163C1560"/>
    <w:rsid w:val="163C6D3C"/>
    <w:rsid w:val="163D0D06"/>
    <w:rsid w:val="163E2AD9"/>
    <w:rsid w:val="16443E43"/>
    <w:rsid w:val="16465E0D"/>
    <w:rsid w:val="16481115"/>
    <w:rsid w:val="16490BF4"/>
    <w:rsid w:val="164E4619"/>
    <w:rsid w:val="165B2F3A"/>
    <w:rsid w:val="165D541F"/>
    <w:rsid w:val="16650B2B"/>
    <w:rsid w:val="1665785E"/>
    <w:rsid w:val="16681976"/>
    <w:rsid w:val="166E657F"/>
    <w:rsid w:val="16722A60"/>
    <w:rsid w:val="16767100"/>
    <w:rsid w:val="16767A1C"/>
    <w:rsid w:val="167A1EDE"/>
    <w:rsid w:val="167B494E"/>
    <w:rsid w:val="167E55A7"/>
    <w:rsid w:val="167F30CD"/>
    <w:rsid w:val="16823089"/>
    <w:rsid w:val="16846E3B"/>
    <w:rsid w:val="168A58C0"/>
    <w:rsid w:val="16901E4C"/>
    <w:rsid w:val="16921052"/>
    <w:rsid w:val="1696521E"/>
    <w:rsid w:val="169961A3"/>
    <w:rsid w:val="16A064EA"/>
    <w:rsid w:val="16A1413C"/>
    <w:rsid w:val="16A20B69"/>
    <w:rsid w:val="16A9014A"/>
    <w:rsid w:val="16B234A2"/>
    <w:rsid w:val="16B305C2"/>
    <w:rsid w:val="16BC1C2B"/>
    <w:rsid w:val="16BD3D30"/>
    <w:rsid w:val="16BF171B"/>
    <w:rsid w:val="16C15493"/>
    <w:rsid w:val="16C90EF1"/>
    <w:rsid w:val="16CA7F8A"/>
    <w:rsid w:val="16CD208A"/>
    <w:rsid w:val="16D0277A"/>
    <w:rsid w:val="16D4115B"/>
    <w:rsid w:val="16D83C4D"/>
    <w:rsid w:val="16DD2110"/>
    <w:rsid w:val="16DF0D20"/>
    <w:rsid w:val="16DF4232"/>
    <w:rsid w:val="16E66CA8"/>
    <w:rsid w:val="16F2389F"/>
    <w:rsid w:val="16F749D7"/>
    <w:rsid w:val="16F83FBE"/>
    <w:rsid w:val="16FF34D6"/>
    <w:rsid w:val="170E6C90"/>
    <w:rsid w:val="171001C9"/>
    <w:rsid w:val="17170FF0"/>
    <w:rsid w:val="17181911"/>
    <w:rsid w:val="17233577"/>
    <w:rsid w:val="17235FC3"/>
    <w:rsid w:val="1726591C"/>
    <w:rsid w:val="172766BA"/>
    <w:rsid w:val="17291027"/>
    <w:rsid w:val="172A128B"/>
    <w:rsid w:val="172D2940"/>
    <w:rsid w:val="17325833"/>
    <w:rsid w:val="17330822"/>
    <w:rsid w:val="17334C3C"/>
    <w:rsid w:val="1741130A"/>
    <w:rsid w:val="17442587"/>
    <w:rsid w:val="17486C88"/>
    <w:rsid w:val="175207E1"/>
    <w:rsid w:val="17555BDC"/>
    <w:rsid w:val="175A163A"/>
    <w:rsid w:val="175D5FCB"/>
    <w:rsid w:val="175F7544"/>
    <w:rsid w:val="17683267"/>
    <w:rsid w:val="176D4231"/>
    <w:rsid w:val="17701D14"/>
    <w:rsid w:val="17735226"/>
    <w:rsid w:val="1774709D"/>
    <w:rsid w:val="177922F0"/>
    <w:rsid w:val="177C13BA"/>
    <w:rsid w:val="1782598D"/>
    <w:rsid w:val="17826121"/>
    <w:rsid w:val="17841624"/>
    <w:rsid w:val="178624E4"/>
    <w:rsid w:val="179802C4"/>
    <w:rsid w:val="17992095"/>
    <w:rsid w:val="17994D0F"/>
    <w:rsid w:val="179D474C"/>
    <w:rsid w:val="17A13152"/>
    <w:rsid w:val="17AD0FA2"/>
    <w:rsid w:val="17B10BE3"/>
    <w:rsid w:val="17B172B6"/>
    <w:rsid w:val="17B23653"/>
    <w:rsid w:val="17B46DA6"/>
    <w:rsid w:val="17C23E72"/>
    <w:rsid w:val="17C85590"/>
    <w:rsid w:val="17C963D5"/>
    <w:rsid w:val="17CB4775"/>
    <w:rsid w:val="17CD529B"/>
    <w:rsid w:val="17CF38A5"/>
    <w:rsid w:val="17D54AC3"/>
    <w:rsid w:val="17D816EC"/>
    <w:rsid w:val="17D90767"/>
    <w:rsid w:val="17DF482A"/>
    <w:rsid w:val="17E111F6"/>
    <w:rsid w:val="17E843B4"/>
    <w:rsid w:val="17EA484B"/>
    <w:rsid w:val="17F06755"/>
    <w:rsid w:val="17FB2C97"/>
    <w:rsid w:val="17FC3533"/>
    <w:rsid w:val="18024D0B"/>
    <w:rsid w:val="18055EDF"/>
    <w:rsid w:val="180732A3"/>
    <w:rsid w:val="180C6E5D"/>
    <w:rsid w:val="18127F8E"/>
    <w:rsid w:val="181B0A50"/>
    <w:rsid w:val="18235CAA"/>
    <w:rsid w:val="1833324E"/>
    <w:rsid w:val="1833416F"/>
    <w:rsid w:val="18374C5F"/>
    <w:rsid w:val="18387273"/>
    <w:rsid w:val="184C5231"/>
    <w:rsid w:val="184E28D4"/>
    <w:rsid w:val="185773FE"/>
    <w:rsid w:val="185D11EC"/>
    <w:rsid w:val="18636BC3"/>
    <w:rsid w:val="18640C92"/>
    <w:rsid w:val="18673E19"/>
    <w:rsid w:val="18682D19"/>
    <w:rsid w:val="186B56B7"/>
    <w:rsid w:val="186C56F3"/>
    <w:rsid w:val="187327BD"/>
    <w:rsid w:val="187D53EA"/>
    <w:rsid w:val="18882132"/>
    <w:rsid w:val="188D78D8"/>
    <w:rsid w:val="18904AED"/>
    <w:rsid w:val="189A735D"/>
    <w:rsid w:val="189C0CED"/>
    <w:rsid w:val="189F624C"/>
    <w:rsid w:val="18A137CE"/>
    <w:rsid w:val="18A14B05"/>
    <w:rsid w:val="18A60C5A"/>
    <w:rsid w:val="18AD1450"/>
    <w:rsid w:val="18B4748A"/>
    <w:rsid w:val="18BB3F98"/>
    <w:rsid w:val="18BB53A4"/>
    <w:rsid w:val="18BF5A03"/>
    <w:rsid w:val="18C24ABD"/>
    <w:rsid w:val="18C94AD3"/>
    <w:rsid w:val="18D6258B"/>
    <w:rsid w:val="18D92F68"/>
    <w:rsid w:val="18DA672E"/>
    <w:rsid w:val="18DC30F4"/>
    <w:rsid w:val="18DC7657"/>
    <w:rsid w:val="18E0295D"/>
    <w:rsid w:val="18E134FB"/>
    <w:rsid w:val="18E35613"/>
    <w:rsid w:val="18E5190D"/>
    <w:rsid w:val="18EA23E1"/>
    <w:rsid w:val="18EB4A4A"/>
    <w:rsid w:val="18F77513"/>
    <w:rsid w:val="18F83704"/>
    <w:rsid w:val="18FE1560"/>
    <w:rsid w:val="190A4CA3"/>
    <w:rsid w:val="19121DAF"/>
    <w:rsid w:val="1913123F"/>
    <w:rsid w:val="19172FD4"/>
    <w:rsid w:val="191D5EC2"/>
    <w:rsid w:val="19250647"/>
    <w:rsid w:val="192561AE"/>
    <w:rsid w:val="19330066"/>
    <w:rsid w:val="19340696"/>
    <w:rsid w:val="193832EC"/>
    <w:rsid w:val="193C213D"/>
    <w:rsid w:val="193C22F3"/>
    <w:rsid w:val="193D197C"/>
    <w:rsid w:val="1941466A"/>
    <w:rsid w:val="19445F08"/>
    <w:rsid w:val="19550115"/>
    <w:rsid w:val="195511EC"/>
    <w:rsid w:val="195E3EAE"/>
    <w:rsid w:val="195E6FCA"/>
    <w:rsid w:val="19647D8B"/>
    <w:rsid w:val="196A001E"/>
    <w:rsid w:val="196C72F0"/>
    <w:rsid w:val="1972340D"/>
    <w:rsid w:val="197728C3"/>
    <w:rsid w:val="19773305"/>
    <w:rsid w:val="197E7326"/>
    <w:rsid w:val="198509FA"/>
    <w:rsid w:val="198742F4"/>
    <w:rsid w:val="19925906"/>
    <w:rsid w:val="19935C88"/>
    <w:rsid w:val="19946F79"/>
    <w:rsid w:val="19947512"/>
    <w:rsid w:val="199649B5"/>
    <w:rsid w:val="19991ECB"/>
    <w:rsid w:val="199B021E"/>
    <w:rsid w:val="199B6470"/>
    <w:rsid w:val="199E0BD7"/>
    <w:rsid w:val="19A2257B"/>
    <w:rsid w:val="19A31EA5"/>
    <w:rsid w:val="19A80F19"/>
    <w:rsid w:val="19AA3D70"/>
    <w:rsid w:val="19AC41D9"/>
    <w:rsid w:val="19AD1CFF"/>
    <w:rsid w:val="19AF5431"/>
    <w:rsid w:val="19B05279"/>
    <w:rsid w:val="19BC79A1"/>
    <w:rsid w:val="19C00F4E"/>
    <w:rsid w:val="19C076D7"/>
    <w:rsid w:val="19C15150"/>
    <w:rsid w:val="19CE05F3"/>
    <w:rsid w:val="19CF2D83"/>
    <w:rsid w:val="19D7052B"/>
    <w:rsid w:val="19DD4C7B"/>
    <w:rsid w:val="19DF6872"/>
    <w:rsid w:val="19E2098A"/>
    <w:rsid w:val="19E73463"/>
    <w:rsid w:val="19EC0AFA"/>
    <w:rsid w:val="19EC4DF5"/>
    <w:rsid w:val="19F34C20"/>
    <w:rsid w:val="19F34E52"/>
    <w:rsid w:val="19F45BB5"/>
    <w:rsid w:val="19F618F8"/>
    <w:rsid w:val="19F74544"/>
    <w:rsid w:val="19FB70C4"/>
    <w:rsid w:val="19FC6162"/>
    <w:rsid w:val="1A045DC3"/>
    <w:rsid w:val="1A091586"/>
    <w:rsid w:val="1A0A70AB"/>
    <w:rsid w:val="1A0E0CCD"/>
    <w:rsid w:val="1A0E6ACF"/>
    <w:rsid w:val="1A1014FB"/>
    <w:rsid w:val="1A1C66C0"/>
    <w:rsid w:val="1A1D50D7"/>
    <w:rsid w:val="1A1E6D69"/>
    <w:rsid w:val="1A1F5268"/>
    <w:rsid w:val="1A230ABD"/>
    <w:rsid w:val="1A2566F4"/>
    <w:rsid w:val="1A2754C3"/>
    <w:rsid w:val="1A2D5C81"/>
    <w:rsid w:val="1A391B12"/>
    <w:rsid w:val="1A39322B"/>
    <w:rsid w:val="1A42393B"/>
    <w:rsid w:val="1A4268EB"/>
    <w:rsid w:val="1A5003B0"/>
    <w:rsid w:val="1A524D25"/>
    <w:rsid w:val="1A545713"/>
    <w:rsid w:val="1A5B5BFF"/>
    <w:rsid w:val="1A5C1707"/>
    <w:rsid w:val="1A5D6F2D"/>
    <w:rsid w:val="1A5F061A"/>
    <w:rsid w:val="1A642D06"/>
    <w:rsid w:val="1A663D17"/>
    <w:rsid w:val="1A6C021E"/>
    <w:rsid w:val="1A6D6992"/>
    <w:rsid w:val="1A6E3163"/>
    <w:rsid w:val="1A6F62EC"/>
    <w:rsid w:val="1A711353"/>
    <w:rsid w:val="1A733596"/>
    <w:rsid w:val="1A736AA5"/>
    <w:rsid w:val="1A77122D"/>
    <w:rsid w:val="1A7840BB"/>
    <w:rsid w:val="1A7E1DC3"/>
    <w:rsid w:val="1A7F47B4"/>
    <w:rsid w:val="1A7F7696"/>
    <w:rsid w:val="1A861582"/>
    <w:rsid w:val="1A8707A2"/>
    <w:rsid w:val="1A873050"/>
    <w:rsid w:val="1A8A4238"/>
    <w:rsid w:val="1A8B7005"/>
    <w:rsid w:val="1A8C7B66"/>
    <w:rsid w:val="1A8F780E"/>
    <w:rsid w:val="1A9A57CA"/>
    <w:rsid w:val="1A9C249F"/>
    <w:rsid w:val="1AA03612"/>
    <w:rsid w:val="1AA27C58"/>
    <w:rsid w:val="1AAA1F45"/>
    <w:rsid w:val="1AAD45DE"/>
    <w:rsid w:val="1AB570BD"/>
    <w:rsid w:val="1AB64BE3"/>
    <w:rsid w:val="1AB81E7E"/>
    <w:rsid w:val="1AB85319"/>
    <w:rsid w:val="1AB94722"/>
    <w:rsid w:val="1AD10F75"/>
    <w:rsid w:val="1AD3412C"/>
    <w:rsid w:val="1AD77FD8"/>
    <w:rsid w:val="1AD87250"/>
    <w:rsid w:val="1ADC0AEE"/>
    <w:rsid w:val="1AE01026"/>
    <w:rsid w:val="1AE9220B"/>
    <w:rsid w:val="1AED23B2"/>
    <w:rsid w:val="1AF4654F"/>
    <w:rsid w:val="1AF80A52"/>
    <w:rsid w:val="1AF866CC"/>
    <w:rsid w:val="1AFA5418"/>
    <w:rsid w:val="1B0353F5"/>
    <w:rsid w:val="1B040045"/>
    <w:rsid w:val="1B046F80"/>
    <w:rsid w:val="1B081624"/>
    <w:rsid w:val="1B0859C3"/>
    <w:rsid w:val="1B152FFB"/>
    <w:rsid w:val="1B163A7E"/>
    <w:rsid w:val="1B186F81"/>
    <w:rsid w:val="1B192484"/>
    <w:rsid w:val="1B1B2104"/>
    <w:rsid w:val="1B1C713C"/>
    <w:rsid w:val="1B206023"/>
    <w:rsid w:val="1B2453AC"/>
    <w:rsid w:val="1B267FBB"/>
    <w:rsid w:val="1B2B01A0"/>
    <w:rsid w:val="1B3267B5"/>
    <w:rsid w:val="1B3426D8"/>
    <w:rsid w:val="1B3D71C1"/>
    <w:rsid w:val="1B3E3557"/>
    <w:rsid w:val="1B3F0E1C"/>
    <w:rsid w:val="1B3F12B6"/>
    <w:rsid w:val="1B40161D"/>
    <w:rsid w:val="1B441859"/>
    <w:rsid w:val="1B487750"/>
    <w:rsid w:val="1B4E4C23"/>
    <w:rsid w:val="1B574618"/>
    <w:rsid w:val="1B595246"/>
    <w:rsid w:val="1B652214"/>
    <w:rsid w:val="1B6606B1"/>
    <w:rsid w:val="1B760C8B"/>
    <w:rsid w:val="1B7C407F"/>
    <w:rsid w:val="1B8076CB"/>
    <w:rsid w:val="1B826631"/>
    <w:rsid w:val="1B850E7F"/>
    <w:rsid w:val="1B8875AF"/>
    <w:rsid w:val="1B8C30ED"/>
    <w:rsid w:val="1B9158F5"/>
    <w:rsid w:val="1B920372"/>
    <w:rsid w:val="1B944F25"/>
    <w:rsid w:val="1B9655FE"/>
    <w:rsid w:val="1BAA6607"/>
    <w:rsid w:val="1BAC0B26"/>
    <w:rsid w:val="1BAD73E5"/>
    <w:rsid w:val="1BAF61FB"/>
    <w:rsid w:val="1BB04D0E"/>
    <w:rsid w:val="1BB10937"/>
    <w:rsid w:val="1BB747A9"/>
    <w:rsid w:val="1BBB45CD"/>
    <w:rsid w:val="1BBC5D0B"/>
    <w:rsid w:val="1BC53330"/>
    <w:rsid w:val="1BC53E8D"/>
    <w:rsid w:val="1BC709D8"/>
    <w:rsid w:val="1BC738A2"/>
    <w:rsid w:val="1BCF5827"/>
    <w:rsid w:val="1BCF6FEE"/>
    <w:rsid w:val="1BD42BB8"/>
    <w:rsid w:val="1BD9519A"/>
    <w:rsid w:val="1BDE43F2"/>
    <w:rsid w:val="1BE0460E"/>
    <w:rsid w:val="1BE53E44"/>
    <w:rsid w:val="1BE872E2"/>
    <w:rsid w:val="1BEA0AC8"/>
    <w:rsid w:val="1BF06C65"/>
    <w:rsid w:val="1BF27E9D"/>
    <w:rsid w:val="1BF84B81"/>
    <w:rsid w:val="1BFA6E7C"/>
    <w:rsid w:val="1C036557"/>
    <w:rsid w:val="1C071B0A"/>
    <w:rsid w:val="1C0721E0"/>
    <w:rsid w:val="1C112A19"/>
    <w:rsid w:val="1C1147C7"/>
    <w:rsid w:val="1C145C8B"/>
    <w:rsid w:val="1C1823A7"/>
    <w:rsid w:val="1C1B5646"/>
    <w:rsid w:val="1C220EAA"/>
    <w:rsid w:val="1C227ED2"/>
    <w:rsid w:val="1C243C3B"/>
    <w:rsid w:val="1C2B73EB"/>
    <w:rsid w:val="1C302E5D"/>
    <w:rsid w:val="1C334F74"/>
    <w:rsid w:val="1C3869E8"/>
    <w:rsid w:val="1C387059"/>
    <w:rsid w:val="1C403F9F"/>
    <w:rsid w:val="1C4131F2"/>
    <w:rsid w:val="1C4138C9"/>
    <w:rsid w:val="1C4D79A6"/>
    <w:rsid w:val="1C511D70"/>
    <w:rsid w:val="1C5805BC"/>
    <w:rsid w:val="1C5D3C4D"/>
    <w:rsid w:val="1C5E4627"/>
    <w:rsid w:val="1C5E7925"/>
    <w:rsid w:val="1C650A0C"/>
    <w:rsid w:val="1C676ADD"/>
    <w:rsid w:val="1C694603"/>
    <w:rsid w:val="1C774414"/>
    <w:rsid w:val="1C7958C4"/>
    <w:rsid w:val="1C8036FB"/>
    <w:rsid w:val="1C837E33"/>
    <w:rsid w:val="1C840E30"/>
    <w:rsid w:val="1C890C15"/>
    <w:rsid w:val="1C8925AF"/>
    <w:rsid w:val="1C8E7BC6"/>
    <w:rsid w:val="1C911524"/>
    <w:rsid w:val="1C931680"/>
    <w:rsid w:val="1C93342E"/>
    <w:rsid w:val="1C9F1DD3"/>
    <w:rsid w:val="1C9F40A4"/>
    <w:rsid w:val="1CA67B3D"/>
    <w:rsid w:val="1CA82BA5"/>
    <w:rsid w:val="1CAB5AF6"/>
    <w:rsid w:val="1CBC688B"/>
    <w:rsid w:val="1CCE50AB"/>
    <w:rsid w:val="1CCF0851"/>
    <w:rsid w:val="1CD04C8C"/>
    <w:rsid w:val="1CD2390D"/>
    <w:rsid w:val="1CD72B28"/>
    <w:rsid w:val="1CDC4DD5"/>
    <w:rsid w:val="1CE1063D"/>
    <w:rsid w:val="1CE13FEE"/>
    <w:rsid w:val="1CE17872"/>
    <w:rsid w:val="1CE819CC"/>
    <w:rsid w:val="1CED6FE2"/>
    <w:rsid w:val="1CEF7861"/>
    <w:rsid w:val="1CF41996"/>
    <w:rsid w:val="1CF56512"/>
    <w:rsid w:val="1CF57C45"/>
    <w:rsid w:val="1CFB3A88"/>
    <w:rsid w:val="1CFD070F"/>
    <w:rsid w:val="1CFE2569"/>
    <w:rsid w:val="1D035432"/>
    <w:rsid w:val="1D1075D0"/>
    <w:rsid w:val="1D1439C8"/>
    <w:rsid w:val="1D17405F"/>
    <w:rsid w:val="1D216C8C"/>
    <w:rsid w:val="1D28001A"/>
    <w:rsid w:val="1D282582"/>
    <w:rsid w:val="1D2E61D3"/>
    <w:rsid w:val="1D2F6BAE"/>
    <w:rsid w:val="1D3369BF"/>
    <w:rsid w:val="1D350989"/>
    <w:rsid w:val="1D3B700C"/>
    <w:rsid w:val="1D4659E3"/>
    <w:rsid w:val="1D4B5C1C"/>
    <w:rsid w:val="1D4D4C12"/>
    <w:rsid w:val="1D4F125E"/>
    <w:rsid w:val="1D5205C3"/>
    <w:rsid w:val="1D5442F4"/>
    <w:rsid w:val="1D5721C3"/>
    <w:rsid w:val="1D5829E8"/>
    <w:rsid w:val="1D5D680C"/>
    <w:rsid w:val="1D5F6196"/>
    <w:rsid w:val="1D6132A5"/>
    <w:rsid w:val="1D641DA6"/>
    <w:rsid w:val="1D646B79"/>
    <w:rsid w:val="1D6C26E5"/>
    <w:rsid w:val="1D6C6151"/>
    <w:rsid w:val="1D774AFE"/>
    <w:rsid w:val="1D785CCC"/>
    <w:rsid w:val="1D7F002D"/>
    <w:rsid w:val="1D807C8E"/>
    <w:rsid w:val="1D8611E5"/>
    <w:rsid w:val="1D8B67FB"/>
    <w:rsid w:val="1D8E22EA"/>
    <w:rsid w:val="1D8E56D5"/>
    <w:rsid w:val="1D905BC0"/>
    <w:rsid w:val="1D916C98"/>
    <w:rsid w:val="1D952165"/>
    <w:rsid w:val="1D9C08F7"/>
    <w:rsid w:val="1DA11B7B"/>
    <w:rsid w:val="1DA3074A"/>
    <w:rsid w:val="1DA43327"/>
    <w:rsid w:val="1DA9472F"/>
    <w:rsid w:val="1DB83DBE"/>
    <w:rsid w:val="1DBC2A58"/>
    <w:rsid w:val="1DC00253"/>
    <w:rsid w:val="1DC37908"/>
    <w:rsid w:val="1DCF0496"/>
    <w:rsid w:val="1DCF5CBD"/>
    <w:rsid w:val="1DD12460"/>
    <w:rsid w:val="1DD24BFC"/>
    <w:rsid w:val="1DD26ABA"/>
    <w:rsid w:val="1DD84838"/>
    <w:rsid w:val="1DDB5C55"/>
    <w:rsid w:val="1DE101C9"/>
    <w:rsid w:val="1DE657E0"/>
    <w:rsid w:val="1DE676BF"/>
    <w:rsid w:val="1DEC1F22"/>
    <w:rsid w:val="1DEF71C4"/>
    <w:rsid w:val="1DF423BD"/>
    <w:rsid w:val="1E027AA5"/>
    <w:rsid w:val="1E081BFA"/>
    <w:rsid w:val="1E0A7720"/>
    <w:rsid w:val="1E0C3ADC"/>
    <w:rsid w:val="1E1265CA"/>
    <w:rsid w:val="1E1354B2"/>
    <w:rsid w:val="1E135B88"/>
    <w:rsid w:val="1E1F199E"/>
    <w:rsid w:val="1E1F1D09"/>
    <w:rsid w:val="1E210712"/>
    <w:rsid w:val="1E2D03C3"/>
    <w:rsid w:val="1E2F2B43"/>
    <w:rsid w:val="1E326C77"/>
    <w:rsid w:val="1E335185"/>
    <w:rsid w:val="1E3429EF"/>
    <w:rsid w:val="1E380731"/>
    <w:rsid w:val="1E3824DF"/>
    <w:rsid w:val="1E3B3D7D"/>
    <w:rsid w:val="1E3C6958"/>
    <w:rsid w:val="1E4476CD"/>
    <w:rsid w:val="1E512F4B"/>
    <w:rsid w:val="1E52504F"/>
    <w:rsid w:val="1E555448"/>
    <w:rsid w:val="1E574E55"/>
    <w:rsid w:val="1E5F0FCE"/>
    <w:rsid w:val="1E5F672D"/>
    <w:rsid w:val="1E634AEC"/>
    <w:rsid w:val="1E684FD8"/>
    <w:rsid w:val="1E6C0B3B"/>
    <w:rsid w:val="1E6C55D3"/>
    <w:rsid w:val="1E6F48AD"/>
    <w:rsid w:val="1E702BF6"/>
    <w:rsid w:val="1E7456E8"/>
    <w:rsid w:val="1E74728F"/>
    <w:rsid w:val="1E7603AC"/>
    <w:rsid w:val="1E763007"/>
    <w:rsid w:val="1E78617C"/>
    <w:rsid w:val="1E7958F0"/>
    <w:rsid w:val="1E7A43DA"/>
    <w:rsid w:val="1E7C7613"/>
    <w:rsid w:val="1E7F6837"/>
    <w:rsid w:val="1E81151C"/>
    <w:rsid w:val="1E870D71"/>
    <w:rsid w:val="1E8930A5"/>
    <w:rsid w:val="1E8B6273"/>
    <w:rsid w:val="1E8F1F0D"/>
    <w:rsid w:val="1E931436"/>
    <w:rsid w:val="1E94569F"/>
    <w:rsid w:val="1E9626F5"/>
    <w:rsid w:val="1E9A1A93"/>
    <w:rsid w:val="1E9C42C4"/>
    <w:rsid w:val="1E9F430C"/>
    <w:rsid w:val="1EA00084"/>
    <w:rsid w:val="1EA85B59"/>
    <w:rsid w:val="1EAB06F5"/>
    <w:rsid w:val="1EB067E8"/>
    <w:rsid w:val="1EB17A38"/>
    <w:rsid w:val="1ED03707"/>
    <w:rsid w:val="1ED16490"/>
    <w:rsid w:val="1ED43525"/>
    <w:rsid w:val="1ED57D2E"/>
    <w:rsid w:val="1EDE6099"/>
    <w:rsid w:val="1EDF44F4"/>
    <w:rsid w:val="1EED0356"/>
    <w:rsid w:val="1EF0755B"/>
    <w:rsid w:val="1EF6578A"/>
    <w:rsid w:val="1EF65EF6"/>
    <w:rsid w:val="1EF924FD"/>
    <w:rsid w:val="1EFB64B7"/>
    <w:rsid w:val="1F0152EE"/>
    <w:rsid w:val="1F031CF9"/>
    <w:rsid w:val="1F036CB4"/>
    <w:rsid w:val="1F0468C0"/>
    <w:rsid w:val="1F05089E"/>
    <w:rsid w:val="1F051B18"/>
    <w:rsid w:val="1F080890"/>
    <w:rsid w:val="1F0A515A"/>
    <w:rsid w:val="1F0C4976"/>
    <w:rsid w:val="1F1101CF"/>
    <w:rsid w:val="1F120F82"/>
    <w:rsid w:val="1F1A7859"/>
    <w:rsid w:val="1F1F3A88"/>
    <w:rsid w:val="1F220A99"/>
    <w:rsid w:val="1F281DCF"/>
    <w:rsid w:val="1F2962CC"/>
    <w:rsid w:val="1F2B4E33"/>
    <w:rsid w:val="1F2C6132"/>
    <w:rsid w:val="1F363EB0"/>
    <w:rsid w:val="1F3832F9"/>
    <w:rsid w:val="1F3D3E4E"/>
    <w:rsid w:val="1F3F6707"/>
    <w:rsid w:val="1F470EBC"/>
    <w:rsid w:val="1F4E188E"/>
    <w:rsid w:val="1F4F1A7A"/>
    <w:rsid w:val="1F505606"/>
    <w:rsid w:val="1F512B1C"/>
    <w:rsid w:val="1F552C1D"/>
    <w:rsid w:val="1F5B3BC9"/>
    <w:rsid w:val="1F5C044F"/>
    <w:rsid w:val="1F5D7D23"/>
    <w:rsid w:val="1F5F16AB"/>
    <w:rsid w:val="1F5F4E35"/>
    <w:rsid w:val="1F60475F"/>
    <w:rsid w:val="1F682713"/>
    <w:rsid w:val="1F6A2B6C"/>
    <w:rsid w:val="1F6F0EAD"/>
    <w:rsid w:val="1F705077"/>
    <w:rsid w:val="1F75782B"/>
    <w:rsid w:val="1F7C1564"/>
    <w:rsid w:val="1F7E26B9"/>
    <w:rsid w:val="1F7F74E9"/>
    <w:rsid w:val="1F804689"/>
    <w:rsid w:val="1F833C2E"/>
    <w:rsid w:val="1F877DA2"/>
    <w:rsid w:val="1F8C0ACF"/>
    <w:rsid w:val="1F8F4381"/>
    <w:rsid w:val="1F95570F"/>
    <w:rsid w:val="1F9957E4"/>
    <w:rsid w:val="1FA407DF"/>
    <w:rsid w:val="1FA80624"/>
    <w:rsid w:val="1FA870F1"/>
    <w:rsid w:val="1FAC6571"/>
    <w:rsid w:val="1FAF5501"/>
    <w:rsid w:val="1FB43DE7"/>
    <w:rsid w:val="1FB50D64"/>
    <w:rsid w:val="1FB567D0"/>
    <w:rsid w:val="1FB63322"/>
    <w:rsid w:val="1FB73684"/>
    <w:rsid w:val="1FBA1D7F"/>
    <w:rsid w:val="1FC508AF"/>
    <w:rsid w:val="1FC550BE"/>
    <w:rsid w:val="1FC93AAC"/>
    <w:rsid w:val="1FD37FAB"/>
    <w:rsid w:val="1FDD26D2"/>
    <w:rsid w:val="1FE31EFA"/>
    <w:rsid w:val="1FE5125D"/>
    <w:rsid w:val="1FE55271"/>
    <w:rsid w:val="1FE7539E"/>
    <w:rsid w:val="1FED72F9"/>
    <w:rsid w:val="1FEE487C"/>
    <w:rsid w:val="1FF864E3"/>
    <w:rsid w:val="2008261D"/>
    <w:rsid w:val="200A1C59"/>
    <w:rsid w:val="200A3A07"/>
    <w:rsid w:val="20115428"/>
    <w:rsid w:val="20130094"/>
    <w:rsid w:val="201E137B"/>
    <w:rsid w:val="201E189C"/>
    <w:rsid w:val="202231C7"/>
    <w:rsid w:val="20277BF5"/>
    <w:rsid w:val="20340A84"/>
    <w:rsid w:val="20387CC7"/>
    <w:rsid w:val="203A62EF"/>
    <w:rsid w:val="203D3365"/>
    <w:rsid w:val="203F6EF4"/>
    <w:rsid w:val="20400535"/>
    <w:rsid w:val="204131A1"/>
    <w:rsid w:val="20466C35"/>
    <w:rsid w:val="20491033"/>
    <w:rsid w:val="204F5896"/>
    <w:rsid w:val="20560211"/>
    <w:rsid w:val="205A1BCE"/>
    <w:rsid w:val="205C42A5"/>
    <w:rsid w:val="205E6558"/>
    <w:rsid w:val="20671BE0"/>
    <w:rsid w:val="20790B8D"/>
    <w:rsid w:val="207F2647"/>
    <w:rsid w:val="20803CC9"/>
    <w:rsid w:val="2080575F"/>
    <w:rsid w:val="208319DF"/>
    <w:rsid w:val="20832A86"/>
    <w:rsid w:val="20895274"/>
    <w:rsid w:val="208B1571"/>
    <w:rsid w:val="20963CB8"/>
    <w:rsid w:val="20982E05"/>
    <w:rsid w:val="20A15D31"/>
    <w:rsid w:val="20A21E92"/>
    <w:rsid w:val="20A52531"/>
    <w:rsid w:val="20A60462"/>
    <w:rsid w:val="20A81A1B"/>
    <w:rsid w:val="20AE6A88"/>
    <w:rsid w:val="20B004AC"/>
    <w:rsid w:val="20B07FB6"/>
    <w:rsid w:val="20B61F0A"/>
    <w:rsid w:val="20B646FB"/>
    <w:rsid w:val="20B8113C"/>
    <w:rsid w:val="20B83463"/>
    <w:rsid w:val="20B931EF"/>
    <w:rsid w:val="20BB2F53"/>
    <w:rsid w:val="20BC4690"/>
    <w:rsid w:val="20BF58DF"/>
    <w:rsid w:val="20CC5F0A"/>
    <w:rsid w:val="20D00923"/>
    <w:rsid w:val="20D504B9"/>
    <w:rsid w:val="20D744C6"/>
    <w:rsid w:val="20D9162C"/>
    <w:rsid w:val="20DA2975"/>
    <w:rsid w:val="20E26732"/>
    <w:rsid w:val="20E64474"/>
    <w:rsid w:val="20EA1DAD"/>
    <w:rsid w:val="20F2221A"/>
    <w:rsid w:val="20F91BA5"/>
    <w:rsid w:val="210165B1"/>
    <w:rsid w:val="21052421"/>
    <w:rsid w:val="21141A65"/>
    <w:rsid w:val="21162880"/>
    <w:rsid w:val="21182154"/>
    <w:rsid w:val="211D776A"/>
    <w:rsid w:val="212159CA"/>
    <w:rsid w:val="212251A4"/>
    <w:rsid w:val="21260D15"/>
    <w:rsid w:val="2126769F"/>
    <w:rsid w:val="213166B4"/>
    <w:rsid w:val="213B74B1"/>
    <w:rsid w:val="21401046"/>
    <w:rsid w:val="2144119B"/>
    <w:rsid w:val="21445C63"/>
    <w:rsid w:val="21470C8B"/>
    <w:rsid w:val="21480A2B"/>
    <w:rsid w:val="214964AC"/>
    <w:rsid w:val="214E3823"/>
    <w:rsid w:val="2150195F"/>
    <w:rsid w:val="215238B8"/>
    <w:rsid w:val="21570ECE"/>
    <w:rsid w:val="21582E98"/>
    <w:rsid w:val="215958B5"/>
    <w:rsid w:val="215A2310"/>
    <w:rsid w:val="215A2D3D"/>
    <w:rsid w:val="215A658E"/>
    <w:rsid w:val="216655B5"/>
    <w:rsid w:val="21696E53"/>
    <w:rsid w:val="217007B4"/>
    <w:rsid w:val="217E5989"/>
    <w:rsid w:val="21823A71"/>
    <w:rsid w:val="21867A08"/>
    <w:rsid w:val="21883004"/>
    <w:rsid w:val="2188542C"/>
    <w:rsid w:val="21893A13"/>
    <w:rsid w:val="21A223BE"/>
    <w:rsid w:val="21A60A43"/>
    <w:rsid w:val="21A77C96"/>
    <w:rsid w:val="21A77E4B"/>
    <w:rsid w:val="21AB121A"/>
    <w:rsid w:val="21B52994"/>
    <w:rsid w:val="21C77D00"/>
    <w:rsid w:val="21D01BB1"/>
    <w:rsid w:val="21D70261"/>
    <w:rsid w:val="21D95741"/>
    <w:rsid w:val="21DE318A"/>
    <w:rsid w:val="21DE485E"/>
    <w:rsid w:val="21E309B4"/>
    <w:rsid w:val="21EF3C8F"/>
    <w:rsid w:val="21EF5B80"/>
    <w:rsid w:val="21F879CD"/>
    <w:rsid w:val="21F93D33"/>
    <w:rsid w:val="2203441A"/>
    <w:rsid w:val="220B1BC2"/>
    <w:rsid w:val="220B54C1"/>
    <w:rsid w:val="221072CF"/>
    <w:rsid w:val="22124DF5"/>
    <w:rsid w:val="22140B6D"/>
    <w:rsid w:val="22194137"/>
    <w:rsid w:val="221A39C9"/>
    <w:rsid w:val="221A7A47"/>
    <w:rsid w:val="221B1EC0"/>
    <w:rsid w:val="221B28B1"/>
    <w:rsid w:val="223236E9"/>
    <w:rsid w:val="223415DC"/>
    <w:rsid w:val="22396826"/>
    <w:rsid w:val="223B07F0"/>
    <w:rsid w:val="223B3EF0"/>
    <w:rsid w:val="224131C1"/>
    <w:rsid w:val="22461847"/>
    <w:rsid w:val="22576990"/>
    <w:rsid w:val="226A1644"/>
    <w:rsid w:val="226F28AF"/>
    <w:rsid w:val="22702C63"/>
    <w:rsid w:val="22721469"/>
    <w:rsid w:val="2280071C"/>
    <w:rsid w:val="2282297A"/>
    <w:rsid w:val="228323A4"/>
    <w:rsid w:val="228C06EB"/>
    <w:rsid w:val="228F0D42"/>
    <w:rsid w:val="22996B73"/>
    <w:rsid w:val="229D08A0"/>
    <w:rsid w:val="22A00653"/>
    <w:rsid w:val="22A41BE1"/>
    <w:rsid w:val="22A76E7B"/>
    <w:rsid w:val="22AA736D"/>
    <w:rsid w:val="22AC2486"/>
    <w:rsid w:val="22AD1241"/>
    <w:rsid w:val="22BB43D7"/>
    <w:rsid w:val="22BF31CF"/>
    <w:rsid w:val="22C5455D"/>
    <w:rsid w:val="22C715A7"/>
    <w:rsid w:val="22C93B63"/>
    <w:rsid w:val="22C94716"/>
    <w:rsid w:val="22CA56D0"/>
    <w:rsid w:val="22CA69FF"/>
    <w:rsid w:val="22CE3412"/>
    <w:rsid w:val="22CE62CF"/>
    <w:rsid w:val="22D4654E"/>
    <w:rsid w:val="22D47123"/>
    <w:rsid w:val="22D53DA1"/>
    <w:rsid w:val="22D95913"/>
    <w:rsid w:val="22E24F49"/>
    <w:rsid w:val="22E53CCF"/>
    <w:rsid w:val="22E72A57"/>
    <w:rsid w:val="22F30A66"/>
    <w:rsid w:val="22F4099F"/>
    <w:rsid w:val="22F4274D"/>
    <w:rsid w:val="22F4634C"/>
    <w:rsid w:val="22F47480"/>
    <w:rsid w:val="22F62F57"/>
    <w:rsid w:val="22F64717"/>
    <w:rsid w:val="22FB3ADB"/>
    <w:rsid w:val="22FE6DF7"/>
    <w:rsid w:val="230A01C2"/>
    <w:rsid w:val="230B610D"/>
    <w:rsid w:val="230C3F3A"/>
    <w:rsid w:val="23111551"/>
    <w:rsid w:val="231774AE"/>
    <w:rsid w:val="231D006A"/>
    <w:rsid w:val="231F30D1"/>
    <w:rsid w:val="232144AA"/>
    <w:rsid w:val="23241235"/>
    <w:rsid w:val="23264FFC"/>
    <w:rsid w:val="23286082"/>
    <w:rsid w:val="232B5A8E"/>
    <w:rsid w:val="232E7C5E"/>
    <w:rsid w:val="233B0E5B"/>
    <w:rsid w:val="233D3949"/>
    <w:rsid w:val="2341673D"/>
    <w:rsid w:val="23426D25"/>
    <w:rsid w:val="23455D6C"/>
    <w:rsid w:val="234731C4"/>
    <w:rsid w:val="235B59DD"/>
    <w:rsid w:val="235D44E2"/>
    <w:rsid w:val="235F650A"/>
    <w:rsid w:val="23604D89"/>
    <w:rsid w:val="23636F06"/>
    <w:rsid w:val="236818E8"/>
    <w:rsid w:val="23690890"/>
    <w:rsid w:val="2369138D"/>
    <w:rsid w:val="236E69A3"/>
    <w:rsid w:val="23721DF1"/>
    <w:rsid w:val="23783011"/>
    <w:rsid w:val="237D208A"/>
    <w:rsid w:val="23865BB6"/>
    <w:rsid w:val="23880F5A"/>
    <w:rsid w:val="23910AF4"/>
    <w:rsid w:val="239857CE"/>
    <w:rsid w:val="239D567C"/>
    <w:rsid w:val="23A32D3D"/>
    <w:rsid w:val="23A46FD4"/>
    <w:rsid w:val="23AC4C9C"/>
    <w:rsid w:val="23B532D8"/>
    <w:rsid w:val="23C864C0"/>
    <w:rsid w:val="23CA2FF6"/>
    <w:rsid w:val="23CE409D"/>
    <w:rsid w:val="23CF6B0D"/>
    <w:rsid w:val="23DB1C0A"/>
    <w:rsid w:val="23DE1C48"/>
    <w:rsid w:val="23DE7685"/>
    <w:rsid w:val="23EB5FF4"/>
    <w:rsid w:val="23F073B8"/>
    <w:rsid w:val="23F635E7"/>
    <w:rsid w:val="23FA3D93"/>
    <w:rsid w:val="23FC3FAF"/>
    <w:rsid w:val="23FD0015"/>
    <w:rsid w:val="23FF13A9"/>
    <w:rsid w:val="240210CD"/>
    <w:rsid w:val="24024409"/>
    <w:rsid w:val="24062738"/>
    <w:rsid w:val="24092201"/>
    <w:rsid w:val="240F5A90"/>
    <w:rsid w:val="241430A6"/>
    <w:rsid w:val="24164041"/>
    <w:rsid w:val="24170DE9"/>
    <w:rsid w:val="24182DC7"/>
    <w:rsid w:val="241D144D"/>
    <w:rsid w:val="24264234"/>
    <w:rsid w:val="242760A3"/>
    <w:rsid w:val="243629A0"/>
    <w:rsid w:val="24373239"/>
    <w:rsid w:val="24431BDE"/>
    <w:rsid w:val="24495F9B"/>
    <w:rsid w:val="244A2F6C"/>
    <w:rsid w:val="244B1E69"/>
    <w:rsid w:val="244B6BBB"/>
    <w:rsid w:val="244E3C37"/>
    <w:rsid w:val="245109A3"/>
    <w:rsid w:val="24516190"/>
    <w:rsid w:val="24572FDD"/>
    <w:rsid w:val="245C59BF"/>
    <w:rsid w:val="24612B73"/>
    <w:rsid w:val="24622DB6"/>
    <w:rsid w:val="24637B8A"/>
    <w:rsid w:val="24686E21"/>
    <w:rsid w:val="246B012B"/>
    <w:rsid w:val="246B1625"/>
    <w:rsid w:val="246B4024"/>
    <w:rsid w:val="24703456"/>
    <w:rsid w:val="247578BD"/>
    <w:rsid w:val="24771AB9"/>
    <w:rsid w:val="247840E5"/>
    <w:rsid w:val="247C5F34"/>
    <w:rsid w:val="247D6439"/>
    <w:rsid w:val="247E5C56"/>
    <w:rsid w:val="249C4E4A"/>
    <w:rsid w:val="24A501A2"/>
    <w:rsid w:val="24A65001"/>
    <w:rsid w:val="24A94248"/>
    <w:rsid w:val="24B13BE8"/>
    <w:rsid w:val="24BF09F7"/>
    <w:rsid w:val="24C20D54"/>
    <w:rsid w:val="24C27C59"/>
    <w:rsid w:val="24C6497E"/>
    <w:rsid w:val="24C820E3"/>
    <w:rsid w:val="24C95ABF"/>
    <w:rsid w:val="24CF313A"/>
    <w:rsid w:val="24D146B3"/>
    <w:rsid w:val="24D71F01"/>
    <w:rsid w:val="24D84B58"/>
    <w:rsid w:val="24DA5D3D"/>
    <w:rsid w:val="24DE57D6"/>
    <w:rsid w:val="24E964E8"/>
    <w:rsid w:val="24EB7A61"/>
    <w:rsid w:val="24EC7B7F"/>
    <w:rsid w:val="24F1107B"/>
    <w:rsid w:val="24FD3B3B"/>
    <w:rsid w:val="24FD4D83"/>
    <w:rsid w:val="24FE1DC0"/>
    <w:rsid w:val="25030EBC"/>
    <w:rsid w:val="250749B9"/>
    <w:rsid w:val="25077C17"/>
    <w:rsid w:val="250A43C0"/>
    <w:rsid w:val="250D077C"/>
    <w:rsid w:val="250D6B57"/>
    <w:rsid w:val="250F7D12"/>
    <w:rsid w:val="251113EA"/>
    <w:rsid w:val="25113A8A"/>
    <w:rsid w:val="251351C1"/>
    <w:rsid w:val="251A293E"/>
    <w:rsid w:val="251F22F5"/>
    <w:rsid w:val="25212B7E"/>
    <w:rsid w:val="252178FB"/>
    <w:rsid w:val="25227A45"/>
    <w:rsid w:val="25257535"/>
    <w:rsid w:val="25277377"/>
    <w:rsid w:val="25283C69"/>
    <w:rsid w:val="252D53FE"/>
    <w:rsid w:val="253A2EBB"/>
    <w:rsid w:val="253C1DA3"/>
    <w:rsid w:val="253C3E23"/>
    <w:rsid w:val="253E2811"/>
    <w:rsid w:val="25435834"/>
    <w:rsid w:val="25491484"/>
    <w:rsid w:val="25506FCE"/>
    <w:rsid w:val="25517A09"/>
    <w:rsid w:val="25533D7B"/>
    <w:rsid w:val="25535E50"/>
    <w:rsid w:val="2554491A"/>
    <w:rsid w:val="25544D4D"/>
    <w:rsid w:val="25592B49"/>
    <w:rsid w:val="255D3476"/>
    <w:rsid w:val="255D6CCF"/>
    <w:rsid w:val="255F0B60"/>
    <w:rsid w:val="25626093"/>
    <w:rsid w:val="25662520"/>
    <w:rsid w:val="25672EFA"/>
    <w:rsid w:val="256E5AD6"/>
    <w:rsid w:val="2570107C"/>
    <w:rsid w:val="2576348C"/>
    <w:rsid w:val="257A33DD"/>
    <w:rsid w:val="257F27A2"/>
    <w:rsid w:val="25882EB2"/>
    <w:rsid w:val="258C59A3"/>
    <w:rsid w:val="258E5E2C"/>
    <w:rsid w:val="25910727"/>
    <w:rsid w:val="25915F26"/>
    <w:rsid w:val="259326F1"/>
    <w:rsid w:val="2596165B"/>
    <w:rsid w:val="259D6446"/>
    <w:rsid w:val="25A03144"/>
    <w:rsid w:val="25A115C9"/>
    <w:rsid w:val="25A14E0E"/>
    <w:rsid w:val="25A16BBC"/>
    <w:rsid w:val="25A450EF"/>
    <w:rsid w:val="25AB7A3A"/>
    <w:rsid w:val="25AC31DE"/>
    <w:rsid w:val="25AE12D9"/>
    <w:rsid w:val="25B04DD3"/>
    <w:rsid w:val="25B5026A"/>
    <w:rsid w:val="25B86958"/>
    <w:rsid w:val="25C04100"/>
    <w:rsid w:val="25CA39BF"/>
    <w:rsid w:val="25CF7050"/>
    <w:rsid w:val="25D51BCD"/>
    <w:rsid w:val="25D64022"/>
    <w:rsid w:val="25DA4B97"/>
    <w:rsid w:val="25DC5E46"/>
    <w:rsid w:val="25E37AB4"/>
    <w:rsid w:val="25E62F48"/>
    <w:rsid w:val="25E66CC5"/>
    <w:rsid w:val="25EC2D81"/>
    <w:rsid w:val="25EF714A"/>
    <w:rsid w:val="25F018F1"/>
    <w:rsid w:val="25F62593"/>
    <w:rsid w:val="25F62749"/>
    <w:rsid w:val="25F807A6"/>
    <w:rsid w:val="25FA6A8B"/>
    <w:rsid w:val="26022290"/>
    <w:rsid w:val="26023BEC"/>
    <w:rsid w:val="260678C3"/>
    <w:rsid w:val="26083FFB"/>
    <w:rsid w:val="260929B3"/>
    <w:rsid w:val="260A2D1F"/>
    <w:rsid w:val="260A6A23"/>
    <w:rsid w:val="26105AEF"/>
    <w:rsid w:val="261371E2"/>
    <w:rsid w:val="26147F1F"/>
    <w:rsid w:val="2617288D"/>
    <w:rsid w:val="261A4BC0"/>
    <w:rsid w:val="261E7B93"/>
    <w:rsid w:val="261F7C79"/>
    <w:rsid w:val="26220978"/>
    <w:rsid w:val="2622149E"/>
    <w:rsid w:val="2623089E"/>
    <w:rsid w:val="262670C1"/>
    <w:rsid w:val="262A4B11"/>
    <w:rsid w:val="26322018"/>
    <w:rsid w:val="263F62A3"/>
    <w:rsid w:val="2640208A"/>
    <w:rsid w:val="26413EBD"/>
    <w:rsid w:val="26414073"/>
    <w:rsid w:val="264E443C"/>
    <w:rsid w:val="264F4FDA"/>
    <w:rsid w:val="2657371E"/>
    <w:rsid w:val="265C7907"/>
    <w:rsid w:val="265F53DE"/>
    <w:rsid w:val="26606184"/>
    <w:rsid w:val="26635AF3"/>
    <w:rsid w:val="26660F08"/>
    <w:rsid w:val="266D6A9E"/>
    <w:rsid w:val="266E3938"/>
    <w:rsid w:val="267047E0"/>
    <w:rsid w:val="26727723"/>
    <w:rsid w:val="267442D0"/>
    <w:rsid w:val="26755E2C"/>
    <w:rsid w:val="26760048"/>
    <w:rsid w:val="267B565F"/>
    <w:rsid w:val="2684318F"/>
    <w:rsid w:val="2685028B"/>
    <w:rsid w:val="26906C30"/>
    <w:rsid w:val="26926686"/>
    <w:rsid w:val="26982A81"/>
    <w:rsid w:val="269F0765"/>
    <w:rsid w:val="26AC6C6E"/>
    <w:rsid w:val="26AE3B4C"/>
    <w:rsid w:val="26B01787"/>
    <w:rsid w:val="26B5676D"/>
    <w:rsid w:val="26B77320"/>
    <w:rsid w:val="26B86EE4"/>
    <w:rsid w:val="26BC0E63"/>
    <w:rsid w:val="26BC0EA5"/>
    <w:rsid w:val="26BD4622"/>
    <w:rsid w:val="26C31EAD"/>
    <w:rsid w:val="26C4386A"/>
    <w:rsid w:val="26D044DE"/>
    <w:rsid w:val="26D1507C"/>
    <w:rsid w:val="26D20FF7"/>
    <w:rsid w:val="26D47CD8"/>
    <w:rsid w:val="26D51FEF"/>
    <w:rsid w:val="26D926BA"/>
    <w:rsid w:val="26DE2FF3"/>
    <w:rsid w:val="26E6382E"/>
    <w:rsid w:val="26F05D70"/>
    <w:rsid w:val="26F07CA0"/>
    <w:rsid w:val="26F251F5"/>
    <w:rsid w:val="26FE27E8"/>
    <w:rsid w:val="27070CA1"/>
    <w:rsid w:val="27080982"/>
    <w:rsid w:val="27083E74"/>
    <w:rsid w:val="270858DD"/>
    <w:rsid w:val="270A69E3"/>
    <w:rsid w:val="270A6B1F"/>
    <w:rsid w:val="270E1B1F"/>
    <w:rsid w:val="270F7B55"/>
    <w:rsid w:val="271213BB"/>
    <w:rsid w:val="27135D4E"/>
    <w:rsid w:val="271B61F3"/>
    <w:rsid w:val="2725381D"/>
    <w:rsid w:val="272730F1"/>
    <w:rsid w:val="272963A5"/>
    <w:rsid w:val="272C0399"/>
    <w:rsid w:val="27316FA8"/>
    <w:rsid w:val="273746A2"/>
    <w:rsid w:val="273A7D00"/>
    <w:rsid w:val="273E0248"/>
    <w:rsid w:val="27416AF7"/>
    <w:rsid w:val="27441630"/>
    <w:rsid w:val="27492919"/>
    <w:rsid w:val="27532294"/>
    <w:rsid w:val="27532679"/>
    <w:rsid w:val="27565784"/>
    <w:rsid w:val="27577DD5"/>
    <w:rsid w:val="275A1D28"/>
    <w:rsid w:val="275A389E"/>
    <w:rsid w:val="275F0ADD"/>
    <w:rsid w:val="27616AF6"/>
    <w:rsid w:val="27630C0D"/>
    <w:rsid w:val="276339D3"/>
    <w:rsid w:val="27691B9F"/>
    <w:rsid w:val="277057A2"/>
    <w:rsid w:val="27723A43"/>
    <w:rsid w:val="27734D48"/>
    <w:rsid w:val="277C0379"/>
    <w:rsid w:val="278247CB"/>
    <w:rsid w:val="27831697"/>
    <w:rsid w:val="278914ED"/>
    <w:rsid w:val="27892B16"/>
    <w:rsid w:val="27893DAB"/>
    <w:rsid w:val="278F2F1C"/>
    <w:rsid w:val="27982240"/>
    <w:rsid w:val="27AC5CEC"/>
    <w:rsid w:val="27AC6415"/>
    <w:rsid w:val="27AE7A61"/>
    <w:rsid w:val="27B01329"/>
    <w:rsid w:val="27B457B1"/>
    <w:rsid w:val="27B923E1"/>
    <w:rsid w:val="27C9523F"/>
    <w:rsid w:val="27CD62DB"/>
    <w:rsid w:val="27CD64A0"/>
    <w:rsid w:val="27CE4850"/>
    <w:rsid w:val="27D40228"/>
    <w:rsid w:val="27D43B30"/>
    <w:rsid w:val="27D760CD"/>
    <w:rsid w:val="27DA0163"/>
    <w:rsid w:val="27E04A80"/>
    <w:rsid w:val="27E33BB6"/>
    <w:rsid w:val="27E631D6"/>
    <w:rsid w:val="27E86D24"/>
    <w:rsid w:val="27E92B4E"/>
    <w:rsid w:val="27ED6C10"/>
    <w:rsid w:val="27F645D9"/>
    <w:rsid w:val="27F84EFA"/>
    <w:rsid w:val="27FD1429"/>
    <w:rsid w:val="27FE6547"/>
    <w:rsid w:val="28034C6D"/>
    <w:rsid w:val="28052EE7"/>
    <w:rsid w:val="28071805"/>
    <w:rsid w:val="280D1420"/>
    <w:rsid w:val="280E2503"/>
    <w:rsid w:val="280E51F1"/>
    <w:rsid w:val="28153BB7"/>
    <w:rsid w:val="28173DFE"/>
    <w:rsid w:val="281843F5"/>
    <w:rsid w:val="281B4AE7"/>
    <w:rsid w:val="281F1832"/>
    <w:rsid w:val="281F24B4"/>
    <w:rsid w:val="28223BE7"/>
    <w:rsid w:val="282B6C11"/>
    <w:rsid w:val="2835183D"/>
    <w:rsid w:val="283830DC"/>
    <w:rsid w:val="283C7103"/>
    <w:rsid w:val="283D1755"/>
    <w:rsid w:val="283E4ED3"/>
    <w:rsid w:val="284232DC"/>
    <w:rsid w:val="28431F67"/>
    <w:rsid w:val="28433F5A"/>
    <w:rsid w:val="285C1B7A"/>
    <w:rsid w:val="285E0D94"/>
    <w:rsid w:val="2865609B"/>
    <w:rsid w:val="28685CA3"/>
    <w:rsid w:val="286B2E69"/>
    <w:rsid w:val="28722A91"/>
    <w:rsid w:val="287311B0"/>
    <w:rsid w:val="2878083C"/>
    <w:rsid w:val="28796405"/>
    <w:rsid w:val="287A1946"/>
    <w:rsid w:val="287E2C7B"/>
    <w:rsid w:val="287F1375"/>
    <w:rsid w:val="288240FF"/>
    <w:rsid w:val="28862066"/>
    <w:rsid w:val="28884063"/>
    <w:rsid w:val="28924901"/>
    <w:rsid w:val="28954F2A"/>
    <w:rsid w:val="28994654"/>
    <w:rsid w:val="289F721E"/>
    <w:rsid w:val="28A075FF"/>
    <w:rsid w:val="28A31FB0"/>
    <w:rsid w:val="28A34DE2"/>
    <w:rsid w:val="28A45B9D"/>
    <w:rsid w:val="28A63E40"/>
    <w:rsid w:val="28A83AC0"/>
    <w:rsid w:val="28AB1AFF"/>
    <w:rsid w:val="28AC24C6"/>
    <w:rsid w:val="28AC2F9C"/>
    <w:rsid w:val="28B11492"/>
    <w:rsid w:val="28B43155"/>
    <w:rsid w:val="28B70D9E"/>
    <w:rsid w:val="28C12F19"/>
    <w:rsid w:val="28C2534B"/>
    <w:rsid w:val="28C332ED"/>
    <w:rsid w:val="28C72DDD"/>
    <w:rsid w:val="28CA467C"/>
    <w:rsid w:val="28CB1816"/>
    <w:rsid w:val="28CD1B01"/>
    <w:rsid w:val="28CD627E"/>
    <w:rsid w:val="28CF1C92"/>
    <w:rsid w:val="28CF4308"/>
    <w:rsid w:val="28CF5C4C"/>
    <w:rsid w:val="28D01566"/>
    <w:rsid w:val="28D6498F"/>
    <w:rsid w:val="28D667EF"/>
    <w:rsid w:val="28D831ED"/>
    <w:rsid w:val="28D86085"/>
    <w:rsid w:val="28D87E92"/>
    <w:rsid w:val="28D9041B"/>
    <w:rsid w:val="28D948BF"/>
    <w:rsid w:val="28DE1ED5"/>
    <w:rsid w:val="28E026ED"/>
    <w:rsid w:val="28E13773"/>
    <w:rsid w:val="28E25251"/>
    <w:rsid w:val="28E30BBC"/>
    <w:rsid w:val="28EC37AD"/>
    <w:rsid w:val="28ED6CB4"/>
    <w:rsid w:val="28EF553B"/>
    <w:rsid w:val="28F60FCD"/>
    <w:rsid w:val="28F67359"/>
    <w:rsid w:val="28F931A5"/>
    <w:rsid w:val="28FB65E3"/>
    <w:rsid w:val="28FD2DC6"/>
    <w:rsid w:val="29013255"/>
    <w:rsid w:val="29017971"/>
    <w:rsid w:val="29064F88"/>
    <w:rsid w:val="29096A1C"/>
    <w:rsid w:val="290A4A78"/>
    <w:rsid w:val="290E256A"/>
    <w:rsid w:val="29140BF0"/>
    <w:rsid w:val="29162832"/>
    <w:rsid w:val="29167977"/>
    <w:rsid w:val="291A1CCA"/>
    <w:rsid w:val="291A3CFB"/>
    <w:rsid w:val="291A4A19"/>
    <w:rsid w:val="291B7DB9"/>
    <w:rsid w:val="291E6775"/>
    <w:rsid w:val="29206EB8"/>
    <w:rsid w:val="2926366B"/>
    <w:rsid w:val="2927387C"/>
    <w:rsid w:val="292C24D8"/>
    <w:rsid w:val="292C2C40"/>
    <w:rsid w:val="293164A9"/>
    <w:rsid w:val="29355251"/>
    <w:rsid w:val="293D522B"/>
    <w:rsid w:val="293E21D3"/>
    <w:rsid w:val="2942121D"/>
    <w:rsid w:val="29430470"/>
    <w:rsid w:val="29437F8A"/>
    <w:rsid w:val="2944442E"/>
    <w:rsid w:val="29496ECC"/>
    <w:rsid w:val="294A6C02"/>
    <w:rsid w:val="29502ABF"/>
    <w:rsid w:val="295108F9"/>
    <w:rsid w:val="29521614"/>
    <w:rsid w:val="2953641F"/>
    <w:rsid w:val="29564EDD"/>
    <w:rsid w:val="29572F65"/>
    <w:rsid w:val="29595666"/>
    <w:rsid w:val="295C3E2E"/>
    <w:rsid w:val="29622D86"/>
    <w:rsid w:val="296C02F7"/>
    <w:rsid w:val="296E7DBD"/>
    <w:rsid w:val="29700F5B"/>
    <w:rsid w:val="29741F0F"/>
    <w:rsid w:val="297665B1"/>
    <w:rsid w:val="297C26C7"/>
    <w:rsid w:val="29827E50"/>
    <w:rsid w:val="29842A7C"/>
    <w:rsid w:val="29874881"/>
    <w:rsid w:val="29895705"/>
    <w:rsid w:val="298B46A0"/>
    <w:rsid w:val="298D2B47"/>
    <w:rsid w:val="298F3DBD"/>
    <w:rsid w:val="299A6286"/>
    <w:rsid w:val="299B7DC6"/>
    <w:rsid w:val="299D58EC"/>
    <w:rsid w:val="299E0B55"/>
    <w:rsid w:val="29A71464"/>
    <w:rsid w:val="29AE7EFD"/>
    <w:rsid w:val="29B50E88"/>
    <w:rsid w:val="29C4095E"/>
    <w:rsid w:val="29C67916"/>
    <w:rsid w:val="29C81999"/>
    <w:rsid w:val="29C90340"/>
    <w:rsid w:val="29CB62CA"/>
    <w:rsid w:val="29CD2329"/>
    <w:rsid w:val="29D01E01"/>
    <w:rsid w:val="29D12335"/>
    <w:rsid w:val="29D22ED3"/>
    <w:rsid w:val="29DB1AEB"/>
    <w:rsid w:val="29DB7CAB"/>
    <w:rsid w:val="29DD5B8B"/>
    <w:rsid w:val="29E1006B"/>
    <w:rsid w:val="29E11C7D"/>
    <w:rsid w:val="29E325E0"/>
    <w:rsid w:val="29E4351B"/>
    <w:rsid w:val="29E450B2"/>
    <w:rsid w:val="29EB2AFB"/>
    <w:rsid w:val="29EB7BEA"/>
    <w:rsid w:val="29EF7011"/>
    <w:rsid w:val="29F11AD6"/>
    <w:rsid w:val="29F13EE7"/>
    <w:rsid w:val="29F173EA"/>
    <w:rsid w:val="29F32ABB"/>
    <w:rsid w:val="29F53CEA"/>
    <w:rsid w:val="29F7669E"/>
    <w:rsid w:val="29FF65A7"/>
    <w:rsid w:val="2A104310"/>
    <w:rsid w:val="2A111E36"/>
    <w:rsid w:val="2A1E2D2D"/>
    <w:rsid w:val="2A211880"/>
    <w:rsid w:val="2A253C4A"/>
    <w:rsid w:val="2A2658E2"/>
    <w:rsid w:val="2A2A66E8"/>
    <w:rsid w:val="2A2C0A1E"/>
    <w:rsid w:val="2A32072A"/>
    <w:rsid w:val="2A320DD4"/>
    <w:rsid w:val="2A326E4A"/>
    <w:rsid w:val="2A3E2C5C"/>
    <w:rsid w:val="2A41096D"/>
    <w:rsid w:val="2A4139B4"/>
    <w:rsid w:val="2A452503"/>
    <w:rsid w:val="2A461AE0"/>
    <w:rsid w:val="2A465F84"/>
    <w:rsid w:val="2A4B06F6"/>
    <w:rsid w:val="2A4E7D13"/>
    <w:rsid w:val="2A4F06B7"/>
    <w:rsid w:val="2A5078E5"/>
    <w:rsid w:val="2A583579"/>
    <w:rsid w:val="2A647809"/>
    <w:rsid w:val="2A6B02A8"/>
    <w:rsid w:val="2A716218"/>
    <w:rsid w:val="2A71692E"/>
    <w:rsid w:val="2A727C33"/>
    <w:rsid w:val="2A7A0E29"/>
    <w:rsid w:val="2A7C19D1"/>
    <w:rsid w:val="2A7D15DE"/>
    <w:rsid w:val="2A7E6069"/>
    <w:rsid w:val="2A846041"/>
    <w:rsid w:val="2A863051"/>
    <w:rsid w:val="2A8675BA"/>
    <w:rsid w:val="2A8A3B98"/>
    <w:rsid w:val="2A8B74D8"/>
    <w:rsid w:val="2A924AAB"/>
    <w:rsid w:val="2A974721"/>
    <w:rsid w:val="2A9817E1"/>
    <w:rsid w:val="2A9845F0"/>
    <w:rsid w:val="2A9B7773"/>
    <w:rsid w:val="2A9E06F7"/>
    <w:rsid w:val="2A9E13F0"/>
    <w:rsid w:val="2AA03BFA"/>
    <w:rsid w:val="2AA62658"/>
    <w:rsid w:val="2AAF1D7B"/>
    <w:rsid w:val="2AB42E28"/>
    <w:rsid w:val="2AC40764"/>
    <w:rsid w:val="2AC670C5"/>
    <w:rsid w:val="2AC9482C"/>
    <w:rsid w:val="2ACA1805"/>
    <w:rsid w:val="2ACF0B2A"/>
    <w:rsid w:val="2ACF254B"/>
    <w:rsid w:val="2ACF7D27"/>
    <w:rsid w:val="2AD17C4D"/>
    <w:rsid w:val="2AD6555A"/>
    <w:rsid w:val="2AD9215F"/>
    <w:rsid w:val="2ADA11FD"/>
    <w:rsid w:val="2ADA1568"/>
    <w:rsid w:val="2ADB4165"/>
    <w:rsid w:val="2AE2701F"/>
    <w:rsid w:val="2AE333EA"/>
    <w:rsid w:val="2AE74AF2"/>
    <w:rsid w:val="2AE83ADE"/>
    <w:rsid w:val="2AE87872"/>
    <w:rsid w:val="2AEF71FD"/>
    <w:rsid w:val="2AF459E0"/>
    <w:rsid w:val="2AF84D34"/>
    <w:rsid w:val="2AFC4894"/>
    <w:rsid w:val="2B097DA7"/>
    <w:rsid w:val="2B0F4266"/>
    <w:rsid w:val="2B107731"/>
    <w:rsid w:val="2B1339FD"/>
    <w:rsid w:val="2B1478F6"/>
    <w:rsid w:val="2B147E30"/>
    <w:rsid w:val="2B1610F7"/>
    <w:rsid w:val="2B17347C"/>
    <w:rsid w:val="2B1A07CC"/>
    <w:rsid w:val="2B21319D"/>
    <w:rsid w:val="2B221E6C"/>
    <w:rsid w:val="2B2250C2"/>
    <w:rsid w:val="2B275ED7"/>
    <w:rsid w:val="2B2C0A8C"/>
    <w:rsid w:val="2B361B54"/>
    <w:rsid w:val="2B3719C5"/>
    <w:rsid w:val="2B3B187A"/>
    <w:rsid w:val="2B3E2ABE"/>
    <w:rsid w:val="2B3E3B99"/>
    <w:rsid w:val="2B407FEB"/>
    <w:rsid w:val="2B42499D"/>
    <w:rsid w:val="2B464915"/>
    <w:rsid w:val="2B501978"/>
    <w:rsid w:val="2B503D9E"/>
    <w:rsid w:val="2B563729"/>
    <w:rsid w:val="2B5E690F"/>
    <w:rsid w:val="2B5F689C"/>
    <w:rsid w:val="2B624AD9"/>
    <w:rsid w:val="2B6B0546"/>
    <w:rsid w:val="2B6D5165"/>
    <w:rsid w:val="2B710CB1"/>
    <w:rsid w:val="2B710DDE"/>
    <w:rsid w:val="2B7A66E8"/>
    <w:rsid w:val="2B7B2664"/>
    <w:rsid w:val="2B7F799F"/>
    <w:rsid w:val="2B820819"/>
    <w:rsid w:val="2B862E35"/>
    <w:rsid w:val="2B873EF8"/>
    <w:rsid w:val="2B88437A"/>
    <w:rsid w:val="2B8855E7"/>
    <w:rsid w:val="2B8B4429"/>
    <w:rsid w:val="2B911481"/>
    <w:rsid w:val="2B920D55"/>
    <w:rsid w:val="2B9371E3"/>
    <w:rsid w:val="2B942828"/>
    <w:rsid w:val="2B9E289E"/>
    <w:rsid w:val="2BA81518"/>
    <w:rsid w:val="2BA936A8"/>
    <w:rsid w:val="2BAA087A"/>
    <w:rsid w:val="2BAD6949"/>
    <w:rsid w:val="2BB331A5"/>
    <w:rsid w:val="2BB44256"/>
    <w:rsid w:val="2BB4440B"/>
    <w:rsid w:val="2BB4492C"/>
    <w:rsid w:val="2BB52F88"/>
    <w:rsid w:val="2BB807BB"/>
    <w:rsid w:val="2BC40776"/>
    <w:rsid w:val="2BC82F3A"/>
    <w:rsid w:val="2BC83FDD"/>
    <w:rsid w:val="2BCB6ACF"/>
    <w:rsid w:val="2BCC0749"/>
    <w:rsid w:val="2BCC55B5"/>
    <w:rsid w:val="2BCC7832"/>
    <w:rsid w:val="2BCD78C0"/>
    <w:rsid w:val="2BD04781"/>
    <w:rsid w:val="2BD05397"/>
    <w:rsid w:val="2BDB1A75"/>
    <w:rsid w:val="2BDB1BA3"/>
    <w:rsid w:val="2BDB2AE3"/>
    <w:rsid w:val="2BDC28EA"/>
    <w:rsid w:val="2BEE01C4"/>
    <w:rsid w:val="2BEF4305"/>
    <w:rsid w:val="2BF3102A"/>
    <w:rsid w:val="2BFD08C4"/>
    <w:rsid w:val="2BFE73BA"/>
    <w:rsid w:val="2C0003B4"/>
    <w:rsid w:val="2C057779"/>
    <w:rsid w:val="2C14316B"/>
    <w:rsid w:val="2C1A3224"/>
    <w:rsid w:val="2C1A6CEA"/>
    <w:rsid w:val="2C202DF2"/>
    <w:rsid w:val="2C22657D"/>
    <w:rsid w:val="2C2C11A9"/>
    <w:rsid w:val="2C2E7758"/>
    <w:rsid w:val="2C3122B9"/>
    <w:rsid w:val="2C315A5A"/>
    <w:rsid w:val="2C332538"/>
    <w:rsid w:val="2C365B84"/>
    <w:rsid w:val="2C3971FB"/>
    <w:rsid w:val="2C3A399C"/>
    <w:rsid w:val="2C432E7E"/>
    <w:rsid w:val="2C444745"/>
    <w:rsid w:val="2C45082A"/>
    <w:rsid w:val="2C471F68"/>
    <w:rsid w:val="2C475230"/>
    <w:rsid w:val="2C4B1C25"/>
    <w:rsid w:val="2C4E2ECE"/>
    <w:rsid w:val="2C5123E6"/>
    <w:rsid w:val="2C5223C6"/>
    <w:rsid w:val="2C534988"/>
    <w:rsid w:val="2C567FD4"/>
    <w:rsid w:val="2C5C1A8E"/>
    <w:rsid w:val="2C620DE5"/>
    <w:rsid w:val="2C637441"/>
    <w:rsid w:val="2C654A37"/>
    <w:rsid w:val="2C6721E1"/>
    <w:rsid w:val="2C820DC9"/>
    <w:rsid w:val="2C8979E0"/>
    <w:rsid w:val="2C8A6AA3"/>
    <w:rsid w:val="2C8D7E9A"/>
    <w:rsid w:val="2C927686"/>
    <w:rsid w:val="2C9F197B"/>
    <w:rsid w:val="2C9F3729"/>
    <w:rsid w:val="2CA5304B"/>
    <w:rsid w:val="2CAC2F9C"/>
    <w:rsid w:val="2CAE4A0E"/>
    <w:rsid w:val="2CB72433"/>
    <w:rsid w:val="2CBA1D39"/>
    <w:rsid w:val="2CBF1D70"/>
    <w:rsid w:val="2CC359F2"/>
    <w:rsid w:val="2CC802C1"/>
    <w:rsid w:val="2CCC3747"/>
    <w:rsid w:val="2CD10A17"/>
    <w:rsid w:val="2CD63174"/>
    <w:rsid w:val="2CD86C3B"/>
    <w:rsid w:val="2CDB4EBB"/>
    <w:rsid w:val="2CE649EF"/>
    <w:rsid w:val="2CEA59CC"/>
    <w:rsid w:val="2CEC36FF"/>
    <w:rsid w:val="2CEE4AB3"/>
    <w:rsid w:val="2CEE5473"/>
    <w:rsid w:val="2CF156C9"/>
    <w:rsid w:val="2CF84372"/>
    <w:rsid w:val="2D084693"/>
    <w:rsid w:val="2D0852EE"/>
    <w:rsid w:val="2D0E4FF9"/>
    <w:rsid w:val="2D122EB9"/>
    <w:rsid w:val="2D20628D"/>
    <w:rsid w:val="2D227DD1"/>
    <w:rsid w:val="2D257531"/>
    <w:rsid w:val="2D28510D"/>
    <w:rsid w:val="2D285E15"/>
    <w:rsid w:val="2D297E19"/>
    <w:rsid w:val="2D2D6F87"/>
    <w:rsid w:val="2D320A41"/>
    <w:rsid w:val="2D326CFE"/>
    <w:rsid w:val="2D346BD8"/>
    <w:rsid w:val="2D3C00C6"/>
    <w:rsid w:val="2D410C84"/>
    <w:rsid w:val="2D4143AF"/>
    <w:rsid w:val="2D4349FC"/>
    <w:rsid w:val="2D436988"/>
    <w:rsid w:val="2D474412"/>
    <w:rsid w:val="2D4744ED"/>
    <w:rsid w:val="2D483DC1"/>
    <w:rsid w:val="2D4D2611"/>
    <w:rsid w:val="2D55028C"/>
    <w:rsid w:val="2D562956"/>
    <w:rsid w:val="2D574004"/>
    <w:rsid w:val="2D5938BF"/>
    <w:rsid w:val="2D5F7AEE"/>
    <w:rsid w:val="2D6730B5"/>
    <w:rsid w:val="2D690B1A"/>
    <w:rsid w:val="2D691DE4"/>
    <w:rsid w:val="2D6A408E"/>
    <w:rsid w:val="2D6E10CD"/>
    <w:rsid w:val="2D7050C6"/>
    <w:rsid w:val="2D714B55"/>
    <w:rsid w:val="2D79041E"/>
    <w:rsid w:val="2D7C5178"/>
    <w:rsid w:val="2D7E3C87"/>
    <w:rsid w:val="2D8B7E46"/>
    <w:rsid w:val="2D8E211C"/>
    <w:rsid w:val="2D90677C"/>
    <w:rsid w:val="2D925870"/>
    <w:rsid w:val="2D931FC0"/>
    <w:rsid w:val="2D935106"/>
    <w:rsid w:val="2D9A265E"/>
    <w:rsid w:val="2D9E1065"/>
    <w:rsid w:val="2D9E56F5"/>
    <w:rsid w:val="2D9F7247"/>
    <w:rsid w:val="2DA01E4F"/>
    <w:rsid w:val="2DA60AE7"/>
    <w:rsid w:val="2DA851F7"/>
    <w:rsid w:val="2DAD00C8"/>
    <w:rsid w:val="2DB17BB8"/>
    <w:rsid w:val="2DB23C7F"/>
    <w:rsid w:val="2DB44B38"/>
    <w:rsid w:val="2DB6777A"/>
    <w:rsid w:val="2DB81892"/>
    <w:rsid w:val="2DBB39A9"/>
    <w:rsid w:val="2DC07DFB"/>
    <w:rsid w:val="2DC16F55"/>
    <w:rsid w:val="2DCA2A28"/>
    <w:rsid w:val="2DCE63C1"/>
    <w:rsid w:val="2DCF12C3"/>
    <w:rsid w:val="2DD42233"/>
    <w:rsid w:val="2DD5537A"/>
    <w:rsid w:val="2DE30981"/>
    <w:rsid w:val="2DE4019A"/>
    <w:rsid w:val="2DE46B18"/>
    <w:rsid w:val="2DE47F8D"/>
    <w:rsid w:val="2DE51610"/>
    <w:rsid w:val="2DF53F49"/>
    <w:rsid w:val="2DF61A6F"/>
    <w:rsid w:val="2DF8044C"/>
    <w:rsid w:val="2DFA0C10"/>
    <w:rsid w:val="2DFF7667"/>
    <w:rsid w:val="2E013307"/>
    <w:rsid w:val="2E144BAF"/>
    <w:rsid w:val="2E234B41"/>
    <w:rsid w:val="2E290C48"/>
    <w:rsid w:val="2E2E2ED2"/>
    <w:rsid w:val="2E355705"/>
    <w:rsid w:val="2E37107E"/>
    <w:rsid w:val="2E3B3926"/>
    <w:rsid w:val="2E3D31FA"/>
    <w:rsid w:val="2E474078"/>
    <w:rsid w:val="2E497DF1"/>
    <w:rsid w:val="2E507989"/>
    <w:rsid w:val="2E5172B2"/>
    <w:rsid w:val="2E6609A2"/>
    <w:rsid w:val="2E667F96"/>
    <w:rsid w:val="2E6D45D8"/>
    <w:rsid w:val="2E6E3675"/>
    <w:rsid w:val="2E717347"/>
    <w:rsid w:val="2E755845"/>
    <w:rsid w:val="2E786928"/>
    <w:rsid w:val="2E791CCC"/>
    <w:rsid w:val="2E7C6418"/>
    <w:rsid w:val="2E8226AB"/>
    <w:rsid w:val="2E85697C"/>
    <w:rsid w:val="2E857BE9"/>
    <w:rsid w:val="2E8A1F67"/>
    <w:rsid w:val="2E8E4922"/>
    <w:rsid w:val="2E917F80"/>
    <w:rsid w:val="2E9A2215"/>
    <w:rsid w:val="2E9A4AF0"/>
    <w:rsid w:val="2E9B1469"/>
    <w:rsid w:val="2E9D4B1B"/>
    <w:rsid w:val="2EA0410A"/>
    <w:rsid w:val="2EA30912"/>
    <w:rsid w:val="2EA84BA8"/>
    <w:rsid w:val="2EA85434"/>
    <w:rsid w:val="2EB054B2"/>
    <w:rsid w:val="2EB34696"/>
    <w:rsid w:val="2EB55486"/>
    <w:rsid w:val="2EB61B31"/>
    <w:rsid w:val="2EBA2B22"/>
    <w:rsid w:val="2EBE07DF"/>
    <w:rsid w:val="2EC97F91"/>
    <w:rsid w:val="2ED350EC"/>
    <w:rsid w:val="2ED81174"/>
    <w:rsid w:val="2EDE49DD"/>
    <w:rsid w:val="2EE01F06"/>
    <w:rsid w:val="2EE144CD"/>
    <w:rsid w:val="2EE70102"/>
    <w:rsid w:val="2EED2E72"/>
    <w:rsid w:val="2EF31996"/>
    <w:rsid w:val="2EF361A4"/>
    <w:rsid w:val="2EF97A69"/>
    <w:rsid w:val="2EFC1307"/>
    <w:rsid w:val="2F000ED1"/>
    <w:rsid w:val="2F0116F1"/>
    <w:rsid w:val="2F015C6E"/>
    <w:rsid w:val="2F047434"/>
    <w:rsid w:val="2F055134"/>
    <w:rsid w:val="2F05640D"/>
    <w:rsid w:val="2F077C8B"/>
    <w:rsid w:val="2F15242A"/>
    <w:rsid w:val="2F1A79DF"/>
    <w:rsid w:val="2F2B2156"/>
    <w:rsid w:val="2F2D326E"/>
    <w:rsid w:val="2F3738F6"/>
    <w:rsid w:val="2F396D1F"/>
    <w:rsid w:val="2F3D76C3"/>
    <w:rsid w:val="2F455F1D"/>
    <w:rsid w:val="2F4D0C2D"/>
    <w:rsid w:val="2F5618ED"/>
    <w:rsid w:val="2F5C5B42"/>
    <w:rsid w:val="2F5E5DC9"/>
    <w:rsid w:val="2F677EE1"/>
    <w:rsid w:val="2F68036F"/>
    <w:rsid w:val="2F6A44C2"/>
    <w:rsid w:val="2F6D385E"/>
    <w:rsid w:val="2F6E5A5D"/>
    <w:rsid w:val="2F735E66"/>
    <w:rsid w:val="2F744F03"/>
    <w:rsid w:val="2F7467BD"/>
    <w:rsid w:val="2F7B4DDE"/>
    <w:rsid w:val="2F7E2440"/>
    <w:rsid w:val="2F7E3ACA"/>
    <w:rsid w:val="2F810B64"/>
    <w:rsid w:val="2F8A538D"/>
    <w:rsid w:val="2F8C1E45"/>
    <w:rsid w:val="2F8D7364"/>
    <w:rsid w:val="2F9067D1"/>
    <w:rsid w:val="2F911A4F"/>
    <w:rsid w:val="2F970416"/>
    <w:rsid w:val="2F972FE7"/>
    <w:rsid w:val="2F990904"/>
    <w:rsid w:val="2F996B56"/>
    <w:rsid w:val="2FA06136"/>
    <w:rsid w:val="2FA27799"/>
    <w:rsid w:val="2FA5723B"/>
    <w:rsid w:val="2FA572A9"/>
    <w:rsid w:val="2FA8482C"/>
    <w:rsid w:val="2FAB2475"/>
    <w:rsid w:val="2FB60CE2"/>
    <w:rsid w:val="2FBE1904"/>
    <w:rsid w:val="2FC242FE"/>
    <w:rsid w:val="2FC254E7"/>
    <w:rsid w:val="2FC367EB"/>
    <w:rsid w:val="2FC7536F"/>
    <w:rsid w:val="2FC83B44"/>
    <w:rsid w:val="2FCC0CD9"/>
    <w:rsid w:val="2FCC2D1A"/>
    <w:rsid w:val="2FD065E6"/>
    <w:rsid w:val="2FD14C2F"/>
    <w:rsid w:val="2FD16D5D"/>
    <w:rsid w:val="2FD9510C"/>
    <w:rsid w:val="2FD96870"/>
    <w:rsid w:val="2FDA6411"/>
    <w:rsid w:val="2FDF7647"/>
    <w:rsid w:val="2FE46D20"/>
    <w:rsid w:val="2FE63DAE"/>
    <w:rsid w:val="2FE83639"/>
    <w:rsid w:val="2FEB68F0"/>
    <w:rsid w:val="2FF21B80"/>
    <w:rsid w:val="2FF80CC3"/>
    <w:rsid w:val="2FF95846"/>
    <w:rsid w:val="2FFA3B91"/>
    <w:rsid w:val="2FFC00DB"/>
    <w:rsid w:val="2FFD7CE8"/>
    <w:rsid w:val="300C37CC"/>
    <w:rsid w:val="300E33E8"/>
    <w:rsid w:val="301B5CE7"/>
    <w:rsid w:val="301D1535"/>
    <w:rsid w:val="301D4299"/>
    <w:rsid w:val="301D7787"/>
    <w:rsid w:val="301E14CD"/>
    <w:rsid w:val="301F52AD"/>
    <w:rsid w:val="30230610"/>
    <w:rsid w:val="3023097B"/>
    <w:rsid w:val="30231066"/>
    <w:rsid w:val="303B2136"/>
    <w:rsid w:val="303D3985"/>
    <w:rsid w:val="303E74EF"/>
    <w:rsid w:val="303F652C"/>
    <w:rsid w:val="303F6C03"/>
    <w:rsid w:val="30420F9B"/>
    <w:rsid w:val="30523594"/>
    <w:rsid w:val="30580BC9"/>
    <w:rsid w:val="305E4590"/>
    <w:rsid w:val="306339F0"/>
    <w:rsid w:val="306A61E4"/>
    <w:rsid w:val="306C5FDC"/>
    <w:rsid w:val="306E1CCD"/>
    <w:rsid w:val="307440EA"/>
    <w:rsid w:val="3089479E"/>
    <w:rsid w:val="308B22B5"/>
    <w:rsid w:val="308C2216"/>
    <w:rsid w:val="309015AF"/>
    <w:rsid w:val="30922964"/>
    <w:rsid w:val="309E4D64"/>
    <w:rsid w:val="309F1F4A"/>
    <w:rsid w:val="30A74C5B"/>
    <w:rsid w:val="30B4002F"/>
    <w:rsid w:val="30B67293"/>
    <w:rsid w:val="30BA1E8B"/>
    <w:rsid w:val="30BF083E"/>
    <w:rsid w:val="30C108CE"/>
    <w:rsid w:val="30C235B9"/>
    <w:rsid w:val="30C754D6"/>
    <w:rsid w:val="30C8794F"/>
    <w:rsid w:val="30CC711C"/>
    <w:rsid w:val="30DD0CC4"/>
    <w:rsid w:val="30E82411"/>
    <w:rsid w:val="30E949CD"/>
    <w:rsid w:val="30EA2141"/>
    <w:rsid w:val="30EE0170"/>
    <w:rsid w:val="30EE0767"/>
    <w:rsid w:val="30F26836"/>
    <w:rsid w:val="30F46739"/>
    <w:rsid w:val="30F77AE2"/>
    <w:rsid w:val="30FA1876"/>
    <w:rsid w:val="30FC62CE"/>
    <w:rsid w:val="30FE230E"/>
    <w:rsid w:val="31056DF8"/>
    <w:rsid w:val="31067002"/>
    <w:rsid w:val="310C3CE5"/>
    <w:rsid w:val="31102E48"/>
    <w:rsid w:val="311C6851"/>
    <w:rsid w:val="311D7D18"/>
    <w:rsid w:val="311E2ED7"/>
    <w:rsid w:val="3124002E"/>
    <w:rsid w:val="312429EA"/>
    <w:rsid w:val="31324444"/>
    <w:rsid w:val="31341609"/>
    <w:rsid w:val="313528AE"/>
    <w:rsid w:val="31374878"/>
    <w:rsid w:val="31374D51"/>
    <w:rsid w:val="314564AC"/>
    <w:rsid w:val="3146720F"/>
    <w:rsid w:val="3148432D"/>
    <w:rsid w:val="314C5739"/>
    <w:rsid w:val="314F6E34"/>
    <w:rsid w:val="3152277A"/>
    <w:rsid w:val="315619EE"/>
    <w:rsid w:val="315840B2"/>
    <w:rsid w:val="315C449C"/>
    <w:rsid w:val="315C608D"/>
    <w:rsid w:val="31624BBF"/>
    <w:rsid w:val="31642EB0"/>
    <w:rsid w:val="31662A68"/>
    <w:rsid w:val="3170182D"/>
    <w:rsid w:val="317038E6"/>
    <w:rsid w:val="3175173C"/>
    <w:rsid w:val="317C5755"/>
    <w:rsid w:val="317E045D"/>
    <w:rsid w:val="31894E52"/>
    <w:rsid w:val="318D4877"/>
    <w:rsid w:val="31A11683"/>
    <w:rsid w:val="31A17F44"/>
    <w:rsid w:val="31A30923"/>
    <w:rsid w:val="31A70C60"/>
    <w:rsid w:val="31AB35D4"/>
    <w:rsid w:val="31AC77B7"/>
    <w:rsid w:val="31AE3A33"/>
    <w:rsid w:val="31AF5092"/>
    <w:rsid w:val="31B201DD"/>
    <w:rsid w:val="31B43718"/>
    <w:rsid w:val="31B4737A"/>
    <w:rsid w:val="31B82709"/>
    <w:rsid w:val="31C54516"/>
    <w:rsid w:val="31C816DA"/>
    <w:rsid w:val="31C86712"/>
    <w:rsid w:val="31CB333D"/>
    <w:rsid w:val="31CB6D6E"/>
    <w:rsid w:val="31CD35D1"/>
    <w:rsid w:val="31CE04BB"/>
    <w:rsid w:val="31CE6041"/>
    <w:rsid w:val="31CE7B45"/>
    <w:rsid w:val="31D05482"/>
    <w:rsid w:val="31E21AC1"/>
    <w:rsid w:val="31E3249B"/>
    <w:rsid w:val="31E77834"/>
    <w:rsid w:val="31EC042B"/>
    <w:rsid w:val="31EC5663"/>
    <w:rsid w:val="31F2079F"/>
    <w:rsid w:val="31F43832"/>
    <w:rsid w:val="31F7161A"/>
    <w:rsid w:val="31FC517A"/>
    <w:rsid w:val="31FD1A5A"/>
    <w:rsid w:val="31FF6116"/>
    <w:rsid w:val="32035AEE"/>
    <w:rsid w:val="3206472E"/>
    <w:rsid w:val="320C3515"/>
    <w:rsid w:val="320F4EAD"/>
    <w:rsid w:val="32110636"/>
    <w:rsid w:val="32111C6A"/>
    <w:rsid w:val="32127369"/>
    <w:rsid w:val="32142838"/>
    <w:rsid w:val="3215190C"/>
    <w:rsid w:val="321751D2"/>
    <w:rsid w:val="321D581C"/>
    <w:rsid w:val="32201EB1"/>
    <w:rsid w:val="32240CF8"/>
    <w:rsid w:val="32256095"/>
    <w:rsid w:val="322830C2"/>
    <w:rsid w:val="322E7A29"/>
    <w:rsid w:val="323D738C"/>
    <w:rsid w:val="32400B34"/>
    <w:rsid w:val="324377CD"/>
    <w:rsid w:val="324419E7"/>
    <w:rsid w:val="3248332A"/>
    <w:rsid w:val="32495C16"/>
    <w:rsid w:val="324E1809"/>
    <w:rsid w:val="324E3917"/>
    <w:rsid w:val="32543208"/>
    <w:rsid w:val="325B6344"/>
    <w:rsid w:val="32674CE9"/>
    <w:rsid w:val="32676A3F"/>
    <w:rsid w:val="326E1FE1"/>
    <w:rsid w:val="3272726D"/>
    <w:rsid w:val="327A33B7"/>
    <w:rsid w:val="327B6983"/>
    <w:rsid w:val="327F64D7"/>
    <w:rsid w:val="328303DD"/>
    <w:rsid w:val="328947D0"/>
    <w:rsid w:val="329820EC"/>
    <w:rsid w:val="329E6876"/>
    <w:rsid w:val="32A334CA"/>
    <w:rsid w:val="32A36D88"/>
    <w:rsid w:val="32A45FDC"/>
    <w:rsid w:val="32A54325"/>
    <w:rsid w:val="32AC0EAB"/>
    <w:rsid w:val="32AF463E"/>
    <w:rsid w:val="32B30C0E"/>
    <w:rsid w:val="32B40A15"/>
    <w:rsid w:val="32B75C71"/>
    <w:rsid w:val="32BF4784"/>
    <w:rsid w:val="32C17E8E"/>
    <w:rsid w:val="32C65EB4"/>
    <w:rsid w:val="32CA1D1A"/>
    <w:rsid w:val="32CE0667"/>
    <w:rsid w:val="32D03D1A"/>
    <w:rsid w:val="32D16607"/>
    <w:rsid w:val="32D21971"/>
    <w:rsid w:val="32D54349"/>
    <w:rsid w:val="32D64AF4"/>
    <w:rsid w:val="32DB132C"/>
    <w:rsid w:val="32DB1C5F"/>
    <w:rsid w:val="32DD76BC"/>
    <w:rsid w:val="32EB1216"/>
    <w:rsid w:val="32F01183"/>
    <w:rsid w:val="32F249FD"/>
    <w:rsid w:val="32F32A21"/>
    <w:rsid w:val="32F3657D"/>
    <w:rsid w:val="32F742BF"/>
    <w:rsid w:val="32FF72CE"/>
    <w:rsid w:val="33057AA5"/>
    <w:rsid w:val="33066B2A"/>
    <w:rsid w:val="33072928"/>
    <w:rsid w:val="33080129"/>
    <w:rsid w:val="33087DBE"/>
    <w:rsid w:val="33090F2A"/>
    <w:rsid w:val="330F332F"/>
    <w:rsid w:val="33171EC4"/>
    <w:rsid w:val="33224F6A"/>
    <w:rsid w:val="332638F5"/>
    <w:rsid w:val="33266952"/>
    <w:rsid w:val="332826CA"/>
    <w:rsid w:val="332C7FD8"/>
    <w:rsid w:val="332F3C2D"/>
    <w:rsid w:val="333015F2"/>
    <w:rsid w:val="33317CF6"/>
    <w:rsid w:val="33346CC9"/>
    <w:rsid w:val="33346D74"/>
    <w:rsid w:val="33381FDE"/>
    <w:rsid w:val="3341553A"/>
    <w:rsid w:val="33430C1A"/>
    <w:rsid w:val="33456E75"/>
    <w:rsid w:val="334751EA"/>
    <w:rsid w:val="334B6320"/>
    <w:rsid w:val="3350577D"/>
    <w:rsid w:val="3353526D"/>
    <w:rsid w:val="3357088F"/>
    <w:rsid w:val="33582884"/>
    <w:rsid w:val="33583DC9"/>
    <w:rsid w:val="336244FF"/>
    <w:rsid w:val="33655BA2"/>
    <w:rsid w:val="33712774"/>
    <w:rsid w:val="337376BE"/>
    <w:rsid w:val="337C2A16"/>
    <w:rsid w:val="337C3265"/>
    <w:rsid w:val="33851415"/>
    <w:rsid w:val="33877B47"/>
    <w:rsid w:val="338B4A07"/>
    <w:rsid w:val="33902D14"/>
    <w:rsid w:val="33964F33"/>
    <w:rsid w:val="33A06705"/>
    <w:rsid w:val="33AD318F"/>
    <w:rsid w:val="33AE4708"/>
    <w:rsid w:val="33AF1889"/>
    <w:rsid w:val="33B64B03"/>
    <w:rsid w:val="33BE2FBB"/>
    <w:rsid w:val="33C42996"/>
    <w:rsid w:val="33CE728B"/>
    <w:rsid w:val="33D12D62"/>
    <w:rsid w:val="33D20888"/>
    <w:rsid w:val="33D34E06"/>
    <w:rsid w:val="33D4063A"/>
    <w:rsid w:val="33D44A17"/>
    <w:rsid w:val="33D934D4"/>
    <w:rsid w:val="33DA33B5"/>
    <w:rsid w:val="33E13A0E"/>
    <w:rsid w:val="33E317AE"/>
    <w:rsid w:val="33E61723"/>
    <w:rsid w:val="33E73E2E"/>
    <w:rsid w:val="33ED6414"/>
    <w:rsid w:val="33F15289"/>
    <w:rsid w:val="33FE2F6A"/>
    <w:rsid w:val="33FE7DDA"/>
    <w:rsid w:val="33FF032A"/>
    <w:rsid w:val="34030A42"/>
    <w:rsid w:val="34054559"/>
    <w:rsid w:val="34091A0E"/>
    <w:rsid w:val="340C1D01"/>
    <w:rsid w:val="340E07E5"/>
    <w:rsid w:val="340F0C0A"/>
    <w:rsid w:val="341B5D8B"/>
    <w:rsid w:val="341E1D1F"/>
    <w:rsid w:val="34235BF7"/>
    <w:rsid w:val="342A2472"/>
    <w:rsid w:val="342B6828"/>
    <w:rsid w:val="342C61EA"/>
    <w:rsid w:val="342E1F62"/>
    <w:rsid w:val="342E2D1F"/>
    <w:rsid w:val="34325348"/>
    <w:rsid w:val="34335EE7"/>
    <w:rsid w:val="343478AF"/>
    <w:rsid w:val="3437108B"/>
    <w:rsid w:val="343C3F54"/>
    <w:rsid w:val="34473C96"/>
    <w:rsid w:val="345346D9"/>
    <w:rsid w:val="345B087E"/>
    <w:rsid w:val="34675FDF"/>
    <w:rsid w:val="346F257B"/>
    <w:rsid w:val="347418D4"/>
    <w:rsid w:val="348F1A15"/>
    <w:rsid w:val="34923CF6"/>
    <w:rsid w:val="34A45FE9"/>
    <w:rsid w:val="34A80273"/>
    <w:rsid w:val="34AB11F7"/>
    <w:rsid w:val="34AE1C70"/>
    <w:rsid w:val="34AE2FBC"/>
    <w:rsid w:val="34AF4855"/>
    <w:rsid w:val="34B93E0D"/>
    <w:rsid w:val="34BB131C"/>
    <w:rsid w:val="34BF4CAA"/>
    <w:rsid w:val="34C931FE"/>
    <w:rsid w:val="34D039B6"/>
    <w:rsid w:val="34D65F41"/>
    <w:rsid w:val="34D66156"/>
    <w:rsid w:val="34DD6C8D"/>
    <w:rsid w:val="34E00D83"/>
    <w:rsid w:val="34E03C50"/>
    <w:rsid w:val="34E73EBF"/>
    <w:rsid w:val="34ED1C61"/>
    <w:rsid w:val="34F8770E"/>
    <w:rsid w:val="34FA0BAE"/>
    <w:rsid w:val="34FA1E45"/>
    <w:rsid w:val="35121EA0"/>
    <w:rsid w:val="35127154"/>
    <w:rsid w:val="35133FF2"/>
    <w:rsid w:val="351829ED"/>
    <w:rsid w:val="351D324F"/>
    <w:rsid w:val="35270760"/>
    <w:rsid w:val="35374FBB"/>
    <w:rsid w:val="353B650D"/>
    <w:rsid w:val="353D22BD"/>
    <w:rsid w:val="353D777D"/>
    <w:rsid w:val="353F29DC"/>
    <w:rsid w:val="35401559"/>
    <w:rsid w:val="35455B73"/>
    <w:rsid w:val="35492DCC"/>
    <w:rsid w:val="354C51AA"/>
    <w:rsid w:val="35542952"/>
    <w:rsid w:val="3555351F"/>
    <w:rsid w:val="355A755C"/>
    <w:rsid w:val="355F614C"/>
    <w:rsid w:val="35600644"/>
    <w:rsid w:val="356130EE"/>
    <w:rsid w:val="35665C24"/>
    <w:rsid w:val="356928AF"/>
    <w:rsid w:val="356C0B3B"/>
    <w:rsid w:val="356D5162"/>
    <w:rsid w:val="357070B5"/>
    <w:rsid w:val="35747E49"/>
    <w:rsid w:val="357C00B2"/>
    <w:rsid w:val="358362DE"/>
    <w:rsid w:val="35847BDC"/>
    <w:rsid w:val="358955D4"/>
    <w:rsid w:val="358A4672"/>
    <w:rsid w:val="358A4827"/>
    <w:rsid w:val="358B2E3D"/>
    <w:rsid w:val="358C5FA8"/>
    <w:rsid w:val="35917C0B"/>
    <w:rsid w:val="359207AA"/>
    <w:rsid w:val="35951B6D"/>
    <w:rsid w:val="35984814"/>
    <w:rsid w:val="359E1A84"/>
    <w:rsid w:val="35A53185"/>
    <w:rsid w:val="35A70F55"/>
    <w:rsid w:val="35A973C7"/>
    <w:rsid w:val="35B735BB"/>
    <w:rsid w:val="35BB1203"/>
    <w:rsid w:val="35C15DF1"/>
    <w:rsid w:val="35C27027"/>
    <w:rsid w:val="35CC51EA"/>
    <w:rsid w:val="35D05A62"/>
    <w:rsid w:val="35D24B6F"/>
    <w:rsid w:val="35DD538F"/>
    <w:rsid w:val="35DE3514"/>
    <w:rsid w:val="35E328D9"/>
    <w:rsid w:val="35E55944"/>
    <w:rsid w:val="35F5709E"/>
    <w:rsid w:val="35FE7F8F"/>
    <w:rsid w:val="36074A7F"/>
    <w:rsid w:val="36127662"/>
    <w:rsid w:val="36131DB6"/>
    <w:rsid w:val="36171AA8"/>
    <w:rsid w:val="36173F7F"/>
    <w:rsid w:val="361B0154"/>
    <w:rsid w:val="36251708"/>
    <w:rsid w:val="36266C69"/>
    <w:rsid w:val="36270733"/>
    <w:rsid w:val="3628761B"/>
    <w:rsid w:val="36296275"/>
    <w:rsid w:val="362F3A74"/>
    <w:rsid w:val="3638291B"/>
    <w:rsid w:val="363D40BB"/>
    <w:rsid w:val="363D4742"/>
    <w:rsid w:val="36415851"/>
    <w:rsid w:val="364610BA"/>
    <w:rsid w:val="36462E68"/>
    <w:rsid w:val="36491F1D"/>
    <w:rsid w:val="36545C9A"/>
    <w:rsid w:val="365607BB"/>
    <w:rsid w:val="365D0BBE"/>
    <w:rsid w:val="36653C36"/>
    <w:rsid w:val="366C6D72"/>
    <w:rsid w:val="36701DDD"/>
    <w:rsid w:val="36754633"/>
    <w:rsid w:val="367C7E81"/>
    <w:rsid w:val="367F4CF7"/>
    <w:rsid w:val="3684230E"/>
    <w:rsid w:val="368D102E"/>
    <w:rsid w:val="36913CE5"/>
    <w:rsid w:val="36923549"/>
    <w:rsid w:val="369330FD"/>
    <w:rsid w:val="36963DEF"/>
    <w:rsid w:val="369B334E"/>
    <w:rsid w:val="36A05164"/>
    <w:rsid w:val="36A302BA"/>
    <w:rsid w:val="36A57B46"/>
    <w:rsid w:val="36AD2EE7"/>
    <w:rsid w:val="36B47E71"/>
    <w:rsid w:val="36B75FBF"/>
    <w:rsid w:val="36B81FB7"/>
    <w:rsid w:val="36B91444"/>
    <w:rsid w:val="36BD0C45"/>
    <w:rsid w:val="36CA10B6"/>
    <w:rsid w:val="36CB4432"/>
    <w:rsid w:val="36CB500A"/>
    <w:rsid w:val="36CC15BF"/>
    <w:rsid w:val="36CC5973"/>
    <w:rsid w:val="36CF347B"/>
    <w:rsid w:val="36D026DB"/>
    <w:rsid w:val="36D36DF1"/>
    <w:rsid w:val="36D82130"/>
    <w:rsid w:val="36D822E6"/>
    <w:rsid w:val="36E67CE5"/>
    <w:rsid w:val="36ED4C29"/>
    <w:rsid w:val="36F16EB3"/>
    <w:rsid w:val="36F21ABA"/>
    <w:rsid w:val="36F9612C"/>
    <w:rsid w:val="36FF7960"/>
    <w:rsid w:val="370074BA"/>
    <w:rsid w:val="3703155C"/>
    <w:rsid w:val="370603D9"/>
    <w:rsid w:val="37092813"/>
    <w:rsid w:val="370E5675"/>
    <w:rsid w:val="370F1C03"/>
    <w:rsid w:val="37123D39"/>
    <w:rsid w:val="37135440"/>
    <w:rsid w:val="37136525"/>
    <w:rsid w:val="371F7B4F"/>
    <w:rsid w:val="372907BF"/>
    <w:rsid w:val="372B732F"/>
    <w:rsid w:val="372E2279"/>
    <w:rsid w:val="37336783"/>
    <w:rsid w:val="37375C91"/>
    <w:rsid w:val="373C2085"/>
    <w:rsid w:val="373C4996"/>
    <w:rsid w:val="373D2DFA"/>
    <w:rsid w:val="373F4487"/>
    <w:rsid w:val="374259B8"/>
    <w:rsid w:val="374765BD"/>
    <w:rsid w:val="37476E97"/>
    <w:rsid w:val="37477A8B"/>
    <w:rsid w:val="374970B3"/>
    <w:rsid w:val="374A784C"/>
    <w:rsid w:val="374B2E2B"/>
    <w:rsid w:val="375717D0"/>
    <w:rsid w:val="375A6BCB"/>
    <w:rsid w:val="375B525D"/>
    <w:rsid w:val="375F2433"/>
    <w:rsid w:val="37603F8F"/>
    <w:rsid w:val="37641351"/>
    <w:rsid w:val="37660B99"/>
    <w:rsid w:val="3769496C"/>
    <w:rsid w:val="376D693C"/>
    <w:rsid w:val="376F3581"/>
    <w:rsid w:val="376F7781"/>
    <w:rsid w:val="377346DB"/>
    <w:rsid w:val="37742AD5"/>
    <w:rsid w:val="377452C9"/>
    <w:rsid w:val="37773C20"/>
    <w:rsid w:val="377762DB"/>
    <w:rsid w:val="377A2081"/>
    <w:rsid w:val="377E7262"/>
    <w:rsid w:val="37833490"/>
    <w:rsid w:val="37840664"/>
    <w:rsid w:val="37865C12"/>
    <w:rsid w:val="378A1A47"/>
    <w:rsid w:val="378C4D7F"/>
    <w:rsid w:val="3793032E"/>
    <w:rsid w:val="379344BE"/>
    <w:rsid w:val="379612FD"/>
    <w:rsid w:val="379A72F5"/>
    <w:rsid w:val="37AA40E3"/>
    <w:rsid w:val="37AA4173"/>
    <w:rsid w:val="37AD5068"/>
    <w:rsid w:val="37B0756F"/>
    <w:rsid w:val="37B36F71"/>
    <w:rsid w:val="37B95FE7"/>
    <w:rsid w:val="37BA3B0D"/>
    <w:rsid w:val="37BF0DEA"/>
    <w:rsid w:val="37C369BD"/>
    <w:rsid w:val="37C443DA"/>
    <w:rsid w:val="37CD3E53"/>
    <w:rsid w:val="37D21D41"/>
    <w:rsid w:val="37D35E22"/>
    <w:rsid w:val="37D72629"/>
    <w:rsid w:val="37D913AF"/>
    <w:rsid w:val="37DA5F5D"/>
    <w:rsid w:val="37E00298"/>
    <w:rsid w:val="37E33064"/>
    <w:rsid w:val="37E361C3"/>
    <w:rsid w:val="37EB2D52"/>
    <w:rsid w:val="37F065A7"/>
    <w:rsid w:val="37F21C57"/>
    <w:rsid w:val="37F479DA"/>
    <w:rsid w:val="37F555DB"/>
    <w:rsid w:val="37FA03AE"/>
    <w:rsid w:val="38074E65"/>
    <w:rsid w:val="380D6333"/>
    <w:rsid w:val="38132044"/>
    <w:rsid w:val="38141E4B"/>
    <w:rsid w:val="38170F5F"/>
    <w:rsid w:val="38176C95"/>
    <w:rsid w:val="381C4571"/>
    <w:rsid w:val="381F1BC2"/>
    <w:rsid w:val="38293B60"/>
    <w:rsid w:val="382D2E86"/>
    <w:rsid w:val="38312021"/>
    <w:rsid w:val="38313FBC"/>
    <w:rsid w:val="383374BF"/>
    <w:rsid w:val="38342FC3"/>
    <w:rsid w:val="38376939"/>
    <w:rsid w:val="383B014F"/>
    <w:rsid w:val="383F0A8C"/>
    <w:rsid w:val="38402264"/>
    <w:rsid w:val="3843557B"/>
    <w:rsid w:val="384F24A7"/>
    <w:rsid w:val="385009BF"/>
    <w:rsid w:val="38571D22"/>
    <w:rsid w:val="385865A1"/>
    <w:rsid w:val="385B52F0"/>
    <w:rsid w:val="385D2E60"/>
    <w:rsid w:val="385D37E7"/>
    <w:rsid w:val="385F7BAD"/>
    <w:rsid w:val="386048C9"/>
    <w:rsid w:val="3861258D"/>
    <w:rsid w:val="38632B5B"/>
    <w:rsid w:val="38654298"/>
    <w:rsid w:val="386A5533"/>
    <w:rsid w:val="386B671F"/>
    <w:rsid w:val="386C070B"/>
    <w:rsid w:val="386D241A"/>
    <w:rsid w:val="38706043"/>
    <w:rsid w:val="38725AAB"/>
    <w:rsid w:val="387700FC"/>
    <w:rsid w:val="387934B7"/>
    <w:rsid w:val="38795776"/>
    <w:rsid w:val="38806B05"/>
    <w:rsid w:val="3885236D"/>
    <w:rsid w:val="388760E5"/>
    <w:rsid w:val="38896D41"/>
    <w:rsid w:val="388D121E"/>
    <w:rsid w:val="388D1222"/>
    <w:rsid w:val="389032EE"/>
    <w:rsid w:val="389655B6"/>
    <w:rsid w:val="389B1DC8"/>
    <w:rsid w:val="389F2071"/>
    <w:rsid w:val="38A30A45"/>
    <w:rsid w:val="38A9475B"/>
    <w:rsid w:val="38A9631F"/>
    <w:rsid w:val="38AD5420"/>
    <w:rsid w:val="38B302F9"/>
    <w:rsid w:val="38B72CB1"/>
    <w:rsid w:val="38C01ADF"/>
    <w:rsid w:val="38C2096A"/>
    <w:rsid w:val="38D155B2"/>
    <w:rsid w:val="38D34E4A"/>
    <w:rsid w:val="38DE1A7D"/>
    <w:rsid w:val="38E17D08"/>
    <w:rsid w:val="38E42223"/>
    <w:rsid w:val="38EA21D0"/>
    <w:rsid w:val="38EF2167"/>
    <w:rsid w:val="38F10EAC"/>
    <w:rsid w:val="38F12CD3"/>
    <w:rsid w:val="38F80803"/>
    <w:rsid w:val="38F94775"/>
    <w:rsid w:val="38FE11AE"/>
    <w:rsid w:val="39003169"/>
    <w:rsid w:val="39006B4A"/>
    <w:rsid w:val="3905700A"/>
    <w:rsid w:val="390B456C"/>
    <w:rsid w:val="390E5EBF"/>
    <w:rsid w:val="391666A3"/>
    <w:rsid w:val="39186D3D"/>
    <w:rsid w:val="391A3B64"/>
    <w:rsid w:val="391C2CC0"/>
    <w:rsid w:val="392971ED"/>
    <w:rsid w:val="392A6A70"/>
    <w:rsid w:val="392C27E9"/>
    <w:rsid w:val="39325651"/>
    <w:rsid w:val="393379D8"/>
    <w:rsid w:val="393A4BBC"/>
    <w:rsid w:val="393D29A7"/>
    <w:rsid w:val="393F47DD"/>
    <w:rsid w:val="39452EAF"/>
    <w:rsid w:val="39487A70"/>
    <w:rsid w:val="394A4C3B"/>
    <w:rsid w:val="394D5FA5"/>
    <w:rsid w:val="3951450A"/>
    <w:rsid w:val="39520DFD"/>
    <w:rsid w:val="395446BF"/>
    <w:rsid w:val="395D4EB2"/>
    <w:rsid w:val="39602492"/>
    <w:rsid w:val="396430B4"/>
    <w:rsid w:val="396633F1"/>
    <w:rsid w:val="39691347"/>
    <w:rsid w:val="396C04C1"/>
    <w:rsid w:val="39736669"/>
    <w:rsid w:val="3975518D"/>
    <w:rsid w:val="397D7CE3"/>
    <w:rsid w:val="3981182F"/>
    <w:rsid w:val="3986639D"/>
    <w:rsid w:val="39887DF1"/>
    <w:rsid w:val="39932868"/>
    <w:rsid w:val="39A03105"/>
    <w:rsid w:val="39A25466"/>
    <w:rsid w:val="39AA37AD"/>
    <w:rsid w:val="39AB0303"/>
    <w:rsid w:val="39AE76A2"/>
    <w:rsid w:val="39B2192F"/>
    <w:rsid w:val="39BA6041"/>
    <w:rsid w:val="39C80E81"/>
    <w:rsid w:val="39C944DB"/>
    <w:rsid w:val="39CB75E0"/>
    <w:rsid w:val="39DA6378"/>
    <w:rsid w:val="39DB1DF9"/>
    <w:rsid w:val="39DE5435"/>
    <w:rsid w:val="39E65C0C"/>
    <w:rsid w:val="39EA2D41"/>
    <w:rsid w:val="39ED4C94"/>
    <w:rsid w:val="39F06F70"/>
    <w:rsid w:val="3A015ACD"/>
    <w:rsid w:val="3A040A3F"/>
    <w:rsid w:val="3A0A2948"/>
    <w:rsid w:val="3A0C5E4C"/>
    <w:rsid w:val="3A0F59AF"/>
    <w:rsid w:val="3A157721"/>
    <w:rsid w:val="3A19526E"/>
    <w:rsid w:val="3A2A31CC"/>
    <w:rsid w:val="3A2D05C6"/>
    <w:rsid w:val="3A2F66BB"/>
    <w:rsid w:val="3A3052A6"/>
    <w:rsid w:val="3A351B95"/>
    <w:rsid w:val="3A377697"/>
    <w:rsid w:val="3A3B58E5"/>
    <w:rsid w:val="3A3C6A5B"/>
    <w:rsid w:val="3A42356C"/>
    <w:rsid w:val="3A4D2A17"/>
    <w:rsid w:val="3A4D6EBA"/>
    <w:rsid w:val="3A4D7BC4"/>
    <w:rsid w:val="3A563FC1"/>
    <w:rsid w:val="3A580D7A"/>
    <w:rsid w:val="3A591F05"/>
    <w:rsid w:val="3A5C364C"/>
    <w:rsid w:val="3A647D60"/>
    <w:rsid w:val="3A692962"/>
    <w:rsid w:val="3A6F6E31"/>
    <w:rsid w:val="3A706705"/>
    <w:rsid w:val="3A7252D2"/>
    <w:rsid w:val="3A727012"/>
    <w:rsid w:val="3A7A797D"/>
    <w:rsid w:val="3A7B66B0"/>
    <w:rsid w:val="3A843EB6"/>
    <w:rsid w:val="3A872856"/>
    <w:rsid w:val="3A8A671A"/>
    <w:rsid w:val="3A8B1822"/>
    <w:rsid w:val="3A922B1F"/>
    <w:rsid w:val="3A940645"/>
    <w:rsid w:val="3A947029"/>
    <w:rsid w:val="3A9479A4"/>
    <w:rsid w:val="3A98366A"/>
    <w:rsid w:val="3A9B4436"/>
    <w:rsid w:val="3AA36ADA"/>
    <w:rsid w:val="3AAB7DDB"/>
    <w:rsid w:val="3AAD5BAB"/>
    <w:rsid w:val="3AB40624"/>
    <w:rsid w:val="3AB605BC"/>
    <w:rsid w:val="3AB85DCE"/>
    <w:rsid w:val="3AC23405"/>
    <w:rsid w:val="3AC76C6D"/>
    <w:rsid w:val="3ACF1C8D"/>
    <w:rsid w:val="3AD0360B"/>
    <w:rsid w:val="3AD14FE6"/>
    <w:rsid w:val="3AD4138A"/>
    <w:rsid w:val="3AD47F56"/>
    <w:rsid w:val="3AD84480"/>
    <w:rsid w:val="3ADB44C6"/>
    <w:rsid w:val="3AEB118A"/>
    <w:rsid w:val="3AF01941"/>
    <w:rsid w:val="3AF30024"/>
    <w:rsid w:val="3AF77A09"/>
    <w:rsid w:val="3AFD268F"/>
    <w:rsid w:val="3B0529E3"/>
    <w:rsid w:val="3B091033"/>
    <w:rsid w:val="3B19180F"/>
    <w:rsid w:val="3B1A1659"/>
    <w:rsid w:val="3B1C5C89"/>
    <w:rsid w:val="3B216A43"/>
    <w:rsid w:val="3B252996"/>
    <w:rsid w:val="3B284357"/>
    <w:rsid w:val="3B36794F"/>
    <w:rsid w:val="3B3763D1"/>
    <w:rsid w:val="3B3A5239"/>
    <w:rsid w:val="3B3D0D0E"/>
    <w:rsid w:val="3B437E53"/>
    <w:rsid w:val="3B441832"/>
    <w:rsid w:val="3B450C3B"/>
    <w:rsid w:val="3B46104B"/>
    <w:rsid w:val="3B464036"/>
    <w:rsid w:val="3B4756B8"/>
    <w:rsid w:val="3B542300"/>
    <w:rsid w:val="3B545DE3"/>
    <w:rsid w:val="3B60677A"/>
    <w:rsid w:val="3B624C93"/>
    <w:rsid w:val="3B6C6B34"/>
    <w:rsid w:val="3B6D478E"/>
    <w:rsid w:val="3B70021C"/>
    <w:rsid w:val="3B712389"/>
    <w:rsid w:val="3B726358"/>
    <w:rsid w:val="3B732951"/>
    <w:rsid w:val="3B7346FF"/>
    <w:rsid w:val="3B7641EF"/>
    <w:rsid w:val="3B7906D0"/>
    <w:rsid w:val="3B790CCA"/>
    <w:rsid w:val="3B7D31C1"/>
    <w:rsid w:val="3B7F4E52"/>
    <w:rsid w:val="3B80008A"/>
    <w:rsid w:val="3B8706E3"/>
    <w:rsid w:val="3B87516E"/>
    <w:rsid w:val="3B8A5BD4"/>
    <w:rsid w:val="3B9052B1"/>
    <w:rsid w:val="3B922D1B"/>
    <w:rsid w:val="3B96663F"/>
    <w:rsid w:val="3B99523B"/>
    <w:rsid w:val="3B9E50AD"/>
    <w:rsid w:val="3BA13E5B"/>
    <w:rsid w:val="3BA15DCF"/>
    <w:rsid w:val="3BA24FE4"/>
    <w:rsid w:val="3BA92989"/>
    <w:rsid w:val="3BAB2075"/>
    <w:rsid w:val="3BAB3E99"/>
    <w:rsid w:val="3BB00D7F"/>
    <w:rsid w:val="3BB22DC0"/>
    <w:rsid w:val="3BB2617C"/>
    <w:rsid w:val="3BB71A7C"/>
    <w:rsid w:val="3BB80364"/>
    <w:rsid w:val="3BB947C9"/>
    <w:rsid w:val="3BC211E2"/>
    <w:rsid w:val="3BCA3C4D"/>
    <w:rsid w:val="3BCB453B"/>
    <w:rsid w:val="3BCE402B"/>
    <w:rsid w:val="3BD55437"/>
    <w:rsid w:val="3BD70274"/>
    <w:rsid w:val="3BDE2894"/>
    <w:rsid w:val="3BE123A1"/>
    <w:rsid w:val="3BE4538A"/>
    <w:rsid w:val="3BE60C08"/>
    <w:rsid w:val="3BE60DBD"/>
    <w:rsid w:val="3BE61375"/>
    <w:rsid w:val="3BE72D8B"/>
    <w:rsid w:val="3BF770DE"/>
    <w:rsid w:val="3BFB7A0F"/>
    <w:rsid w:val="3BFE07FA"/>
    <w:rsid w:val="3BFF58F9"/>
    <w:rsid w:val="3C035A0C"/>
    <w:rsid w:val="3C045F86"/>
    <w:rsid w:val="3C074E88"/>
    <w:rsid w:val="3C08753D"/>
    <w:rsid w:val="3C0D4B53"/>
    <w:rsid w:val="3C1501DD"/>
    <w:rsid w:val="3C161724"/>
    <w:rsid w:val="3C1E0B0E"/>
    <w:rsid w:val="3C1F3252"/>
    <w:rsid w:val="3C263F3D"/>
    <w:rsid w:val="3C2E550F"/>
    <w:rsid w:val="3C2F6E1E"/>
    <w:rsid w:val="3C303AB8"/>
    <w:rsid w:val="3C320116"/>
    <w:rsid w:val="3C340CD4"/>
    <w:rsid w:val="3C35598B"/>
    <w:rsid w:val="3C463BC1"/>
    <w:rsid w:val="3C467402"/>
    <w:rsid w:val="3C4D4F50"/>
    <w:rsid w:val="3C4F64BA"/>
    <w:rsid w:val="3C592D62"/>
    <w:rsid w:val="3C5D13CA"/>
    <w:rsid w:val="3C5E5CBD"/>
    <w:rsid w:val="3C626204"/>
    <w:rsid w:val="3C643A21"/>
    <w:rsid w:val="3C6605CE"/>
    <w:rsid w:val="3C665361"/>
    <w:rsid w:val="3C674EC1"/>
    <w:rsid w:val="3C683B38"/>
    <w:rsid w:val="3C6978B0"/>
    <w:rsid w:val="3C74072E"/>
    <w:rsid w:val="3C740F54"/>
    <w:rsid w:val="3C7F70D3"/>
    <w:rsid w:val="3C8440D2"/>
    <w:rsid w:val="3C850B8E"/>
    <w:rsid w:val="3C8D6BCF"/>
    <w:rsid w:val="3C9056B7"/>
    <w:rsid w:val="3C936023"/>
    <w:rsid w:val="3C99459C"/>
    <w:rsid w:val="3CA42C54"/>
    <w:rsid w:val="3CAA05F4"/>
    <w:rsid w:val="3CB034FE"/>
    <w:rsid w:val="3CBE720A"/>
    <w:rsid w:val="3CC03974"/>
    <w:rsid w:val="3CC35212"/>
    <w:rsid w:val="3CD43F35"/>
    <w:rsid w:val="3CD704DD"/>
    <w:rsid w:val="3CDA245A"/>
    <w:rsid w:val="3CE01FB4"/>
    <w:rsid w:val="3CEB2A8A"/>
    <w:rsid w:val="3CED04E1"/>
    <w:rsid w:val="3CF81D16"/>
    <w:rsid w:val="3CF950D8"/>
    <w:rsid w:val="3CFF5E1E"/>
    <w:rsid w:val="3D0106F2"/>
    <w:rsid w:val="3D0300A8"/>
    <w:rsid w:val="3D0754BF"/>
    <w:rsid w:val="3D080047"/>
    <w:rsid w:val="3D16040F"/>
    <w:rsid w:val="3D163266"/>
    <w:rsid w:val="3D1A51DB"/>
    <w:rsid w:val="3D1D0DC6"/>
    <w:rsid w:val="3D1E06B7"/>
    <w:rsid w:val="3D207130"/>
    <w:rsid w:val="3D2427C1"/>
    <w:rsid w:val="3D246119"/>
    <w:rsid w:val="3D2D6B2F"/>
    <w:rsid w:val="3D2F488F"/>
    <w:rsid w:val="3D31435C"/>
    <w:rsid w:val="3D346230"/>
    <w:rsid w:val="3D346BE7"/>
    <w:rsid w:val="3D3659E4"/>
    <w:rsid w:val="3D37507E"/>
    <w:rsid w:val="3D385850"/>
    <w:rsid w:val="3D440462"/>
    <w:rsid w:val="3D514278"/>
    <w:rsid w:val="3D526599"/>
    <w:rsid w:val="3D5642D8"/>
    <w:rsid w:val="3D5D7415"/>
    <w:rsid w:val="3D60593D"/>
    <w:rsid w:val="3D612BD3"/>
    <w:rsid w:val="3D63386C"/>
    <w:rsid w:val="3D6764E5"/>
    <w:rsid w:val="3D6C1197"/>
    <w:rsid w:val="3D6D1752"/>
    <w:rsid w:val="3D6F15AA"/>
    <w:rsid w:val="3D714C6E"/>
    <w:rsid w:val="3D752E8E"/>
    <w:rsid w:val="3D7959A4"/>
    <w:rsid w:val="3D803103"/>
    <w:rsid w:val="3D8C4327"/>
    <w:rsid w:val="3D8C44DD"/>
    <w:rsid w:val="3D8F130B"/>
    <w:rsid w:val="3D97431C"/>
    <w:rsid w:val="3D997DD2"/>
    <w:rsid w:val="3D9D3B42"/>
    <w:rsid w:val="3DA23528"/>
    <w:rsid w:val="3DAA0DF1"/>
    <w:rsid w:val="3DAF01C0"/>
    <w:rsid w:val="3DB17760"/>
    <w:rsid w:val="3DB334D8"/>
    <w:rsid w:val="3DBB6E98"/>
    <w:rsid w:val="3DBB765C"/>
    <w:rsid w:val="3DBE142F"/>
    <w:rsid w:val="3DBE75AD"/>
    <w:rsid w:val="3DC3734E"/>
    <w:rsid w:val="3DC41242"/>
    <w:rsid w:val="3DC5629B"/>
    <w:rsid w:val="3DCD6C0E"/>
    <w:rsid w:val="3DD33817"/>
    <w:rsid w:val="3DD40558"/>
    <w:rsid w:val="3DD408C3"/>
    <w:rsid w:val="3DDD0DA2"/>
    <w:rsid w:val="3DE9090D"/>
    <w:rsid w:val="3DEA67CE"/>
    <w:rsid w:val="3DEB4836"/>
    <w:rsid w:val="3DEB7C6F"/>
    <w:rsid w:val="3DEE05E6"/>
    <w:rsid w:val="3DF05AD7"/>
    <w:rsid w:val="3DF243FA"/>
    <w:rsid w:val="3DFE308E"/>
    <w:rsid w:val="3E014244"/>
    <w:rsid w:val="3E0569D1"/>
    <w:rsid w:val="3E0A667E"/>
    <w:rsid w:val="3E1000F5"/>
    <w:rsid w:val="3E143768"/>
    <w:rsid w:val="3E164CD4"/>
    <w:rsid w:val="3E1E34BB"/>
    <w:rsid w:val="3E1F3CF7"/>
    <w:rsid w:val="3E224C7C"/>
    <w:rsid w:val="3E2326FD"/>
    <w:rsid w:val="3E2B3E7E"/>
    <w:rsid w:val="3E310271"/>
    <w:rsid w:val="3E353EED"/>
    <w:rsid w:val="3E391E19"/>
    <w:rsid w:val="3E3948A1"/>
    <w:rsid w:val="3E433B0B"/>
    <w:rsid w:val="3E4458D5"/>
    <w:rsid w:val="3E467DCB"/>
    <w:rsid w:val="3E5476F2"/>
    <w:rsid w:val="3E566026"/>
    <w:rsid w:val="3E5666FD"/>
    <w:rsid w:val="3E57579A"/>
    <w:rsid w:val="3E576115"/>
    <w:rsid w:val="3E5B59F5"/>
    <w:rsid w:val="3E602FB4"/>
    <w:rsid w:val="3E6447EC"/>
    <w:rsid w:val="3E6B56AB"/>
    <w:rsid w:val="3E6B790F"/>
    <w:rsid w:val="3E7512D1"/>
    <w:rsid w:val="3E774506"/>
    <w:rsid w:val="3E8168DD"/>
    <w:rsid w:val="3E833FCF"/>
    <w:rsid w:val="3E8C212D"/>
    <w:rsid w:val="3E92283C"/>
    <w:rsid w:val="3E952BDE"/>
    <w:rsid w:val="3E9926CE"/>
    <w:rsid w:val="3E9B4698"/>
    <w:rsid w:val="3EA15020"/>
    <w:rsid w:val="3EA572C5"/>
    <w:rsid w:val="3EAA16DD"/>
    <w:rsid w:val="3EAE5A4E"/>
    <w:rsid w:val="3EAF2D25"/>
    <w:rsid w:val="3EB62F71"/>
    <w:rsid w:val="3EBA43F3"/>
    <w:rsid w:val="3EBC2E9F"/>
    <w:rsid w:val="3EBD28FC"/>
    <w:rsid w:val="3EBE2135"/>
    <w:rsid w:val="3EC14A41"/>
    <w:rsid w:val="3EC6070F"/>
    <w:rsid w:val="3EC60FE9"/>
    <w:rsid w:val="3EC6723B"/>
    <w:rsid w:val="3ECB0A8C"/>
    <w:rsid w:val="3ECE110E"/>
    <w:rsid w:val="3ED03C16"/>
    <w:rsid w:val="3ED86AC7"/>
    <w:rsid w:val="3EDA0523"/>
    <w:rsid w:val="3EE65CBF"/>
    <w:rsid w:val="3EE73740"/>
    <w:rsid w:val="3EE8492E"/>
    <w:rsid w:val="3EF26282"/>
    <w:rsid w:val="3EF5367D"/>
    <w:rsid w:val="3EF617FB"/>
    <w:rsid w:val="3EF71B45"/>
    <w:rsid w:val="3F0355EF"/>
    <w:rsid w:val="3F0F346C"/>
    <w:rsid w:val="3F104BA9"/>
    <w:rsid w:val="3F132476"/>
    <w:rsid w:val="3F19380F"/>
    <w:rsid w:val="3F1A2A0D"/>
    <w:rsid w:val="3F1B7587"/>
    <w:rsid w:val="3F1F5199"/>
    <w:rsid w:val="3F2830F9"/>
    <w:rsid w:val="3F2C130C"/>
    <w:rsid w:val="3F2D4CD5"/>
    <w:rsid w:val="3F306D25"/>
    <w:rsid w:val="3F433A5A"/>
    <w:rsid w:val="3F4347D5"/>
    <w:rsid w:val="3F450160"/>
    <w:rsid w:val="3F4E2026"/>
    <w:rsid w:val="3F584337"/>
    <w:rsid w:val="3F595EAF"/>
    <w:rsid w:val="3F5C76FF"/>
    <w:rsid w:val="3F5C78B4"/>
    <w:rsid w:val="3F5D194E"/>
    <w:rsid w:val="3F632CDC"/>
    <w:rsid w:val="3F634A8A"/>
    <w:rsid w:val="3F6A5E19"/>
    <w:rsid w:val="3F6D1D26"/>
    <w:rsid w:val="3F744629"/>
    <w:rsid w:val="3F7520AA"/>
    <w:rsid w:val="3F757858"/>
    <w:rsid w:val="3F770A3D"/>
    <w:rsid w:val="3F85098C"/>
    <w:rsid w:val="3F8B424E"/>
    <w:rsid w:val="3F903F59"/>
    <w:rsid w:val="3F9133A5"/>
    <w:rsid w:val="3F934A87"/>
    <w:rsid w:val="3F9C67EE"/>
    <w:rsid w:val="3F9D450B"/>
    <w:rsid w:val="3F9E0000"/>
    <w:rsid w:val="3F9E326F"/>
    <w:rsid w:val="3FA42F82"/>
    <w:rsid w:val="3FA51CB3"/>
    <w:rsid w:val="3FA62662"/>
    <w:rsid w:val="3FB44AD4"/>
    <w:rsid w:val="3FB558BF"/>
    <w:rsid w:val="3FB96101"/>
    <w:rsid w:val="3FC2057E"/>
    <w:rsid w:val="3FD249E5"/>
    <w:rsid w:val="3FD30B2E"/>
    <w:rsid w:val="3FE16D38"/>
    <w:rsid w:val="3FE23C01"/>
    <w:rsid w:val="3FE7577B"/>
    <w:rsid w:val="3FEE25A6"/>
    <w:rsid w:val="3FEE64F1"/>
    <w:rsid w:val="3FEE6A4A"/>
    <w:rsid w:val="3FF638FD"/>
    <w:rsid w:val="3FF658FE"/>
    <w:rsid w:val="3FF67181"/>
    <w:rsid w:val="3FFA0F4B"/>
    <w:rsid w:val="3FFF2A05"/>
    <w:rsid w:val="40004E92"/>
    <w:rsid w:val="400242A3"/>
    <w:rsid w:val="40197335"/>
    <w:rsid w:val="401C35B7"/>
    <w:rsid w:val="40250D1A"/>
    <w:rsid w:val="40261ECE"/>
    <w:rsid w:val="402978A4"/>
    <w:rsid w:val="402D25AD"/>
    <w:rsid w:val="40343568"/>
    <w:rsid w:val="403B0335"/>
    <w:rsid w:val="403E2FEC"/>
    <w:rsid w:val="40413A51"/>
    <w:rsid w:val="40425F7B"/>
    <w:rsid w:val="4044604D"/>
    <w:rsid w:val="4050004D"/>
    <w:rsid w:val="40554F9C"/>
    <w:rsid w:val="4057269D"/>
    <w:rsid w:val="40580367"/>
    <w:rsid w:val="40596D74"/>
    <w:rsid w:val="405A774E"/>
    <w:rsid w:val="405D441D"/>
    <w:rsid w:val="405F2FA3"/>
    <w:rsid w:val="40630F8D"/>
    <w:rsid w:val="406A5E3B"/>
    <w:rsid w:val="40704A37"/>
    <w:rsid w:val="4070745F"/>
    <w:rsid w:val="40722652"/>
    <w:rsid w:val="407351B3"/>
    <w:rsid w:val="40764E14"/>
    <w:rsid w:val="40774C91"/>
    <w:rsid w:val="40784565"/>
    <w:rsid w:val="4079618D"/>
    <w:rsid w:val="407A208B"/>
    <w:rsid w:val="407A6407"/>
    <w:rsid w:val="407B1C4F"/>
    <w:rsid w:val="407D5EA9"/>
    <w:rsid w:val="407F1BFB"/>
    <w:rsid w:val="408056BB"/>
    <w:rsid w:val="40830988"/>
    <w:rsid w:val="40843D3F"/>
    <w:rsid w:val="40980764"/>
    <w:rsid w:val="409A0980"/>
    <w:rsid w:val="40A435AC"/>
    <w:rsid w:val="40A8309D"/>
    <w:rsid w:val="40AA19AE"/>
    <w:rsid w:val="40B00C26"/>
    <w:rsid w:val="40B27740"/>
    <w:rsid w:val="40B732E0"/>
    <w:rsid w:val="40B7360A"/>
    <w:rsid w:val="40BA66CD"/>
    <w:rsid w:val="40BA692C"/>
    <w:rsid w:val="40C17CBA"/>
    <w:rsid w:val="40C21D4C"/>
    <w:rsid w:val="40C33A32"/>
    <w:rsid w:val="40C81736"/>
    <w:rsid w:val="40C90EAA"/>
    <w:rsid w:val="40C913D4"/>
    <w:rsid w:val="40D23C76"/>
    <w:rsid w:val="40D24EFC"/>
    <w:rsid w:val="40D40AD0"/>
    <w:rsid w:val="40D62FCA"/>
    <w:rsid w:val="40E4515D"/>
    <w:rsid w:val="40ED32DF"/>
    <w:rsid w:val="40F46B54"/>
    <w:rsid w:val="40F65079"/>
    <w:rsid w:val="40FA572A"/>
    <w:rsid w:val="40FB0537"/>
    <w:rsid w:val="4100432A"/>
    <w:rsid w:val="41012622"/>
    <w:rsid w:val="41091CFF"/>
    <w:rsid w:val="411E6BE3"/>
    <w:rsid w:val="411F7EE8"/>
    <w:rsid w:val="41284F74"/>
    <w:rsid w:val="412D686F"/>
    <w:rsid w:val="412F0F7D"/>
    <w:rsid w:val="41322966"/>
    <w:rsid w:val="41336B88"/>
    <w:rsid w:val="41390524"/>
    <w:rsid w:val="413C37E5"/>
    <w:rsid w:val="413E6D3C"/>
    <w:rsid w:val="41485AB3"/>
    <w:rsid w:val="41536A5A"/>
    <w:rsid w:val="41545805"/>
    <w:rsid w:val="41572C26"/>
    <w:rsid w:val="415732DC"/>
    <w:rsid w:val="415901C6"/>
    <w:rsid w:val="415C59E7"/>
    <w:rsid w:val="41646408"/>
    <w:rsid w:val="41676AB4"/>
    <w:rsid w:val="416A5F0A"/>
    <w:rsid w:val="416C39BC"/>
    <w:rsid w:val="416D1BF0"/>
    <w:rsid w:val="41733FD7"/>
    <w:rsid w:val="417C1E33"/>
    <w:rsid w:val="41801E32"/>
    <w:rsid w:val="418036D2"/>
    <w:rsid w:val="4181639C"/>
    <w:rsid w:val="418307B3"/>
    <w:rsid w:val="41847666"/>
    <w:rsid w:val="418532EA"/>
    <w:rsid w:val="418D5DEE"/>
    <w:rsid w:val="418F7DB9"/>
    <w:rsid w:val="41932BA9"/>
    <w:rsid w:val="41954E34"/>
    <w:rsid w:val="41975BD6"/>
    <w:rsid w:val="41994793"/>
    <w:rsid w:val="419B52F9"/>
    <w:rsid w:val="419C4335"/>
    <w:rsid w:val="41A171BC"/>
    <w:rsid w:val="41A24CB0"/>
    <w:rsid w:val="41A33B98"/>
    <w:rsid w:val="41A33F03"/>
    <w:rsid w:val="41A7268E"/>
    <w:rsid w:val="41A8516E"/>
    <w:rsid w:val="41AE46E3"/>
    <w:rsid w:val="41AF6845"/>
    <w:rsid w:val="41B4781F"/>
    <w:rsid w:val="41B63597"/>
    <w:rsid w:val="41B65954"/>
    <w:rsid w:val="41C2018E"/>
    <w:rsid w:val="41C51F3F"/>
    <w:rsid w:val="41C7590A"/>
    <w:rsid w:val="41C95079"/>
    <w:rsid w:val="41CF4659"/>
    <w:rsid w:val="41D349E5"/>
    <w:rsid w:val="41DB6DDA"/>
    <w:rsid w:val="41DE379E"/>
    <w:rsid w:val="41E06264"/>
    <w:rsid w:val="41E14722"/>
    <w:rsid w:val="41E21304"/>
    <w:rsid w:val="41E27AF9"/>
    <w:rsid w:val="41E55C2A"/>
    <w:rsid w:val="41EB681A"/>
    <w:rsid w:val="41EC7387"/>
    <w:rsid w:val="41F77652"/>
    <w:rsid w:val="41FE3CD2"/>
    <w:rsid w:val="41FF4F3E"/>
    <w:rsid w:val="4200449D"/>
    <w:rsid w:val="420641FD"/>
    <w:rsid w:val="420A6797"/>
    <w:rsid w:val="42111E62"/>
    <w:rsid w:val="42145E76"/>
    <w:rsid w:val="42176CD4"/>
    <w:rsid w:val="421901A8"/>
    <w:rsid w:val="421F113C"/>
    <w:rsid w:val="421F738E"/>
    <w:rsid w:val="42287095"/>
    <w:rsid w:val="422A4836"/>
    <w:rsid w:val="42334885"/>
    <w:rsid w:val="42334BE8"/>
    <w:rsid w:val="4235280B"/>
    <w:rsid w:val="423A3BCC"/>
    <w:rsid w:val="42402E61"/>
    <w:rsid w:val="4242307D"/>
    <w:rsid w:val="42461C3A"/>
    <w:rsid w:val="424E02AD"/>
    <w:rsid w:val="424E57D2"/>
    <w:rsid w:val="426258BF"/>
    <w:rsid w:val="426351F5"/>
    <w:rsid w:val="42707BEA"/>
    <w:rsid w:val="42724929"/>
    <w:rsid w:val="42764C16"/>
    <w:rsid w:val="42770F78"/>
    <w:rsid w:val="42796B56"/>
    <w:rsid w:val="427C72C7"/>
    <w:rsid w:val="427D0CCE"/>
    <w:rsid w:val="4280593C"/>
    <w:rsid w:val="42847921"/>
    <w:rsid w:val="42861CE4"/>
    <w:rsid w:val="42876CE2"/>
    <w:rsid w:val="428A2D72"/>
    <w:rsid w:val="428B2688"/>
    <w:rsid w:val="428C475C"/>
    <w:rsid w:val="428C5620"/>
    <w:rsid w:val="428D254A"/>
    <w:rsid w:val="428D7B68"/>
    <w:rsid w:val="428E32D4"/>
    <w:rsid w:val="429566D2"/>
    <w:rsid w:val="429A4C67"/>
    <w:rsid w:val="42A67168"/>
    <w:rsid w:val="42A950BB"/>
    <w:rsid w:val="42AD50EE"/>
    <w:rsid w:val="42B06238"/>
    <w:rsid w:val="42B26C49"/>
    <w:rsid w:val="42B37AD7"/>
    <w:rsid w:val="42B51B98"/>
    <w:rsid w:val="42B95ACD"/>
    <w:rsid w:val="42BB570A"/>
    <w:rsid w:val="42BF39C1"/>
    <w:rsid w:val="42CA554C"/>
    <w:rsid w:val="42CD0EA8"/>
    <w:rsid w:val="42D45294"/>
    <w:rsid w:val="42D60722"/>
    <w:rsid w:val="42E3216A"/>
    <w:rsid w:val="42E346A1"/>
    <w:rsid w:val="42E365EE"/>
    <w:rsid w:val="42E859D2"/>
    <w:rsid w:val="42EA174A"/>
    <w:rsid w:val="43003087"/>
    <w:rsid w:val="43030A5E"/>
    <w:rsid w:val="430F476C"/>
    <w:rsid w:val="430F4FD8"/>
    <w:rsid w:val="43105F3B"/>
    <w:rsid w:val="431274B4"/>
    <w:rsid w:val="43150313"/>
    <w:rsid w:val="43192030"/>
    <w:rsid w:val="43210CDB"/>
    <w:rsid w:val="43212240"/>
    <w:rsid w:val="43217283"/>
    <w:rsid w:val="432A3781"/>
    <w:rsid w:val="432B35CB"/>
    <w:rsid w:val="432E265D"/>
    <w:rsid w:val="43365B6E"/>
    <w:rsid w:val="433A6FE6"/>
    <w:rsid w:val="43454BD3"/>
    <w:rsid w:val="43480868"/>
    <w:rsid w:val="434C1C7B"/>
    <w:rsid w:val="4350713C"/>
    <w:rsid w:val="435B3CBE"/>
    <w:rsid w:val="435D4EAD"/>
    <w:rsid w:val="43617533"/>
    <w:rsid w:val="436337CE"/>
    <w:rsid w:val="436612A5"/>
    <w:rsid w:val="436653E0"/>
    <w:rsid w:val="436C1C33"/>
    <w:rsid w:val="43721740"/>
    <w:rsid w:val="43737490"/>
    <w:rsid w:val="43790D20"/>
    <w:rsid w:val="437F1D8F"/>
    <w:rsid w:val="43811E23"/>
    <w:rsid w:val="43884ABF"/>
    <w:rsid w:val="438A6CDC"/>
    <w:rsid w:val="438C790B"/>
    <w:rsid w:val="438D20D6"/>
    <w:rsid w:val="43903853"/>
    <w:rsid w:val="439508F1"/>
    <w:rsid w:val="43A65530"/>
    <w:rsid w:val="43AC0629"/>
    <w:rsid w:val="43AE78AB"/>
    <w:rsid w:val="43B72C56"/>
    <w:rsid w:val="43B753A5"/>
    <w:rsid w:val="43BF1735"/>
    <w:rsid w:val="43C15F14"/>
    <w:rsid w:val="43C4431A"/>
    <w:rsid w:val="43CE2E1A"/>
    <w:rsid w:val="43CE4E0C"/>
    <w:rsid w:val="43DE482C"/>
    <w:rsid w:val="43E50447"/>
    <w:rsid w:val="43E901E7"/>
    <w:rsid w:val="43EA0B03"/>
    <w:rsid w:val="43EB1B46"/>
    <w:rsid w:val="43EC14F2"/>
    <w:rsid w:val="43EE12FB"/>
    <w:rsid w:val="43F32EA9"/>
    <w:rsid w:val="43F4011A"/>
    <w:rsid w:val="43FA2168"/>
    <w:rsid w:val="43FC6FC6"/>
    <w:rsid w:val="43FD3798"/>
    <w:rsid w:val="44027C20"/>
    <w:rsid w:val="44173EC7"/>
    <w:rsid w:val="441A154C"/>
    <w:rsid w:val="441B3B85"/>
    <w:rsid w:val="441F4394"/>
    <w:rsid w:val="44283AC1"/>
    <w:rsid w:val="44284660"/>
    <w:rsid w:val="442C1630"/>
    <w:rsid w:val="443B107F"/>
    <w:rsid w:val="443C2A7C"/>
    <w:rsid w:val="44450C02"/>
    <w:rsid w:val="444E3E15"/>
    <w:rsid w:val="44522184"/>
    <w:rsid w:val="445A46AE"/>
    <w:rsid w:val="445B4E7C"/>
    <w:rsid w:val="446A1BCE"/>
    <w:rsid w:val="446D6703"/>
    <w:rsid w:val="447031FA"/>
    <w:rsid w:val="4471603A"/>
    <w:rsid w:val="447211D8"/>
    <w:rsid w:val="4473520F"/>
    <w:rsid w:val="447500EF"/>
    <w:rsid w:val="44777ED7"/>
    <w:rsid w:val="447C7F33"/>
    <w:rsid w:val="447D6881"/>
    <w:rsid w:val="447F2366"/>
    <w:rsid w:val="44882904"/>
    <w:rsid w:val="448C1D82"/>
    <w:rsid w:val="448C3955"/>
    <w:rsid w:val="449000D0"/>
    <w:rsid w:val="44911354"/>
    <w:rsid w:val="44913E48"/>
    <w:rsid w:val="44962692"/>
    <w:rsid w:val="449649FB"/>
    <w:rsid w:val="44A57033"/>
    <w:rsid w:val="44A744A4"/>
    <w:rsid w:val="44AB453E"/>
    <w:rsid w:val="44AB666E"/>
    <w:rsid w:val="44AC1A15"/>
    <w:rsid w:val="44AF7030"/>
    <w:rsid w:val="44B860D9"/>
    <w:rsid w:val="44B951CC"/>
    <w:rsid w:val="44B96AB4"/>
    <w:rsid w:val="44BF2763"/>
    <w:rsid w:val="44BF5846"/>
    <w:rsid w:val="44C241A2"/>
    <w:rsid w:val="44C3067C"/>
    <w:rsid w:val="44C63AF1"/>
    <w:rsid w:val="44CD14E0"/>
    <w:rsid w:val="44D66CFF"/>
    <w:rsid w:val="44E03839"/>
    <w:rsid w:val="44EA1BDA"/>
    <w:rsid w:val="44F20B0B"/>
    <w:rsid w:val="44F63EA4"/>
    <w:rsid w:val="44F71434"/>
    <w:rsid w:val="44F74ACF"/>
    <w:rsid w:val="45006C2A"/>
    <w:rsid w:val="45120AE5"/>
    <w:rsid w:val="45141DD1"/>
    <w:rsid w:val="45156827"/>
    <w:rsid w:val="45176708"/>
    <w:rsid w:val="45196317"/>
    <w:rsid w:val="452120BB"/>
    <w:rsid w:val="452151CC"/>
    <w:rsid w:val="452B7DF8"/>
    <w:rsid w:val="452E5F4C"/>
    <w:rsid w:val="452F78E8"/>
    <w:rsid w:val="45322F35"/>
    <w:rsid w:val="45366C08"/>
    <w:rsid w:val="4537102D"/>
    <w:rsid w:val="453A628D"/>
    <w:rsid w:val="454347E2"/>
    <w:rsid w:val="454D7C42"/>
    <w:rsid w:val="4550160D"/>
    <w:rsid w:val="45505343"/>
    <w:rsid w:val="4554273F"/>
    <w:rsid w:val="455E01CE"/>
    <w:rsid w:val="455E3D2A"/>
    <w:rsid w:val="45612018"/>
    <w:rsid w:val="45634BB1"/>
    <w:rsid w:val="4565155C"/>
    <w:rsid w:val="457412D9"/>
    <w:rsid w:val="45801ED6"/>
    <w:rsid w:val="458946E9"/>
    <w:rsid w:val="458D5460"/>
    <w:rsid w:val="45900801"/>
    <w:rsid w:val="459267E2"/>
    <w:rsid w:val="459F70F8"/>
    <w:rsid w:val="45A16D05"/>
    <w:rsid w:val="45A47C0E"/>
    <w:rsid w:val="45AB5068"/>
    <w:rsid w:val="45AE315F"/>
    <w:rsid w:val="45AE4881"/>
    <w:rsid w:val="45BC54BB"/>
    <w:rsid w:val="45C134FB"/>
    <w:rsid w:val="45C5024D"/>
    <w:rsid w:val="45C50DEF"/>
    <w:rsid w:val="45C6385F"/>
    <w:rsid w:val="45C7444D"/>
    <w:rsid w:val="45CA7AAB"/>
    <w:rsid w:val="45D36751"/>
    <w:rsid w:val="45D71243"/>
    <w:rsid w:val="45E200A9"/>
    <w:rsid w:val="45E306D3"/>
    <w:rsid w:val="45E5397D"/>
    <w:rsid w:val="45E61A88"/>
    <w:rsid w:val="45F0744B"/>
    <w:rsid w:val="45F27B9E"/>
    <w:rsid w:val="45F96148"/>
    <w:rsid w:val="45FD6761"/>
    <w:rsid w:val="460237E1"/>
    <w:rsid w:val="460348D1"/>
    <w:rsid w:val="4607616F"/>
    <w:rsid w:val="46084EAD"/>
    <w:rsid w:val="46102858"/>
    <w:rsid w:val="46103B49"/>
    <w:rsid w:val="46160AA8"/>
    <w:rsid w:val="461B7E6D"/>
    <w:rsid w:val="4622764B"/>
    <w:rsid w:val="462E5DF2"/>
    <w:rsid w:val="462F5277"/>
    <w:rsid w:val="463F4088"/>
    <w:rsid w:val="464B2FDE"/>
    <w:rsid w:val="464C1EC6"/>
    <w:rsid w:val="464F0AEA"/>
    <w:rsid w:val="46534F71"/>
    <w:rsid w:val="465700F4"/>
    <w:rsid w:val="46577FD6"/>
    <w:rsid w:val="46582153"/>
    <w:rsid w:val="465950E5"/>
    <w:rsid w:val="465D24C1"/>
    <w:rsid w:val="465E3B36"/>
    <w:rsid w:val="466730B2"/>
    <w:rsid w:val="46674E60"/>
    <w:rsid w:val="46694C00"/>
    <w:rsid w:val="4670640B"/>
    <w:rsid w:val="46755232"/>
    <w:rsid w:val="46786335"/>
    <w:rsid w:val="46797035"/>
    <w:rsid w:val="467C28B2"/>
    <w:rsid w:val="467C2B9E"/>
    <w:rsid w:val="46816D3A"/>
    <w:rsid w:val="4682042B"/>
    <w:rsid w:val="468E61A0"/>
    <w:rsid w:val="468F19EB"/>
    <w:rsid w:val="469278E5"/>
    <w:rsid w:val="46940620"/>
    <w:rsid w:val="46942157"/>
    <w:rsid w:val="469A6FE4"/>
    <w:rsid w:val="469C5642"/>
    <w:rsid w:val="469F284C"/>
    <w:rsid w:val="46A2731E"/>
    <w:rsid w:val="46AA2F9F"/>
    <w:rsid w:val="46AB7443"/>
    <w:rsid w:val="46AE6F33"/>
    <w:rsid w:val="46B1432D"/>
    <w:rsid w:val="46B67B95"/>
    <w:rsid w:val="46C40504"/>
    <w:rsid w:val="46C61A2D"/>
    <w:rsid w:val="46CB3641"/>
    <w:rsid w:val="46CD624D"/>
    <w:rsid w:val="46D544C0"/>
    <w:rsid w:val="46D5626E"/>
    <w:rsid w:val="46D955A7"/>
    <w:rsid w:val="46DA7D28"/>
    <w:rsid w:val="46DE0CEF"/>
    <w:rsid w:val="46E841F3"/>
    <w:rsid w:val="46EA58B1"/>
    <w:rsid w:val="46EE37D3"/>
    <w:rsid w:val="46F012F9"/>
    <w:rsid w:val="46F25D74"/>
    <w:rsid w:val="46FA2178"/>
    <w:rsid w:val="46FD088A"/>
    <w:rsid w:val="46FD4105"/>
    <w:rsid w:val="47022DDB"/>
    <w:rsid w:val="47056F93"/>
    <w:rsid w:val="4708179D"/>
    <w:rsid w:val="470A0E1B"/>
    <w:rsid w:val="4711569F"/>
    <w:rsid w:val="47133957"/>
    <w:rsid w:val="47150D60"/>
    <w:rsid w:val="4718528B"/>
    <w:rsid w:val="47200FB2"/>
    <w:rsid w:val="47241DC7"/>
    <w:rsid w:val="472468C3"/>
    <w:rsid w:val="47282841"/>
    <w:rsid w:val="47283EBB"/>
    <w:rsid w:val="47291919"/>
    <w:rsid w:val="472965B9"/>
    <w:rsid w:val="4730617B"/>
    <w:rsid w:val="473332BC"/>
    <w:rsid w:val="473A2575"/>
    <w:rsid w:val="473E754B"/>
    <w:rsid w:val="473F5E74"/>
    <w:rsid w:val="47480D31"/>
    <w:rsid w:val="474A6558"/>
    <w:rsid w:val="474C4D82"/>
    <w:rsid w:val="474C71FC"/>
    <w:rsid w:val="4750714C"/>
    <w:rsid w:val="4751434B"/>
    <w:rsid w:val="475A2C17"/>
    <w:rsid w:val="47655843"/>
    <w:rsid w:val="476A6CB8"/>
    <w:rsid w:val="476B0980"/>
    <w:rsid w:val="476B2262"/>
    <w:rsid w:val="47743CD8"/>
    <w:rsid w:val="47774056"/>
    <w:rsid w:val="477C493B"/>
    <w:rsid w:val="477E0A07"/>
    <w:rsid w:val="477F442B"/>
    <w:rsid w:val="47812160"/>
    <w:rsid w:val="478430E5"/>
    <w:rsid w:val="478557D4"/>
    <w:rsid w:val="47876268"/>
    <w:rsid w:val="478D4D9A"/>
    <w:rsid w:val="47906638"/>
    <w:rsid w:val="47975C19"/>
    <w:rsid w:val="479A761A"/>
    <w:rsid w:val="479E7E1F"/>
    <w:rsid w:val="47A07E0C"/>
    <w:rsid w:val="47A913B5"/>
    <w:rsid w:val="47AB5220"/>
    <w:rsid w:val="47AD4F03"/>
    <w:rsid w:val="47AF4D11"/>
    <w:rsid w:val="47B1162A"/>
    <w:rsid w:val="47B2292F"/>
    <w:rsid w:val="47BA4746"/>
    <w:rsid w:val="47BD6A22"/>
    <w:rsid w:val="47C167F2"/>
    <w:rsid w:val="47C32F55"/>
    <w:rsid w:val="47C65743"/>
    <w:rsid w:val="47C737CE"/>
    <w:rsid w:val="47CF7161"/>
    <w:rsid w:val="47D604EF"/>
    <w:rsid w:val="47DE7578"/>
    <w:rsid w:val="47E250E6"/>
    <w:rsid w:val="47E334DF"/>
    <w:rsid w:val="47EE7652"/>
    <w:rsid w:val="47F06A69"/>
    <w:rsid w:val="47F15329"/>
    <w:rsid w:val="47F36533"/>
    <w:rsid w:val="47F40975"/>
    <w:rsid w:val="47F72214"/>
    <w:rsid w:val="47FB2640"/>
    <w:rsid w:val="47FE7A46"/>
    <w:rsid w:val="47FF7530"/>
    <w:rsid w:val="48013FEC"/>
    <w:rsid w:val="48096AF9"/>
    <w:rsid w:val="480C0D42"/>
    <w:rsid w:val="480C42AF"/>
    <w:rsid w:val="480D2FE1"/>
    <w:rsid w:val="480F1C53"/>
    <w:rsid w:val="481069C5"/>
    <w:rsid w:val="481203CA"/>
    <w:rsid w:val="48135CD5"/>
    <w:rsid w:val="48143DF1"/>
    <w:rsid w:val="48147089"/>
    <w:rsid w:val="48194880"/>
    <w:rsid w:val="481B604A"/>
    <w:rsid w:val="481E1E96"/>
    <w:rsid w:val="481F412C"/>
    <w:rsid w:val="48210C25"/>
    <w:rsid w:val="482467A5"/>
    <w:rsid w:val="4826016A"/>
    <w:rsid w:val="48260364"/>
    <w:rsid w:val="4826706B"/>
    <w:rsid w:val="482C6963"/>
    <w:rsid w:val="48382F58"/>
    <w:rsid w:val="483B0352"/>
    <w:rsid w:val="483B2A48"/>
    <w:rsid w:val="483D087E"/>
    <w:rsid w:val="483D4A92"/>
    <w:rsid w:val="48410F19"/>
    <w:rsid w:val="48483AD3"/>
    <w:rsid w:val="484B6BDE"/>
    <w:rsid w:val="484F3B1B"/>
    <w:rsid w:val="485252C5"/>
    <w:rsid w:val="48553943"/>
    <w:rsid w:val="485745AA"/>
    <w:rsid w:val="48577D5B"/>
    <w:rsid w:val="48585503"/>
    <w:rsid w:val="485F60A2"/>
    <w:rsid w:val="48632753"/>
    <w:rsid w:val="4870272E"/>
    <w:rsid w:val="48703FE7"/>
    <w:rsid w:val="4873378B"/>
    <w:rsid w:val="487560EB"/>
    <w:rsid w:val="487B5A68"/>
    <w:rsid w:val="487E50B2"/>
    <w:rsid w:val="48843435"/>
    <w:rsid w:val="48894D7A"/>
    <w:rsid w:val="488A3088"/>
    <w:rsid w:val="488E257D"/>
    <w:rsid w:val="489266CB"/>
    <w:rsid w:val="48930205"/>
    <w:rsid w:val="48940C70"/>
    <w:rsid w:val="48987CCA"/>
    <w:rsid w:val="489932CB"/>
    <w:rsid w:val="489C27BC"/>
    <w:rsid w:val="48A01213"/>
    <w:rsid w:val="48A15B88"/>
    <w:rsid w:val="48A51C70"/>
    <w:rsid w:val="48AC1250"/>
    <w:rsid w:val="48AC74A2"/>
    <w:rsid w:val="48AE321A"/>
    <w:rsid w:val="48AE53DE"/>
    <w:rsid w:val="48AE65BB"/>
    <w:rsid w:val="48B06F92"/>
    <w:rsid w:val="48B06FCF"/>
    <w:rsid w:val="48C42A3E"/>
    <w:rsid w:val="48C540C0"/>
    <w:rsid w:val="48C63F93"/>
    <w:rsid w:val="48CB07F4"/>
    <w:rsid w:val="48CB0B60"/>
    <w:rsid w:val="48CC544E"/>
    <w:rsid w:val="48CF1AAF"/>
    <w:rsid w:val="48D2515B"/>
    <w:rsid w:val="48D34A2F"/>
    <w:rsid w:val="48D43A0A"/>
    <w:rsid w:val="48D6398B"/>
    <w:rsid w:val="48DA2FD2"/>
    <w:rsid w:val="48DA4F01"/>
    <w:rsid w:val="48DE6819"/>
    <w:rsid w:val="48E1372A"/>
    <w:rsid w:val="48E25F7F"/>
    <w:rsid w:val="48E3695A"/>
    <w:rsid w:val="48E91EBC"/>
    <w:rsid w:val="48F3252A"/>
    <w:rsid w:val="48F32FE7"/>
    <w:rsid w:val="48F644C0"/>
    <w:rsid w:val="48F778B5"/>
    <w:rsid w:val="48FD5F50"/>
    <w:rsid w:val="49057251"/>
    <w:rsid w:val="490715C7"/>
    <w:rsid w:val="49190F7D"/>
    <w:rsid w:val="491B1F01"/>
    <w:rsid w:val="491D214E"/>
    <w:rsid w:val="4923585E"/>
    <w:rsid w:val="492360B3"/>
    <w:rsid w:val="49260006"/>
    <w:rsid w:val="49271743"/>
    <w:rsid w:val="49282FCC"/>
    <w:rsid w:val="49296D45"/>
    <w:rsid w:val="492C7C19"/>
    <w:rsid w:val="492F386E"/>
    <w:rsid w:val="493203A6"/>
    <w:rsid w:val="49357497"/>
    <w:rsid w:val="493A4AAE"/>
    <w:rsid w:val="493A685C"/>
    <w:rsid w:val="49470F79"/>
    <w:rsid w:val="494E51AB"/>
    <w:rsid w:val="494E5881"/>
    <w:rsid w:val="4953087E"/>
    <w:rsid w:val="49547006"/>
    <w:rsid w:val="4955299C"/>
    <w:rsid w:val="495D77D3"/>
    <w:rsid w:val="496C1203"/>
    <w:rsid w:val="496D2C05"/>
    <w:rsid w:val="49795539"/>
    <w:rsid w:val="49824086"/>
    <w:rsid w:val="498C3781"/>
    <w:rsid w:val="499E686A"/>
    <w:rsid w:val="49A56155"/>
    <w:rsid w:val="49AE2DA6"/>
    <w:rsid w:val="49AF4E76"/>
    <w:rsid w:val="49B26BE7"/>
    <w:rsid w:val="49B52386"/>
    <w:rsid w:val="49B900C8"/>
    <w:rsid w:val="49C23456"/>
    <w:rsid w:val="49C74598"/>
    <w:rsid w:val="49CD147E"/>
    <w:rsid w:val="49D1292A"/>
    <w:rsid w:val="49D40A5E"/>
    <w:rsid w:val="49D51330"/>
    <w:rsid w:val="49D767A1"/>
    <w:rsid w:val="49D95D6A"/>
    <w:rsid w:val="49DC7715"/>
    <w:rsid w:val="49DE18DD"/>
    <w:rsid w:val="49E86ADC"/>
    <w:rsid w:val="49EA5378"/>
    <w:rsid w:val="49ED7F9F"/>
    <w:rsid w:val="49F26522"/>
    <w:rsid w:val="49F509D5"/>
    <w:rsid w:val="49F70BF1"/>
    <w:rsid w:val="49F84D68"/>
    <w:rsid w:val="49F93B05"/>
    <w:rsid w:val="49FB248F"/>
    <w:rsid w:val="4A020EFA"/>
    <w:rsid w:val="4A023139"/>
    <w:rsid w:val="4A0A6FCF"/>
    <w:rsid w:val="4A0D5D1E"/>
    <w:rsid w:val="4A161077"/>
    <w:rsid w:val="4A1B1AA4"/>
    <w:rsid w:val="4A1B668D"/>
    <w:rsid w:val="4A201EF6"/>
    <w:rsid w:val="4A225C6E"/>
    <w:rsid w:val="4A240477"/>
    <w:rsid w:val="4A271167"/>
    <w:rsid w:val="4A28056F"/>
    <w:rsid w:val="4A2A7F92"/>
    <w:rsid w:val="4A2C2648"/>
    <w:rsid w:val="4A30015B"/>
    <w:rsid w:val="4A34714B"/>
    <w:rsid w:val="4A365275"/>
    <w:rsid w:val="4A372B97"/>
    <w:rsid w:val="4A372D9B"/>
    <w:rsid w:val="4A394D65"/>
    <w:rsid w:val="4A3B288C"/>
    <w:rsid w:val="4A3E5330"/>
    <w:rsid w:val="4A4449A1"/>
    <w:rsid w:val="4A445DB6"/>
    <w:rsid w:val="4A471230"/>
    <w:rsid w:val="4A4B25F3"/>
    <w:rsid w:val="4A4E36E4"/>
    <w:rsid w:val="4A556883"/>
    <w:rsid w:val="4A5C2802"/>
    <w:rsid w:val="4A5D424D"/>
    <w:rsid w:val="4A613290"/>
    <w:rsid w:val="4A617BB2"/>
    <w:rsid w:val="4A634417"/>
    <w:rsid w:val="4A65319D"/>
    <w:rsid w:val="4A7162AD"/>
    <w:rsid w:val="4A716A7E"/>
    <w:rsid w:val="4A755582"/>
    <w:rsid w:val="4A756F9E"/>
    <w:rsid w:val="4A761B16"/>
    <w:rsid w:val="4A7B576F"/>
    <w:rsid w:val="4A800BE6"/>
    <w:rsid w:val="4A804742"/>
    <w:rsid w:val="4A93759F"/>
    <w:rsid w:val="4A9D109A"/>
    <w:rsid w:val="4A9D2AB4"/>
    <w:rsid w:val="4A9D3546"/>
    <w:rsid w:val="4A9D48C2"/>
    <w:rsid w:val="4AA246B9"/>
    <w:rsid w:val="4AB61684"/>
    <w:rsid w:val="4AB66F1E"/>
    <w:rsid w:val="4AB84995"/>
    <w:rsid w:val="4AB90145"/>
    <w:rsid w:val="4ABA1BC3"/>
    <w:rsid w:val="4ABD5821"/>
    <w:rsid w:val="4AC22EF1"/>
    <w:rsid w:val="4AC72E43"/>
    <w:rsid w:val="4AD557D5"/>
    <w:rsid w:val="4AD664EA"/>
    <w:rsid w:val="4AD77AF3"/>
    <w:rsid w:val="4ADC53EB"/>
    <w:rsid w:val="4ADD3943"/>
    <w:rsid w:val="4ADD62DF"/>
    <w:rsid w:val="4ADF4067"/>
    <w:rsid w:val="4ADF520B"/>
    <w:rsid w:val="4AE15816"/>
    <w:rsid w:val="4AE47DFD"/>
    <w:rsid w:val="4AE567C4"/>
    <w:rsid w:val="4AF561A9"/>
    <w:rsid w:val="4AFB62F3"/>
    <w:rsid w:val="4B0435C5"/>
    <w:rsid w:val="4B0574A3"/>
    <w:rsid w:val="4B094738"/>
    <w:rsid w:val="4B0A4FD7"/>
    <w:rsid w:val="4B0E369D"/>
    <w:rsid w:val="4B0F08E7"/>
    <w:rsid w:val="4B141BD8"/>
    <w:rsid w:val="4B143967"/>
    <w:rsid w:val="4B154342"/>
    <w:rsid w:val="4B18166A"/>
    <w:rsid w:val="4B187071"/>
    <w:rsid w:val="4B1A3180"/>
    <w:rsid w:val="4B245A16"/>
    <w:rsid w:val="4B261383"/>
    <w:rsid w:val="4B2A6963"/>
    <w:rsid w:val="4B2C48CA"/>
    <w:rsid w:val="4B2D29F5"/>
    <w:rsid w:val="4B307F16"/>
    <w:rsid w:val="4B322228"/>
    <w:rsid w:val="4B351BCC"/>
    <w:rsid w:val="4B373818"/>
    <w:rsid w:val="4B4920B1"/>
    <w:rsid w:val="4B4D30FB"/>
    <w:rsid w:val="4B4E2A92"/>
    <w:rsid w:val="4B591AB5"/>
    <w:rsid w:val="4B5E0F27"/>
    <w:rsid w:val="4B6573C5"/>
    <w:rsid w:val="4B707823"/>
    <w:rsid w:val="4B707C68"/>
    <w:rsid w:val="4B726781"/>
    <w:rsid w:val="4B7778F3"/>
    <w:rsid w:val="4B7C61E8"/>
    <w:rsid w:val="4B8B3770"/>
    <w:rsid w:val="4B8B517E"/>
    <w:rsid w:val="4B8C414A"/>
    <w:rsid w:val="4B935BD3"/>
    <w:rsid w:val="4B9E1324"/>
    <w:rsid w:val="4BA24BCE"/>
    <w:rsid w:val="4BB33A7C"/>
    <w:rsid w:val="4BB927CA"/>
    <w:rsid w:val="4BBA3465"/>
    <w:rsid w:val="4BBA3C84"/>
    <w:rsid w:val="4BBC001E"/>
    <w:rsid w:val="4BBD64EA"/>
    <w:rsid w:val="4BBF25D0"/>
    <w:rsid w:val="4BC4694F"/>
    <w:rsid w:val="4BCA20D9"/>
    <w:rsid w:val="4BDE0746"/>
    <w:rsid w:val="4BE21410"/>
    <w:rsid w:val="4BE25B8D"/>
    <w:rsid w:val="4BE377D3"/>
    <w:rsid w:val="4BE56F53"/>
    <w:rsid w:val="4BE72F58"/>
    <w:rsid w:val="4BE94734"/>
    <w:rsid w:val="4BE965B6"/>
    <w:rsid w:val="4BF313AD"/>
    <w:rsid w:val="4BFE1C3A"/>
    <w:rsid w:val="4BFF0BEE"/>
    <w:rsid w:val="4C0849EF"/>
    <w:rsid w:val="4C1166DC"/>
    <w:rsid w:val="4C19436A"/>
    <w:rsid w:val="4C1C049B"/>
    <w:rsid w:val="4C1C7AA1"/>
    <w:rsid w:val="4C1E06B7"/>
    <w:rsid w:val="4C1F06B5"/>
    <w:rsid w:val="4C207F8B"/>
    <w:rsid w:val="4C213D03"/>
    <w:rsid w:val="4C221FFA"/>
    <w:rsid w:val="4C235CCD"/>
    <w:rsid w:val="4C237A7B"/>
    <w:rsid w:val="4C242A08"/>
    <w:rsid w:val="4C242D73"/>
    <w:rsid w:val="4C2630C7"/>
    <w:rsid w:val="4C290139"/>
    <w:rsid w:val="4C2A705C"/>
    <w:rsid w:val="4C3724EA"/>
    <w:rsid w:val="4C390AD2"/>
    <w:rsid w:val="4C3B4A29"/>
    <w:rsid w:val="4C3D6555"/>
    <w:rsid w:val="4C3F522E"/>
    <w:rsid w:val="4C417F01"/>
    <w:rsid w:val="4C426389"/>
    <w:rsid w:val="4C4A0649"/>
    <w:rsid w:val="4C4F261E"/>
    <w:rsid w:val="4C57043D"/>
    <w:rsid w:val="4C57579C"/>
    <w:rsid w:val="4C6251E1"/>
    <w:rsid w:val="4C6850EC"/>
    <w:rsid w:val="4C69696A"/>
    <w:rsid w:val="4C6A1041"/>
    <w:rsid w:val="4C6B4F7E"/>
    <w:rsid w:val="4C6E4D74"/>
    <w:rsid w:val="4C6F4853"/>
    <w:rsid w:val="4C6F5584"/>
    <w:rsid w:val="4C7044F7"/>
    <w:rsid w:val="4C72630D"/>
    <w:rsid w:val="4C786216"/>
    <w:rsid w:val="4C7958ED"/>
    <w:rsid w:val="4C7E0947"/>
    <w:rsid w:val="4C7E5ECA"/>
    <w:rsid w:val="4C7F11B0"/>
    <w:rsid w:val="4C806C7C"/>
    <w:rsid w:val="4C813780"/>
    <w:rsid w:val="4C876AA5"/>
    <w:rsid w:val="4C923BCF"/>
    <w:rsid w:val="4C9359CC"/>
    <w:rsid w:val="4C975D73"/>
    <w:rsid w:val="4C9E6503"/>
    <w:rsid w:val="4CA50490"/>
    <w:rsid w:val="4CA85360"/>
    <w:rsid w:val="4CA8788E"/>
    <w:rsid w:val="4CB132D9"/>
    <w:rsid w:val="4CB30463"/>
    <w:rsid w:val="4CB70A84"/>
    <w:rsid w:val="4CBB1996"/>
    <w:rsid w:val="4CBE44F6"/>
    <w:rsid w:val="4CC74B6F"/>
    <w:rsid w:val="4CC8759D"/>
    <w:rsid w:val="4CC9200D"/>
    <w:rsid w:val="4CD62D3F"/>
    <w:rsid w:val="4CD700C2"/>
    <w:rsid w:val="4CD945DE"/>
    <w:rsid w:val="4CDB04BE"/>
    <w:rsid w:val="4CDD3CCF"/>
    <w:rsid w:val="4CDF1128"/>
    <w:rsid w:val="4CE1169E"/>
    <w:rsid w:val="4CED0E6B"/>
    <w:rsid w:val="4CEF6FC4"/>
    <w:rsid w:val="4CF0529F"/>
    <w:rsid w:val="4CF30EF4"/>
    <w:rsid w:val="4CF4336D"/>
    <w:rsid w:val="4CF6702F"/>
    <w:rsid w:val="4CFA4A2F"/>
    <w:rsid w:val="4CFC1B5C"/>
    <w:rsid w:val="4CFD1DDD"/>
    <w:rsid w:val="4CFE5DCC"/>
    <w:rsid w:val="4D0119A9"/>
    <w:rsid w:val="4D015FE4"/>
    <w:rsid w:val="4D0E00FB"/>
    <w:rsid w:val="4D111FCA"/>
    <w:rsid w:val="4D13189E"/>
    <w:rsid w:val="4D134330"/>
    <w:rsid w:val="4D160508"/>
    <w:rsid w:val="4D16138E"/>
    <w:rsid w:val="4D176606"/>
    <w:rsid w:val="4D1E3BF0"/>
    <w:rsid w:val="4D217D2B"/>
    <w:rsid w:val="4D270828"/>
    <w:rsid w:val="4D27266D"/>
    <w:rsid w:val="4D291727"/>
    <w:rsid w:val="4D2C295F"/>
    <w:rsid w:val="4D2D0C5E"/>
    <w:rsid w:val="4D334235"/>
    <w:rsid w:val="4D3651B9"/>
    <w:rsid w:val="4D3851AA"/>
    <w:rsid w:val="4D3872FF"/>
    <w:rsid w:val="4D3A4F19"/>
    <w:rsid w:val="4D3B63E7"/>
    <w:rsid w:val="4D4373FC"/>
    <w:rsid w:val="4D4507B1"/>
    <w:rsid w:val="4D4802EE"/>
    <w:rsid w:val="4D4B1874"/>
    <w:rsid w:val="4D4B557E"/>
    <w:rsid w:val="4D4C108B"/>
    <w:rsid w:val="4D4D5F74"/>
    <w:rsid w:val="4D53613E"/>
    <w:rsid w:val="4D565C2E"/>
    <w:rsid w:val="4D5E2B32"/>
    <w:rsid w:val="4D6457C9"/>
    <w:rsid w:val="4D6C7200"/>
    <w:rsid w:val="4D6E6C73"/>
    <w:rsid w:val="4D73619F"/>
    <w:rsid w:val="4D764DF5"/>
    <w:rsid w:val="4D772BED"/>
    <w:rsid w:val="4D7B242B"/>
    <w:rsid w:val="4D812938"/>
    <w:rsid w:val="4D830C29"/>
    <w:rsid w:val="4D84736B"/>
    <w:rsid w:val="4D876F02"/>
    <w:rsid w:val="4D904889"/>
    <w:rsid w:val="4D937316"/>
    <w:rsid w:val="4D9661EB"/>
    <w:rsid w:val="4D9D0319"/>
    <w:rsid w:val="4D9D0D8A"/>
    <w:rsid w:val="4D9E1AAF"/>
    <w:rsid w:val="4DA02B5D"/>
    <w:rsid w:val="4DA34F8D"/>
    <w:rsid w:val="4DA644C0"/>
    <w:rsid w:val="4DB206DA"/>
    <w:rsid w:val="4DB43081"/>
    <w:rsid w:val="4DB83818"/>
    <w:rsid w:val="4DB87D11"/>
    <w:rsid w:val="4DBF37D4"/>
    <w:rsid w:val="4DC43B24"/>
    <w:rsid w:val="4DC46E97"/>
    <w:rsid w:val="4DC54612"/>
    <w:rsid w:val="4DD20112"/>
    <w:rsid w:val="4DD94895"/>
    <w:rsid w:val="4DE4216F"/>
    <w:rsid w:val="4DE60D60"/>
    <w:rsid w:val="4DE719FF"/>
    <w:rsid w:val="4DEC34D2"/>
    <w:rsid w:val="4DEC4FB0"/>
    <w:rsid w:val="4DED6593"/>
    <w:rsid w:val="4DF11170"/>
    <w:rsid w:val="4DF11C28"/>
    <w:rsid w:val="4DF146DD"/>
    <w:rsid w:val="4DF53699"/>
    <w:rsid w:val="4DF711BF"/>
    <w:rsid w:val="4DFC51E7"/>
    <w:rsid w:val="4DFD7181"/>
    <w:rsid w:val="4DFE254E"/>
    <w:rsid w:val="4DFF0486"/>
    <w:rsid w:val="4DFF1C65"/>
    <w:rsid w:val="4DFF1E22"/>
    <w:rsid w:val="4E075D8A"/>
    <w:rsid w:val="4E1313F6"/>
    <w:rsid w:val="4E151645"/>
    <w:rsid w:val="4E185B3D"/>
    <w:rsid w:val="4E191136"/>
    <w:rsid w:val="4E1E2F39"/>
    <w:rsid w:val="4E1F24C4"/>
    <w:rsid w:val="4E21063A"/>
    <w:rsid w:val="4E213EBD"/>
    <w:rsid w:val="4E222FDC"/>
    <w:rsid w:val="4E233D62"/>
    <w:rsid w:val="4E2730CC"/>
    <w:rsid w:val="4E2B47CD"/>
    <w:rsid w:val="4E2D4BE1"/>
    <w:rsid w:val="4E2E48B5"/>
    <w:rsid w:val="4E2F4034"/>
    <w:rsid w:val="4E35193A"/>
    <w:rsid w:val="4E43251A"/>
    <w:rsid w:val="4E50041A"/>
    <w:rsid w:val="4E524648"/>
    <w:rsid w:val="4E53406F"/>
    <w:rsid w:val="4E651ED5"/>
    <w:rsid w:val="4E6673B5"/>
    <w:rsid w:val="4E6B1D97"/>
    <w:rsid w:val="4E6E3FBD"/>
    <w:rsid w:val="4E733164"/>
    <w:rsid w:val="4E7B1966"/>
    <w:rsid w:val="4E7B1D71"/>
    <w:rsid w:val="4E80574C"/>
    <w:rsid w:val="4E844A26"/>
    <w:rsid w:val="4E8547F9"/>
    <w:rsid w:val="4E8C2811"/>
    <w:rsid w:val="4E9904C8"/>
    <w:rsid w:val="4E9E5ADF"/>
    <w:rsid w:val="4EA03605"/>
    <w:rsid w:val="4EA3285D"/>
    <w:rsid w:val="4EA567DE"/>
    <w:rsid w:val="4EA8070C"/>
    <w:rsid w:val="4EA83CBF"/>
    <w:rsid w:val="4EAA119F"/>
    <w:rsid w:val="4EAC328B"/>
    <w:rsid w:val="4EAC3D58"/>
    <w:rsid w:val="4EAF1A9A"/>
    <w:rsid w:val="4EAF55F6"/>
    <w:rsid w:val="4EB32D66"/>
    <w:rsid w:val="4EBA2D91"/>
    <w:rsid w:val="4EBA3B83"/>
    <w:rsid w:val="4EC00FAD"/>
    <w:rsid w:val="4EC30CA8"/>
    <w:rsid w:val="4EC92B5C"/>
    <w:rsid w:val="4ECB11DE"/>
    <w:rsid w:val="4ECF0762"/>
    <w:rsid w:val="4ECF5C98"/>
    <w:rsid w:val="4ED07800"/>
    <w:rsid w:val="4EDC0D6D"/>
    <w:rsid w:val="4EE631A7"/>
    <w:rsid w:val="4EE91CD3"/>
    <w:rsid w:val="4EE92067"/>
    <w:rsid w:val="4EEA009F"/>
    <w:rsid w:val="4EEA4880"/>
    <w:rsid w:val="4EEC1008"/>
    <w:rsid w:val="4EED3D78"/>
    <w:rsid w:val="4EED4B25"/>
    <w:rsid w:val="4EF851EF"/>
    <w:rsid w:val="4EF876C2"/>
    <w:rsid w:val="4EF91787"/>
    <w:rsid w:val="4EFA709E"/>
    <w:rsid w:val="4EFC63A0"/>
    <w:rsid w:val="4EFF0028"/>
    <w:rsid w:val="4F007B5A"/>
    <w:rsid w:val="4F057E34"/>
    <w:rsid w:val="4F065435"/>
    <w:rsid w:val="4F0A4205"/>
    <w:rsid w:val="4F0D7F2C"/>
    <w:rsid w:val="4F132029"/>
    <w:rsid w:val="4F14295A"/>
    <w:rsid w:val="4F1A23F8"/>
    <w:rsid w:val="4F231B40"/>
    <w:rsid w:val="4F33419C"/>
    <w:rsid w:val="4F350314"/>
    <w:rsid w:val="4F3673B2"/>
    <w:rsid w:val="4F3B2459"/>
    <w:rsid w:val="4F442786"/>
    <w:rsid w:val="4F4D7908"/>
    <w:rsid w:val="4F4F5829"/>
    <w:rsid w:val="4F531CB1"/>
    <w:rsid w:val="4F547732"/>
    <w:rsid w:val="4F55619D"/>
    <w:rsid w:val="4F5A1A06"/>
    <w:rsid w:val="4F5A7C58"/>
    <w:rsid w:val="4F5E0042"/>
    <w:rsid w:val="4F651131"/>
    <w:rsid w:val="4F7742A0"/>
    <w:rsid w:val="4F807875"/>
    <w:rsid w:val="4F846A83"/>
    <w:rsid w:val="4F8B6063"/>
    <w:rsid w:val="4F8D1DDB"/>
    <w:rsid w:val="4F9843DC"/>
    <w:rsid w:val="4F9D237F"/>
    <w:rsid w:val="4FA42C81"/>
    <w:rsid w:val="4FAB1220"/>
    <w:rsid w:val="4FB530E0"/>
    <w:rsid w:val="4FB70C06"/>
    <w:rsid w:val="4FBA3AC8"/>
    <w:rsid w:val="4FBA6948"/>
    <w:rsid w:val="4FBB5F7F"/>
    <w:rsid w:val="4FBD1F95"/>
    <w:rsid w:val="4FC41575"/>
    <w:rsid w:val="4FC62A8C"/>
    <w:rsid w:val="4FC92959"/>
    <w:rsid w:val="4FC955E3"/>
    <w:rsid w:val="4FCE41A2"/>
    <w:rsid w:val="4FD74D0A"/>
    <w:rsid w:val="4FDF5118"/>
    <w:rsid w:val="4FE20F0D"/>
    <w:rsid w:val="4FE51552"/>
    <w:rsid w:val="4FE6773D"/>
    <w:rsid w:val="4FEA0478"/>
    <w:rsid w:val="4FEF697B"/>
    <w:rsid w:val="4FF20C57"/>
    <w:rsid w:val="4FF268D4"/>
    <w:rsid w:val="4FF363B3"/>
    <w:rsid w:val="4FF7139F"/>
    <w:rsid w:val="4FF836A0"/>
    <w:rsid w:val="4FFB4A48"/>
    <w:rsid w:val="4FFC2ABD"/>
    <w:rsid w:val="4FFF344E"/>
    <w:rsid w:val="5002770D"/>
    <w:rsid w:val="500524E7"/>
    <w:rsid w:val="500C3FAC"/>
    <w:rsid w:val="501047BA"/>
    <w:rsid w:val="50106568"/>
    <w:rsid w:val="501567AB"/>
    <w:rsid w:val="50200100"/>
    <w:rsid w:val="502025E6"/>
    <w:rsid w:val="5026794E"/>
    <w:rsid w:val="50286EF0"/>
    <w:rsid w:val="502A41CA"/>
    <w:rsid w:val="502D757B"/>
    <w:rsid w:val="5032295C"/>
    <w:rsid w:val="5038161B"/>
    <w:rsid w:val="503B1837"/>
    <w:rsid w:val="50422451"/>
    <w:rsid w:val="5048062F"/>
    <w:rsid w:val="504A7CCC"/>
    <w:rsid w:val="504B2D47"/>
    <w:rsid w:val="504B393E"/>
    <w:rsid w:val="50504C4B"/>
    <w:rsid w:val="50556BE8"/>
    <w:rsid w:val="50595F65"/>
    <w:rsid w:val="505B5E9B"/>
    <w:rsid w:val="505C202C"/>
    <w:rsid w:val="505C355C"/>
    <w:rsid w:val="505F1978"/>
    <w:rsid w:val="5060304C"/>
    <w:rsid w:val="50610B72"/>
    <w:rsid w:val="506272C2"/>
    <w:rsid w:val="50697A27"/>
    <w:rsid w:val="506A3ECB"/>
    <w:rsid w:val="506C27EE"/>
    <w:rsid w:val="506D39BB"/>
    <w:rsid w:val="506D7517"/>
    <w:rsid w:val="50722D7F"/>
    <w:rsid w:val="507822DB"/>
    <w:rsid w:val="507E2733"/>
    <w:rsid w:val="508F56DF"/>
    <w:rsid w:val="509C6E7C"/>
    <w:rsid w:val="50A307F2"/>
    <w:rsid w:val="50A93475"/>
    <w:rsid w:val="50AF5466"/>
    <w:rsid w:val="50B1385B"/>
    <w:rsid w:val="50B769E4"/>
    <w:rsid w:val="50BD4B06"/>
    <w:rsid w:val="50BD624C"/>
    <w:rsid w:val="50BE6D04"/>
    <w:rsid w:val="50C2398B"/>
    <w:rsid w:val="50C52695"/>
    <w:rsid w:val="50C64757"/>
    <w:rsid w:val="50C86E43"/>
    <w:rsid w:val="50CD10A1"/>
    <w:rsid w:val="50D03E52"/>
    <w:rsid w:val="50D62B25"/>
    <w:rsid w:val="50DE63C8"/>
    <w:rsid w:val="50E13A61"/>
    <w:rsid w:val="50E53551"/>
    <w:rsid w:val="50F03FCE"/>
    <w:rsid w:val="50F601FD"/>
    <w:rsid w:val="50F745BA"/>
    <w:rsid w:val="50FE57E0"/>
    <w:rsid w:val="510460CD"/>
    <w:rsid w:val="51052F88"/>
    <w:rsid w:val="5107796B"/>
    <w:rsid w:val="510C24C5"/>
    <w:rsid w:val="51112598"/>
    <w:rsid w:val="511429EF"/>
    <w:rsid w:val="5116195C"/>
    <w:rsid w:val="51162C16"/>
    <w:rsid w:val="511677DA"/>
    <w:rsid w:val="5119769F"/>
    <w:rsid w:val="512A7F85"/>
    <w:rsid w:val="512C2063"/>
    <w:rsid w:val="513015C2"/>
    <w:rsid w:val="51330E09"/>
    <w:rsid w:val="51383FC9"/>
    <w:rsid w:val="51402E7D"/>
    <w:rsid w:val="51445FBC"/>
    <w:rsid w:val="514630BC"/>
    <w:rsid w:val="5148467A"/>
    <w:rsid w:val="514C35D0"/>
    <w:rsid w:val="514E0A28"/>
    <w:rsid w:val="514E559A"/>
    <w:rsid w:val="51502B40"/>
    <w:rsid w:val="515B3813"/>
    <w:rsid w:val="515F6BC4"/>
    <w:rsid w:val="5160541B"/>
    <w:rsid w:val="51610889"/>
    <w:rsid w:val="516114E4"/>
    <w:rsid w:val="51612C25"/>
    <w:rsid w:val="5162104E"/>
    <w:rsid w:val="516721B8"/>
    <w:rsid w:val="516D233C"/>
    <w:rsid w:val="516D285C"/>
    <w:rsid w:val="5171202B"/>
    <w:rsid w:val="51744C0F"/>
    <w:rsid w:val="5176064D"/>
    <w:rsid w:val="517C40D7"/>
    <w:rsid w:val="517D392F"/>
    <w:rsid w:val="517F4BC4"/>
    <w:rsid w:val="51826FF2"/>
    <w:rsid w:val="518422A4"/>
    <w:rsid w:val="518510D7"/>
    <w:rsid w:val="5187285A"/>
    <w:rsid w:val="51910362"/>
    <w:rsid w:val="5196484B"/>
    <w:rsid w:val="5196613F"/>
    <w:rsid w:val="51981EEB"/>
    <w:rsid w:val="519B6306"/>
    <w:rsid w:val="519C33DF"/>
    <w:rsid w:val="519D207E"/>
    <w:rsid w:val="51A92080"/>
    <w:rsid w:val="51AF7DB0"/>
    <w:rsid w:val="51B36318"/>
    <w:rsid w:val="51B710C6"/>
    <w:rsid w:val="51B86EB8"/>
    <w:rsid w:val="51BE4C6C"/>
    <w:rsid w:val="51C4760A"/>
    <w:rsid w:val="51C83C74"/>
    <w:rsid w:val="51CC5275"/>
    <w:rsid w:val="51CF581D"/>
    <w:rsid w:val="51D21B13"/>
    <w:rsid w:val="51D41B82"/>
    <w:rsid w:val="51E43809"/>
    <w:rsid w:val="51E83CDC"/>
    <w:rsid w:val="51F872B4"/>
    <w:rsid w:val="51FD51C9"/>
    <w:rsid w:val="520003B7"/>
    <w:rsid w:val="5209326F"/>
    <w:rsid w:val="5209753A"/>
    <w:rsid w:val="520B5239"/>
    <w:rsid w:val="52154573"/>
    <w:rsid w:val="522030C9"/>
    <w:rsid w:val="52214363"/>
    <w:rsid w:val="522A1FED"/>
    <w:rsid w:val="52324668"/>
    <w:rsid w:val="52326C6A"/>
    <w:rsid w:val="52452092"/>
    <w:rsid w:val="5245699D"/>
    <w:rsid w:val="52491C87"/>
    <w:rsid w:val="524B48B1"/>
    <w:rsid w:val="52501699"/>
    <w:rsid w:val="5255643A"/>
    <w:rsid w:val="525A0210"/>
    <w:rsid w:val="52640EAD"/>
    <w:rsid w:val="52650DED"/>
    <w:rsid w:val="5265391D"/>
    <w:rsid w:val="526633DC"/>
    <w:rsid w:val="52670806"/>
    <w:rsid w:val="52724B2C"/>
    <w:rsid w:val="527F1CB8"/>
    <w:rsid w:val="5285086E"/>
    <w:rsid w:val="5286443D"/>
    <w:rsid w:val="52873552"/>
    <w:rsid w:val="52897275"/>
    <w:rsid w:val="528D5C4E"/>
    <w:rsid w:val="52903990"/>
    <w:rsid w:val="52925986"/>
    <w:rsid w:val="52943481"/>
    <w:rsid w:val="52946FDD"/>
    <w:rsid w:val="52997E0A"/>
    <w:rsid w:val="529C3DA2"/>
    <w:rsid w:val="52A22E8C"/>
    <w:rsid w:val="52A770BC"/>
    <w:rsid w:val="52B508CE"/>
    <w:rsid w:val="52B75DE8"/>
    <w:rsid w:val="52BC1A77"/>
    <w:rsid w:val="52BC2EC6"/>
    <w:rsid w:val="52C0045A"/>
    <w:rsid w:val="52C214E7"/>
    <w:rsid w:val="52C23008"/>
    <w:rsid w:val="52C84ED8"/>
    <w:rsid w:val="52CA07B0"/>
    <w:rsid w:val="52CB14BF"/>
    <w:rsid w:val="52D65847"/>
    <w:rsid w:val="52D93AE7"/>
    <w:rsid w:val="52DE26D4"/>
    <w:rsid w:val="52E73368"/>
    <w:rsid w:val="52E8648C"/>
    <w:rsid w:val="52EB53D6"/>
    <w:rsid w:val="52F3074C"/>
    <w:rsid w:val="52F40552"/>
    <w:rsid w:val="52FF7722"/>
    <w:rsid w:val="530107FD"/>
    <w:rsid w:val="5305283D"/>
    <w:rsid w:val="530529F2"/>
    <w:rsid w:val="53067B3F"/>
    <w:rsid w:val="53071EA5"/>
    <w:rsid w:val="53075C2D"/>
    <w:rsid w:val="530E2672"/>
    <w:rsid w:val="5311687F"/>
    <w:rsid w:val="53153F02"/>
    <w:rsid w:val="53191BD8"/>
    <w:rsid w:val="531B7E68"/>
    <w:rsid w:val="531E0F9C"/>
    <w:rsid w:val="531F0A6D"/>
    <w:rsid w:val="53202487"/>
    <w:rsid w:val="5325232B"/>
    <w:rsid w:val="5327235A"/>
    <w:rsid w:val="53291191"/>
    <w:rsid w:val="532F71EB"/>
    <w:rsid w:val="53302A15"/>
    <w:rsid w:val="533A5BFF"/>
    <w:rsid w:val="533B38FC"/>
    <w:rsid w:val="5341311F"/>
    <w:rsid w:val="534A5134"/>
    <w:rsid w:val="534F37BA"/>
    <w:rsid w:val="535624E4"/>
    <w:rsid w:val="53563C96"/>
    <w:rsid w:val="535C29DB"/>
    <w:rsid w:val="536229ED"/>
    <w:rsid w:val="53662D5B"/>
    <w:rsid w:val="53673949"/>
    <w:rsid w:val="53682217"/>
    <w:rsid w:val="536919E3"/>
    <w:rsid w:val="536C0A8D"/>
    <w:rsid w:val="5378497F"/>
    <w:rsid w:val="537B019D"/>
    <w:rsid w:val="537E0B4F"/>
    <w:rsid w:val="538115C5"/>
    <w:rsid w:val="53864205"/>
    <w:rsid w:val="538A3CB4"/>
    <w:rsid w:val="5394300C"/>
    <w:rsid w:val="539820DA"/>
    <w:rsid w:val="539C16BB"/>
    <w:rsid w:val="539F2640"/>
    <w:rsid w:val="53A039CC"/>
    <w:rsid w:val="53A1505A"/>
    <w:rsid w:val="53A304DF"/>
    <w:rsid w:val="53A71537"/>
    <w:rsid w:val="53AB5652"/>
    <w:rsid w:val="53B278ED"/>
    <w:rsid w:val="53B34F90"/>
    <w:rsid w:val="53B92A73"/>
    <w:rsid w:val="53C70FDB"/>
    <w:rsid w:val="53C77C7D"/>
    <w:rsid w:val="53CA0F06"/>
    <w:rsid w:val="53D26312"/>
    <w:rsid w:val="53D61877"/>
    <w:rsid w:val="53D87A0B"/>
    <w:rsid w:val="53DF072C"/>
    <w:rsid w:val="53DF552A"/>
    <w:rsid w:val="53E82710"/>
    <w:rsid w:val="53E83C5B"/>
    <w:rsid w:val="53EE5C42"/>
    <w:rsid w:val="53F025CD"/>
    <w:rsid w:val="53F54397"/>
    <w:rsid w:val="53FD1217"/>
    <w:rsid w:val="53FF4E44"/>
    <w:rsid w:val="54005B5D"/>
    <w:rsid w:val="54007CFB"/>
    <w:rsid w:val="54063E08"/>
    <w:rsid w:val="540B0B46"/>
    <w:rsid w:val="540F142A"/>
    <w:rsid w:val="5411465D"/>
    <w:rsid w:val="54134879"/>
    <w:rsid w:val="541741D6"/>
    <w:rsid w:val="5417660E"/>
    <w:rsid w:val="541A6A5D"/>
    <w:rsid w:val="541C372E"/>
    <w:rsid w:val="541D1254"/>
    <w:rsid w:val="541F6242"/>
    <w:rsid w:val="54201234"/>
    <w:rsid w:val="54214C37"/>
    <w:rsid w:val="54237016"/>
    <w:rsid w:val="5427219D"/>
    <w:rsid w:val="542F70DE"/>
    <w:rsid w:val="54324CFF"/>
    <w:rsid w:val="543437E8"/>
    <w:rsid w:val="54375424"/>
    <w:rsid w:val="543A1E06"/>
    <w:rsid w:val="543C7F40"/>
    <w:rsid w:val="54422A68"/>
    <w:rsid w:val="54435C81"/>
    <w:rsid w:val="544607AB"/>
    <w:rsid w:val="54462559"/>
    <w:rsid w:val="544B268E"/>
    <w:rsid w:val="544D7D8B"/>
    <w:rsid w:val="544F3BE0"/>
    <w:rsid w:val="544F3FD8"/>
    <w:rsid w:val="54521413"/>
    <w:rsid w:val="545333E8"/>
    <w:rsid w:val="54563E63"/>
    <w:rsid w:val="54570C85"/>
    <w:rsid w:val="545A6004"/>
    <w:rsid w:val="54667951"/>
    <w:rsid w:val="546926EB"/>
    <w:rsid w:val="546E5C98"/>
    <w:rsid w:val="546F6218"/>
    <w:rsid w:val="54703A7A"/>
    <w:rsid w:val="547846DC"/>
    <w:rsid w:val="54790B80"/>
    <w:rsid w:val="547E6196"/>
    <w:rsid w:val="547F6CE6"/>
    <w:rsid w:val="54817A35"/>
    <w:rsid w:val="54892630"/>
    <w:rsid w:val="548D0188"/>
    <w:rsid w:val="5495528E"/>
    <w:rsid w:val="54962859"/>
    <w:rsid w:val="54990098"/>
    <w:rsid w:val="549B7CA5"/>
    <w:rsid w:val="54A30979"/>
    <w:rsid w:val="54AB503B"/>
    <w:rsid w:val="54AB5F5C"/>
    <w:rsid w:val="54B27EE3"/>
    <w:rsid w:val="54B81990"/>
    <w:rsid w:val="54C35392"/>
    <w:rsid w:val="54C44D86"/>
    <w:rsid w:val="54C46B74"/>
    <w:rsid w:val="54C52422"/>
    <w:rsid w:val="54C737A2"/>
    <w:rsid w:val="54CC1D1D"/>
    <w:rsid w:val="54CE4AE4"/>
    <w:rsid w:val="54D2203E"/>
    <w:rsid w:val="54D33936"/>
    <w:rsid w:val="54D538DD"/>
    <w:rsid w:val="54D651D3"/>
    <w:rsid w:val="54E30A9C"/>
    <w:rsid w:val="54ED6E78"/>
    <w:rsid w:val="54EF6649"/>
    <w:rsid w:val="54F62BF2"/>
    <w:rsid w:val="54F71AA5"/>
    <w:rsid w:val="54F73313"/>
    <w:rsid w:val="54F80955"/>
    <w:rsid w:val="550137B4"/>
    <w:rsid w:val="55032E10"/>
    <w:rsid w:val="55085517"/>
    <w:rsid w:val="55085A60"/>
    <w:rsid w:val="550D2817"/>
    <w:rsid w:val="5513726A"/>
    <w:rsid w:val="55144405"/>
    <w:rsid w:val="5516017D"/>
    <w:rsid w:val="551E1FFA"/>
    <w:rsid w:val="551E684F"/>
    <w:rsid w:val="551F124E"/>
    <w:rsid w:val="5520724E"/>
    <w:rsid w:val="5524472E"/>
    <w:rsid w:val="552A59D6"/>
    <w:rsid w:val="552C4242"/>
    <w:rsid w:val="552E326A"/>
    <w:rsid w:val="55324E51"/>
    <w:rsid w:val="55387608"/>
    <w:rsid w:val="553C395C"/>
    <w:rsid w:val="553E52D5"/>
    <w:rsid w:val="5540344C"/>
    <w:rsid w:val="55410BF9"/>
    <w:rsid w:val="55432F3C"/>
    <w:rsid w:val="5545537D"/>
    <w:rsid w:val="554738F5"/>
    <w:rsid w:val="554B5B7F"/>
    <w:rsid w:val="554E25D0"/>
    <w:rsid w:val="554F1434"/>
    <w:rsid w:val="55503B49"/>
    <w:rsid w:val="555170A7"/>
    <w:rsid w:val="5552317F"/>
    <w:rsid w:val="5556068C"/>
    <w:rsid w:val="555708FA"/>
    <w:rsid w:val="55571991"/>
    <w:rsid w:val="55587413"/>
    <w:rsid w:val="555B42EF"/>
    <w:rsid w:val="55664D57"/>
    <w:rsid w:val="556829A3"/>
    <w:rsid w:val="556935BA"/>
    <w:rsid w:val="556B0632"/>
    <w:rsid w:val="556F3D31"/>
    <w:rsid w:val="55763D8B"/>
    <w:rsid w:val="557A3E6A"/>
    <w:rsid w:val="557C7E48"/>
    <w:rsid w:val="557D4AFD"/>
    <w:rsid w:val="558427C1"/>
    <w:rsid w:val="55867CE8"/>
    <w:rsid w:val="5587536D"/>
    <w:rsid w:val="55877F62"/>
    <w:rsid w:val="55894DF3"/>
    <w:rsid w:val="5595676E"/>
    <w:rsid w:val="559A6552"/>
    <w:rsid w:val="559B174B"/>
    <w:rsid w:val="55A41882"/>
    <w:rsid w:val="55A504D3"/>
    <w:rsid w:val="55AB03BC"/>
    <w:rsid w:val="55AD5535"/>
    <w:rsid w:val="55B07AA1"/>
    <w:rsid w:val="55B36828"/>
    <w:rsid w:val="55C45E2B"/>
    <w:rsid w:val="55CA5266"/>
    <w:rsid w:val="55CE0CF4"/>
    <w:rsid w:val="55CE3F18"/>
    <w:rsid w:val="55CE40CE"/>
    <w:rsid w:val="55D17F37"/>
    <w:rsid w:val="55D3606E"/>
    <w:rsid w:val="55D65B5E"/>
    <w:rsid w:val="55D831E4"/>
    <w:rsid w:val="55DA38A0"/>
    <w:rsid w:val="55E003C4"/>
    <w:rsid w:val="55E42029"/>
    <w:rsid w:val="55E54A78"/>
    <w:rsid w:val="55E759FD"/>
    <w:rsid w:val="55E9250B"/>
    <w:rsid w:val="55EB1088"/>
    <w:rsid w:val="55F10BEA"/>
    <w:rsid w:val="55FF26B3"/>
    <w:rsid w:val="55FF3F3F"/>
    <w:rsid w:val="560378AC"/>
    <w:rsid w:val="56067310"/>
    <w:rsid w:val="560674C5"/>
    <w:rsid w:val="56151416"/>
    <w:rsid w:val="56151AED"/>
    <w:rsid w:val="56160D40"/>
    <w:rsid w:val="56237DE0"/>
    <w:rsid w:val="56252926"/>
    <w:rsid w:val="56262642"/>
    <w:rsid w:val="56293EE0"/>
    <w:rsid w:val="562A7718"/>
    <w:rsid w:val="56321E69"/>
    <w:rsid w:val="563263D1"/>
    <w:rsid w:val="56327239"/>
    <w:rsid w:val="56365413"/>
    <w:rsid w:val="563C2F09"/>
    <w:rsid w:val="56460CB2"/>
    <w:rsid w:val="564F2CB4"/>
    <w:rsid w:val="564F3020"/>
    <w:rsid w:val="5665366A"/>
    <w:rsid w:val="566C5C56"/>
    <w:rsid w:val="56707D61"/>
    <w:rsid w:val="56794FD1"/>
    <w:rsid w:val="567C046F"/>
    <w:rsid w:val="567C3CF2"/>
    <w:rsid w:val="567D4DE2"/>
    <w:rsid w:val="56850D7E"/>
    <w:rsid w:val="56866800"/>
    <w:rsid w:val="56867584"/>
    <w:rsid w:val="568C1A97"/>
    <w:rsid w:val="5697709C"/>
    <w:rsid w:val="569C6DA8"/>
    <w:rsid w:val="56A10311"/>
    <w:rsid w:val="56A30136"/>
    <w:rsid w:val="56A33BB2"/>
    <w:rsid w:val="56AB4376"/>
    <w:rsid w:val="56AC3D25"/>
    <w:rsid w:val="56AF0889"/>
    <w:rsid w:val="56AF7299"/>
    <w:rsid w:val="56B22A9C"/>
    <w:rsid w:val="56B363CB"/>
    <w:rsid w:val="56B52866"/>
    <w:rsid w:val="56B61904"/>
    <w:rsid w:val="56B934B6"/>
    <w:rsid w:val="56BA72E9"/>
    <w:rsid w:val="56C43C09"/>
    <w:rsid w:val="56C47F06"/>
    <w:rsid w:val="56CF298E"/>
    <w:rsid w:val="56D46542"/>
    <w:rsid w:val="56D56319"/>
    <w:rsid w:val="56DA167E"/>
    <w:rsid w:val="56E03A17"/>
    <w:rsid w:val="56E44B68"/>
    <w:rsid w:val="56EB0252"/>
    <w:rsid w:val="56EE6ECE"/>
    <w:rsid w:val="56EF07AE"/>
    <w:rsid w:val="56EF4990"/>
    <w:rsid w:val="56FA5260"/>
    <w:rsid w:val="570057F6"/>
    <w:rsid w:val="570109B9"/>
    <w:rsid w:val="57016089"/>
    <w:rsid w:val="570650A1"/>
    <w:rsid w:val="570C142A"/>
    <w:rsid w:val="57132F6C"/>
    <w:rsid w:val="571A6C30"/>
    <w:rsid w:val="571B3010"/>
    <w:rsid w:val="571C57F3"/>
    <w:rsid w:val="571E0092"/>
    <w:rsid w:val="572121A9"/>
    <w:rsid w:val="57271C0D"/>
    <w:rsid w:val="572A2264"/>
    <w:rsid w:val="572A43B4"/>
    <w:rsid w:val="572B3ADE"/>
    <w:rsid w:val="572E5D14"/>
    <w:rsid w:val="57315742"/>
    <w:rsid w:val="573214BA"/>
    <w:rsid w:val="57342B3C"/>
    <w:rsid w:val="574761CB"/>
    <w:rsid w:val="574B1B98"/>
    <w:rsid w:val="57521214"/>
    <w:rsid w:val="575267EE"/>
    <w:rsid w:val="57533531"/>
    <w:rsid w:val="575647A8"/>
    <w:rsid w:val="57574D9F"/>
    <w:rsid w:val="5760060B"/>
    <w:rsid w:val="57643691"/>
    <w:rsid w:val="57643855"/>
    <w:rsid w:val="576645CF"/>
    <w:rsid w:val="576A2A02"/>
    <w:rsid w:val="576C0FFD"/>
    <w:rsid w:val="577C4928"/>
    <w:rsid w:val="578F614C"/>
    <w:rsid w:val="57914433"/>
    <w:rsid w:val="579212BC"/>
    <w:rsid w:val="579821FF"/>
    <w:rsid w:val="579B2A50"/>
    <w:rsid w:val="579F72CD"/>
    <w:rsid w:val="57A20CD2"/>
    <w:rsid w:val="57A35F14"/>
    <w:rsid w:val="57AE1B0B"/>
    <w:rsid w:val="57B162ED"/>
    <w:rsid w:val="57B72A76"/>
    <w:rsid w:val="57BB14B0"/>
    <w:rsid w:val="57C100EB"/>
    <w:rsid w:val="57C3426C"/>
    <w:rsid w:val="57C739B1"/>
    <w:rsid w:val="57C77E54"/>
    <w:rsid w:val="57C84EB9"/>
    <w:rsid w:val="57C93BCD"/>
    <w:rsid w:val="57CD0385"/>
    <w:rsid w:val="57CE1F93"/>
    <w:rsid w:val="57D814F7"/>
    <w:rsid w:val="57DA16B0"/>
    <w:rsid w:val="57DF519E"/>
    <w:rsid w:val="57E13CEA"/>
    <w:rsid w:val="57E666CC"/>
    <w:rsid w:val="57E736D6"/>
    <w:rsid w:val="57EE371D"/>
    <w:rsid w:val="57F10A2D"/>
    <w:rsid w:val="57FA4163"/>
    <w:rsid w:val="57FB5D50"/>
    <w:rsid w:val="57FE4859"/>
    <w:rsid w:val="580544D9"/>
    <w:rsid w:val="5805720D"/>
    <w:rsid w:val="580B2DE3"/>
    <w:rsid w:val="58132B0F"/>
    <w:rsid w:val="5816663A"/>
    <w:rsid w:val="581D1822"/>
    <w:rsid w:val="581F76BE"/>
    <w:rsid w:val="58207565"/>
    <w:rsid w:val="58221AA4"/>
    <w:rsid w:val="58285DC9"/>
    <w:rsid w:val="582C6358"/>
    <w:rsid w:val="583120BF"/>
    <w:rsid w:val="584148D8"/>
    <w:rsid w:val="58417C07"/>
    <w:rsid w:val="58446E84"/>
    <w:rsid w:val="58450D5F"/>
    <w:rsid w:val="58474AF1"/>
    <w:rsid w:val="5847689F"/>
    <w:rsid w:val="58483F99"/>
    <w:rsid w:val="584F5009"/>
    <w:rsid w:val="5858676E"/>
    <w:rsid w:val="585B059D"/>
    <w:rsid w:val="585E3377"/>
    <w:rsid w:val="586048F0"/>
    <w:rsid w:val="586C4558"/>
    <w:rsid w:val="586E1F24"/>
    <w:rsid w:val="58721B1C"/>
    <w:rsid w:val="5878627D"/>
    <w:rsid w:val="587902B5"/>
    <w:rsid w:val="588743D1"/>
    <w:rsid w:val="5887701A"/>
    <w:rsid w:val="5897595F"/>
    <w:rsid w:val="589B7C55"/>
    <w:rsid w:val="58A41F44"/>
    <w:rsid w:val="58A80E04"/>
    <w:rsid w:val="58AB3744"/>
    <w:rsid w:val="58B23F52"/>
    <w:rsid w:val="58B77EC9"/>
    <w:rsid w:val="58B8298B"/>
    <w:rsid w:val="58B96858"/>
    <w:rsid w:val="58BB67A0"/>
    <w:rsid w:val="58BE1257"/>
    <w:rsid w:val="58C2451D"/>
    <w:rsid w:val="58C425E6"/>
    <w:rsid w:val="58CA480A"/>
    <w:rsid w:val="58CF6576"/>
    <w:rsid w:val="58D00160"/>
    <w:rsid w:val="58D418C8"/>
    <w:rsid w:val="58DB6CD4"/>
    <w:rsid w:val="58E01F18"/>
    <w:rsid w:val="58E14F46"/>
    <w:rsid w:val="58E37FE6"/>
    <w:rsid w:val="58E6430A"/>
    <w:rsid w:val="58ED5699"/>
    <w:rsid w:val="58F05975"/>
    <w:rsid w:val="58F06D2E"/>
    <w:rsid w:val="58F3217D"/>
    <w:rsid w:val="58F72073"/>
    <w:rsid w:val="58FB63E9"/>
    <w:rsid w:val="58FC706B"/>
    <w:rsid w:val="5906339C"/>
    <w:rsid w:val="59122A32"/>
    <w:rsid w:val="591250FF"/>
    <w:rsid w:val="59184025"/>
    <w:rsid w:val="5919023C"/>
    <w:rsid w:val="592163C9"/>
    <w:rsid w:val="59266DFD"/>
    <w:rsid w:val="59376914"/>
    <w:rsid w:val="5939464F"/>
    <w:rsid w:val="593E5BF3"/>
    <w:rsid w:val="59411541"/>
    <w:rsid w:val="594159E5"/>
    <w:rsid w:val="59441031"/>
    <w:rsid w:val="594828CF"/>
    <w:rsid w:val="5948761A"/>
    <w:rsid w:val="59513E7A"/>
    <w:rsid w:val="595439FE"/>
    <w:rsid w:val="59635888"/>
    <w:rsid w:val="59635B05"/>
    <w:rsid w:val="59641B83"/>
    <w:rsid w:val="596521DC"/>
    <w:rsid w:val="59661F2B"/>
    <w:rsid w:val="59671AD4"/>
    <w:rsid w:val="5967369D"/>
    <w:rsid w:val="596F235C"/>
    <w:rsid w:val="59723D50"/>
    <w:rsid w:val="59734829"/>
    <w:rsid w:val="59747B49"/>
    <w:rsid w:val="59750590"/>
    <w:rsid w:val="597E2D83"/>
    <w:rsid w:val="597E7408"/>
    <w:rsid w:val="598541D6"/>
    <w:rsid w:val="598633F7"/>
    <w:rsid w:val="598650A1"/>
    <w:rsid w:val="59877A50"/>
    <w:rsid w:val="598A5B73"/>
    <w:rsid w:val="598D123A"/>
    <w:rsid w:val="599035FD"/>
    <w:rsid w:val="59927FEE"/>
    <w:rsid w:val="59961079"/>
    <w:rsid w:val="59985FAB"/>
    <w:rsid w:val="599C7DE4"/>
    <w:rsid w:val="59A0672C"/>
    <w:rsid w:val="59A3044D"/>
    <w:rsid w:val="59AD15AB"/>
    <w:rsid w:val="59B66EB3"/>
    <w:rsid w:val="59BE36AB"/>
    <w:rsid w:val="59BF16A6"/>
    <w:rsid w:val="59C0439F"/>
    <w:rsid w:val="59C13ACF"/>
    <w:rsid w:val="59C17497"/>
    <w:rsid w:val="59C30027"/>
    <w:rsid w:val="59C70173"/>
    <w:rsid w:val="59CA59DA"/>
    <w:rsid w:val="59CC3500"/>
    <w:rsid w:val="59D9502B"/>
    <w:rsid w:val="59DD74BB"/>
    <w:rsid w:val="59E41FE5"/>
    <w:rsid w:val="59F26EC9"/>
    <w:rsid w:val="59F44805"/>
    <w:rsid w:val="59F67A26"/>
    <w:rsid w:val="59F705C5"/>
    <w:rsid w:val="59FA62BF"/>
    <w:rsid w:val="5A02233A"/>
    <w:rsid w:val="5A04694A"/>
    <w:rsid w:val="5A052976"/>
    <w:rsid w:val="5A063E3B"/>
    <w:rsid w:val="5A081CC5"/>
    <w:rsid w:val="5A09562C"/>
    <w:rsid w:val="5A0F4038"/>
    <w:rsid w:val="5A0F41EE"/>
    <w:rsid w:val="5A112DD4"/>
    <w:rsid w:val="5A115625"/>
    <w:rsid w:val="5A162204"/>
    <w:rsid w:val="5A165757"/>
    <w:rsid w:val="5A203DAE"/>
    <w:rsid w:val="5A252C10"/>
    <w:rsid w:val="5A2B279F"/>
    <w:rsid w:val="5A2F1CE1"/>
    <w:rsid w:val="5A317807"/>
    <w:rsid w:val="5A3D09A9"/>
    <w:rsid w:val="5A3E4927"/>
    <w:rsid w:val="5A3E5A0E"/>
    <w:rsid w:val="5A3E691C"/>
    <w:rsid w:val="5A3E7F6B"/>
    <w:rsid w:val="5A440B56"/>
    <w:rsid w:val="5A45448E"/>
    <w:rsid w:val="5A470FDB"/>
    <w:rsid w:val="5A4C2893"/>
    <w:rsid w:val="5A540ABF"/>
    <w:rsid w:val="5A5B515A"/>
    <w:rsid w:val="5A5F6122"/>
    <w:rsid w:val="5A5F6E50"/>
    <w:rsid w:val="5A626832"/>
    <w:rsid w:val="5A6310DA"/>
    <w:rsid w:val="5A644857"/>
    <w:rsid w:val="5A67279E"/>
    <w:rsid w:val="5A672A61"/>
    <w:rsid w:val="5A673229"/>
    <w:rsid w:val="5A683600"/>
    <w:rsid w:val="5A7125EE"/>
    <w:rsid w:val="5A733899"/>
    <w:rsid w:val="5A737E20"/>
    <w:rsid w:val="5A7B57FB"/>
    <w:rsid w:val="5A7C1BE0"/>
    <w:rsid w:val="5A802C08"/>
    <w:rsid w:val="5A8632ED"/>
    <w:rsid w:val="5A875679"/>
    <w:rsid w:val="5A8838A1"/>
    <w:rsid w:val="5A8E6A07"/>
    <w:rsid w:val="5A9009D2"/>
    <w:rsid w:val="5A902780"/>
    <w:rsid w:val="5A971D60"/>
    <w:rsid w:val="5A9B46F5"/>
    <w:rsid w:val="5AA95605"/>
    <w:rsid w:val="5AAE2C06"/>
    <w:rsid w:val="5AB53F94"/>
    <w:rsid w:val="5AB81CD6"/>
    <w:rsid w:val="5ABC1175"/>
    <w:rsid w:val="5ABE2233"/>
    <w:rsid w:val="5ABE26ED"/>
    <w:rsid w:val="5AC0437F"/>
    <w:rsid w:val="5AC44CFF"/>
    <w:rsid w:val="5AC46853"/>
    <w:rsid w:val="5AC664DB"/>
    <w:rsid w:val="5AC67AF9"/>
    <w:rsid w:val="5AC8016B"/>
    <w:rsid w:val="5ACB01DE"/>
    <w:rsid w:val="5ACE2385"/>
    <w:rsid w:val="5AD03C8C"/>
    <w:rsid w:val="5AD54636"/>
    <w:rsid w:val="5AD57687"/>
    <w:rsid w:val="5AD80637"/>
    <w:rsid w:val="5ADC59C5"/>
    <w:rsid w:val="5ADD12F1"/>
    <w:rsid w:val="5ADF1011"/>
    <w:rsid w:val="5ADF3707"/>
    <w:rsid w:val="5AE4717C"/>
    <w:rsid w:val="5AEC6705"/>
    <w:rsid w:val="5AED1980"/>
    <w:rsid w:val="5AF20641"/>
    <w:rsid w:val="5AF30F60"/>
    <w:rsid w:val="5AF31824"/>
    <w:rsid w:val="5AF440A0"/>
    <w:rsid w:val="5AF52F61"/>
    <w:rsid w:val="5AF5778B"/>
    <w:rsid w:val="5AF80757"/>
    <w:rsid w:val="5AF8134E"/>
    <w:rsid w:val="5AF815CD"/>
    <w:rsid w:val="5AF9704F"/>
    <w:rsid w:val="5AFC1A5E"/>
    <w:rsid w:val="5B044F1C"/>
    <w:rsid w:val="5B0C2763"/>
    <w:rsid w:val="5B0D4D97"/>
    <w:rsid w:val="5B0F4A76"/>
    <w:rsid w:val="5B16503A"/>
    <w:rsid w:val="5B1708CA"/>
    <w:rsid w:val="5B1A64ED"/>
    <w:rsid w:val="5B1C7B22"/>
    <w:rsid w:val="5B1D0508"/>
    <w:rsid w:val="5B2041D0"/>
    <w:rsid w:val="5B212792"/>
    <w:rsid w:val="5B237E93"/>
    <w:rsid w:val="5B2533FD"/>
    <w:rsid w:val="5B340651"/>
    <w:rsid w:val="5B355BAF"/>
    <w:rsid w:val="5B357F7A"/>
    <w:rsid w:val="5B3710B2"/>
    <w:rsid w:val="5B3F6646"/>
    <w:rsid w:val="5B432946"/>
    <w:rsid w:val="5B465BFF"/>
    <w:rsid w:val="5B48305A"/>
    <w:rsid w:val="5B4D35C8"/>
    <w:rsid w:val="5B5063B8"/>
    <w:rsid w:val="5B507A5E"/>
    <w:rsid w:val="5B527A35"/>
    <w:rsid w:val="5B5373CC"/>
    <w:rsid w:val="5B5555DB"/>
    <w:rsid w:val="5B5B1B8D"/>
    <w:rsid w:val="5B5E462C"/>
    <w:rsid w:val="5B6724EE"/>
    <w:rsid w:val="5B676976"/>
    <w:rsid w:val="5B6854AA"/>
    <w:rsid w:val="5B6C2D6A"/>
    <w:rsid w:val="5B6C3DB3"/>
    <w:rsid w:val="5B714AE5"/>
    <w:rsid w:val="5B743B71"/>
    <w:rsid w:val="5B763EB7"/>
    <w:rsid w:val="5B7E7DD1"/>
    <w:rsid w:val="5B811EE9"/>
    <w:rsid w:val="5B82245A"/>
    <w:rsid w:val="5B85605C"/>
    <w:rsid w:val="5B8D3163"/>
    <w:rsid w:val="5B93283B"/>
    <w:rsid w:val="5B943228"/>
    <w:rsid w:val="5B9601D2"/>
    <w:rsid w:val="5B981BF9"/>
    <w:rsid w:val="5B9A63AA"/>
    <w:rsid w:val="5B9C083A"/>
    <w:rsid w:val="5BA02688"/>
    <w:rsid w:val="5BAA5AC3"/>
    <w:rsid w:val="5BB4249E"/>
    <w:rsid w:val="5BC6799A"/>
    <w:rsid w:val="5BCC5A39"/>
    <w:rsid w:val="5BCD22B6"/>
    <w:rsid w:val="5BD2403C"/>
    <w:rsid w:val="5BD74A75"/>
    <w:rsid w:val="5BDB5443"/>
    <w:rsid w:val="5BDF3E49"/>
    <w:rsid w:val="5BDF5D95"/>
    <w:rsid w:val="5BE34B31"/>
    <w:rsid w:val="5BE72873"/>
    <w:rsid w:val="5BF1724E"/>
    <w:rsid w:val="5BF27270"/>
    <w:rsid w:val="5BF57987"/>
    <w:rsid w:val="5BF63A6F"/>
    <w:rsid w:val="5BF67593"/>
    <w:rsid w:val="5BF8682E"/>
    <w:rsid w:val="5BFD30FD"/>
    <w:rsid w:val="5BFE7528"/>
    <w:rsid w:val="5BFF0AFB"/>
    <w:rsid w:val="5C001E00"/>
    <w:rsid w:val="5C0351D3"/>
    <w:rsid w:val="5C08720C"/>
    <w:rsid w:val="5C0C6506"/>
    <w:rsid w:val="5C0E2FD3"/>
    <w:rsid w:val="5C0E78F4"/>
    <w:rsid w:val="5C0F2DC3"/>
    <w:rsid w:val="5C163FA3"/>
    <w:rsid w:val="5C1E5B2C"/>
    <w:rsid w:val="5C1F7933"/>
    <w:rsid w:val="5C376D9A"/>
    <w:rsid w:val="5C3842C4"/>
    <w:rsid w:val="5C3B6762"/>
    <w:rsid w:val="5C3E3E63"/>
    <w:rsid w:val="5C4067C1"/>
    <w:rsid w:val="5C464AF3"/>
    <w:rsid w:val="5C465B12"/>
    <w:rsid w:val="5C4E644E"/>
    <w:rsid w:val="5C555AB7"/>
    <w:rsid w:val="5C5E56D9"/>
    <w:rsid w:val="5C60665C"/>
    <w:rsid w:val="5C6519EA"/>
    <w:rsid w:val="5C657C3C"/>
    <w:rsid w:val="5C69689F"/>
    <w:rsid w:val="5C6B35CE"/>
    <w:rsid w:val="5C734F6B"/>
    <w:rsid w:val="5C764A62"/>
    <w:rsid w:val="5C776F19"/>
    <w:rsid w:val="5C7D4904"/>
    <w:rsid w:val="5C844566"/>
    <w:rsid w:val="5C846314"/>
    <w:rsid w:val="5C8A495A"/>
    <w:rsid w:val="5C8C6F77"/>
    <w:rsid w:val="5C8D0284"/>
    <w:rsid w:val="5C8F1D6F"/>
    <w:rsid w:val="5C9272E9"/>
    <w:rsid w:val="5C9418A6"/>
    <w:rsid w:val="5C950379"/>
    <w:rsid w:val="5CA8053F"/>
    <w:rsid w:val="5CA90C0B"/>
    <w:rsid w:val="5CA93512"/>
    <w:rsid w:val="5CAB38A1"/>
    <w:rsid w:val="5CAC6D2A"/>
    <w:rsid w:val="5CAD6BEE"/>
    <w:rsid w:val="5CAD7A90"/>
    <w:rsid w:val="5CAE48B6"/>
    <w:rsid w:val="5CB00D05"/>
    <w:rsid w:val="5CB35043"/>
    <w:rsid w:val="5CB97030"/>
    <w:rsid w:val="5CBC5AAE"/>
    <w:rsid w:val="5CBD7F70"/>
    <w:rsid w:val="5CC93A47"/>
    <w:rsid w:val="5CCC024F"/>
    <w:rsid w:val="5CCD7D10"/>
    <w:rsid w:val="5CCF011E"/>
    <w:rsid w:val="5CD03307"/>
    <w:rsid w:val="5CD808C6"/>
    <w:rsid w:val="5CD91AE3"/>
    <w:rsid w:val="5CD9561D"/>
    <w:rsid w:val="5CDA307C"/>
    <w:rsid w:val="5CDE5F6B"/>
    <w:rsid w:val="5CE045E7"/>
    <w:rsid w:val="5CE15514"/>
    <w:rsid w:val="5CEA77FF"/>
    <w:rsid w:val="5CEF3C87"/>
    <w:rsid w:val="5CF36FF6"/>
    <w:rsid w:val="5CFA1A18"/>
    <w:rsid w:val="5CFD7E74"/>
    <w:rsid w:val="5D00718A"/>
    <w:rsid w:val="5D032927"/>
    <w:rsid w:val="5D043BDE"/>
    <w:rsid w:val="5D0C00B7"/>
    <w:rsid w:val="5D144A17"/>
    <w:rsid w:val="5D15022C"/>
    <w:rsid w:val="5D165643"/>
    <w:rsid w:val="5D174E5B"/>
    <w:rsid w:val="5D1A5681"/>
    <w:rsid w:val="5D1A6F72"/>
    <w:rsid w:val="5D2031A1"/>
    <w:rsid w:val="5D210B97"/>
    <w:rsid w:val="5D215318"/>
    <w:rsid w:val="5D2D376B"/>
    <w:rsid w:val="5D2E0F81"/>
    <w:rsid w:val="5D301FF8"/>
    <w:rsid w:val="5D3024F2"/>
    <w:rsid w:val="5D3333A2"/>
    <w:rsid w:val="5D355860"/>
    <w:rsid w:val="5D3C0A1B"/>
    <w:rsid w:val="5D3D22B4"/>
    <w:rsid w:val="5D3E4715"/>
    <w:rsid w:val="5D406B8A"/>
    <w:rsid w:val="5D443CF5"/>
    <w:rsid w:val="5D480AC5"/>
    <w:rsid w:val="5D49149F"/>
    <w:rsid w:val="5D492930"/>
    <w:rsid w:val="5D4B44AF"/>
    <w:rsid w:val="5D4B6E32"/>
    <w:rsid w:val="5D4E3CA0"/>
    <w:rsid w:val="5D4F6922"/>
    <w:rsid w:val="5D5104A8"/>
    <w:rsid w:val="5D577585"/>
    <w:rsid w:val="5D5C103F"/>
    <w:rsid w:val="5D5C19F4"/>
    <w:rsid w:val="5D623872"/>
    <w:rsid w:val="5D665A1A"/>
    <w:rsid w:val="5D6E48CE"/>
    <w:rsid w:val="5D7209DD"/>
    <w:rsid w:val="5D7243BE"/>
    <w:rsid w:val="5D762E2E"/>
    <w:rsid w:val="5D773C38"/>
    <w:rsid w:val="5D787085"/>
    <w:rsid w:val="5D7E0072"/>
    <w:rsid w:val="5D845EA0"/>
    <w:rsid w:val="5D861C18"/>
    <w:rsid w:val="5D8D11F8"/>
    <w:rsid w:val="5D9C3D56"/>
    <w:rsid w:val="5D9E058D"/>
    <w:rsid w:val="5DA65ECB"/>
    <w:rsid w:val="5DA82C29"/>
    <w:rsid w:val="5DB10042"/>
    <w:rsid w:val="5DB20097"/>
    <w:rsid w:val="5DB20E44"/>
    <w:rsid w:val="5DB736CF"/>
    <w:rsid w:val="5DBC7D30"/>
    <w:rsid w:val="5DBD3FBB"/>
    <w:rsid w:val="5DC15346"/>
    <w:rsid w:val="5DC80482"/>
    <w:rsid w:val="5DCC2E35"/>
    <w:rsid w:val="5DD017B6"/>
    <w:rsid w:val="5DD02C46"/>
    <w:rsid w:val="5DD15589"/>
    <w:rsid w:val="5DD60DF1"/>
    <w:rsid w:val="5DD7237A"/>
    <w:rsid w:val="5DD74EFD"/>
    <w:rsid w:val="5DD92690"/>
    <w:rsid w:val="5DDB01B6"/>
    <w:rsid w:val="5DDC260A"/>
    <w:rsid w:val="5DDE730D"/>
    <w:rsid w:val="5DE352BC"/>
    <w:rsid w:val="5DEC4171"/>
    <w:rsid w:val="5DED15CA"/>
    <w:rsid w:val="5DEF1EB3"/>
    <w:rsid w:val="5DFB13FF"/>
    <w:rsid w:val="5DFB3BF1"/>
    <w:rsid w:val="5DFD2E6F"/>
    <w:rsid w:val="5E056A6C"/>
    <w:rsid w:val="5E086AD1"/>
    <w:rsid w:val="5E0A2849"/>
    <w:rsid w:val="5E103114"/>
    <w:rsid w:val="5E231B5D"/>
    <w:rsid w:val="5E2467F1"/>
    <w:rsid w:val="5E296C3F"/>
    <w:rsid w:val="5E2E3A79"/>
    <w:rsid w:val="5E3027E5"/>
    <w:rsid w:val="5E313656"/>
    <w:rsid w:val="5E323B4E"/>
    <w:rsid w:val="5E3B2A02"/>
    <w:rsid w:val="5E3D71AC"/>
    <w:rsid w:val="5E4044BD"/>
    <w:rsid w:val="5E483371"/>
    <w:rsid w:val="5E495699"/>
    <w:rsid w:val="5E4A533B"/>
    <w:rsid w:val="5E4C10B3"/>
    <w:rsid w:val="5E4C6141"/>
    <w:rsid w:val="5E590ADE"/>
    <w:rsid w:val="5E5D1025"/>
    <w:rsid w:val="5E5D46F5"/>
    <w:rsid w:val="5E5F0496"/>
    <w:rsid w:val="5E6572D0"/>
    <w:rsid w:val="5E702CD8"/>
    <w:rsid w:val="5E736640"/>
    <w:rsid w:val="5E826883"/>
    <w:rsid w:val="5E886968"/>
    <w:rsid w:val="5E8A356A"/>
    <w:rsid w:val="5E8A5738"/>
    <w:rsid w:val="5E8C3B32"/>
    <w:rsid w:val="5E9A3CC2"/>
    <w:rsid w:val="5EA66A16"/>
    <w:rsid w:val="5EA90CA0"/>
    <w:rsid w:val="5EB033F0"/>
    <w:rsid w:val="5EB61768"/>
    <w:rsid w:val="5EBA0137"/>
    <w:rsid w:val="5EC16571"/>
    <w:rsid w:val="5ED01686"/>
    <w:rsid w:val="5ED574D6"/>
    <w:rsid w:val="5ED864A3"/>
    <w:rsid w:val="5EDB56E2"/>
    <w:rsid w:val="5EDD34B2"/>
    <w:rsid w:val="5EDE31B9"/>
    <w:rsid w:val="5EDE3BFC"/>
    <w:rsid w:val="5EE13A22"/>
    <w:rsid w:val="5EE31B38"/>
    <w:rsid w:val="5EE80C8D"/>
    <w:rsid w:val="5EF5617C"/>
    <w:rsid w:val="5F0157EA"/>
    <w:rsid w:val="5F0333E3"/>
    <w:rsid w:val="5F164E84"/>
    <w:rsid w:val="5F1A2B43"/>
    <w:rsid w:val="5F214EA0"/>
    <w:rsid w:val="5F221E14"/>
    <w:rsid w:val="5F225970"/>
    <w:rsid w:val="5F2800AE"/>
    <w:rsid w:val="5F2913F5"/>
    <w:rsid w:val="5F2931A3"/>
    <w:rsid w:val="5F2D48AB"/>
    <w:rsid w:val="5F2F6BBC"/>
    <w:rsid w:val="5F3545E4"/>
    <w:rsid w:val="5F383F3E"/>
    <w:rsid w:val="5F3A1188"/>
    <w:rsid w:val="5F3B02CD"/>
    <w:rsid w:val="5F3E69CE"/>
    <w:rsid w:val="5F48187B"/>
    <w:rsid w:val="5F4C495A"/>
    <w:rsid w:val="5F4D50E3"/>
    <w:rsid w:val="5F4F3B85"/>
    <w:rsid w:val="5F50744C"/>
    <w:rsid w:val="5F5101AF"/>
    <w:rsid w:val="5F517BED"/>
    <w:rsid w:val="5F5A2904"/>
    <w:rsid w:val="5F5C5FB8"/>
    <w:rsid w:val="5F6244B3"/>
    <w:rsid w:val="5F657A2C"/>
    <w:rsid w:val="5F662111"/>
    <w:rsid w:val="5F67539C"/>
    <w:rsid w:val="5F6972FD"/>
    <w:rsid w:val="5F705A8F"/>
    <w:rsid w:val="5F7408C2"/>
    <w:rsid w:val="5F75009A"/>
    <w:rsid w:val="5F76780E"/>
    <w:rsid w:val="5F775C2F"/>
    <w:rsid w:val="5F8536F5"/>
    <w:rsid w:val="5F857143"/>
    <w:rsid w:val="5F8D3732"/>
    <w:rsid w:val="5F8D48C9"/>
    <w:rsid w:val="5F8E4D72"/>
    <w:rsid w:val="5F925575"/>
    <w:rsid w:val="5F941697"/>
    <w:rsid w:val="5F942FDA"/>
    <w:rsid w:val="5F950838"/>
    <w:rsid w:val="5F984EEC"/>
    <w:rsid w:val="5FA52F14"/>
    <w:rsid w:val="5FA76FF0"/>
    <w:rsid w:val="5FA911F0"/>
    <w:rsid w:val="5FB837BB"/>
    <w:rsid w:val="5FB95AD1"/>
    <w:rsid w:val="5FBA1B9B"/>
    <w:rsid w:val="5FBB029F"/>
    <w:rsid w:val="5FC34763"/>
    <w:rsid w:val="5FC53002"/>
    <w:rsid w:val="5FC609F2"/>
    <w:rsid w:val="5FCA6F11"/>
    <w:rsid w:val="5FD2225B"/>
    <w:rsid w:val="5FDB5835"/>
    <w:rsid w:val="5FDB7B52"/>
    <w:rsid w:val="5FE13A7D"/>
    <w:rsid w:val="5FE16FE3"/>
    <w:rsid w:val="5FE771E7"/>
    <w:rsid w:val="5FE87E07"/>
    <w:rsid w:val="5FF24416"/>
    <w:rsid w:val="5FF4555F"/>
    <w:rsid w:val="5FF64227"/>
    <w:rsid w:val="5FF94438"/>
    <w:rsid w:val="5FF971C8"/>
    <w:rsid w:val="60011BE0"/>
    <w:rsid w:val="60025ECE"/>
    <w:rsid w:val="60031C46"/>
    <w:rsid w:val="6005151A"/>
    <w:rsid w:val="600C0AFA"/>
    <w:rsid w:val="601033A2"/>
    <w:rsid w:val="6011550A"/>
    <w:rsid w:val="601259E5"/>
    <w:rsid w:val="60170588"/>
    <w:rsid w:val="60195438"/>
    <w:rsid w:val="601E18C0"/>
    <w:rsid w:val="60240655"/>
    <w:rsid w:val="602A71D2"/>
    <w:rsid w:val="602C1292"/>
    <w:rsid w:val="604D240F"/>
    <w:rsid w:val="604F4E8B"/>
    <w:rsid w:val="60512BA9"/>
    <w:rsid w:val="60514A9F"/>
    <w:rsid w:val="60541D9A"/>
    <w:rsid w:val="60554B79"/>
    <w:rsid w:val="60567FC7"/>
    <w:rsid w:val="605E0C19"/>
    <w:rsid w:val="605F2329"/>
    <w:rsid w:val="60603A0C"/>
    <w:rsid w:val="60626CD8"/>
    <w:rsid w:val="60677735"/>
    <w:rsid w:val="606B19BF"/>
    <w:rsid w:val="606F4B42"/>
    <w:rsid w:val="606F4BE5"/>
    <w:rsid w:val="6075749E"/>
    <w:rsid w:val="607902C7"/>
    <w:rsid w:val="607C1407"/>
    <w:rsid w:val="60820545"/>
    <w:rsid w:val="60831ABD"/>
    <w:rsid w:val="60894991"/>
    <w:rsid w:val="608F7035"/>
    <w:rsid w:val="6094289E"/>
    <w:rsid w:val="609A4A1E"/>
    <w:rsid w:val="609D4491"/>
    <w:rsid w:val="609F254E"/>
    <w:rsid w:val="60B116A2"/>
    <w:rsid w:val="60B13610"/>
    <w:rsid w:val="60B44CEE"/>
    <w:rsid w:val="60B8623B"/>
    <w:rsid w:val="60B867A5"/>
    <w:rsid w:val="60BE0AD7"/>
    <w:rsid w:val="60BF5B6D"/>
    <w:rsid w:val="60C018E5"/>
    <w:rsid w:val="60CC405A"/>
    <w:rsid w:val="60CE0912"/>
    <w:rsid w:val="60D462BC"/>
    <w:rsid w:val="60D50770"/>
    <w:rsid w:val="60D801D1"/>
    <w:rsid w:val="60D96503"/>
    <w:rsid w:val="60DF620F"/>
    <w:rsid w:val="60E0295D"/>
    <w:rsid w:val="60E73D51"/>
    <w:rsid w:val="60EA79A6"/>
    <w:rsid w:val="60F554D2"/>
    <w:rsid w:val="60F90189"/>
    <w:rsid w:val="60FE6B6B"/>
    <w:rsid w:val="61001EB2"/>
    <w:rsid w:val="610D0ABC"/>
    <w:rsid w:val="610E78E5"/>
    <w:rsid w:val="61120392"/>
    <w:rsid w:val="6115578D"/>
    <w:rsid w:val="611565D4"/>
    <w:rsid w:val="61167A72"/>
    <w:rsid w:val="611759A9"/>
    <w:rsid w:val="612358EA"/>
    <w:rsid w:val="61237025"/>
    <w:rsid w:val="612C0778"/>
    <w:rsid w:val="61351088"/>
    <w:rsid w:val="6138591F"/>
    <w:rsid w:val="61445B9D"/>
    <w:rsid w:val="61447E20"/>
    <w:rsid w:val="6145071A"/>
    <w:rsid w:val="614E5143"/>
    <w:rsid w:val="615074AC"/>
    <w:rsid w:val="615640F5"/>
    <w:rsid w:val="6166050D"/>
    <w:rsid w:val="61696AD3"/>
    <w:rsid w:val="616C409A"/>
    <w:rsid w:val="617309B0"/>
    <w:rsid w:val="61747C2C"/>
    <w:rsid w:val="61761FA3"/>
    <w:rsid w:val="617821BF"/>
    <w:rsid w:val="61794F77"/>
    <w:rsid w:val="617C507F"/>
    <w:rsid w:val="618154D4"/>
    <w:rsid w:val="61891CD7"/>
    <w:rsid w:val="618927A0"/>
    <w:rsid w:val="618B1EF3"/>
    <w:rsid w:val="61915DCF"/>
    <w:rsid w:val="61952D71"/>
    <w:rsid w:val="61A274BD"/>
    <w:rsid w:val="61A73945"/>
    <w:rsid w:val="61A84853"/>
    <w:rsid w:val="61A94127"/>
    <w:rsid w:val="61B2122D"/>
    <w:rsid w:val="61B26849"/>
    <w:rsid w:val="61B84CCE"/>
    <w:rsid w:val="61BC4533"/>
    <w:rsid w:val="61C176C2"/>
    <w:rsid w:val="61C45474"/>
    <w:rsid w:val="61CA1B71"/>
    <w:rsid w:val="61CE3805"/>
    <w:rsid w:val="61D03C31"/>
    <w:rsid w:val="61D06D08"/>
    <w:rsid w:val="61D261ED"/>
    <w:rsid w:val="61D81D7A"/>
    <w:rsid w:val="61E215D8"/>
    <w:rsid w:val="61E70D16"/>
    <w:rsid w:val="61E82EA1"/>
    <w:rsid w:val="61E93D7E"/>
    <w:rsid w:val="61EA2E7A"/>
    <w:rsid w:val="61EA3E09"/>
    <w:rsid w:val="61FA2BD4"/>
    <w:rsid w:val="61FA4982"/>
    <w:rsid w:val="61FC694D"/>
    <w:rsid w:val="61FE0917"/>
    <w:rsid w:val="62024F58"/>
    <w:rsid w:val="62035F2D"/>
    <w:rsid w:val="6205712B"/>
    <w:rsid w:val="620847C0"/>
    <w:rsid w:val="6208709F"/>
    <w:rsid w:val="62132A20"/>
    <w:rsid w:val="62172E25"/>
    <w:rsid w:val="621B3277"/>
    <w:rsid w:val="621B3775"/>
    <w:rsid w:val="621E6D52"/>
    <w:rsid w:val="622019C2"/>
    <w:rsid w:val="62286805"/>
    <w:rsid w:val="62292A93"/>
    <w:rsid w:val="6229697B"/>
    <w:rsid w:val="622D1620"/>
    <w:rsid w:val="622F2563"/>
    <w:rsid w:val="622F4911"/>
    <w:rsid w:val="6230714F"/>
    <w:rsid w:val="62347E94"/>
    <w:rsid w:val="62364782"/>
    <w:rsid w:val="62377985"/>
    <w:rsid w:val="62382A94"/>
    <w:rsid w:val="62390C3F"/>
    <w:rsid w:val="62407F88"/>
    <w:rsid w:val="624327CD"/>
    <w:rsid w:val="6243457B"/>
    <w:rsid w:val="624F4CCE"/>
    <w:rsid w:val="62540537"/>
    <w:rsid w:val="62555001"/>
    <w:rsid w:val="62610F56"/>
    <w:rsid w:val="62654422"/>
    <w:rsid w:val="626B41EF"/>
    <w:rsid w:val="626C3AD2"/>
    <w:rsid w:val="626C6B86"/>
    <w:rsid w:val="62705956"/>
    <w:rsid w:val="627209BD"/>
    <w:rsid w:val="627625A5"/>
    <w:rsid w:val="627778A2"/>
    <w:rsid w:val="627818F5"/>
    <w:rsid w:val="62782477"/>
    <w:rsid w:val="62782E5E"/>
    <w:rsid w:val="627A1826"/>
    <w:rsid w:val="627F5A8E"/>
    <w:rsid w:val="6280568A"/>
    <w:rsid w:val="62842E61"/>
    <w:rsid w:val="628578AE"/>
    <w:rsid w:val="62857AB0"/>
    <w:rsid w:val="628C6EF7"/>
    <w:rsid w:val="62954A01"/>
    <w:rsid w:val="62966D01"/>
    <w:rsid w:val="62A41D6A"/>
    <w:rsid w:val="62A56FE4"/>
    <w:rsid w:val="62A7388A"/>
    <w:rsid w:val="62AC0373"/>
    <w:rsid w:val="62AD53F1"/>
    <w:rsid w:val="62B67FAD"/>
    <w:rsid w:val="62B71584"/>
    <w:rsid w:val="62BB0B0F"/>
    <w:rsid w:val="62BB2188"/>
    <w:rsid w:val="62BB6808"/>
    <w:rsid w:val="62C169B9"/>
    <w:rsid w:val="62C236F2"/>
    <w:rsid w:val="62C31A1B"/>
    <w:rsid w:val="62CA27A3"/>
    <w:rsid w:val="62CF7BBD"/>
    <w:rsid w:val="62D72BDE"/>
    <w:rsid w:val="62DB2AED"/>
    <w:rsid w:val="62E02F60"/>
    <w:rsid w:val="62E511DB"/>
    <w:rsid w:val="62EC6826"/>
    <w:rsid w:val="62EC7D19"/>
    <w:rsid w:val="62F00BE4"/>
    <w:rsid w:val="62F23C4B"/>
    <w:rsid w:val="62F810E9"/>
    <w:rsid w:val="62F86540"/>
    <w:rsid w:val="62F977F1"/>
    <w:rsid w:val="62FB0777"/>
    <w:rsid w:val="62FD68B3"/>
    <w:rsid w:val="63027872"/>
    <w:rsid w:val="63041F5D"/>
    <w:rsid w:val="630442B5"/>
    <w:rsid w:val="63091321"/>
    <w:rsid w:val="630930CF"/>
    <w:rsid w:val="630E4191"/>
    <w:rsid w:val="63105496"/>
    <w:rsid w:val="63163A3E"/>
    <w:rsid w:val="631A2E2B"/>
    <w:rsid w:val="631B69F2"/>
    <w:rsid w:val="632F219A"/>
    <w:rsid w:val="63304B4A"/>
    <w:rsid w:val="63343EC4"/>
    <w:rsid w:val="63351CAA"/>
    <w:rsid w:val="633D721D"/>
    <w:rsid w:val="634520EC"/>
    <w:rsid w:val="63461EEC"/>
    <w:rsid w:val="63486902"/>
    <w:rsid w:val="634E4F86"/>
    <w:rsid w:val="635051A2"/>
    <w:rsid w:val="6353259C"/>
    <w:rsid w:val="635974FF"/>
    <w:rsid w:val="63674FF9"/>
    <w:rsid w:val="63676048"/>
    <w:rsid w:val="636D6842"/>
    <w:rsid w:val="636F54AF"/>
    <w:rsid w:val="63724157"/>
    <w:rsid w:val="637807A0"/>
    <w:rsid w:val="637864A7"/>
    <w:rsid w:val="637A12C2"/>
    <w:rsid w:val="637C6E66"/>
    <w:rsid w:val="6380341F"/>
    <w:rsid w:val="63807109"/>
    <w:rsid w:val="6381342F"/>
    <w:rsid w:val="638763D9"/>
    <w:rsid w:val="63895C70"/>
    <w:rsid w:val="638E7A78"/>
    <w:rsid w:val="638F71D4"/>
    <w:rsid w:val="63931232"/>
    <w:rsid w:val="63932B55"/>
    <w:rsid w:val="6394356A"/>
    <w:rsid w:val="63953FA2"/>
    <w:rsid w:val="63970658"/>
    <w:rsid w:val="63974B7F"/>
    <w:rsid w:val="63A31776"/>
    <w:rsid w:val="63A365C7"/>
    <w:rsid w:val="63A57A90"/>
    <w:rsid w:val="63A6062F"/>
    <w:rsid w:val="63A6340B"/>
    <w:rsid w:val="63A81BA8"/>
    <w:rsid w:val="63A92B04"/>
    <w:rsid w:val="63B212A3"/>
    <w:rsid w:val="63B662DA"/>
    <w:rsid w:val="63B81CCF"/>
    <w:rsid w:val="63C03819"/>
    <w:rsid w:val="63C61B2C"/>
    <w:rsid w:val="63D17EA6"/>
    <w:rsid w:val="63D40BE9"/>
    <w:rsid w:val="63D43B3C"/>
    <w:rsid w:val="63DE39EA"/>
    <w:rsid w:val="63DF2082"/>
    <w:rsid w:val="63E079CB"/>
    <w:rsid w:val="63F06D02"/>
    <w:rsid w:val="63F568B1"/>
    <w:rsid w:val="63F96C30"/>
    <w:rsid w:val="63FE4C1B"/>
    <w:rsid w:val="63FF44D2"/>
    <w:rsid w:val="64045705"/>
    <w:rsid w:val="640D40A6"/>
    <w:rsid w:val="64102431"/>
    <w:rsid w:val="64114CB8"/>
    <w:rsid w:val="64131199"/>
    <w:rsid w:val="641536BE"/>
    <w:rsid w:val="64162907"/>
    <w:rsid w:val="6418315C"/>
    <w:rsid w:val="64184044"/>
    <w:rsid w:val="64265F03"/>
    <w:rsid w:val="642A5BE2"/>
    <w:rsid w:val="642B2624"/>
    <w:rsid w:val="642B3519"/>
    <w:rsid w:val="642E704C"/>
    <w:rsid w:val="642F1E02"/>
    <w:rsid w:val="64371293"/>
    <w:rsid w:val="64374EF8"/>
    <w:rsid w:val="64415D30"/>
    <w:rsid w:val="64482C5A"/>
    <w:rsid w:val="644C4E9D"/>
    <w:rsid w:val="644F259F"/>
    <w:rsid w:val="64517158"/>
    <w:rsid w:val="64540CC2"/>
    <w:rsid w:val="6454481E"/>
    <w:rsid w:val="645804F4"/>
    <w:rsid w:val="646003B3"/>
    <w:rsid w:val="646060BC"/>
    <w:rsid w:val="646A5DEF"/>
    <w:rsid w:val="647C3834"/>
    <w:rsid w:val="647C3D75"/>
    <w:rsid w:val="647D3761"/>
    <w:rsid w:val="647E4A19"/>
    <w:rsid w:val="647F52EC"/>
    <w:rsid w:val="64850E7B"/>
    <w:rsid w:val="64852C29"/>
    <w:rsid w:val="648A0240"/>
    <w:rsid w:val="648D138E"/>
    <w:rsid w:val="648D7D30"/>
    <w:rsid w:val="649030B3"/>
    <w:rsid w:val="64A00449"/>
    <w:rsid w:val="64A13B2C"/>
    <w:rsid w:val="64A51B2D"/>
    <w:rsid w:val="64A5243A"/>
    <w:rsid w:val="64A61F35"/>
    <w:rsid w:val="64A72D12"/>
    <w:rsid w:val="64AD5CFB"/>
    <w:rsid w:val="64AF6674"/>
    <w:rsid w:val="64B0133E"/>
    <w:rsid w:val="64B51049"/>
    <w:rsid w:val="64C2508B"/>
    <w:rsid w:val="64C574CA"/>
    <w:rsid w:val="64CF321D"/>
    <w:rsid w:val="64D67FEA"/>
    <w:rsid w:val="64D90805"/>
    <w:rsid w:val="64DC4773"/>
    <w:rsid w:val="64DD55CE"/>
    <w:rsid w:val="64E04C97"/>
    <w:rsid w:val="64E1442E"/>
    <w:rsid w:val="64E2758F"/>
    <w:rsid w:val="64E75692"/>
    <w:rsid w:val="64E97D5C"/>
    <w:rsid w:val="64EB560C"/>
    <w:rsid w:val="64F531DE"/>
    <w:rsid w:val="64F63B27"/>
    <w:rsid w:val="64FA7EF1"/>
    <w:rsid w:val="64FB2EEB"/>
    <w:rsid w:val="64FD39BC"/>
    <w:rsid w:val="65046BCA"/>
    <w:rsid w:val="6509385A"/>
    <w:rsid w:val="650A63BE"/>
    <w:rsid w:val="65130235"/>
    <w:rsid w:val="651435E1"/>
    <w:rsid w:val="65181CEF"/>
    <w:rsid w:val="651B09EE"/>
    <w:rsid w:val="652404E2"/>
    <w:rsid w:val="65266F67"/>
    <w:rsid w:val="652E3C0F"/>
    <w:rsid w:val="652E7A0E"/>
    <w:rsid w:val="652F0DE7"/>
    <w:rsid w:val="6530163A"/>
    <w:rsid w:val="653247FB"/>
    <w:rsid w:val="65336B29"/>
    <w:rsid w:val="65355DF9"/>
    <w:rsid w:val="65373578"/>
    <w:rsid w:val="653B572C"/>
    <w:rsid w:val="653D3504"/>
    <w:rsid w:val="653F1EA7"/>
    <w:rsid w:val="65423943"/>
    <w:rsid w:val="65472E29"/>
    <w:rsid w:val="6548383B"/>
    <w:rsid w:val="654E07CD"/>
    <w:rsid w:val="6558733B"/>
    <w:rsid w:val="65591DAB"/>
    <w:rsid w:val="656C666D"/>
    <w:rsid w:val="65744900"/>
    <w:rsid w:val="657613D2"/>
    <w:rsid w:val="657A70A6"/>
    <w:rsid w:val="657C4CC0"/>
    <w:rsid w:val="65847385"/>
    <w:rsid w:val="65865E9F"/>
    <w:rsid w:val="6589396E"/>
    <w:rsid w:val="658B2578"/>
    <w:rsid w:val="658B50AB"/>
    <w:rsid w:val="658C7FE7"/>
    <w:rsid w:val="658E5B0E"/>
    <w:rsid w:val="659830FE"/>
    <w:rsid w:val="65993E6E"/>
    <w:rsid w:val="659C46CE"/>
    <w:rsid w:val="65A25A5D"/>
    <w:rsid w:val="65A476F6"/>
    <w:rsid w:val="65A65FB1"/>
    <w:rsid w:val="65A83860"/>
    <w:rsid w:val="65AF25E9"/>
    <w:rsid w:val="65AF3460"/>
    <w:rsid w:val="65B16963"/>
    <w:rsid w:val="65B243BC"/>
    <w:rsid w:val="65B66DEA"/>
    <w:rsid w:val="65B80302"/>
    <w:rsid w:val="65BA6903"/>
    <w:rsid w:val="65BB2AF6"/>
    <w:rsid w:val="65BD2836"/>
    <w:rsid w:val="65BF1961"/>
    <w:rsid w:val="65C111B7"/>
    <w:rsid w:val="65C43C25"/>
    <w:rsid w:val="65C576AE"/>
    <w:rsid w:val="65C7198A"/>
    <w:rsid w:val="65C92FEA"/>
    <w:rsid w:val="65CA4684"/>
    <w:rsid w:val="65CB6D62"/>
    <w:rsid w:val="65CC0E9B"/>
    <w:rsid w:val="65D06126"/>
    <w:rsid w:val="65D1387D"/>
    <w:rsid w:val="65DA73CC"/>
    <w:rsid w:val="65DC4ACB"/>
    <w:rsid w:val="65E777D1"/>
    <w:rsid w:val="65E97C39"/>
    <w:rsid w:val="65ED4F2A"/>
    <w:rsid w:val="65EF127F"/>
    <w:rsid w:val="65F30067"/>
    <w:rsid w:val="65F43B01"/>
    <w:rsid w:val="65F500A7"/>
    <w:rsid w:val="65FA7647"/>
    <w:rsid w:val="65FD6DE2"/>
    <w:rsid w:val="65FF1D4D"/>
    <w:rsid w:val="65FF2424"/>
    <w:rsid w:val="660109D5"/>
    <w:rsid w:val="6601664A"/>
    <w:rsid w:val="66053EEB"/>
    <w:rsid w:val="66056E07"/>
    <w:rsid w:val="66065FEC"/>
    <w:rsid w:val="6607508D"/>
    <w:rsid w:val="660A0257"/>
    <w:rsid w:val="660C4727"/>
    <w:rsid w:val="660E2E6E"/>
    <w:rsid w:val="66170870"/>
    <w:rsid w:val="661853E7"/>
    <w:rsid w:val="661C7ED9"/>
    <w:rsid w:val="661E7317"/>
    <w:rsid w:val="662463E4"/>
    <w:rsid w:val="66271AA6"/>
    <w:rsid w:val="662A17C1"/>
    <w:rsid w:val="662D1B30"/>
    <w:rsid w:val="662D4566"/>
    <w:rsid w:val="66336550"/>
    <w:rsid w:val="66342450"/>
    <w:rsid w:val="6638520C"/>
    <w:rsid w:val="663937A1"/>
    <w:rsid w:val="663A5C95"/>
    <w:rsid w:val="66456B14"/>
    <w:rsid w:val="664803B2"/>
    <w:rsid w:val="66485C13"/>
    <w:rsid w:val="66485DC8"/>
    <w:rsid w:val="664A237C"/>
    <w:rsid w:val="664A412A"/>
    <w:rsid w:val="664C55A8"/>
    <w:rsid w:val="66662F8E"/>
    <w:rsid w:val="666A1995"/>
    <w:rsid w:val="6672542F"/>
    <w:rsid w:val="667411A7"/>
    <w:rsid w:val="66775427"/>
    <w:rsid w:val="6679056C"/>
    <w:rsid w:val="667927DD"/>
    <w:rsid w:val="667F1E9F"/>
    <w:rsid w:val="66800C9F"/>
    <w:rsid w:val="66815BB8"/>
    <w:rsid w:val="66826A6F"/>
    <w:rsid w:val="668A0FC1"/>
    <w:rsid w:val="668B029F"/>
    <w:rsid w:val="669265A4"/>
    <w:rsid w:val="6694184A"/>
    <w:rsid w:val="66954F1E"/>
    <w:rsid w:val="66967370"/>
    <w:rsid w:val="669E6224"/>
    <w:rsid w:val="66A016B9"/>
    <w:rsid w:val="66A11AEE"/>
    <w:rsid w:val="66A64A6A"/>
    <w:rsid w:val="66AA6977"/>
    <w:rsid w:val="66AC79F5"/>
    <w:rsid w:val="66B0019C"/>
    <w:rsid w:val="66B772E6"/>
    <w:rsid w:val="66B97195"/>
    <w:rsid w:val="66BB0B84"/>
    <w:rsid w:val="66BC09E3"/>
    <w:rsid w:val="66C11F13"/>
    <w:rsid w:val="66C534E6"/>
    <w:rsid w:val="66C832A1"/>
    <w:rsid w:val="66CA526B"/>
    <w:rsid w:val="66CE3047"/>
    <w:rsid w:val="66D71E37"/>
    <w:rsid w:val="66DC5DEE"/>
    <w:rsid w:val="66DC6450"/>
    <w:rsid w:val="66E63727"/>
    <w:rsid w:val="66E82263"/>
    <w:rsid w:val="66E8749F"/>
    <w:rsid w:val="66EA796E"/>
    <w:rsid w:val="66ED2D08"/>
    <w:rsid w:val="66F44096"/>
    <w:rsid w:val="66F83C73"/>
    <w:rsid w:val="66FA4BA0"/>
    <w:rsid w:val="66FB5425"/>
    <w:rsid w:val="67034111"/>
    <w:rsid w:val="6706262C"/>
    <w:rsid w:val="670A6088"/>
    <w:rsid w:val="670E516D"/>
    <w:rsid w:val="670F0ED0"/>
    <w:rsid w:val="671604B0"/>
    <w:rsid w:val="67165330"/>
    <w:rsid w:val="671A6C35"/>
    <w:rsid w:val="671D552C"/>
    <w:rsid w:val="671F124A"/>
    <w:rsid w:val="67201F39"/>
    <w:rsid w:val="67222BCE"/>
    <w:rsid w:val="672274EB"/>
    <w:rsid w:val="67237B54"/>
    <w:rsid w:val="67254250"/>
    <w:rsid w:val="67264E20"/>
    <w:rsid w:val="6727446C"/>
    <w:rsid w:val="672F3320"/>
    <w:rsid w:val="67341AAC"/>
    <w:rsid w:val="673979C5"/>
    <w:rsid w:val="67397CFB"/>
    <w:rsid w:val="674212A6"/>
    <w:rsid w:val="67430B7A"/>
    <w:rsid w:val="67441712"/>
    <w:rsid w:val="67490664"/>
    <w:rsid w:val="67512142"/>
    <w:rsid w:val="6755677A"/>
    <w:rsid w:val="676520A4"/>
    <w:rsid w:val="676663B4"/>
    <w:rsid w:val="67694A84"/>
    <w:rsid w:val="67703441"/>
    <w:rsid w:val="67790849"/>
    <w:rsid w:val="677A33C6"/>
    <w:rsid w:val="677B1F86"/>
    <w:rsid w:val="679348FA"/>
    <w:rsid w:val="67963A3C"/>
    <w:rsid w:val="67973300"/>
    <w:rsid w:val="679E56E3"/>
    <w:rsid w:val="679F6B5E"/>
    <w:rsid w:val="67A05FCC"/>
    <w:rsid w:val="67A32996"/>
    <w:rsid w:val="67AC05B8"/>
    <w:rsid w:val="67AD2607"/>
    <w:rsid w:val="67AE3A97"/>
    <w:rsid w:val="67B32C30"/>
    <w:rsid w:val="67B87403"/>
    <w:rsid w:val="67BA5B26"/>
    <w:rsid w:val="67BB003D"/>
    <w:rsid w:val="67BE0FC1"/>
    <w:rsid w:val="67BF28F6"/>
    <w:rsid w:val="67C11F46"/>
    <w:rsid w:val="67C3130F"/>
    <w:rsid w:val="67C439C6"/>
    <w:rsid w:val="67C5345F"/>
    <w:rsid w:val="67C65A33"/>
    <w:rsid w:val="67CE0D8B"/>
    <w:rsid w:val="67D46EF3"/>
    <w:rsid w:val="67D61EEB"/>
    <w:rsid w:val="67DF4D79"/>
    <w:rsid w:val="67E027FB"/>
    <w:rsid w:val="67E20393"/>
    <w:rsid w:val="67E6412F"/>
    <w:rsid w:val="67E65ED5"/>
    <w:rsid w:val="67ED628D"/>
    <w:rsid w:val="68097770"/>
    <w:rsid w:val="680B5A60"/>
    <w:rsid w:val="680C4F78"/>
    <w:rsid w:val="68142C42"/>
    <w:rsid w:val="681F6961"/>
    <w:rsid w:val="68203394"/>
    <w:rsid w:val="682057E3"/>
    <w:rsid w:val="682643BE"/>
    <w:rsid w:val="6832790E"/>
    <w:rsid w:val="68364B21"/>
    <w:rsid w:val="68365042"/>
    <w:rsid w:val="68373BBF"/>
    <w:rsid w:val="6838538E"/>
    <w:rsid w:val="683C5CF5"/>
    <w:rsid w:val="683E214F"/>
    <w:rsid w:val="683F7593"/>
    <w:rsid w:val="68420E31"/>
    <w:rsid w:val="6842721E"/>
    <w:rsid w:val="68430781"/>
    <w:rsid w:val="68430CA2"/>
    <w:rsid w:val="68430E58"/>
    <w:rsid w:val="68494FD3"/>
    <w:rsid w:val="68497369"/>
    <w:rsid w:val="684D75AC"/>
    <w:rsid w:val="68517B9D"/>
    <w:rsid w:val="68522A3E"/>
    <w:rsid w:val="68595181"/>
    <w:rsid w:val="68610A2F"/>
    <w:rsid w:val="68626DA9"/>
    <w:rsid w:val="686B2D87"/>
    <w:rsid w:val="686C0F86"/>
    <w:rsid w:val="686F5562"/>
    <w:rsid w:val="68710AB1"/>
    <w:rsid w:val="68751AA8"/>
    <w:rsid w:val="68760770"/>
    <w:rsid w:val="68805514"/>
    <w:rsid w:val="6889198F"/>
    <w:rsid w:val="688D2B5D"/>
    <w:rsid w:val="689340DA"/>
    <w:rsid w:val="68946690"/>
    <w:rsid w:val="689E1934"/>
    <w:rsid w:val="689E60B1"/>
    <w:rsid w:val="689E69AF"/>
    <w:rsid w:val="68A32539"/>
    <w:rsid w:val="68AB61CD"/>
    <w:rsid w:val="68AC79CD"/>
    <w:rsid w:val="68B22C67"/>
    <w:rsid w:val="68B61BDB"/>
    <w:rsid w:val="68B7537B"/>
    <w:rsid w:val="68BA405E"/>
    <w:rsid w:val="68BC0BE4"/>
    <w:rsid w:val="68BE7F21"/>
    <w:rsid w:val="68BF1C67"/>
    <w:rsid w:val="68C006D4"/>
    <w:rsid w:val="68C62B27"/>
    <w:rsid w:val="68C6580E"/>
    <w:rsid w:val="68C83429"/>
    <w:rsid w:val="68D777CC"/>
    <w:rsid w:val="68DB72BC"/>
    <w:rsid w:val="68DD74D8"/>
    <w:rsid w:val="68E02B24"/>
    <w:rsid w:val="68E21FF0"/>
    <w:rsid w:val="68E31BD1"/>
    <w:rsid w:val="68EA0173"/>
    <w:rsid w:val="68F71C1C"/>
    <w:rsid w:val="68F71D0E"/>
    <w:rsid w:val="68F75FCA"/>
    <w:rsid w:val="68FB170C"/>
    <w:rsid w:val="68FB5BB0"/>
    <w:rsid w:val="69025032"/>
    <w:rsid w:val="690412D8"/>
    <w:rsid w:val="690647DC"/>
    <w:rsid w:val="690D143F"/>
    <w:rsid w:val="690E6278"/>
    <w:rsid w:val="69100406"/>
    <w:rsid w:val="69125186"/>
    <w:rsid w:val="69166546"/>
    <w:rsid w:val="691B6CFF"/>
    <w:rsid w:val="691D3625"/>
    <w:rsid w:val="691E2BE3"/>
    <w:rsid w:val="691E4967"/>
    <w:rsid w:val="692644EC"/>
    <w:rsid w:val="69280027"/>
    <w:rsid w:val="69280ED7"/>
    <w:rsid w:val="692C5D69"/>
    <w:rsid w:val="69316E2F"/>
    <w:rsid w:val="693A7F09"/>
    <w:rsid w:val="693D5E8F"/>
    <w:rsid w:val="694766FF"/>
    <w:rsid w:val="6949691B"/>
    <w:rsid w:val="694E2071"/>
    <w:rsid w:val="694F1A58"/>
    <w:rsid w:val="69766163"/>
    <w:rsid w:val="697A3B33"/>
    <w:rsid w:val="697B0A9F"/>
    <w:rsid w:val="697B41D2"/>
    <w:rsid w:val="697E59BE"/>
    <w:rsid w:val="698066A4"/>
    <w:rsid w:val="69833DCE"/>
    <w:rsid w:val="69851D54"/>
    <w:rsid w:val="69866811"/>
    <w:rsid w:val="69911DD0"/>
    <w:rsid w:val="69971724"/>
    <w:rsid w:val="69992312"/>
    <w:rsid w:val="699A724E"/>
    <w:rsid w:val="69B018C1"/>
    <w:rsid w:val="69B048EF"/>
    <w:rsid w:val="69B55AF0"/>
    <w:rsid w:val="69B905E2"/>
    <w:rsid w:val="69BF3B13"/>
    <w:rsid w:val="69C064B2"/>
    <w:rsid w:val="69CC1D57"/>
    <w:rsid w:val="69CE58AE"/>
    <w:rsid w:val="69D31390"/>
    <w:rsid w:val="69D44760"/>
    <w:rsid w:val="69D63F27"/>
    <w:rsid w:val="69E4773D"/>
    <w:rsid w:val="69EC32FE"/>
    <w:rsid w:val="69F119F4"/>
    <w:rsid w:val="69F71B66"/>
    <w:rsid w:val="69F85C4B"/>
    <w:rsid w:val="69FA19C4"/>
    <w:rsid w:val="69FC1C8E"/>
    <w:rsid w:val="69FE14F0"/>
    <w:rsid w:val="6A021292"/>
    <w:rsid w:val="6A0D0F9F"/>
    <w:rsid w:val="6A136F29"/>
    <w:rsid w:val="6A14250A"/>
    <w:rsid w:val="6A1A691F"/>
    <w:rsid w:val="6A1D29A9"/>
    <w:rsid w:val="6A1D3904"/>
    <w:rsid w:val="6A1E7827"/>
    <w:rsid w:val="6A250730"/>
    <w:rsid w:val="6A2F7A10"/>
    <w:rsid w:val="6A304232"/>
    <w:rsid w:val="6A333509"/>
    <w:rsid w:val="6A337DDD"/>
    <w:rsid w:val="6A39656C"/>
    <w:rsid w:val="6A3F7ACC"/>
    <w:rsid w:val="6A401CB8"/>
    <w:rsid w:val="6A42015E"/>
    <w:rsid w:val="6A425452"/>
    <w:rsid w:val="6A433642"/>
    <w:rsid w:val="6A477F6A"/>
    <w:rsid w:val="6A4A73F1"/>
    <w:rsid w:val="6A520EC7"/>
    <w:rsid w:val="6A53650D"/>
    <w:rsid w:val="6A553A32"/>
    <w:rsid w:val="6A57516F"/>
    <w:rsid w:val="6A5D6C72"/>
    <w:rsid w:val="6A6235B7"/>
    <w:rsid w:val="6A6257BB"/>
    <w:rsid w:val="6A6A2D76"/>
    <w:rsid w:val="6A6B735D"/>
    <w:rsid w:val="6A71346D"/>
    <w:rsid w:val="6A742F09"/>
    <w:rsid w:val="6A794FDE"/>
    <w:rsid w:val="6A7A265C"/>
    <w:rsid w:val="6A7A3035"/>
    <w:rsid w:val="6A7B243E"/>
    <w:rsid w:val="6A7B27A9"/>
    <w:rsid w:val="6A837C0B"/>
    <w:rsid w:val="6A841BD5"/>
    <w:rsid w:val="6A865F51"/>
    <w:rsid w:val="6A890F99"/>
    <w:rsid w:val="6A8C58DC"/>
    <w:rsid w:val="6A8F63BD"/>
    <w:rsid w:val="6A984853"/>
    <w:rsid w:val="6AA13A6B"/>
    <w:rsid w:val="6AA33E09"/>
    <w:rsid w:val="6AA7208F"/>
    <w:rsid w:val="6AA9734A"/>
    <w:rsid w:val="6AB57FE0"/>
    <w:rsid w:val="6AB72182"/>
    <w:rsid w:val="6AB75B07"/>
    <w:rsid w:val="6ABD54CC"/>
    <w:rsid w:val="6AC02C0D"/>
    <w:rsid w:val="6AC344AB"/>
    <w:rsid w:val="6AC50223"/>
    <w:rsid w:val="6AC60321"/>
    <w:rsid w:val="6AC76600"/>
    <w:rsid w:val="6AC76706"/>
    <w:rsid w:val="6ACB53C1"/>
    <w:rsid w:val="6ACD70D8"/>
    <w:rsid w:val="6AD77F57"/>
    <w:rsid w:val="6ADB239F"/>
    <w:rsid w:val="6ADB5DB0"/>
    <w:rsid w:val="6ADD7165"/>
    <w:rsid w:val="6ADE1E63"/>
    <w:rsid w:val="6AE01877"/>
    <w:rsid w:val="6AE30927"/>
    <w:rsid w:val="6AE61F48"/>
    <w:rsid w:val="6AEF520E"/>
    <w:rsid w:val="6AF3041C"/>
    <w:rsid w:val="6AF705F9"/>
    <w:rsid w:val="6AF87E20"/>
    <w:rsid w:val="6AF942B5"/>
    <w:rsid w:val="6AFB0AEC"/>
    <w:rsid w:val="6AFC64A2"/>
    <w:rsid w:val="6B0845B4"/>
    <w:rsid w:val="6B0E04B9"/>
    <w:rsid w:val="6B104D22"/>
    <w:rsid w:val="6B122D3D"/>
    <w:rsid w:val="6B150A32"/>
    <w:rsid w:val="6B196A05"/>
    <w:rsid w:val="6B213A15"/>
    <w:rsid w:val="6B215608"/>
    <w:rsid w:val="6B2A6A5F"/>
    <w:rsid w:val="6B2B5474"/>
    <w:rsid w:val="6B2F435D"/>
    <w:rsid w:val="6B2F7D93"/>
    <w:rsid w:val="6B322639"/>
    <w:rsid w:val="6B380692"/>
    <w:rsid w:val="6B3F3E52"/>
    <w:rsid w:val="6B414E2C"/>
    <w:rsid w:val="6B421874"/>
    <w:rsid w:val="6B4E54B0"/>
    <w:rsid w:val="6B54127A"/>
    <w:rsid w:val="6B5D66AE"/>
    <w:rsid w:val="6B5E41D4"/>
    <w:rsid w:val="6B616BB9"/>
    <w:rsid w:val="6B6317EA"/>
    <w:rsid w:val="6B647753"/>
    <w:rsid w:val="6B686E01"/>
    <w:rsid w:val="6B713F07"/>
    <w:rsid w:val="6B79554B"/>
    <w:rsid w:val="6B7D3DF4"/>
    <w:rsid w:val="6B7F73BC"/>
    <w:rsid w:val="6B8050BC"/>
    <w:rsid w:val="6B822971"/>
    <w:rsid w:val="6B8538F6"/>
    <w:rsid w:val="6B8A2C35"/>
    <w:rsid w:val="6B8A4FC9"/>
    <w:rsid w:val="6B905F88"/>
    <w:rsid w:val="6B915026"/>
    <w:rsid w:val="6B994A5D"/>
    <w:rsid w:val="6B9B310B"/>
    <w:rsid w:val="6B9C5818"/>
    <w:rsid w:val="6BA31452"/>
    <w:rsid w:val="6BA4226C"/>
    <w:rsid w:val="6BA57DFF"/>
    <w:rsid w:val="6BAB5D34"/>
    <w:rsid w:val="6BAE18B0"/>
    <w:rsid w:val="6BAE515B"/>
    <w:rsid w:val="6BAF387A"/>
    <w:rsid w:val="6BB564B9"/>
    <w:rsid w:val="6BC229B5"/>
    <w:rsid w:val="6BC62B46"/>
    <w:rsid w:val="6BCA6012"/>
    <w:rsid w:val="6BCB7ABB"/>
    <w:rsid w:val="6BCC3834"/>
    <w:rsid w:val="6BCE220C"/>
    <w:rsid w:val="6BD72F65"/>
    <w:rsid w:val="6BDA065F"/>
    <w:rsid w:val="6BDF7488"/>
    <w:rsid w:val="6BE102FE"/>
    <w:rsid w:val="6BE73D9E"/>
    <w:rsid w:val="6BF90704"/>
    <w:rsid w:val="6BFA5AB3"/>
    <w:rsid w:val="6BFC7B3D"/>
    <w:rsid w:val="6C005CE7"/>
    <w:rsid w:val="6C032026"/>
    <w:rsid w:val="6C0F54CE"/>
    <w:rsid w:val="6C130940"/>
    <w:rsid w:val="6C1B4DB5"/>
    <w:rsid w:val="6C1D408F"/>
    <w:rsid w:val="6C1D7BEB"/>
    <w:rsid w:val="6C260C93"/>
    <w:rsid w:val="6C267BFC"/>
    <w:rsid w:val="6C2947E2"/>
    <w:rsid w:val="6C297D9E"/>
    <w:rsid w:val="6C2E783A"/>
    <w:rsid w:val="6C2F0D7C"/>
    <w:rsid w:val="6C2F456B"/>
    <w:rsid w:val="6C323B8B"/>
    <w:rsid w:val="6C340BCC"/>
    <w:rsid w:val="6C3867D3"/>
    <w:rsid w:val="6C3A0673"/>
    <w:rsid w:val="6C3D370F"/>
    <w:rsid w:val="6C3D3BAD"/>
    <w:rsid w:val="6C3E27AC"/>
    <w:rsid w:val="6C445178"/>
    <w:rsid w:val="6C45090D"/>
    <w:rsid w:val="6C494E84"/>
    <w:rsid w:val="6C4C59CB"/>
    <w:rsid w:val="6C4D4027"/>
    <w:rsid w:val="6C5E0930"/>
    <w:rsid w:val="6C636C38"/>
    <w:rsid w:val="6C643A6C"/>
    <w:rsid w:val="6C664248"/>
    <w:rsid w:val="6C684A88"/>
    <w:rsid w:val="6C6F75E5"/>
    <w:rsid w:val="6C7227EB"/>
    <w:rsid w:val="6C726189"/>
    <w:rsid w:val="6C735A5D"/>
    <w:rsid w:val="6C743198"/>
    <w:rsid w:val="6C77456B"/>
    <w:rsid w:val="6C7843B5"/>
    <w:rsid w:val="6C7A1DDB"/>
    <w:rsid w:val="6C7D060B"/>
    <w:rsid w:val="6C7D698A"/>
    <w:rsid w:val="6C832144"/>
    <w:rsid w:val="6C833123"/>
    <w:rsid w:val="6C861855"/>
    <w:rsid w:val="6C920E73"/>
    <w:rsid w:val="6C9328BE"/>
    <w:rsid w:val="6C96452E"/>
    <w:rsid w:val="6C967E80"/>
    <w:rsid w:val="6C997F3B"/>
    <w:rsid w:val="6C9D6EE8"/>
    <w:rsid w:val="6C9F4DAD"/>
    <w:rsid w:val="6CA13C29"/>
    <w:rsid w:val="6CA351A2"/>
    <w:rsid w:val="6CA4287F"/>
    <w:rsid w:val="6CA67BE1"/>
    <w:rsid w:val="6CA91F70"/>
    <w:rsid w:val="6CA975D8"/>
    <w:rsid w:val="6CAB36AD"/>
    <w:rsid w:val="6CAB36D8"/>
    <w:rsid w:val="6CC10EBE"/>
    <w:rsid w:val="6CC2341A"/>
    <w:rsid w:val="6CC45CF8"/>
    <w:rsid w:val="6CC60283"/>
    <w:rsid w:val="6CC91625"/>
    <w:rsid w:val="6CCE28A2"/>
    <w:rsid w:val="6CCF08E7"/>
    <w:rsid w:val="6CD009DE"/>
    <w:rsid w:val="6CD00D49"/>
    <w:rsid w:val="6CD0141F"/>
    <w:rsid w:val="6CD12293"/>
    <w:rsid w:val="6CD61A56"/>
    <w:rsid w:val="6CD8343A"/>
    <w:rsid w:val="6CDB4A0E"/>
    <w:rsid w:val="6CDB520D"/>
    <w:rsid w:val="6CDD63F2"/>
    <w:rsid w:val="6CDF6931"/>
    <w:rsid w:val="6CE1418C"/>
    <w:rsid w:val="6CE355F5"/>
    <w:rsid w:val="6CE4695B"/>
    <w:rsid w:val="6CE81FA7"/>
    <w:rsid w:val="6CEC6C65"/>
    <w:rsid w:val="6CF21078"/>
    <w:rsid w:val="6CF303EA"/>
    <w:rsid w:val="6CF47A31"/>
    <w:rsid w:val="6CF515C7"/>
    <w:rsid w:val="6D0072BA"/>
    <w:rsid w:val="6D0938B4"/>
    <w:rsid w:val="6D093C1F"/>
    <w:rsid w:val="6D0B038C"/>
    <w:rsid w:val="6D100875"/>
    <w:rsid w:val="6D125276"/>
    <w:rsid w:val="6D16193B"/>
    <w:rsid w:val="6D233CCC"/>
    <w:rsid w:val="6D233E90"/>
    <w:rsid w:val="6D2D3750"/>
    <w:rsid w:val="6D30394E"/>
    <w:rsid w:val="6D316241"/>
    <w:rsid w:val="6D321474"/>
    <w:rsid w:val="6D3451EC"/>
    <w:rsid w:val="6D3618D2"/>
    <w:rsid w:val="6D364CFE"/>
    <w:rsid w:val="6D411D30"/>
    <w:rsid w:val="6D446D4F"/>
    <w:rsid w:val="6D4549E6"/>
    <w:rsid w:val="6D45564C"/>
    <w:rsid w:val="6D4A0EB4"/>
    <w:rsid w:val="6D4A44DB"/>
    <w:rsid w:val="6D4C4D5E"/>
    <w:rsid w:val="6D4C59E2"/>
    <w:rsid w:val="6D512242"/>
    <w:rsid w:val="6D526D38"/>
    <w:rsid w:val="6D547936"/>
    <w:rsid w:val="6D5B17B0"/>
    <w:rsid w:val="6D601880"/>
    <w:rsid w:val="6D602485"/>
    <w:rsid w:val="6D621B82"/>
    <w:rsid w:val="6D653C86"/>
    <w:rsid w:val="6D6B2492"/>
    <w:rsid w:val="6D7F6140"/>
    <w:rsid w:val="6D8D2B4F"/>
    <w:rsid w:val="6D9D5488"/>
    <w:rsid w:val="6D9E678A"/>
    <w:rsid w:val="6DA87988"/>
    <w:rsid w:val="6DAA75C3"/>
    <w:rsid w:val="6DAE20B4"/>
    <w:rsid w:val="6DB34098"/>
    <w:rsid w:val="6DB545B6"/>
    <w:rsid w:val="6DB86AA0"/>
    <w:rsid w:val="6DBA3368"/>
    <w:rsid w:val="6DC04CD2"/>
    <w:rsid w:val="6DC618A6"/>
    <w:rsid w:val="6DCC0119"/>
    <w:rsid w:val="6DCC3677"/>
    <w:rsid w:val="6DD07C38"/>
    <w:rsid w:val="6DD227AB"/>
    <w:rsid w:val="6DD2469D"/>
    <w:rsid w:val="6DD36D10"/>
    <w:rsid w:val="6DD4663E"/>
    <w:rsid w:val="6DD93FE6"/>
    <w:rsid w:val="6DDB64CE"/>
    <w:rsid w:val="6DE02FB4"/>
    <w:rsid w:val="6DE377D2"/>
    <w:rsid w:val="6DEA0FF9"/>
    <w:rsid w:val="6DEA7FA1"/>
    <w:rsid w:val="6DEC53E6"/>
    <w:rsid w:val="6DED70C2"/>
    <w:rsid w:val="6DED7568"/>
    <w:rsid w:val="6DF337EC"/>
    <w:rsid w:val="6DFF5B12"/>
    <w:rsid w:val="6E002E86"/>
    <w:rsid w:val="6E0146AF"/>
    <w:rsid w:val="6E0252EB"/>
    <w:rsid w:val="6E027C29"/>
    <w:rsid w:val="6E03333B"/>
    <w:rsid w:val="6E0407B8"/>
    <w:rsid w:val="6E085B93"/>
    <w:rsid w:val="6E0E1EE1"/>
    <w:rsid w:val="6E1A3E0B"/>
    <w:rsid w:val="6E1B63AC"/>
    <w:rsid w:val="6E1F58A5"/>
    <w:rsid w:val="6E25115A"/>
    <w:rsid w:val="6E2D223D"/>
    <w:rsid w:val="6E340ADE"/>
    <w:rsid w:val="6E376F09"/>
    <w:rsid w:val="6E3A0E16"/>
    <w:rsid w:val="6E3A408D"/>
    <w:rsid w:val="6E3B3456"/>
    <w:rsid w:val="6E413283"/>
    <w:rsid w:val="6E4512D6"/>
    <w:rsid w:val="6E475B2E"/>
    <w:rsid w:val="6E4D5442"/>
    <w:rsid w:val="6E4F7FF6"/>
    <w:rsid w:val="6E503A09"/>
    <w:rsid w:val="6E514CED"/>
    <w:rsid w:val="6E5210EE"/>
    <w:rsid w:val="6E57007A"/>
    <w:rsid w:val="6E5813AF"/>
    <w:rsid w:val="6E5F4684"/>
    <w:rsid w:val="6E601AA5"/>
    <w:rsid w:val="6E6E0BD2"/>
    <w:rsid w:val="6E6E0DBB"/>
    <w:rsid w:val="6E71421E"/>
    <w:rsid w:val="6E7855AD"/>
    <w:rsid w:val="6E795BCA"/>
    <w:rsid w:val="6E7D2524"/>
    <w:rsid w:val="6E7D7067"/>
    <w:rsid w:val="6E7F693B"/>
    <w:rsid w:val="6E85656F"/>
    <w:rsid w:val="6E866AA3"/>
    <w:rsid w:val="6E8C2E06"/>
    <w:rsid w:val="6E9128A6"/>
    <w:rsid w:val="6E954194"/>
    <w:rsid w:val="6E992F04"/>
    <w:rsid w:val="6EA0448C"/>
    <w:rsid w:val="6EA463A2"/>
    <w:rsid w:val="6EAF6227"/>
    <w:rsid w:val="6EAF63DD"/>
    <w:rsid w:val="6EB563D5"/>
    <w:rsid w:val="6EB84DF6"/>
    <w:rsid w:val="6EBC0B3A"/>
    <w:rsid w:val="6EBD1446"/>
    <w:rsid w:val="6EBE3907"/>
    <w:rsid w:val="6ECD2B0B"/>
    <w:rsid w:val="6ECD6B0B"/>
    <w:rsid w:val="6ECF651E"/>
    <w:rsid w:val="6ED400FB"/>
    <w:rsid w:val="6ED92677"/>
    <w:rsid w:val="6ED9594A"/>
    <w:rsid w:val="6EDB4DC7"/>
    <w:rsid w:val="6EDF387E"/>
    <w:rsid w:val="6EE345B3"/>
    <w:rsid w:val="6EEA46FD"/>
    <w:rsid w:val="6EEC3FE5"/>
    <w:rsid w:val="6EED7335"/>
    <w:rsid w:val="6EF908FE"/>
    <w:rsid w:val="6EFE0E88"/>
    <w:rsid w:val="6EFE4E26"/>
    <w:rsid w:val="6F012FA0"/>
    <w:rsid w:val="6F05256C"/>
    <w:rsid w:val="6F0532E4"/>
    <w:rsid w:val="6F062BB9"/>
    <w:rsid w:val="6F105EF0"/>
    <w:rsid w:val="6F1B6725"/>
    <w:rsid w:val="6F1C23DC"/>
    <w:rsid w:val="6F1F19DF"/>
    <w:rsid w:val="6F1F1ECC"/>
    <w:rsid w:val="6F225983"/>
    <w:rsid w:val="6F2316CE"/>
    <w:rsid w:val="6F240E42"/>
    <w:rsid w:val="6F286FD3"/>
    <w:rsid w:val="6F287EEA"/>
    <w:rsid w:val="6F3109DA"/>
    <w:rsid w:val="6F3239AE"/>
    <w:rsid w:val="6F380483"/>
    <w:rsid w:val="6F3C5F3C"/>
    <w:rsid w:val="6F3F0FBC"/>
    <w:rsid w:val="6F401113"/>
    <w:rsid w:val="6F402272"/>
    <w:rsid w:val="6F457B85"/>
    <w:rsid w:val="6F466764"/>
    <w:rsid w:val="6F467459"/>
    <w:rsid w:val="6F4F0424"/>
    <w:rsid w:val="6F5002D8"/>
    <w:rsid w:val="6F563B40"/>
    <w:rsid w:val="6F6311CD"/>
    <w:rsid w:val="6F6A1399"/>
    <w:rsid w:val="6F6F043D"/>
    <w:rsid w:val="6F745D74"/>
    <w:rsid w:val="6F755D6A"/>
    <w:rsid w:val="6F7B6738"/>
    <w:rsid w:val="6F7E4E45"/>
    <w:rsid w:val="6F887A72"/>
    <w:rsid w:val="6F8C5F60"/>
    <w:rsid w:val="6F92247E"/>
    <w:rsid w:val="6F926B42"/>
    <w:rsid w:val="6F937367"/>
    <w:rsid w:val="6F9603E0"/>
    <w:rsid w:val="6F993A2D"/>
    <w:rsid w:val="6F9A0528"/>
    <w:rsid w:val="6F9B1682"/>
    <w:rsid w:val="6FA33526"/>
    <w:rsid w:val="6FA40CFB"/>
    <w:rsid w:val="6FA42CB6"/>
    <w:rsid w:val="6FA431BE"/>
    <w:rsid w:val="6FA5448B"/>
    <w:rsid w:val="6FA61EDA"/>
    <w:rsid w:val="6FA652D6"/>
    <w:rsid w:val="6FA81EC2"/>
    <w:rsid w:val="6FAC19B2"/>
    <w:rsid w:val="6FB34015"/>
    <w:rsid w:val="6FBC771B"/>
    <w:rsid w:val="6FC46FA9"/>
    <w:rsid w:val="6FCC795E"/>
    <w:rsid w:val="6FCF2F80"/>
    <w:rsid w:val="6FD256EB"/>
    <w:rsid w:val="6FD601DD"/>
    <w:rsid w:val="6FD81756"/>
    <w:rsid w:val="6FD864AA"/>
    <w:rsid w:val="6FDD577E"/>
    <w:rsid w:val="6FDE58E3"/>
    <w:rsid w:val="6FE16D2C"/>
    <w:rsid w:val="6FE21015"/>
    <w:rsid w:val="6FE3639E"/>
    <w:rsid w:val="6FE40D44"/>
    <w:rsid w:val="6FE67F50"/>
    <w:rsid w:val="6FF4180D"/>
    <w:rsid w:val="6FF54D63"/>
    <w:rsid w:val="6FF9096F"/>
    <w:rsid w:val="6FFC5590"/>
    <w:rsid w:val="6FFD4572"/>
    <w:rsid w:val="6FFE360F"/>
    <w:rsid w:val="700630E4"/>
    <w:rsid w:val="700E7CBA"/>
    <w:rsid w:val="701A5722"/>
    <w:rsid w:val="70221C74"/>
    <w:rsid w:val="702932C7"/>
    <w:rsid w:val="70294DB1"/>
    <w:rsid w:val="70385584"/>
    <w:rsid w:val="70425E72"/>
    <w:rsid w:val="7047516D"/>
    <w:rsid w:val="70485E9C"/>
    <w:rsid w:val="704A2F79"/>
    <w:rsid w:val="705160AC"/>
    <w:rsid w:val="7056334C"/>
    <w:rsid w:val="705636CC"/>
    <w:rsid w:val="70577FA3"/>
    <w:rsid w:val="705D0EFE"/>
    <w:rsid w:val="705F4E88"/>
    <w:rsid w:val="70643377"/>
    <w:rsid w:val="706450BB"/>
    <w:rsid w:val="706630F4"/>
    <w:rsid w:val="706732A6"/>
    <w:rsid w:val="706865F7"/>
    <w:rsid w:val="706B6D2D"/>
    <w:rsid w:val="706D1DD0"/>
    <w:rsid w:val="707120B4"/>
    <w:rsid w:val="70744886"/>
    <w:rsid w:val="7075449A"/>
    <w:rsid w:val="7076081A"/>
    <w:rsid w:val="70795D2D"/>
    <w:rsid w:val="708228FC"/>
    <w:rsid w:val="70822A24"/>
    <w:rsid w:val="7084648B"/>
    <w:rsid w:val="70856B87"/>
    <w:rsid w:val="70877D29"/>
    <w:rsid w:val="708B58B2"/>
    <w:rsid w:val="708E3C26"/>
    <w:rsid w:val="7090171E"/>
    <w:rsid w:val="709020CD"/>
    <w:rsid w:val="709A01EE"/>
    <w:rsid w:val="709A03B2"/>
    <w:rsid w:val="709F2E8A"/>
    <w:rsid w:val="709F3E68"/>
    <w:rsid w:val="70A1703D"/>
    <w:rsid w:val="70A370D3"/>
    <w:rsid w:val="70A47C72"/>
    <w:rsid w:val="70A73F27"/>
    <w:rsid w:val="70AC59E2"/>
    <w:rsid w:val="70AE7531"/>
    <w:rsid w:val="70B25771"/>
    <w:rsid w:val="70B32E6B"/>
    <w:rsid w:val="70B36D70"/>
    <w:rsid w:val="70BB5063"/>
    <w:rsid w:val="70BC0AB7"/>
    <w:rsid w:val="70BD03E1"/>
    <w:rsid w:val="70C27A56"/>
    <w:rsid w:val="70CB2A08"/>
    <w:rsid w:val="70D35CA6"/>
    <w:rsid w:val="70D527EE"/>
    <w:rsid w:val="70D7566B"/>
    <w:rsid w:val="70D94A29"/>
    <w:rsid w:val="70E14550"/>
    <w:rsid w:val="70E60EF4"/>
    <w:rsid w:val="70E92897"/>
    <w:rsid w:val="70EB3C4B"/>
    <w:rsid w:val="70EB6F9A"/>
    <w:rsid w:val="70ED50B2"/>
    <w:rsid w:val="70EE1B56"/>
    <w:rsid w:val="70EE5F27"/>
    <w:rsid w:val="70EF6902"/>
    <w:rsid w:val="70EF6DAB"/>
    <w:rsid w:val="70EF7B22"/>
    <w:rsid w:val="70F46BBC"/>
    <w:rsid w:val="70FC24C5"/>
    <w:rsid w:val="70FE236E"/>
    <w:rsid w:val="71010D74"/>
    <w:rsid w:val="71036320"/>
    <w:rsid w:val="7105557C"/>
    <w:rsid w:val="71157B90"/>
    <w:rsid w:val="711955DA"/>
    <w:rsid w:val="711C01E4"/>
    <w:rsid w:val="711C2B67"/>
    <w:rsid w:val="711E3842"/>
    <w:rsid w:val="7128436B"/>
    <w:rsid w:val="71290DE0"/>
    <w:rsid w:val="712970EF"/>
    <w:rsid w:val="712E63F7"/>
    <w:rsid w:val="71306040"/>
    <w:rsid w:val="71344A46"/>
    <w:rsid w:val="7137124E"/>
    <w:rsid w:val="713A655B"/>
    <w:rsid w:val="714162DA"/>
    <w:rsid w:val="714B50B3"/>
    <w:rsid w:val="714E33F1"/>
    <w:rsid w:val="714E7574"/>
    <w:rsid w:val="715655B5"/>
    <w:rsid w:val="71566079"/>
    <w:rsid w:val="71570879"/>
    <w:rsid w:val="715776FB"/>
    <w:rsid w:val="715B5300"/>
    <w:rsid w:val="716145C8"/>
    <w:rsid w:val="716360A0"/>
    <w:rsid w:val="716963F3"/>
    <w:rsid w:val="716D1443"/>
    <w:rsid w:val="71727542"/>
    <w:rsid w:val="71740ABB"/>
    <w:rsid w:val="71752DEB"/>
    <w:rsid w:val="717670E7"/>
    <w:rsid w:val="717806B0"/>
    <w:rsid w:val="71787FD9"/>
    <w:rsid w:val="71796ACF"/>
    <w:rsid w:val="717A56C5"/>
    <w:rsid w:val="717B51BA"/>
    <w:rsid w:val="717F6C52"/>
    <w:rsid w:val="718A5D23"/>
    <w:rsid w:val="719170B1"/>
    <w:rsid w:val="71985ADC"/>
    <w:rsid w:val="719E17CE"/>
    <w:rsid w:val="71A053FA"/>
    <w:rsid w:val="71A464A3"/>
    <w:rsid w:val="71A466C1"/>
    <w:rsid w:val="71A5490B"/>
    <w:rsid w:val="71AA3CCF"/>
    <w:rsid w:val="71B132B0"/>
    <w:rsid w:val="71BA7C8A"/>
    <w:rsid w:val="71BF3A88"/>
    <w:rsid w:val="71C21FDA"/>
    <w:rsid w:val="71C31235"/>
    <w:rsid w:val="71C60C68"/>
    <w:rsid w:val="71C87FCB"/>
    <w:rsid w:val="71C97FC6"/>
    <w:rsid w:val="71CD3E62"/>
    <w:rsid w:val="71D27091"/>
    <w:rsid w:val="71D27F8A"/>
    <w:rsid w:val="71D33218"/>
    <w:rsid w:val="71D4494F"/>
    <w:rsid w:val="71DD22F7"/>
    <w:rsid w:val="71E7506F"/>
    <w:rsid w:val="71EC4871"/>
    <w:rsid w:val="71F45C1D"/>
    <w:rsid w:val="71F64988"/>
    <w:rsid w:val="71FA0BD5"/>
    <w:rsid w:val="72001B41"/>
    <w:rsid w:val="720A68E1"/>
    <w:rsid w:val="720B74BE"/>
    <w:rsid w:val="720D49AF"/>
    <w:rsid w:val="720F5523"/>
    <w:rsid w:val="722103D4"/>
    <w:rsid w:val="72277A0C"/>
    <w:rsid w:val="7237336F"/>
    <w:rsid w:val="723F6B0D"/>
    <w:rsid w:val="72411700"/>
    <w:rsid w:val="72431297"/>
    <w:rsid w:val="72450ADE"/>
    <w:rsid w:val="72501D1B"/>
    <w:rsid w:val="72505BF1"/>
    <w:rsid w:val="72516841"/>
    <w:rsid w:val="72522BEE"/>
    <w:rsid w:val="72553024"/>
    <w:rsid w:val="72556331"/>
    <w:rsid w:val="72556B31"/>
    <w:rsid w:val="72564FB8"/>
    <w:rsid w:val="72591B25"/>
    <w:rsid w:val="725D1030"/>
    <w:rsid w:val="725D3437"/>
    <w:rsid w:val="725D51E5"/>
    <w:rsid w:val="72606E27"/>
    <w:rsid w:val="72611FD8"/>
    <w:rsid w:val="726141B3"/>
    <w:rsid w:val="72697041"/>
    <w:rsid w:val="72706B69"/>
    <w:rsid w:val="72707240"/>
    <w:rsid w:val="72757BBD"/>
    <w:rsid w:val="727C2B53"/>
    <w:rsid w:val="72812303"/>
    <w:rsid w:val="72816D82"/>
    <w:rsid w:val="728B515C"/>
    <w:rsid w:val="728E2A0C"/>
    <w:rsid w:val="728E2BC1"/>
    <w:rsid w:val="728E30E2"/>
    <w:rsid w:val="728F1117"/>
    <w:rsid w:val="7295118A"/>
    <w:rsid w:val="729B22F4"/>
    <w:rsid w:val="729D3834"/>
    <w:rsid w:val="729E4018"/>
    <w:rsid w:val="72A2709C"/>
    <w:rsid w:val="72A93F87"/>
    <w:rsid w:val="72AA5244"/>
    <w:rsid w:val="72AB72EF"/>
    <w:rsid w:val="72AC7F1B"/>
    <w:rsid w:val="72B56DCF"/>
    <w:rsid w:val="72B82BE4"/>
    <w:rsid w:val="72B82D9A"/>
    <w:rsid w:val="72BD3ED6"/>
    <w:rsid w:val="72BF7DD0"/>
    <w:rsid w:val="72C16C19"/>
    <w:rsid w:val="72C214EC"/>
    <w:rsid w:val="72C72545"/>
    <w:rsid w:val="72CB65F3"/>
    <w:rsid w:val="72D30A86"/>
    <w:rsid w:val="72D52643"/>
    <w:rsid w:val="72D71070"/>
    <w:rsid w:val="72D75819"/>
    <w:rsid w:val="72E041B6"/>
    <w:rsid w:val="72E651DB"/>
    <w:rsid w:val="72F21DBC"/>
    <w:rsid w:val="72F44A27"/>
    <w:rsid w:val="72FC49FE"/>
    <w:rsid w:val="73016C5F"/>
    <w:rsid w:val="73025EB3"/>
    <w:rsid w:val="730F0F1C"/>
    <w:rsid w:val="73122968"/>
    <w:rsid w:val="73190632"/>
    <w:rsid w:val="731D16EF"/>
    <w:rsid w:val="731F5D5E"/>
    <w:rsid w:val="732D1E02"/>
    <w:rsid w:val="732D2E0A"/>
    <w:rsid w:val="732E4532"/>
    <w:rsid w:val="73375FDC"/>
    <w:rsid w:val="733A72D5"/>
    <w:rsid w:val="733D069E"/>
    <w:rsid w:val="734463B8"/>
    <w:rsid w:val="734B045B"/>
    <w:rsid w:val="734B5436"/>
    <w:rsid w:val="734C302C"/>
    <w:rsid w:val="734E1D53"/>
    <w:rsid w:val="735018BD"/>
    <w:rsid w:val="7350457E"/>
    <w:rsid w:val="735A60D6"/>
    <w:rsid w:val="735C6276"/>
    <w:rsid w:val="735D0D8C"/>
    <w:rsid w:val="73612AB3"/>
    <w:rsid w:val="73691781"/>
    <w:rsid w:val="736E51D0"/>
    <w:rsid w:val="73737D7B"/>
    <w:rsid w:val="73761AFD"/>
    <w:rsid w:val="7377757F"/>
    <w:rsid w:val="737E0B7F"/>
    <w:rsid w:val="737E18B7"/>
    <w:rsid w:val="737F2F3A"/>
    <w:rsid w:val="7381373D"/>
    <w:rsid w:val="738270AF"/>
    <w:rsid w:val="73877819"/>
    <w:rsid w:val="738A200A"/>
    <w:rsid w:val="738D3403"/>
    <w:rsid w:val="73935307"/>
    <w:rsid w:val="7394444F"/>
    <w:rsid w:val="739629B5"/>
    <w:rsid w:val="739D1444"/>
    <w:rsid w:val="739E52A7"/>
    <w:rsid w:val="73A26C2C"/>
    <w:rsid w:val="73A40BF2"/>
    <w:rsid w:val="73A905BB"/>
    <w:rsid w:val="73B13A3B"/>
    <w:rsid w:val="73B250BD"/>
    <w:rsid w:val="73B4105B"/>
    <w:rsid w:val="73B9469D"/>
    <w:rsid w:val="73BA64C3"/>
    <w:rsid w:val="73BE1CB4"/>
    <w:rsid w:val="73BF77DA"/>
    <w:rsid w:val="73C51AD5"/>
    <w:rsid w:val="73C746B0"/>
    <w:rsid w:val="73C7661F"/>
    <w:rsid w:val="73CA3785"/>
    <w:rsid w:val="73CC268A"/>
    <w:rsid w:val="73CD6C4F"/>
    <w:rsid w:val="73D32C53"/>
    <w:rsid w:val="73D54113"/>
    <w:rsid w:val="73D616A1"/>
    <w:rsid w:val="73D7180E"/>
    <w:rsid w:val="73DC0315"/>
    <w:rsid w:val="73DE2130"/>
    <w:rsid w:val="73E111AC"/>
    <w:rsid w:val="73E70B37"/>
    <w:rsid w:val="73EA1ABC"/>
    <w:rsid w:val="73EA337E"/>
    <w:rsid w:val="73F07F6B"/>
    <w:rsid w:val="73F658CE"/>
    <w:rsid w:val="73F76E28"/>
    <w:rsid w:val="73F77349"/>
    <w:rsid w:val="73F85EC6"/>
    <w:rsid w:val="73FA64D3"/>
    <w:rsid w:val="73FE0683"/>
    <w:rsid w:val="73FE6CCE"/>
    <w:rsid w:val="74031D63"/>
    <w:rsid w:val="740A3A87"/>
    <w:rsid w:val="740AC215"/>
    <w:rsid w:val="740E62F8"/>
    <w:rsid w:val="7415295F"/>
    <w:rsid w:val="74161AF0"/>
    <w:rsid w:val="74166A67"/>
    <w:rsid w:val="741E793C"/>
    <w:rsid w:val="74221C16"/>
    <w:rsid w:val="742324DB"/>
    <w:rsid w:val="7428537F"/>
    <w:rsid w:val="742D385E"/>
    <w:rsid w:val="742D5A28"/>
    <w:rsid w:val="74324450"/>
    <w:rsid w:val="743B2F14"/>
    <w:rsid w:val="74404A49"/>
    <w:rsid w:val="744203E7"/>
    <w:rsid w:val="74420D55"/>
    <w:rsid w:val="7447614D"/>
    <w:rsid w:val="74477EFB"/>
    <w:rsid w:val="745126A4"/>
    <w:rsid w:val="74524843"/>
    <w:rsid w:val="7454240A"/>
    <w:rsid w:val="7456013E"/>
    <w:rsid w:val="74566BED"/>
    <w:rsid w:val="745D193A"/>
    <w:rsid w:val="745E3944"/>
    <w:rsid w:val="745F3C79"/>
    <w:rsid w:val="74606BF5"/>
    <w:rsid w:val="74686D4B"/>
    <w:rsid w:val="746C0E4C"/>
    <w:rsid w:val="746E36DA"/>
    <w:rsid w:val="74753C1E"/>
    <w:rsid w:val="74786307"/>
    <w:rsid w:val="7479207F"/>
    <w:rsid w:val="74795BDB"/>
    <w:rsid w:val="747B287D"/>
    <w:rsid w:val="747C191A"/>
    <w:rsid w:val="747C4852"/>
    <w:rsid w:val="747E57F8"/>
    <w:rsid w:val="74846437"/>
    <w:rsid w:val="748A7DE8"/>
    <w:rsid w:val="7490208F"/>
    <w:rsid w:val="74943856"/>
    <w:rsid w:val="749869A9"/>
    <w:rsid w:val="74987D58"/>
    <w:rsid w:val="74A247D3"/>
    <w:rsid w:val="74AD7D25"/>
    <w:rsid w:val="74B0584E"/>
    <w:rsid w:val="74B454CD"/>
    <w:rsid w:val="74B70345"/>
    <w:rsid w:val="74BB4445"/>
    <w:rsid w:val="74C52CCA"/>
    <w:rsid w:val="74D01480"/>
    <w:rsid w:val="74D13C69"/>
    <w:rsid w:val="74D552C0"/>
    <w:rsid w:val="74D62C03"/>
    <w:rsid w:val="74D77CB0"/>
    <w:rsid w:val="74D95E98"/>
    <w:rsid w:val="74DB35C2"/>
    <w:rsid w:val="74DF337F"/>
    <w:rsid w:val="74EB5B7C"/>
    <w:rsid w:val="74F16F36"/>
    <w:rsid w:val="74F23177"/>
    <w:rsid w:val="74F46D84"/>
    <w:rsid w:val="74F556AA"/>
    <w:rsid w:val="74FA4F6E"/>
    <w:rsid w:val="74FF67F2"/>
    <w:rsid w:val="74FF707E"/>
    <w:rsid w:val="75033304"/>
    <w:rsid w:val="750656C7"/>
    <w:rsid w:val="750B288E"/>
    <w:rsid w:val="750C5B34"/>
    <w:rsid w:val="750C6A4F"/>
    <w:rsid w:val="750D1F31"/>
    <w:rsid w:val="75113A9C"/>
    <w:rsid w:val="7513273D"/>
    <w:rsid w:val="75151DA7"/>
    <w:rsid w:val="751D2F20"/>
    <w:rsid w:val="752B15CB"/>
    <w:rsid w:val="752C17D6"/>
    <w:rsid w:val="752D794D"/>
    <w:rsid w:val="752E3D92"/>
    <w:rsid w:val="753005DD"/>
    <w:rsid w:val="753179E2"/>
    <w:rsid w:val="75383B7F"/>
    <w:rsid w:val="753D75F6"/>
    <w:rsid w:val="75404290"/>
    <w:rsid w:val="754819F8"/>
    <w:rsid w:val="75491A51"/>
    <w:rsid w:val="754937FF"/>
    <w:rsid w:val="7552048D"/>
    <w:rsid w:val="75564973"/>
    <w:rsid w:val="75587EE6"/>
    <w:rsid w:val="75610B49"/>
    <w:rsid w:val="75630BE3"/>
    <w:rsid w:val="756722AD"/>
    <w:rsid w:val="75675427"/>
    <w:rsid w:val="75681D19"/>
    <w:rsid w:val="756D573F"/>
    <w:rsid w:val="756E1C38"/>
    <w:rsid w:val="7571063E"/>
    <w:rsid w:val="75712FAC"/>
    <w:rsid w:val="75722DB1"/>
    <w:rsid w:val="75742F72"/>
    <w:rsid w:val="75870269"/>
    <w:rsid w:val="758E00C1"/>
    <w:rsid w:val="758F6FBE"/>
    <w:rsid w:val="7590605C"/>
    <w:rsid w:val="75907680"/>
    <w:rsid w:val="759252EF"/>
    <w:rsid w:val="75932D71"/>
    <w:rsid w:val="75944076"/>
    <w:rsid w:val="75954C96"/>
    <w:rsid w:val="75974E97"/>
    <w:rsid w:val="7598178A"/>
    <w:rsid w:val="759B1284"/>
    <w:rsid w:val="759B3A01"/>
    <w:rsid w:val="759B6A0E"/>
    <w:rsid w:val="759E13C5"/>
    <w:rsid w:val="759E640B"/>
    <w:rsid w:val="75A66EA3"/>
    <w:rsid w:val="75A804BF"/>
    <w:rsid w:val="75AF26A1"/>
    <w:rsid w:val="75B020C3"/>
    <w:rsid w:val="75B83D0F"/>
    <w:rsid w:val="75B96BD7"/>
    <w:rsid w:val="75C86896"/>
    <w:rsid w:val="75C86E1A"/>
    <w:rsid w:val="75CD3A2D"/>
    <w:rsid w:val="75CD4430"/>
    <w:rsid w:val="75D13EDB"/>
    <w:rsid w:val="75DA14E0"/>
    <w:rsid w:val="75E30307"/>
    <w:rsid w:val="75E75140"/>
    <w:rsid w:val="75EB4A85"/>
    <w:rsid w:val="75F52E16"/>
    <w:rsid w:val="75F57AD2"/>
    <w:rsid w:val="75FD289B"/>
    <w:rsid w:val="75FE1F8C"/>
    <w:rsid w:val="75FF3725"/>
    <w:rsid w:val="760246AA"/>
    <w:rsid w:val="76032986"/>
    <w:rsid w:val="76041BD9"/>
    <w:rsid w:val="76050756"/>
    <w:rsid w:val="760B5492"/>
    <w:rsid w:val="760B6D06"/>
    <w:rsid w:val="760D23F9"/>
    <w:rsid w:val="760D536B"/>
    <w:rsid w:val="760D77C7"/>
    <w:rsid w:val="761115B8"/>
    <w:rsid w:val="7613329E"/>
    <w:rsid w:val="76151AFF"/>
    <w:rsid w:val="761756AB"/>
    <w:rsid w:val="76191423"/>
    <w:rsid w:val="762258C6"/>
    <w:rsid w:val="762436BA"/>
    <w:rsid w:val="76253251"/>
    <w:rsid w:val="76262512"/>
    <w:rsid w:val="762F0E50"/>
    <w:rsid w:val="7635099D"/>
    <w:rsid w:val="76402E54"/>
    <w:rsid w:val="764263FD"/>
    <w:rsid w:val="76443835"/>
    <w:rsid w:val="76452218"/>
    <w:rsid w:val="76484E1E"/>
    <w:rsid w:val="764D4466"/>
    <w:rsid w:val="76500BBD"/>
    <w:rsid w:val="765B48C0"/>
    <w:rsid w:val="765F4A43"/>
    <w:rsid w:val="76637A2B"/>
    <w:rsid w:val="766641C7"/>
    <w:rsid w:val="76671E50"/>
    <w:rsid w:val="76692A59"/>
    <w:rsid w:val="76701885"/>
    <w:rsid w:val="76714625"/>
    <w:rsid w:val="76793BFD"/>
    <w:rsid w:val="767B2BA3"/>
    <w:rsid w:val="76852F5D"/>
    <w:rsid w:val="76853303"/>
    <w:rsid w:val="768537A4"/>
    <w:rsid w:val="768C6099"/>
    <w:rsid w:val="768E2102"/>
    <w:rsid w:val="768E6A1F"/>
    <w:rsid w:val="76957293"/>
    <w:rsid w:val="76984A3E"/>
    <w:rsid w:val="769928BD"/>
    <w:rsid w:val="769B32FE"/>
    <w:rsid w:val="769E5DCD"/>
    <w:rsid w:val="76A673B6"/>
    <w:rsid w:val="76A71125"/>
    <w:rsid w:val="76AA163F"/>
    <w:rsid w:val="76BA05D5"/>
    <w:rsid w:val="76BE5699"/>
    <w:rsid w:val="76C23869"/>
    <w:rsid w:val="76C75323"/>
    <w:rsid w:val="76C84BF7"/>
    <w:rsid w:val="76CE3202"/>
    <w:rsid w:val="76D856AE"/>
    <w:rsid w:val="76DD1CA6"/>
    <w:rsid w:val="76DE441B"/>
    <w:rsid w:val="76DE455C"/>
    <w:rsid w:val="76EC6353"/>
    <w:rsid w:val="76FA4C42"/>
    <w:rsid w:val="76FD7B4F"/>
    <w:rsid w:val="77005500"/>
    <w:rsid w:val="770943D1"/>
    <w:rsid w:val="770C71DA"/>
    <w:rsid w:val="770E38E2"/>
    <w:rsid w:val="770F1502"/>
    <w:rsid w:val="771E02F9"/>
    <w:rsid w:val="77277F01"/>
    <w:rsid w:val="77282C5F"/>
    <w:rsid w:val="772A798F"/>
    <w:rsid w:val="772B75E9"/>
    <w:rsid w:val="772C460D"/>
    <w:rsid w:val="772F05CC"/>
    <w:rsid w:val="77303A34"/>
    <w:rsid w:val="77334A1B"/>
    <w:rsid w:val="77343640"/>
    <w:rsid w:val="773B54A3"/>
    <w:rsid w:val="77456248"/>
    <w:rsid w:val="774626EC"/>
    <w:rsid w:val="77463282"/>
    <w:rsid w:val="775363CA"/>
    <w:rsid w:val="775E2B2C"/>
    <w:rsid w:val="776641EE"/>
    <w:rsid w:val="77672662"/>
    <w:rsid w:val="776808B4"/>
    <w:rsid w:val="776D606E"/>
    <w:rsid w:val="777001A6"/>
    <w:rsid w:val="77752853"/>
    <w:rsid w:val="77762421"/>
    <w:rsid w:val="777A3593"/>
    <w:rsid w:val="777D1E86"/>
    <w:rsid w:val="777D6AC4"/>
    <w:rsid w:val="7785286B"/>
    <w:rsid w:val="77860258"/>
    <w:rsid w:val="778760F8"/>
    <w:rsid w:val="778921AB"/>
    <w:rsid w:val="778D031B"/>
    <w:rsid w:val="77901B44"/>
    <w:rsid w:val="77935205"/>
    <w:rsid w:val="77951E3D"/>
    <w:rsid w:val="77981E3E"/>
    <w:rsid w:val="77A26354"/>
    <w:rsid w:val="77AB07A1"/>
    <w:rsid w:val="77AD62C7"/>
    <w:rsid w:val="77B56B1F"/>
    <w:rsid w:val="77B63F2C"/>
    <w:rsid w:val="77BC38A7"/>
    <w:rsid w:val="77BE2474"/>
    <w:rsid w:val="77BF249E"/>
    <w:rsid w:val="77C6382D"/>
    <w:rsid w:val="77C875A5"/>
    <w:rsid w:val="77CA22DF"/>
    <w:rsid w:val="77CA7011"/>
    <w:rsid w:val="77CB0ED0"/>
    <w:rsid w:val="77CB4ADD"/>
    <w:rsid w:val="77D44DFB"/>
    <w:rsid w:val="77D47CF8"/>
    <w:rsid w:val="77E24114"/>
    <w:rsid w:val="77E3682C"/>
    <w:rsid w:val="77E37423"/>
    <w:rsid w:val="77E5555E"/>
    <w:rsid w:val="77E90D1D"/>
    <w:rsid w:val="77EF0747"/>
    <w:rsid w:val="77F11529"/>
    <w:rsid w:val="77F20749"/>
    <w:rsid w:val="77F35CA4"/>
    <w:rsid w:val="77F71C38"/>
    <w:rsid w:val="77FC0FFD"/>
    <w:rsid w:val="78061E7B"/>
    <w:rsid w:val="78080136"/>
    <w:rsid w:val="780A47CE"/>
    <w:rsid w:val="780D5A03"/>
    <w:rsid w:val="780F09F4"/>
    <w:rsid w:val="78150891"/>
    <w:rsid w:val="78183E6F"/>
    <w:rsid w:val="78197E01"/>
    <w:rsid w:val="78206C22"/>
    <w:rsid w:val="78234247"/>
    <w:rsid w:val="782F44E1"/>
    <w:rsid w:val="78341A4E"/>
    <w:rsid w:val="783D7431"/>
    <w:rsid w:val="78430448"/>
    <w:rsid w:val="78434E7D"/>
    <w:rsid w:val="78496AB4"/>
    <w:rsid w:val="784D7151"/>
    <w:rsid w:val="784E05E1"/>
    <w:rsid w:val="784F3822"/>
    <w:rsid w:val="785077F9"/>
    <w:rsid w:val="785173F2"/>
    <w:rsid w:val="78520C1D"/>
    <w:rsid w:val="78570929"/>
    <w:rsid w:val="78573034"/>
    <w:rsid w:val="78594D2E"/>
    <w:rsid w:val="785C5E6F"/>
    <w:rsid w:val="785F1F8A"/>
    <w:rsid w:val="78642166"/>
    <w:rsid w:val="786D7738"/>
    <w:rsid w:val="786F17CF"/>
    <w:rsid w:val="78724169"/>
    <w:rsid w:val="78776B2A"/>
    <w:rsid w:val="7879089F"/>
    <w:rsid w:val="787E6801"/>
    <w:rsid w:val="78830507"/>
    <w:rsid w:val="7883527A"/>
    <w:rsid w:val="78847AC6"/>
    <w:rsid w:val="78850FF2"/>
    <w:rsid w:val="7885416D"/>
    <w:rsid w:val="78911745"/>
    <w:rsid w:val="789143F5"/>
    <w:rsid w:val="78967EE6"/>
    <w:rsid w:val="78994A9D"/>
    <w:rsid w:val="789E52F2"/>
    <w:rsid w:val="78A07EF6"/>
    <w:rsid w:val="78A1403E"/>
    <w:rsid w:val="78A371FC"/>
    <w:rsid w:val="78A90480"/>
    <w:rsid w:val="78AA797A"/>
    <w:rsid w:val="78B712A4"/>
    <w:rsid w:val="78BE1364"/>
    <w:rsid w:val="78C24E17"/>
    <w:rsid w:val="78CC6F84"/>
    <w:rsid w:val="78CD4747"/>
    <w:rsid w:val="78CD5224"/>
    <w:rsid w:val="78CD7367"/>
    <w:rsid w:val="78D23F9B"/>
    <w:rsid w:val="78D67AA0"/>
    <w:rsid w:val="78E0447A"/>
    <w:rsid w:val="78E55F35"/>
    <w:rsid w:val="78F10436"/>
    <w:rsid w:val="78F246B6"/>
    <w:rsid w:val="78F63C9E"/>
    <w:rsid w:val="78F97604"/>
    <w:rsid w:val="78FB3062"/>
    <w:rsid w:val="790F19B7"/>
    <w:rsid w:val="79174450"/>
    <w:rsid w:val="791813B9"/>
    <w:rsid w:val="792415EC"/>
    <w:rsid w:val="793547C6"/>
    <w:rsid w:val="79356116"/>
    <w:rsid w:val="79357BE8"/>
    <w:rsid w:val="793C0847"/>
    <w:rsid w:val="793D2324"/>
    <w:rsid w:val="79424F6E"/>
    <w:rsid w:val="79492020"/>
    <w:rsid w:val="794D0F04"/>
    <w:rsid w:val="794F4242"/>
    <w:rsid w:val="79535D1B"/>
    <w:rsid w:val="795A0647"/>
    <w:rsid w:val="795A4B43"/>
    <w:rsid w:val="795D6D0D"/>
    <w:rsid w:val="795F1331"/>
    <w:rsid w:val="79627585"/>
    <w:rsid w:val="79633DB7"/>
    <w:rsid w:val="7968243D"/>
    <w:rsid w:val="796B468C"/>
    <w:rsid w:val="796D4C26"/>
    <w:rsid w:val="797152CB"/>
    <w:rsid w:val="797307CE"/>
    <w:rsid w:val="79741AD3"/>
    <w:rsid w:val="79757554"/>
    <w:rsid w:val="797846B3"/>
    <w:rsid w:val="797B7924"/>
    <w:rsid w:val="797C0332"/>
    <w:rsid w:val="797F3C93"/>
    <w:rsid w:val="797F3E53"/>
    <w:rsid w:val="797F7E64"/>
    <w:rsid w:val="79815591"/>
    <w:rsid w:val="798B6F10"/>
    <w:rsid w:val="7990031C"/>
    <w:rsid w:val="799257FF"/>
    <w:rsid w:val="79954710"/>
    <w:rsid w:val="79B10E72"/>
    <w:rsid w:val="79B124A7"/>
    <w:rsid w:val="79B25E17"/>
    <w:rsid w:val="79B53B29"/>
    <w:rsid w:val="79B646C7"/>
    <w:rsid w:val="79C142AC"/>
    <w:rsid w:val="79C25500"/>
    <w:rsid w:val="79C30024"/>
    <w:rsid w:val="79CD2C51"/>
    <w:rsid w:val="79CD4BFB"/>
    <w:rsid w:val="79CE4C1B"/>
    <w:rsid w:val="79CF180D"/>
    <w:rsid w:val="79D05643"/>
    <w:rsid w:val="79D43F4C"/>
    <w:rsid w:val="79DD09BA"/>
    <w:rsid w:val="79DE7C47"/>
    <w:rsid w:val="79E61F64"/>
    <w:rsid w:val="79E63D12"/>
    <w:rsid w:val="79EE2C15"/>
    <w:rsid w:val="79EF706B"/>
    <w:rsid w:val="79F3642F"/>
    <w:rsid w:val="79F57AA2"/>
    <w:rsid w:val="79F91C98"/>
    <w:rsid w:val="79FB7128"/>
    <w:rsid w:val="79FC1788"/>
    <w:rsid w:val="79FD0A32"/>
    <w:rsid w:val="7A037EEE"/>
    <w:rsid w:val="7A0569E7"/>
    <w:rsid w:val="7A067F11"/>
    <w:rsid w:val="7A0E4D2E"/>
    <w:rsid w:val="7A1055E1"/>
    <w:rsid w:val="7A1926F8"/>
    <w:rsid w:val="7A232B70"/>
    <w:rsid w:val="7A2465E9"/>
    <w:rsid w:val="7A2A24FB"/>
    <w:rsid w:val="7A2F2206"/>
    <w:rsid w:val="7A364017"/>
    <w:rsid w:val="7A3C3932"/>
    <w:rsid w:val="7A3C7DD6"/>
    <w:rsid w:val="7A3E3B4E"/>
    <w:rsid w:val="7A4553DD"/>
    <w:rsid w:val="7A4E4FD6"/>
    <w:rsid w:val="7A545B1C"/>
    <w:rsid w:val="7A59162D"/>
    <w:rsid w:val="7A5A5398"/>
    <w:rsid w:val="7A5C66B0"/>
    <w:rsid w:val="7A5F62EE"/>
    <w:rsid w:val="7A644C9E"/>
    <w:rsid w:val="7A6B0D66"/>
    <w:rsid w:val="7A6F0F55"/>
    <w:rsid w:val="7A6F3D08"/>
    <w:rsid w:val="7A726172"/>
    <w:rsid w:val="7A8150B7"/>
    <w:rsid w:val="7A8265E1"/>
    <w:rsid w:val="7A8279C3"/>
    <w:rsid w:val="7A855718"/>
    <w:rsid w:val="7A86600D"/>
    <w:rsid w:val="7A8732F7"/>
    <w:rsid w:val="7A8C2B0C"/>
    <w:rsid w:val="7A904DD0"/>
    <w:rsid w:val="7A9B0394"/>
    <w:rsid w:val="7AA15E8B"/>
    <w:rsid w:val="7AA91CB5"/>
    <w:rsid w:val="7AAC1825"/>
    <w:rsid w:val="7AAD1C06"/>
    <w:rsid w:val="7AB35528"/>
    <w:rsid w:val="7AB94F83"/>
    <w:rsid w:val="7ABD74EB"/>
    <w:rsid w:val="7AC8166A"/>
    <w:rsid w:val="7AD0650C"/>
    <w:rsid w:val="7AD324E9"/>
    <w:rsid w:val="7AD86FC8"/>
    <w:rsid w:val="7ADC47C3"/>
    <w:rsid w:val="7ADD0E32"/>
    <w:rsid w:val="7ADF1D64"/>
    <w:rsid w:val="7AE07E53"/>
    <w:rsid w:val="7AE606AF"/>
    <w:rsid w:val="7AEB48C6"/>
    <w:rsid w:val="7B00296F"/>
    <w:rsid w:val="7B0242C6"/>
    <w:rsid w:val="7B032352"/>
    <w:rsid w:val="7B081C49"/>
    <w:rsid w:val="7B0A53EC"/>
    <w:rsid w:val="7B0C77A9"/>
    <w:rsid w:val="7B0D3FE1"/>
    <w:rsid w:val="7B111613"/>
    <w:rsid w:val="7B1117C8"/>
    <w:rsid w:val="7B120866"/>
    <w:rsid w:val="7B1B3E90"/>
    <w:rsid w:val="7B2E30E3"/>
    <w:rsid w:val="7B326164"/>
    <w:rsid w:val="7B3A013A"/>
    <w:rsid w:val="7B3D06D4"/>
    <w:rsid w:val="7B400F8D"/>
    <w:rsid w:val="7B4231CA"/>
    <w:rsid w:val="7B430918"/>
    <w:rsid w:val="7B4619CE"/>
    <w:rsid w:val="7B4E2772"/>
    <w:rsid w:val="7B560A24"/>
    <w:rsid w:val="7B5909EE"/>
    <w:rsid w:val="7B5F523F"/>
    <w:rsid w:val="7B626777"/>
    <w:rsid w:val="7B686D42"/>
    <w:rsid w:val="7B6D77B5"/>
    <w:rsid w:val="7B6E0463"/>
    <w:rsid w:val="7B6E515A"/>
    <w:rsid w:val="7B6F442B"/>
    <w:rsid w:val="7B711D02"/>
    <w:rsid w:val="7B74701A"/>
    <w:rsid w:val="7B771C06"/>
    <w:rsid w:val="7B7E2A90"/>
    <w:rsid w:val="7B821819"/>
    <w:rsid w:val="7B841746"/>
    <w:rsid w:val="7B872A40"/>
    <w:rsid w:val="7B933A26"/>
    <w:rsid w:val="7B941449"/>
    <w:rsid w:val="7B9A3006"/>
    <w:rsid w:val="7BA4768F"/>
    <w:rsid w:val="7BA563C1"/>
    <w:rsid w:val="7BA5672C"/>
    <w:rsid w:val="7BB2603A"/>
    <w:rsid w:val="7BB309E9"/>
    <w:rsid w:val="7BB30B9E"/>
    <w:rsid w:val="7BB65090"/>
    <w:rsid w:val="7BB74E20"/>
    <w:rsid w:val="7BB8348D"/>
    <w:rsid w:val="7BBA15A2"/>
    <w:rsid w:val="7BBD4F47"/>
    <w:rsid w:val="7BBE2911"/>
    <w:rsid w:val="7BBF13B3"/>
    <w:rsid w:val="7BC0478B"/>
    <w:rsid w:val="7BC168A4"/>
    <w:rsid w:val="7BC934AC"/>
    <w:rsid w:val="7BCB4BEA"/>
    <w:rsid w:val="7BCD518A"/>
    <w:rsid w:val="7BD063E4"/>
    <w:rsid w:val="7BD56567"/>
    <w:rsid w:val="7BDB0514"/>
    <w:rsid w:val="7BDE0F2D"/>
    <w:rsid w:val="7BE443BC"/>
    <w:rsid w:val="7BE60B36"/>
    <w:rsid w:val="7BE67FFA"/>
    <w:rsid w:val="7BF22E42"/>
    <w:rsid w:val="7BF5648F"/>
    <w:rsid w:val="7BF70459"/>
    <w:rsid w:val="7BFD0CC1"/>
    <w:rsid w:val="7C000DFC"/>
    <w:rsid w:val="7C055284"/>
    <w:rsid w:val="7C06244A"/>
    <w:rsid w:val="7C070AEE"/>
    <w:rsid w:val="7C0B4DE9"/>
    <w:rsid w:val="7C0C5CFB"/>
    <w:rsid w:val="7C0E77F2"/>
    <w:rsid w:val="7C0E7DE9"/>
    <w:rsid w:val="7C166823"/>
    <w:rsid w:val="7C1E3C37"/>
    <w:rsid w:val="7C207132"/>
    <w:rsid w:val="7C264DF2"/>
    <w:rsid w:val="7C300245"/>
    <w:rsid w:val="7C305C49"/>
    <w:rsid w:val="7C3272B2"/>
    <w:rsid w:val="7C336FB7"/>
    <w:rsid w:val="7C3E7E36"/>
    <w:rsid w:val="7C440929"/>
    <w:rsid w:val="7C482A62"/>
    <w:rsid w:val="7C484073"/>
    <w:rsid w:val="7C504C5E"/>
    <w:rsid w:val="7C523992"/>
    <w:rsid w:val="7C532359"/>
    <w:rsid w:val="7C557240"/>
    <w:rsid w:val="7C5B6663"/>
    <w:rsid w:val="7C5D3714"/>
    <w:rsid w:val="7C6C5AC7"/>
    <w:rsid w:val="7C704248"/>
    <w:rsid w:val="7C716B68"/>
    <w:rsid w:val="7C743857"/>
    <w:rsid w:val="7C781299"/>
    <w:rsid w:val="7C783E6A"/>
    <w:rsid w:val="7C786FF2"/>
    <w:rsid w:val="7C7927C7"/>
    <w:rsid w:val="7C7D65A8"/>
    <w:rsid w:val="7C7E0232"/>
    <w:rsid w:val="7C7F116C"/>
    <w:rsid w:val="7C833DC2"/>
    <w:rsid w:val="7C887303"/>
    <w:rsid w:val="7C8D66C7"/>
    <w:rsid w:val="7C953391"/>
    <w:rsid w:val="7C9C4B5C"/>
    <w:rsid w:val="7CA247BC"/>
    <w:rsid w:val="7CA3413D"/>
    <w:rsid w:val="7CA554B7"/>
    <w:rsid w:val="7CA57EB5"/>
    <w:rsid w:val="7CA852AF"/>
    <w:rsid w:val="7CAF7C9B"/>
    <w:rsid w:val="7CB41EA6"/>
    <w:rsid w:val="7CB61980"/>
    <w:rsid w:val="7CB73928"/>
    <w:rsid w:val="7CB95EE4"/>
    <w:rsid w:val="7CC6544B"/>
    <w:rsid w:val="7CCB4BA1"/>
    <w:rsid w:val="7CD80A03"/>
    <w:rsid w:val="7CD868E1"/>
    <w:rsid w:val="7CE43DC9"/>
    <w:rsid w:val="7CE75A18"/>
    <w:rsid w:val="7CE85E18"/>
    <w:rsid w:val="7CEC5AE4"/>
    <w:rsid w:val="7CF2174C"/>
    <w:rsid w:val="7CFA56EB"/>
    <w:rsid w:val="7CFC55FB"/>
    <w:rsid w:val="7D021373"/>
    <w:rsid w:val="7D0239FF"/>
    <w:rsid w:val="7D025527"/>
    <w:rsid w:val="7D02665D"/>
    <w:rsid w:val="7D050EA4"/>
    <w:rsid w:val="7D063F2D"/>
    <w:rsid w:val="7D141BE8"/>
    <w:rsid w:val="7D192609"/>
    <w:rsid w:val="7D1E15D4"/>
    <w:rsid w:val="7D20578D"/>
    <w:rsid w:val="7D21425A"/>
    <w:rsid w:val="7D22132A"/>
    <w:rsid w:val="7D2334DD"/>
    <w:rsid w:val="7D2A660C"/>
    <w:rsid w:val="7D2E7F9F"/>
    <w:rsid w:val="7D31799A"/>
    <w:rsid w:val="7D3C74B9"/>
    <w:rsid w:val="7D3D00ED"/>
    <w:rsid w:val="7D3F63A3"/>
    <w:rsid w:val="7D4274B2"/>
    <w:rsid w:val="7D4421C5"/>
    <w:rsid w:val="7D466F15"/>
    <w:rsid w:val="7D4A0A5C"/>
    <w:rsid w:val="7D4F211A"/>
    <w:rsid w:val="7D5316BF"/>
    <w:rsid w:val="7D540579"/>
    <w:rsid w:val="7D5611AF"/>
    <w:rsid w:val="7D5C493C"/>
    <w:rsid w:val="7D5E40CD"/>
    <w:rsid w:val="7D630A43"/>
    <w:rsid w:val="7D63567A"/>
    <w:rsid w:val="7D676E06"/>
    <w:rsid w:val="7D677171"/>
    <w:rsid w:val="7D6961D0"/>
    <w:rsid w:val="7D7B1EE7"/>
    <w:rsid w:val="7D8E6B9B"/>
    <w:rsid w:val="7D8F646F"/>
    <w:rsid w:val="7D943785"/>
    <w:rsid w:val="7D9879F5"/>
    <w:rsid w:val="7D9903CF"/>
    <w:rsid w:val="7D9B1948"/>
    <w:rsid w:val="7D9C3085"/>
    <w:rsid w:val="7DA5021A"/>
    <w:rsid w:val="7DAF30C1"/>
    <w:rsid w:val="7DB20F2C"/>
    <w:rsid w:val="7DB4431C"/>
    <w:rsid w:val="7DCA4F70"/>
    <w:rsid w:val="7DCC0512"/>
    <w:rsid w:val="7DCC6151"/>
    <w:rsid w:val="7DCD56F2"/>
    <w:rsid w:val="7DD3057F"/>
    <w:rsid w:val="7DD52E9F"/>
    <w:rsid w:val="7DD56578"/>
    <w:rsid w:val="7DDA1DE0"/>
    <w:rsid w:val="7DDB01A1"/>
    <w:rsid w:val="7DDF49B4"/>
    <w:rsid w:val="7DE315FF"/>
    <w:rsid w:val="7DE50961"/>
    <w:rsid w:val="7DEB7B49"/>
    <w:rsid w:val="7DEC3DB3"/>
    <w:rsid w:val="7DED5F44"/>
    <w:rsid w:val="7DF04625"/>
    <w:rsid w:val="7DF115D5"/>
    <w:rsid w:val="7DF509C8"/>
    <w:rsid w:val="7DFD37EB"/>
    <w:rsid w:val="7E0155BF"/>
    <w:rsid w:val="7E10311A"/>
    <w:rsid w:val="7E144D2B"/>
    <w:rsid w:val="7E15161E"/>
    <w:rsid w:val="7E153868"/>
    <w:rsid w:val="7E160416"/>
    <w:rsid w:val="7E1717EC"/>
    <w:rsid w:val="7E1C1010"/>
    <w:rsid w:val="7E226F1F"/>
    <w:rsid w:val="7E237E00"/>
    <w:rsid w:val="7E260B81"/>
    <w:rsid w:val="7E265CC1"/>
    <w:rsid w:val="7E320950"/>
    <w:rsid w:val="7E370FE0"/>
    <w:rsid w:val="7E380D1F"/>
    <w:rsid w:val="7E3F7E95"/>
    <w:rsid w:val="7E467EAD"/>
    <w:rsid w:val="7E486D4A"/>
    <w:rsid w:val="7E487111"/>
    <w:rsid w:val="7E4B67C3"/>
    <w:rsid w:val="7E4C5BA2"/>
    <w:rsid w:val="7E4E5754"/>
    <w:rsid w:val="7E564B54"/>
    <w:rsid w:val="7E584145"/>
    <w:rsid w:val="7E584AB3"/>
    <w:rsid w:val="7E5B6A5D"/>
    <w:rsid w:val="7E5C5697"/>
    <w:rsid w:val="7E5D029C"/>
    <w:rsid w:val="7E5F24F8"/>
    <w:rsid w:val="7E5F5B4C"/>
    <w:rsid w:val="7E61605D"/>
    <w:rsid w:val="7E6B47E6"/>
    <w:rsid w:val="7E6C1E82"/>
    <w:rsid w:val="7E7223E0"/>
    <w:rsid w:val="7E7F0156"/>
    <w:rsid w:val="7E803351"/>
    <w:rsid w:val="7E837D82"/>
    <w:rsid w:val="7E8402B2"/>
    <w:rsid w:val="7E8A1F33"/>
    <w:rsid w:val="7E8B46EC"/>
    <w:rsid w:val="7EA05231"/>
    <w:rsid w:val="7EA919D9"/>
    <w:rsid w:val="7EAB72D9"/>
    <w:rsid w:val="7EB42631"/>
    <w:rsid w:val="7EB45827"/>
    <w:rsid w:val="7EB503F0"/>
    <w:rsid w:val="7EB55306"/>
    <w:rsid w:val="7EB77A2B"/>
    <w:rsid w:val="7EBE7F49"/>
    <w:rsid w:val="7EC31904"/>
    <w:rsid w:val="7EC65C47"/>
    <w:rsid w:val="7ECF50E5"/>
    <w:rsid w:val="7ED26C70"/>
    <w:rsid w:val="7ED405DD"/>
    <w:rsid w:val="7ED70C48"/>
    <w:rsid w:val="7EDD618C"/>
    <w:rsid w:val="7EEB23F4"/>
    <w:rsid w:val="7EEC5082"/>
    <w:rsid w:val="7EED3DCE"/>
    <w:rsid w:val="7EEE0C91"/>
    <w:rsid w:val="7EF053B6"/>
    <w:rsid w:val="7EF32454"/>
    <w:rsid w:val="7EF50554"/>
    <w:rsid w:val="7EF50B7A"/>
    <w:rsid w:val="7EFA2FCA"/>
    <w:rsid w:val="7F001CE7"/>
    <w:rsid w:val="7F0B18FA"/>
    <w:rsid w:val="7F0C79A6"/>
    <w:rsid w:val="7F1468BC"/>
    <w:rsid w:val="7F14777D"/>
    <w:rsid w:val="7F1A39AC"/>
    <w:rsid w:val="7F1B454B"/>
    <w:rsid w:val="7F1C462C"/>
    <w:rsid w:val="7F207CC7"/>
    <w:rsid w:val="7F297695"/>
    <w:rsid w:val="7F2B657D"/>
    <w:rsid w:val="7F346BB3"/>
    <w:rsid w:val="7F39180C"/>
    <w:rsid w:val="7F402553"/>
    <w:rsid w:val="7F47533B"/>
    <w:rsid w:val="7F492D2C"/>
    <w:rsid w:val="7F4B4027"/>
    <w:rsid w:val="7F4D0390"/>
    <w:rsid w:val="7F533B06"/>
    <w:rsid w:val="7F556C75"/>
    <w:rsid w:val="7F5A2CF4"/>
    <w:rsid w:val="7F5C05D3"/>
    <w:rsid w:val="7F5D4A77"/>
    <w:rsid w:val="7F5D6825"/>
    <w:rsid w:val="7F6E2A76"/>
    <w:rsid w:val="7F6E6D71"/>
    <w:rsid w:val="7F731732"/>
    <w:rsid w:val="7F7333C7"/>
    <w:rsid w:val="7F743B6E"/>
    <w:rsid w:val="7F7462EF"/>
    <w:rsid w:val="7F7D5B5B"/>
    <w:rsid w:val="7F83123F"/>
    <w:rsid w:val="7F871AF4"/>
    <w:rsid w:val="7F8F61BD"/>
    <w:rsid w:val="7F907247"/>
    <w:rsid w:val="7F9554E0"/>
    <w:rsid w:val="7F995383"/>
    <w:rsid w:val="7F9B09AC"/>
    <w:rsid w:val="7F9D70B2"/>
    <w:rsid w:val="7FA112F3"/>
    <w:rsid w:val="7FA73F44"/>
    <w:rsid w:val="7FA97CBC"/>
    <w:rsid w:val="7FAB3A34"/>
    <w:rsid w:val="7FAE1614"/>
    <w:rsid w:val="7FB15F3A"/>
    <w:rsid w:val="7FB4040F"/>
    <w:rsid w:val="7FBA7CAC"/>
    <w:rsid w:val="7FC74040"/>
    <w:rsid w:val="7FC8211E"/>
    <w:rsid w:val="7FCB7B83"/>
    <w:rsid w:val="7FCC1916"/>
    <w:rsid w:val="7FCE14D1"/>
    <w:rsid w:val="7FD25273"/>
    <w:rsid w:val="7FD30895"/>
    <w:rsid w:val="7FD37543"/>
    <w:rsid w:val="7FD5583B"/>
    <w:rsid w:val="7FD63D4B"/>
    <w:rsid w:val="7FD64829"/>
    <w:rsid w:val="7FE37A28"/>
    <w:rsid w:val="7FE47E50"/>
    <w:rsid w:val="7FE54E2A"/>
    <w:rsid w:val="7FEB046D"/>
    <w:rsid w:val="7FEC5DFB"/>
    <w:rsid w:val="7FED00ED"/>
    <w:rsid w:val="7FED672C"/>
    <w:rsid w:val="7FF220EA"/>
    <w:rsid w:val="7FFD2F9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doNotEmbedSmartTag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semiHidden="0" w:name="heading 2" w:locked="1"/>
    <w:lsdException w:qFormat="1" w:unhideWhenUsed="0" w:uiPriority="0" w:semiHidden="0" w:name="heading 3" w:locked="1"/>
    <w:lsdException w:qFormat="1" w:unhideWhenUsed="0" w:uiPriority="0" w:semiHidden="0" w:name="heading 4" w:locked="1"/>
    <w:lsdException w:qFormat="1" w:unhideWhenUsed="0" w:uiPriority="0" w:semiHidden="0" w:name="heading 5" w:locked="1"/>
    <w:lsdException w:qFormat="1" w:unhideWhenUsed="0" w:uiPriority="0" w:semiHidden="0" w:name="heading 6" w:locked="1"/>
    <w:lsdException w:qFormat="1" w:unhideWhenUsed="0" w:uiPriority="0" w:semiHidden="0" w:name="heading 7" w:locked="1"/>
    <w:lsdException w:qFormat="1" w:unhideWhenUsed="0" w:uiPriority="0" w:semiHidden="0" w:name="heading 8" w:locked="1"/>
    <w:lsdException w:qFormat="1" w:unhideWhenUsed="0" w:uiPriority="0" w:semiHidden="0" w:name="heading 9" w:locked="1"/>
    <w:lsdException w:unhideWhenUsed="0" w:uiPriority="0" w:semiHidden="0" w:name="index 1" w:locked="1"/>
    <w:lsdException w:unhideWhenUsed="0" w:uiPriority="0" w:semiHidden="0" w:name="index 2" w:locked="1"/>
    <w:lsdException w:unhideWhenUsed="0" w:uiPriority="0" w:semiHidden="0" w:name="index 3" w:locked="1"/>
    <w:lsdException w:unhideWhenUsed="0" w:uiPriority="0" w:semiHidden="0" w:name="index 4" w:locked="1"/>
    <w:lsdException w:unhideWhenUsed="0" w:uiPriority="0" w:semiHidden="0" w:name="index 5" w:locked="1"/>
    <w:lsdException w:unhideWhenUsed="0" w:uiPriority="0" w:semiHidden="0" w:name="index 6" w:locked="1"/>
    <w:lsdException w:unhideWhenUsed="0" w:uiPriority="0" w:semiHidden="0" w:name="index 7" w:locked="1"/>
    <w:lsdException w:unhideWhenUsed="0" w:uiPriority="0" w:semiHidden="0" w:name="index 8" w:locked="1"/>
    <w:lsdException w:unhideWhenUsed="0" w:uiPriority="0" w:semiHidden="0" w:name="index 9" w:locked="1"/>
    <w:lsdException w:qFormat="1" w:unhideWhenUsed="0" w:uiPriority="39" w:semiHidden="0" w:name="toc 1" w:locked="1"/>
    <w:lsdException w:qFormat="1" w:unhideWhenUsed="0" w:uiPriority="0" w:semiHidden="0" w:name="toc 2" w:locked="1"/>
    <w:lsdException w:qFormat="1" w:unhideWhenUsed="0" w:uiPriority="39" w:semiHidden="0" w:name="toc 3" w:locked="1"/>
    <w:lsdException w:qFormat="1" w:unhideWhenUsed="0" w:uiPriority="0" w:semiHidden="0" w:name="toc 4" w:locked="1"/>
    <w:lsdException w:qFormat="1" w:unhideWhenUsed="0" w:uiPriority="0" w:semiHidden="0" w:name="toc 5" w:locked="1"/>
    <w:lsdException w:qFormat="1" w:unhideWhenUsed="0" w:uiPriority="0" w:semiHidden="0" w:name="toc 6" w:locked="1"/>
    <w:lsdException w:qFormat="1" w:unhideWhenUsed="0" w:uiPriority="0" w:semiHidden="0" w:name="toc 7" w:locked="1"/>
    <w:lsdException w:qFormat="1" w:unhideWhenUsed="0" w:uiPriority="0" w:semiHidden="0" w:name="toc 8" w:locked="1"/>
    <w:lsdException w:qFormat="1" w:unhideWhenUsed="0" w:uiPriority="0" w:semiHidden="0" w:name="toc 9" w:locked="1"/>
    <w:lsdException w:qFormat="1" w:unhideWhenUsed="0" w:uiPriority="0" w:semiHidden="0" w:name="Normal Indent" w:locked="1"/>
    <w:lsdException w:unhideWhenUsed="0" w:uiPriority="0" w:semiHidden="0" w:name="footnote text" w:locked="1"/>
    <w:lsdException w:qFormat="1" w:unhideWhenUsed="0" w:uiPriority="99" w:name="annotation text"/>
    <w:lsdException w:qFormat="1" w:unhideWhenUsed="0" w:uiPriority="0" w:semiHidden="0" w:name="header"/>
    <w:lsdException w:qFormat="1" w:unhideWhenUsed="0" w:uiPriority="99" w:semiHidden="0" w:name="footer"/>
    <w:lsdException w:unhideWhenUsed="0" w:uiPriority="0" w:semiHidden="0" w:name="index heading" w:locked="1"/>
    <w:lsdException w:qFormat="1" w:uiPriority="0" w:semiHidden="0" w:name="caption" w:locked="1"/>
    <w:lsdException w:qFormat="1" w:unhideWhenUsed="0" w:uiPriority="99" w:semiHidden="0" w:name="table of figures" w:locked="1"/>
    <w:lsdException w:unhideWhenUsed="0" w:uiPriority="0" w:semiHidden="0" w:name="envelope address" w:locked="1"/>
    <w:lsdException w:unhideWhenUsed="0" w:uiPriority="0" w:semiHidden="0" w:name="envelope return" w:locked="1"/>
    <w:lsdException w:unhideWhenUsed="0" w:uiPriority="0" w:semiHidden="0" w:name="footnote reference" w:locked="1"/>
    <w:lsdException w:qFormat="1" w:unhideWhenUsed="0" w:uiPriority="0" w:name="annotation reference"/>
    <w:lsdException w:unhideWhenUsed="0" w:uiPriority="0" w:semiHidden="0" w:name="line number" w:locked="1"/>
    <w:lsdException w:qFormat="1" w:unhideWhenUsed="0" w:uiPriority="0" w:semiHidden="0" w:name="page number" w:locked="1"/>
    <w:lsdException w:unhideWhenUsed="0" w:uiPriority="0" w:semiHidden="0" w:name="endnote reference" w:locked="1"/>
    <w:lsdException w:unhideWhenUsed="0" w:uiPriority="0" w:semiHidden="0" w:name="endnote text" w:locked="1"/>
    <w:lsdException w:unhideWhenUsed="0" w:uiPriority="0" w:semiHidden="0" w:name="table of authorities" w:locked="1"/>
    <w:lsdException w:unhideWhenUsed="0" w:uiPriority="0" w:semiHidden="0" w:name="macro" w:locked="1"/>
    <w:lsdException w:unhideWhenUsed="0" w:uiPriority="0" w:semiHidden="0" w:name="toa heading" w:locked="1"/>
    <w:lsdException w:qFormat="1" w:unhideWhenUsed="0" w:uiPriority="0" w:semiHidden="0" w:name="List" w:locked="1"/>
    <w:lsdException w:unhideWhenUsed="0" w:uiPriority="0" w:semiHidden="0" w:name="List Bullet" w:locked="1"/>
    <w:lsdException w:unhideWhenUsed="0" w:uiPriority="0" w:semiHidden="0" w:name="List Number" w:locked="1"/>
    <w:lsdException w:unhideWhenUsed="0" w:uiPriority="0" w:semiHidden="0" w:name="List 2" w:locked="1"/>
    <w:lsdException w:unhideWhenUsed="0" w:uiPriority="0" w:semiHidden="0" w:name="List 3" w:locked="1"/>
    <w:lsdException w:unhideWhenUsed="0" w:uiPriority="0" w:semiHidden="0" w:name="List 4" w:locked="1"/>
    <w:lsdException w:unhideWhenUsed="0" w:uiPriority="0" w:semiHidden="0" w:name="List 5" w:locked="1"/>
    <w:lsdException w:qFormat="1" w:unhideWhenUsed="0" w:uiPriority="0" w:semiHidden="0" w:name="List Bullet 2" w:locked="1"/>
    <w:lsdException w:unhideWhenUsed="0" w:uiPriority="0" w:semiHidden="0" w:name="List Bullet 3" w:locked="1"/>
    <w:lsdException w:unhideWhenUsed="0" w:uiPriority="0" w:semiHidden="0" w:name="List Bullet 4" w:locked="1"/>
    <w:lsdException w:qFormat="1" w:unhideWhenUsed="0" w:uiPriority="0" w:semiHidden="0" w:name="List Bullet 5" w:locked="1"/>
    <w:lsdException w:unhideWhenUsed="0" w:uiPriority="0" w:semiHidden="0" w:name="List Number 2" w:locked="1"/>
    <w:lsdException w:unhideWhenUsed="0" w:uiPriority="0" w:semiHidden="0" w:name="List Number 3" w:locked="1"/>
    <w:lsdException w:unhideWhenUsed="0" w:uiPriority="0" w:semiHidden="0" w:name="List Number 4" w:locked="1"/>
    <w:lsdException w:unhideWhenUsed="0" w:uiPriority="0" w:semiHidden="0" w:name="List Number 5" w:locked="1"/>
    <w:lsdException w:qFormat="1" w:unhideWhenUsed="0" w:uiPriority="10" w:semiHidden="0" w:name="Title" w:locked="1"/>
    <w:lsdException w:unhideWhenUsed="0" w:uiPriority="0" w:semiHidden="0" w:name="Closing" w:locked="1"/>
    <w:lsdException w:unhideWhenUsed="0" w:uiPriority="0" w:semiHidden="0" w:name="Signature" w:locked="1"/>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ocked="1"/>
    <w:lsdException w:unhideWhenUsed="0" w:uiPriority="0" w:semiHidden="0" w:name="List Continue 2" w:locked="1"/>
    <w:lsdException w:unhideWhenUsed="0" w:uiPriority="0" w:semiHidden="0" w:name="List Continue 3" w:locked="1"/>
    <w:lsdException w:unhideWhenUsed="0" w:uiPriority="0" w:semiHidden="0" w:name="List Continue 4" w:locked="1"/>
    <w:lsdException w:unhideWhenUsed="0" w:uiPriority="0" w:semiHidden="0" w:name="List Continue 5" w:locked="1"/>
    <w:lsdException w:unhideWhenUsed="0" w:uiPriority="0" w:semiHidden="0" w:name="Message Header" w:locked="1"/>
    <w:lsdException w:unhideWhenUsed="0" w:uiPriority="0" w:semiHidden="0" w:name="Subtitle" w:locked="1"/>
    <w:lsdException w:unhideWhenUsed="0" w:uiPriority="0" w:semiHidden="0" w:name="Salutation" w:locked="1"/>
    <w:lsdException w:qFormat="1" w:unhideWhenUsed="0" w:uiPriority="0" w:semiHidden="0" w:name="Date"/>
    <w:lsdException w:qFormat="1" w:unhideWhenUsed="0" w:uiPriority="0" w:semiHidden="0" w:name="Body Text First Indent" w:locked="1"/>
    <w:lsdException w:qFormat="1" w:unhideWhenUsed="0" w:uiPriority="0" w:semiHidden="0" w:name="Body Text First Indent 2" w:locked="1"/>
    <w:lsdException w:unhideWhenUsed="0" w:uiPriority="0" w:semiHidden="0" w:name="Note Heading" w:locked="1"/>
    <w:lsdException w:unhideWhenUsed="0" w:uiPriority="0" w:semiHidden="0" w:name="Body Text 2" w:locked="1"/>
    <w:lsdException w:unhideWhenUsed="0" w:uiPriority="0" w:semiHidden="0" w:name="Body Text 3" w:locked="1"/>
    <w:lsdException w:qFormat="1" w:unhideWhenUsed="0" w:uiPriority="0" w:semiHidden="0" w:name="Body Text Indent 2" w:locked="1"/>
    <w:lsdException w:unhideWhenUsed="0" w:uiPriority="0" w:semiHidden="0" w:name="Body Text Indent 3" w:locked="1"/>
    <w:lsdException w:qFormat="1" w:unhideWhenUsed="0" w:uiPriority="0" w:semiHidden="0" w:name="Block Text" w:locked="1"/>
    <w:lsdException w:qFormat="1" w:unhideWhenUsed="0" w:uiPriority="99" w:semiHidden="0" w:name="Hyperlink" w:locked="1"/>
    <w:lsdException w:qFormat="1" w:unhideWhenUsed="0" w:uiPriority="0" w:semiHidden="0" w:name="FollowedHyperlink" w:locked="1"/>
    <w:lsdException w:qFormat="1" w:unhideWhenUsed="0" w:uiPriority="0" w:semiHidden="0" w:name="Strong" w:locked="1"/>
    <w:lsdException w:unhideWhenUsed="0" w:uiPriority="0" w:semiHidden="0" w:name="Emphasis" w:locked="1"/>
    <w:lsdException w:unhideWhenUsed="0" w:uiPriority="0" w:semiHidden="0" w:name="Document Map" w:locked="1"/>
    <w:lsdException w:unhideWhenUsed="0" w:uiPriority="0" w:semiHidden="0" w:name="Plain Text" w:locked="1"/>
    <w:lsdException w:unhideWhenUsed="0" w:uiPriority="0" w:semiHidden="0" w:name="E-mail Signature" w:locked="1"/>
    <w:lsdException w:qFormat="1" w:unhideWhenUsed="0" w:uiPriority="0" w:semiHidden="0" w:name="Normal (Web)"/>
    <w:lsdException w:unhideWhenUsed="0" w:uiPriority="0" w:semiHidden="0" w:name="HTML Acronym" w:locked="1"/>
    <w:lsdException w:unhideWhenUsed="0" w:uiPriority="0" w:semiHidden="0" w:name="HTML Address" w:locked="1"/>
    <w:lsdException w:unhideWhenUsed="0" w:uiPriority="0" w:semiHidden="0" w:name="HTML Cite" w:locked="1"/>
    <w:lsdException w:unhideWhenUsed="0" w:uiPriority="0" w:semiHidden="0" w:name="HTML Code" w:locked="1"/>
    <w:lsdException w:unhideWhenUsed="0" w:uiPriority="0" w:semiHidden="0" w:name="HTML Definition" w:locked="1"/>
    <w:lsdException w:unhideWhenUsed="0" w:uiPriority="0" w:semiHidden="0" w:name="HTML Keyboard" w:locked="1"/>
    <w:lsdException w:unhideWhenUsed="0" w:uiPriority="0" w:semiHidden="0" w:name="HTML Preformatted" w:locked="1"/>
    <w:lsdException w:unhideWhenUsed="0" w:uiPriority="0" w:semiHidden="0" w:name="HTML Sample" w:locked="1"/>
    <w:lsdException w:unhideWhenUsed="0" w:uiPriority="0" w:semiHidden="0" w:name="HTML Typewriter" w:locked="1"/>
    <w:lsdException w:unhideWhenUsed="0" w:uiPriority="0" w:semiHidden="0" w:name="HTML Variable" w:locked="1"/>
    <w:lsdException w:qFormat="1" w:uiPriority="99" w:name="Normal Table"/>
    <w:lsdException w:qFormat="1" w:unhideWhenUsed="0" w:uiPriority="0" w:name="annotation subject"/>
    <w:lsdException w:uiPriority="0" w:name="Table Simple 1" w:locked="1"/>
    <w:lsdException w:uiPriority="0" w:name="Table Simple 2" w:locked="1"/>
    <w:lsdException w:uiPriority="0" w:name="Table Simple 3" w:locked="1"/>
    <w:lsdException w:uiPriority="0" w:name="Table Classic 1" w:locked="1"/>
    <w:lsdException w:uiPriority="0" w:name="Table Classic 2" w:locked="1"/>
    <w:lsdException w:uiPriority="0" w:name="Table Classic 3" w:locked="1"/>
    <w:lsdException w:uiPriority="0" w:name="Table Classic 4" w:locked="1"/>
    <w:lsdException w:uiPriority="0" w:name="Table Colorful 1" w:locked="1"/>
    <w:lsdException w:uiPriority="0" w:name="Table Colorful 2" w:locked="1"/>
    <w:lsdException w:uiPriority="0" w:name="Table Colorful 3" w:locked="1"/>
    <w:lsdException w:uiPriority="0" w:name="Table Columns 1" w:locked="1"/>
    <w:lsdException w:uiPriority="0" w:name="Table Columns 2" w:locked="1"/>
    <w:lsdException w:uiPriority="0" w:name="Table Columns 3" w:locked="1"/>
    <w:lsdException w:uiPriority="0" w:name="Table Columns 4" w:locked="1"/>
    <w:lsdException w:uiPriority="0" w:name="Table Columns 5" w:locked="1"/>
    <w:lsdException w:uiPriority="0" w:name="Table Grid 1" w:locked="1"/>
    <w:lsdException w:uiPriority="0" w:name="Table Grid 2" w:locked="1"/>
    <w:lsdException w:uiPriority="0" w:name="Table Grid 3" w:locked="1"/>
    <w:lsdException w:uiPriority="0" w:name="Table Grid 4" w:locked="1"/>
    <w:lsdException w:uiPriority="0" w:name="Table Grid 5" w:locked="1"/>
    <w:lsdException w:uiPriority="0" w:name="Table Grid 6" w:locked="1"/>
    <w:lsdException w:uiPriority="0" w:name="Table Grid 7" w:locked="1"/>
    <w:lsdException w:uiPriority="0" w:name="Table Grid 8" w:locked="1"/>
    <w:lsdException w:uiPriority="0" w:name="Table List 1" w:locked="1"/>
    <w:lsdException w:uiPriority="0" w:name="Table List 2" w:locked="1"/>
    <w:lsdException w:uiPriority="0" w:name="Table List 3" w:locked="1"/>
    <w:lsdException w:uiPriority="0" w:name="Table List 4" w:locked="1"/>
    <w:lsdException w:uiPriority="0" w:name="Table List 5" w:locked="1"/>
    <w:lsdException w:uiPriority="0" w:name="Table List 6" w:locked="1"/>
    <w:lsdException w:uiPriority="0" w:name="Table List 7" w:locked="1"/>
    <w:lsdException w:uiPriority="0" w:name="Table List 8" w:locked="1"/>
    <w:lsdException w:uiPriority="0" w:name="Table 3D effects 1" w:locked="1"/>
    <w:lsdException w:uiPriority="0" w:name="Table 3D effects 2" w:locked="1"/>
    <w:lsdException w:uiPriority="0" w:name="Table 3D effects 3" w:locked="1"/>
    <w:lsdException w:uiPriority="0" w:name="Table Contemporary" w:locked="1"/>
    <w:lsdException w:uiPriority="0" w:name="Table Elegant" w:locked="1"/>
    <w:lsdException w:uiPriority="0" w:name="Table Professional" w:locked="1"/>
    <w:lsdException w:uiPriority="0" w:name="Table Subtle 1" w:locked="1"/>
    <w:lsdException w:uiPriority="0" w:name="Table Subtle 2" w:locked="1"/>
    <w:lsdException w:uiPriority="0" w:name="Table Web 1" w:locked="1"/>
    <w:lsdException w:uiPriority="0" w:name="Table Web 2" w:locked="1"/>
    <w:lsdException w:uiPriority="0" w:name="Table Web 3" w:locked="1"/>
    <w:lsdException w:qFormat="1" w:unhideWhenUsed="0" w:uiPriority="0" w:name="Balloon Text"/>
    <w:lsdException w:qFormat="1" w:unhideWhenUsed="0" w:uiPriority="99" w:semiHidden="0" w:name="Table Grid"/>
    <w:lsdException w:uiPriority="0" w:name="Table Theme" w:locked="1"/>
    <w:lsdException w:qFormat="1" w:uiPriority="99" w:semiHidden="0" w:name="Placeholder Text"/>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locked/>
    <w:uiPriority w:val="0"/>
    <w:pPr>
      <w:keepNext/>
      <w:overflowPunct w:val="0"/>
      <w:snapToGrid w:val="0"/>
      <w:spacing w:before="120" w:after="160" w:line="259" w:lineRule="auto"/>
      <w:ind w:left="432" w:hanging="432"/>
      <w:outlineLvl w:val="0"/>
    </w:pPr>
    <w:rPr>
      <w:rFonts w:eastAsia="黑体"/>
      <w:b/>
      <w:bCs/>
      <w:color w:val="000000"/>
      <w:kern w:val="44"/>
      <w:sz w:val="30"/>
      <w:szCs w:val="30"/>
    </w:rPr>
  </w:style>
  <w:style w:type="paragraph" w:styleId="3">
    <w:name w:val="heading 2"/>
    <w:basedOn w:val="1"/>
    <w:next w:val="1"/>
    <w:link w:val="153"/>
    <w:unhideWhenUsed/>
    <w:qFormat/>
    <w:locked/>
    <w:uiPriority w:val="0"/>
    <w:pPr>
      <w:keepNext/>
      <w:keepLines/>
      <w:spacing w:before="260" w:after="260" w:line="416" w:lineRule="auto"/>
      <w:outlineLvl w:val="1"/>
    </w:pPr>
    <w:rPr>
      <w:rFonts w:ascii="等线 Light" w:hAnsi="等线 Light" w:eastAsia="等线 Light"/>
      <w:b/>
      <w:bCs/>
      <w:sz w:val="32"/>
      <w:szCs w:val="32"/>
    </w:rPr>
  </w:style>
  <w:style w:type="paragraph" w:styleId="4">
    <w:name w:val="heading 3"/>
    <w:basedOn w:val="1"/>
    <w:next w:val="1"/>
    <w:link w:val="157"/>
    <w:qFormat/>
    <w:locked/>
    <w:uiPriority w:val="0"/>
    <w:pPr>
      <w:keepNext/>
      <w:keepLines/>
      <w:autoSpaceDE w:val="0"/>
      <w:autoSpaceDN w:val="0"/>
      <w:adjustRightInd w:val="0"/>
      <w:spacing w:before="20" w:after="20" w:line="288" w:lineRule="auto"/>
      <w:jc w:val="left"/>
      <w:textAlignment w:val="baseline"/>
      <w:outlineLvl w:val="2"/>
    </w:pPr>
    <w:rPr>
      <w:rFonts w:eastAsia="黑体"/>
      <w:kern w:val="0"/>
      <w:sz w:val="28"/>
      <w:szCs w:val="20"/>
    </w:rPr>
  </w:style>
  <w:style w:type="paragraph" w:styleId="5">
    <w:name w:val="heading 4"/>
    <w:basedOn w:val="1"/>
    <w:next w:val="1"/>
    <w:link w:val="158"/>
    <w:qFormat/>
    <w:locked/>
    <w:uiPriority w:val="0"/>
    <w:pPr>
      <w:keepNext/>
      <w:keepLines/>
      <w:autoSpaceDE w:val="0"/>
      <w:autoSpaceDN w:val="0"/>
      <w:adjustRightInd w:val="0"/>
      <w:spacing w:before="20" w:line="288" w:lineRule="auto"/>
      <w:jc w:val="left"/>
      <w:textAlignment w:val="baseline"/>
      <w:outlineLvl w:val="3"/>
    </w:pPr>
    <w:rPr>
      <w:rFonts w:eastAsia="长城楷体"/>
      <w:b/>
      <w:kern w:val="0"/>
      <w:sz w:val="28"/>
      <w:szCs w:val="20"/>
    </w:rPr>
  </w:style>
  <w:style w:type="paragraph" w:styleId="6">
    <w:name w:val="heading 5"/>
    <w:basedOn w:val="1"/>
    <w:next w:val="1"/>
    <w:link w:val="159"/>
    <w:qFormat/>
    <w:locked/>
    <w:uiPriority w:val="0"/>
    <w:pPr>
      <w:keepNext/>
      <w:keepLines/>
      <w:autoSpaceDE w:val="0"/>
      <w:autoSpaceDN w:val="0"/>
      <w:adjustRightInd w:val="0"/>
      <w:spacing w:line="288" w:lineRule="auto"/>
      <w:jc w:val="left"/>
      <w:textAlignment w:val="baseline"/>
      <w:outlineLvl w:val="4"/>
    </w:pPr>
    <w:rPr>
      <w:b/>
      <w:kern w:val="0"/>
      <w:sz w:val="24"/>
      <w:szCs w:val="20"/>
    </w:rPr>
  </w:style>
  <w:style w:type="paragraph" w:styleId="7">
    <w:name w:val="heading 6"/>
    <w:basedOn w:val="1"/>
    <w:next w:val="1"/>
    <w:link w:val="160"/>
    <w:qFormat/>
    <w:locked/>
    <w:uiPriority w:val="0"/>
    <w:pPr>
      <w:keepNext/>
      <w:keepLines/>
      <w:autoSpaceDE w:val="0"/>
      <w:autoSpaceDN w:val="0"/>
      <w:adjustRightInd w:val="0"/>
      <w:spacing w:before="240" w:after="64" w:line="320" w:lineRule="auto"/>
      <w:jc w:val="left"/>
      <w:textAlignment w:val="baseline"/>
      <w:outlineLvl w:val="5"/>
    </w:pPr>
    <w:rPr>
      <w:rFonts w:ascii="Arial" w:hAnsi="Arial" w:eastAsia="黑体"/>
      <w:b/>
      <w:kern w:val="0"/>
      <w:sz w:val="24"/>
      <w:szCs w:val="20"/>
    </w:rPr>
  </w:style>
  <w:style w:type="paragraph" w:styleId="8">
    <w:name w:val="heading 7"/>
    <w:basedOn w:val="1"/>
    <w:next w:val="1"/>
    <w:link w:val="161"/>
    <w:qFormat/>
    <w:locked/>
    <w:uiPriority w:val="0"/>
    <w:pPr>
      <w:keepNext/>
      <w:keepLines/>
      <w:autoSpaceDE w:val="0"/>
      <w:autoSpaceDN w:val="0"/>
      <w:adjustRightInd w:val="0"/>
      <w:spacing w:before="240" w:after="64" w:line="320" w:lineRule="auto"/>
      <w:jc w:val="left"/>
      <w:textAlignment w:val="baseline"/>
      <w:outlineLvl w:val="6"/>
    </w:pPr>
    <w:rPr>
      <w:b/>
      <w:kern w:val="0"/>
      <w:sz w:val="24"/>
      <w:szCs w:val="20"/>
    </w:rPr>
  </w:style>
  <w:style w:type="paragraph" w:styleId="9">
    <w:name w:val="heading 8"/>
    <w:basedOn w:val="1"/>
    <w:next w:val="1"/>
    <w:link w:val="162"/>
    <w:qFormat/>
    <w:locked/>
    <w:uiPriority w:val="0"/>
    <w:pPr>
      <w:keepNext/>
      <w:keepLines/>
      <w:autoSpaceDE w:val="0"/>
      <w:autoSpaceDN w:val="0"/>
      <w:adjustRightInd w:val="0"/>
      <w:spacing w:before="240" w:after="64" w:line="320" w:lineRule="auto"/>
      <w:jc w:val="left"/>
      <w:textAlignment w:val="baseline"/>
      <w:outlineLvl w:val="7"/>
    </w:pPr>
    <w:rPr>
      <w:rFonts w:ascii="Arial" w:hAnsi="Arial" w:eastAsia="黑体"/>
      <w:kern w:val="0"/>
      <w:sz w:val="24"/>
      <w:szCs w:val="20"/>
    </w:rPr>
  </w:style>
  <w:style w:type="paragraph" w:styleId="10">
    <w:name w:val="heading 9"/>
    <w:basedOn w:val="1"/>
    <w:next w:val="1"/>
    <w:link w:val="163"/>
    <w:qFormat/>
    <w:locked/>
    <w:uiPriority w:val="0"/>
    <w:pPr>
      <w:keepNext/>
      <w:keepLines/>
      <w:autoSpaceDE w:val="0"/>
      <w:autoSpaceDN w:val="0"/>
      <w:adjustRightInd w:val="0"/>
      <w:spacing w:before="240" w:after="64" w:line="320" w:lineRule="auto"/>
      <w:jc w:val="left"/>
      <w:textAlignment w:val="baseline"/>
      <w:outlineLvl w:val="8"/>
    </w:pPr>
    <w:rPr>
      <w:rFonts w:ascii="Arial" w:hAnsi="Arial" w:eastAsia="黑体"/>
      <w:kern w:val="0"/>
      <w:szCs w:val="20"/>
    </w:rPr>
  </w:style>
  <w:style w:type="character" w:default="1" w:styleId="43">
    <w:name w:val="Default Paragraph Font"/>
    <w:semiHidden/>
    <w:unhideWhenUsed/>
    <w:qFormat/>
    <w:uiPriority w:val="1"/>
  </w:style>
  <w:style w:type="table" w:default="1" w:styleId="41">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autoRedefine/>
    <w:qFormat/>
    <w:locked/>
    <w:uiPriority w:val="0"/>
    <w:pPr>
      <w:ind w:left="1260"/>
      <w:jc w:val="left"/>
    </w:pPr>
    <w:rPr>
      <w:rFonts w:asciiTheme="minorHAnsi" w:eastAsiaTheme="minorHAnsi"/>
      <w:sz w:val="18"/>
      <w:szCs w:val="18"/>
    </w:rPr>
  </w:style>
  <w:style w:type="paragraph" w:styleId="12">
    <w:name w:val="Normal Indent"/>
    <w:basedOn w:val="1"/>
    <w:link w:val="206"/>
    <w:qFormat/>
    <w:locked/>
    <w:uiPriority w:val="0"/>
    <w:pPr>
      <w:autoSpaceDE w:val="0"/>
      <w:autoSpaceDN w:val="0"/>
      <w:ind w:firstLine="0" w:firstLineChars="0"/>
      <w:jc w:val="center"/>
    </w:pPr>
    <w:rPr>
      <w:rFonts w:ascii="Times New Roman" w:hAnsi="Times New Roman" w:eastAsia="黑体"/>
      <w:lang w:eastAsia="en-US"/>
    </w:rPr>
  </w:style>
  <w:style w:type="paragraph" w:styleId="13">
    <w:name w:val="caption"/>
    <w:basedOn w:val="1"/>
    <w:next w:val="14"/>
    <w:link w:val="149"/>
    <w:unhideWhenUsed/>
    <w:qFormat/>
    <w:locked/>
    <w:uiPriority w:val="0"/>
    <w:pPr>
      <w:jc w:val="center"/>
    </w:pPr>
    <w:rPr>
      <w:rFonts w:ascii="Times New Roman" w:hAnsi="Times New Roman" w:eastAsia="宋体" w:cs="Times New Roman"/>
      <w:b/>
      <w:color w:val="000000"/>
      <w:sz w:val="21"/>
      <w:lang w:val="en-US" w:eastAsia="en-US" w:bidi="ar-SA"/>
    </w:rPr>
  </w:style>
  <w:style w:type="paragraph" w:styleId="14">
    <w:name w:val="No Spacing"/>
    <w:basedOn w:val="1"/>
    <w:next w:val="1"/>
    <w:link w:val="150"/>
    <w:autoRedefine/>
    <w:qFormat/>
    <w:uiPriority w:val="0"/>
    <w:pPr>
      <w:adjustRightInd w:val="0"/>
      <w:snapToGrid w:val="0"/>
      <w:jc w:val="center"/>
    </w:pPr>
    <w:rPr>
      <w:rFonts w:ascii="Times New Roman" w:hAnsi="Times New Roman" w:eastAsia="宋体" w:cs="Times New Roman"/>
      <w:color w:val="000000"/>
      <w:sz w:val="21"/>
      <w:szCs w:val="18"/>
      <w:shd w:val="clear" w:color="auto" w:fill="FFFFFF"/>
      <w:lang w:val="zh-TW" w:eastAsia="zh-CN" w:bidi="ar-SA"/>
    </w:rPr>
  </w:style>
  <w:style w:type="paragraph" w:styleId="15">
    <w:name w:val="annotation text"/>
    <w:basedOn w:val="1"/>
    <w:link w:val="49"/>
    <w:semiHidden/>
    <w:qFormat/>
    <w:uiPriority w:val="99"/>
    <w:pPr>
      <w:jc w:val="left"/>
    </w:pPr>
    <w:rPr>
      <w:kern w:val="0"/>
      <w:sz w:val="24"/>
      <w:szCs w:val="20"/>
    </w:rPr>
  </w:style>
  <w:style w:type="paragraph" w:styleId="16">
    <w:name w:val="Body Text"/>
    <w:basedOn w:val="1"/>
    <w:next w:val="17"/>
    <w:link w:val="50"/>
    <w:qFormat/>
    <w:uiPriority w:val="0"/>
    <w:pPr>
      <w:widowControl/>
      <w:snapToGrid w:val="0"/>
      <w:spacing w:before="60" w:after="160" w:line="259" w:lineRule="auto"/>
      <w:ind w:right="113"/>
    </w:pPr>
    <w:rPr>
      <w:kern w:val="0"/>
      <w:sz w:val="18"/>
      <w:szCs w:val="20"/>
    </w:rPr>
  </w:style>
  <w:style w:type="paragraph" w:styleId="17">
    <w:name w:val="Body Text First Indent"/>
    <w:basedOn w:val="16"/>
    <w:next w:val="1"/>
    <w:link w:val="128"/>
    <w:qFormat/>
    <w:locked/>
    <w:uiPriority w:val="0"/>
    <w:pPr>
      <w:widowControl w:val="0"/>
      <w:snapToGrid/>
      <w:spacing w:before="0" w:after="120" w:line="240" w:lineRule="auto"/>
      <w:ind w:right="0" w:firstLine="420" w:firstLineChars="100"/>
    </w:pPr>
    <w:rPr>
      <w:kern w:val="2"/>
      <w:sz w:val="21"/>
      <w:szCs w:val="24"/>
    </w:rPr>
  </w:style>
  <w:style w:type="paragraph" w:styleId="18">
    <w:name w:val="Body Text Indent"/>
    <w:basedOn w:val="1"/>
    <w:next w:val="19"/>
    <w:link w:val="51"/>
    <w:qFormat/>
    <w:uiPriority w:val="0"/>
    <w:pPr>
      <w:spacing w:after="120"/>
      <w:ind w:left="420" w:leftChars="200"/>
    </w:pPr>
    <w:rPr>
      <w:kern w:val="0"/>
      <w:sz w:val="24"/>
      <w:szCs w:val="20"/>
    </w:rPr>
  </w:style>
  <w:style w:type="paragraph" w:styleId="19">
    <w:name w:val="List"/>
    <w:basedOn w:val="1"/>
    <w:qFormat/>
    <w:locked/>
    <w:uiPriority w:val="0"/>
    <w:pPr>
      <w:ind w:left="200" w:hanging="200" w:hangingChars="200"/>
    </w:pPr>
  </w:style>
  <w:style w:type="paragraph" w:styleId="20">
    <w:name w:val="Block Text"/>
    <w:basedOn w:val="1"/>
    <w:qFormat/>
    <w:locked/>
    <w:uiPriority w:val="0"/>
    <w:pPr>
      <w:spacing w:line="360" w:lineRule="exact"/>
      <w:ind w:left="-57" w:right="-57"/>
    </w:pPr>
    <w:rPr>
      <w:sz w:val="18"/>
      <w:szCs w:val="20"/>
    </w:rPr>
  </w:style>
  <w:style w:type="paragraph" w:styleId="21">
    <w:name w:val="List Bullet 2"/>
    <w:basedOn w:val="1"/>
    <w:qFormat/>
    <w:locked/>
    <w:uiPriority w:val="0"/>
    <w:pPr>
      <w:tabs>
        <w:tab w:val="left" w:pos="780"/>
      </w:tabs>
      <w:ind w:left="780" w:hanging="360"/>
    </w:pPr>
    <w:rPr>
      <w:sz w:val="24"/>
      <w:szCs w:val="20"/>
    </w:rPr>
  </w:style>
  <w:style w:type="paragraph" w:styleId="22">
    <w:name w:val="toc 5"/>
    <w:basedOn w:val="1"/>
    <w:next w:val="1"/>
    <w:autoRedefine/>
    <w:qFormat/>
    <w:locked/>
    <w:uiPriority w:val="0"/>
    <w:pPr>
      <w:ind w:left="840"/>
      <w:jc w:val="left"/>
    </w:pPr>
    <w:rPr>
      <w:rFonts w:asciiTheme="minorHAnsi" w:eastAsiaTheme="minorHAnsi"/>
      <w:sz w:val="18"/>
      <w:szCs w:val="18"/>
    </w:rPr>
  </w:style>
  <w:style w:type="paragraph" w:styleId="23">
    <w:name w:val="toc 3"/>
    <w:basedOn w:val="1"/>
    <w:next w:val="1"/>
    <w:qFormat/>
    <w:locked/>
    <w:uiPriority w:val="39"/>
    <w:pPr>
      <w:ind w:left="420"/>
      <w:jc w:val="left"/>
    </w:pPr>
    <w:rPr>
      <w:rFonts w:asciiTheme="minorHAnsi" w:eastAsiaTheme="minorHAnsi"/>
      <w:i/>
      <w:iCs/>
      <w:sz w:val="20"/>
      <w:szCs w:val="20"/>
    </w:rPr>
  </w:style>
  <w:style w:type="paragraph" w:styleId="24">
    <w:name w:val="List Bullet 5"/>
    <w:basedOn w:val="1"/>
    <w:qFormat/>
    <w:locked/>
    <w:uiPriority w:val="0"/>
    <w:pPr>
      <w:numPr>
        <w:ilvl w:val="0"/>
        <w:numId w:val="1"/>
      </w:numPr>
    </w:pPr>
  </w:style>
  <w:style w:type="paragraph" w:styleId="25">
    <w:name w:val="toc 8"/>
    <w:basedOn w:val="1"/>
    <w:next w:val="1"/>
    <w:autoRedefine/>
    <w:qFormat/>
    <w:locked/>
    <w:uiPriority w:val="0"/>
    <w:pPr>
      <w:ind w:left="1470"/>
      <w:jc w:val="left"/>
    </w:pPr>
    <w:rPr>
      <w:rFonts w:asciiTheme="minorHAnsi" w:eastAsiaTheme="minorHAnsi"/>
      <w:sz w:val="18"/>
      <w:szCs w:val="18"/>
    </w:rPr>
  </w:style>
  <w:style w:type="paragraph" w:styleId="26">
    <w:name w:val="Date"/>
    <w:basedOn w:val="1"/>
    <w:next w:val="1"/>
    <w:link w:val="52"/>
    <w:qFormat/>
    <w:uiPriority w:val="0"/>
    <w:pPr>
      <w:ind w:left="100" w:leftChars="2500"/>
    </w:pPr>
    <w:rPr>
      <w:kern w:val="0"/>
      <w:sz w:val="24"/>
      <w:szCs w:val="20"/>
    </w:rPr>
  </w:style>
  <w:style w:type="paragraph" w:styleId="27">
    <w:name w:val="Body Text Indent 2"/>
    <w:basedOn w:val="1"/>
    <w:link w:val="122"/>
    <w:qFormat/>
    <w:locked/>
    <w:uiPriority w:val="0"/>
    <w:pPr>
      <w:spacing w:after="120" w:line="480" w:lineRule="auto"/>
      <w:ind w:left="420" w:leftChars="200"/>
    </w:pPr>
  </w:style>
  <w:style w:type="paragraph" w:styleId="28">
    <w:name w:val="Balloon Text"/>
    <w:basedOn w:val="1"/>
    <w:link w:val="53"/>
    <w:semiHidden/>
    <w:qFormat/>
    <w:uiPriority w:val="0"/>
    <w:rPr>
      <w:kern w:val="0"/>
      <w:sz w:val="18"/>
      <w:szCs w:val="20"/>
    </w:rPr>
  </w:style>
  <w:style w:type="paragraph" w:styleId="29">
    <w:name w:val="footer"/>
    <w:basedOn w:val="1"/>
    <w:link w:val="54"/>
    <w:qFormat/>
    <w:uiPriority w:val="99"/>
    <w:pPr>
      <w:tabs>
        <w:tab w:val="center" w:pos="4153"/>
        <w:tab w:val="right" w:pos="8306"/>
      </w:tabs>
      <w:snapToGrid w:val="0"/>
      <w:jc w:val="left"/>
    </w:pPr>
    <w:rPr>
      <w:kern w:val="0"/>
      <w:sz w:val="18"/>
      <w:szCs w:val="20"/>
    </w:rPr>
  </w:style>
  <w:style w:type="paragraph" w:styleId="30">
    <w:name w:val="header"/>
    <w:basedOn w:val="1"/>
    <w:link w:val="55"/>
    <w:qFormat/>
    <w:uiPriority w:val="0"/>
    <w:pPr>
      <w:pBdr>
        <w:bottom w:val="single" w:color="auto" w:sz="6" w:space="1"/>
      </w:pBdr>
      <w:tabs>
        <w:tab w:val="center" w:pos="4153"/>
        <w:tab w:val="right" w:pos="8306"/>
      </w:tabs>
      <w:snapToGrid w:val="0"/>
      <w:jc w:val="center"/>
    </w:pPr>
    <w:rPr>
      <w:kern w:val="0"/>
      <w:sz w:val="18"/>
      <w:szCs w:val="20"/>
    </w:rPr>
  </w:style>
  <w:style w:type="paragraph" w:styleId="31">
    <w:name w:val="toc 1"/>
    <w:basedOn w:val="1"/>
    <w:next w:val="1"/>
    <w:autoRedefine/>
    <w:qFormat/>
    <w:locked/>
    <w:uiPriority w:val="39"/>
    <w:pPr>
      <w:spacing w:before="120" w:after="120"/>
      <w:jc w:val="left"/>
    </w:pPr>
    <w:rPr>
      <w:rFonts w:asciiTheme="minorHAnsi" w:eastAsiaTheme="minorHAnsi"/>
      <w:b/>
      <w:bCs/>
      <w:caps/>
      <w:sz w:val="20"/>
      <w:szCs w:val="20"/>
    </w:rPr>
  </w:style>
  <w:style w:type="paragraph" w:styleId="32">
    <w:name w:val="toc 4"/>
    <w:basedOn w:val="1"/>
    <w:next w:val="1"/>
    <w:autoRedefine/>
    <w:qFormat/>
    <w:locked/>
    <w:uiPriority w:val="0"/>
    <w:pPr>
      <w:ind w:left="630"/>
      <w:jc w:val="left"/>
    </w:pPr>
    <w:rPr>
      <w:rFonts w:asciiTheme="minorHAnsi" w:eastAsiaTheme="minorHAnsi"/>
      <w:sz w:val="18"/>
      <w:szCs w:val="18"/>
    </w:rPr>
  </w:style>
  <w:style w:type="paragraph" w:styleId="33">
    <w:name w:val="toc 6"/>
    <w:basedOn w:val="1"/>
    <w:next w:val="1"/>
    <w:autoRedefine/>
    <w:qFormat/>
    <w:locked/>
    <w:uiPriority w:val="0"/>
    <w:pPr>
      <w:ind w:left="1050"/>
      <w:jc w:val="left"/>
    </w:pPr>
    <w:rPr>
      <w:rFonts w:asciiTheme="minorHAnsi" w:eastAsiaTheme="minorHAnsi"/>
      <w:sz w:val="18"/>
      <w:szCs w:val="18"/>
    </w:rPr>
  </w:style>
  <w:style w:type="paragraph" w:styleId="34">
    <w:name w:val="table of figures"/>
    <w:basedOn w:val="1"/>
    <w:next w:val="1"/>
    <w:qFormat/>
    <w:locked/>
    <w:uiPriority w:val="99"/>
    <w:pPr>
      <w:ind w:left="200" w:leftChars="200" w:hanging="200" w:hangingChars="200"/>
    </w:pPr>
    <w:rPr>
      <w:rFonts w:ascii="仿宋_GB2312" w:hAnsi="仿宋_GB2312" w:cs="仿宋_GB2312"/>
    </w:rPr>
  </w:style>
  <w:style w:type="paragraph" w:styleId="35">
    <w:name w:val="toc 2"/>
    <w:basedOn w:val="1"/>
    <w:next w:val="1"/>
    <w:autoRedefine/>
    <w:qFormat/>
    <w:locked/>
    <w:uiPriority w:val="0"/>
    <w:pPr>
      <w:ind w:left="210"/>
      <w:jc w:val="left"/>
    </w:pPr>
    <w:rPr>
      <w:rFonts w:asciiTheme="minorHAnsi" w:eastAsiaTheme="minorHAnsi"/>
      <w:smallCaps/>
      <w:sz w:val="20"/>
      <w:szCs w:val="20"/>
    </w:rPr>
  </w:style>
  <w:style w:type="paragraph" w:styleId="36">
    <w:name w:val="toc 9"/>
    <w:basedOn w:val="1"/>
    <w:next w:val="1"/>
    <w:autoRedefine/>
    <w:qFormat/>
    <w:locked/>
    <w:uiPriority w:val="0"/>
    <w:pPr>
      <w:ind w:left="1680"/>
      <w:jc w:val="left"/>
    </w:pPr>
    <w:rPr>
      <w:rFonts w:asciiTheme="minorHAnsi" w:eastAsiaTheme="minorHAnsi"/>
      <w:sz w:val="18"/>
      <w:szCs w:val="18"/>
    </w:rPr>
  </w:style>
  <w:style w:type="paragraph" w:styleId="37">
    <w:name w:val="Normal (Web)"/>
    <w:basedOn w:val="1"/>
    <w:link w:val="56"/>
    <w:qFormat/>
    <w:uiPriority w:val="0"/>
    <w:pPr>
      <w:widowControl/>
      <w:spacing w:before="100" w:beforeAutospacing="1" w:after="100" w:afterAutospacing="1"/>
      <w:jc w:val="left"/>
    </w:pPr>
    <w:rPr>
      <w:rFonts w:ascii="宋体" w:hAnsi="宋体"/>
      <w:kern w:val="0"/>
      <w:sz w:val="24"/>
      <w:szCs w:val="20"/>
    </w:rPr>
  </w:style>
  <w:style w:type="paragraph" w:styleId="38">
    <w:name w:val="Title"/>
    <w:basedOn w:val="1"/>
    <w:next w:val="1"/>
    <w:link w:val="75"/>
    <w:qFormat/>
    <w:locked/>
    <w:uiPriority w:val="10"/>
    <w:pPr>
      <w:spacing w:before="240" w:after="60"/>
      <w:jc w:val="center"/>
      <w:outlineLvl w:val="0"/>
    </w:pPr>
    <w:rPr>
      <w:rFonts w:ascii="等线 Light" w:hAnsi="等线 Light"/>
      <w:b/>
      <w:bCs/>
      <w:sz w:val="32"/>
      <w:szCs w:val="32"/>
    </w:rPr>
  </w:style>
  <w:style w:type="paragraph" w:styleId="39">
    <w:name w:val="annotation subject"/>
    <w:basedOn w:val="15"/>
    <w:next w:val="15"/>
    <w:link w:val="57"/>
    <w:semiHidden/>
    <w:qFormat/>
    <w:uiPriority w:val="0"/>
    <w:rPr>
      <w:b/>
    </w:rPr>
  </w:style>
  <w:style w:type="paragraph" w:styleId="40">
    <w:name w:val="Body Text First Indent 2"/>
    <w:basedOn w:val="18"/>
    <w:qFormat/>
    <w:locked/>
    <w:uiPriority w:val="0"/>
    <w:pPr>
      <w:ind w:firstLine="210" w:firstLineChars="200"/>
    </w:pPr>
  </w:style>
  <w:style w:type="table" w:styleId="42">
    <w:name w:val="Table Grid"/>
    <w:basedOn w:val="41"/>
    <w:qFormat/>
    <w:uiPriority w:val="9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4">
    <w:name w:val="Strong"/>
    <w:basedOn w:val="43"/>
    <w:qFormat/>
    <w:locked/>
    <w:uiPriority w:val="0"/>
    <w:rPr>
      <w:b/>
    </w:rPr>
  </w:style>
  <w:style w:type="character" w:styleId="45">
    <w:name w:val="page number"/>
    <w:qFormat/>
    <w:locked/>
    <w:uiPriority w:val="0"/>
  </w:style>
  <w:style w:type="character" w:styleId="46">
    <w:name w:val="FollowedHyperlink"/>
    <w:qFormat/>
    <w:locked/>
    <w:uiPriority w:val="0"/>
    <w:rPr>
      <w:color w:val="954F72"/>
      <w:u w:val="single"/>
    </w:rPr>
  </w:style>
  <w:style w:type="character" w:styleId="47">
    <w:name w:val="Hyperlink"/>
    <w:qFormat/>
    <w:locked/>
    <w:uiPriority w:val="99"/>
    <w:rPr>
      <w:color w:val="0563C1"/>
      <w:u w:val="single"/>
    </w:rPr>
  </w:style>
  <w:style w:type="character" w:styleId="48">
    <w:name w:val="annotation reference"/>
    <w:semiHidden/>
    <w:qFormat/>
    <w:uiPriority w:val="0"/>
    <w:rPr>
      <w:sz w:val="21"/>
    </w:rPr>
  </w:style>
  <w:style w:type="character" w:customStyle="1" w:styleId="49">
    <w:name w:val="批注文字 字符"/>
    <w:link w:val="15"/>
    <w:qFormat/>
    <w:locked/>
    <w:uiPriority w:val="99"/>
    <w:rPr>
      <w:rFonts w:ascii="Times New Roman" w:hAnsi="Times New Roman" w:eastAsia="宋体"/>
      <w:sz w:val="24"/>
    </w:rPr>
  </w:style>
  <w:style w:type="character" w:customStyle="1" w:styleId="50">
    <w:name w:val="正文文本 字符"/>
    <w:link w:val="16"/>
    <w:qFormat/>
    <w:locked/>
    <w:uiPriority w:val="0"/>
    <w:rPr>
      <w:sz w:val="18"/>
    </w:rPr>
  </w:style>
  <w:style w:type="character" w:customStyle="1" w:styleId="51">
    <w:name w:val="正文文本缩进 字符"/>
    <w:link w:val="18"/>
    <w:semiHidden/>
    <w:qFormat/>
    <w:locked/>
    <w:uiPriority w:val="0"/>
    <w:rPr>
      <w:rFonts w:ascii="Times New Roman" w:hAnsi="Times New Roman" w:eastAsia="宋体"/>
      <w:sz w:val="24"/>
    </w:rPr>
  </w:style>
  <w:style w:type="character" w:customStyle="1" w:styleId="52">
    <w:name w:val="日期 字符1"/>
    <w:link w:val="26"/>
    <w:qFormat/>
    <w:locked/>
    <w:uiPriority w:val="0"/>
    <w:rPr>
      <w:rFonts w:ascii="Times New Roman" w:hAnsi="Times New Roman" w:eastAsia="宋体"/>
      <w:sz w:val="24"/>
    </w:rPr>
  </w:style>
  <w:style w:type="character" w:customStyle="1" w:styleId="53">
    <w:name w:val="批注框文本 字符"/>
    <w:link w:val="28"/>
    <w:semiHidden/>
    <w:qFormat/>
    <w:locked/>
    <w:uiPriority w:val="0"/>
    <w:rPr>
      <w:rFonts w:ascii="Times New Roman" w:hAnsi="Times New Roman" w:eastAsia="宋体"/>
      <w:sz w:val="18"/>
    </w:rPr>
  </w:style>
  <w:style w:type="character" w:customStyle="1" w:styleId="54">
    <w:name w:val="页脚 字符1"/>
    <w:link w:val="29"/>
    <w:qFormat/>
    <w:locked/>
    <w:uiPriority w:val="99"/>
    <w:rPr>
      <w:sz w:val="18"/>
    </w:rPr>
  </w:style>
  <w:style w:type="character" w:customStyle="1" w:styleId="55">
    <w:name w:val="页眉 字符"/>
    <w:link w:val="30"/>
    <w:qFormat/>
    <w:locked/>
    <w:uiPriority w:val="0"/>
    <w:rPr>
      <w:sz w:val="18"/>
    </w:rPr>
  </w:style>
  <w:style w:type="character" w:customStyle="1" w:styleId="56">
    <w:name w:val="普通(网站) 字符"/>
    <w:link w:val="37"/>
    <w:qFormat/>
    <w:locked/>
    <w:uiPriority w:val="0"/>
    <w:rPr>
      <w:rFonts w:ascii="宋体" w:hAnsi="宋体" w:eastAsia="宋体"/>
      <w:sz w:val="24"/>
    </w:rPr>
  </w:style>
  <w:style w:type="character" w:customStyle="1" w:styleId="57">
    <w:name w:val="批注主题 字符"/>
    <w:link w:val="39"/>
    <w:semiHidden/>
    <w:qFormat/>
    <w:locked/>
    <w:uiPriority w:val="0"/>
    <w:rPr>
      <w:rFonts w:ascii="Times New Roman" w:hAnsi="Times New Roman" w:eastAsia="宋体"/>
      <w:b/>
      <w:kern w:val="2"/>
      <w:sz w:val="24"/>
    </w:rPr>
  </w:style>
  <w:style w:type="character" w:customStyle="1" w:styleId="58">
    <w:name w:val="页脚 字符"/>
    <w:qFormat/>
    <w:uiPriority w:val="99"/>
  </w:style>
  <w:style w:type="character" w:customStyle="1" w:styleId="59">
    <w:name w:val="正文文本 字符1"/>
    <w:semiHidden/>
    <w:qFormat/>
    <w:uiPriority w:val="0"/>
    <w:rPr>
      <w:rFonts w:ascii="Times New Roman" w:hAnsi="Times New Roman" w:eastAsia="宋体"/>
      <w:sz w:val="24"/>
    </w:rPr>
  </w:style>
  <w:style w:type="character" w:customStyle="1" w:styleId="60">
    <w:name w:val="表格 Char"/>
    <w:link w:val="61"/>
    <w:qFormat/>
    <w:locked/>
    <w:uiPriority w:val="0"/>
    <w:rPr>
      <w:rFonts w:ascii="宋体"/>
      <w:sz w:val="21"/>
    </w:rPr>
  </w:style>
  <w:style w:type="paragraph" w:customStyle="1" w:styleId="61">
    <w:name w:val="表格"/>
    <w:basedOn w:val="1"/>
    <w:next w:val="1"/>
    <w:link w:val="60"/>
    <w:qFormat/>
    <w:uiPriority w:val="0"/>
    <w:pPr>
      <w:adjustRightInd w:val="0"/>
      <w:snapToGrid w:val="0"/>
      <w:spacing w:beforeLines="10" w:afterLines="10" w:line="259" w:lineRule="auto"/>
      <w:jc w:val="center"/>
    </w:pPr>
    <w:rPr>
      <w:rFonts w:ascii="宋体"/>
      <w:kern w:val="0"/>
      <w:szCs w:val="20"/>
    </w:rPr>
  </w:style>
  <w:style w:type="character" w:customStyle="1" w:styleId="62">
    <w:name w:val="日期 字符"/>
    <w:semiHidden/>
    <w:qFormat/>
    <w:uiPriority w:val="0"/>
    <w:rPr>
      <w:rFonts w:ascii="Times New Roman" w:hAnsi="Times New Roman" w:eastAsia="宋体"/>
      <w:sz w:val="24"/>
    </w:rPr>
  </w:style>
  <w:style w:type="character" w:customStyle="1" w:styleId="63">
    <w:name w:val="批注文字 字符1"/>
    <w:semiHidden/>
    <w:qFormat/>
    <w:uiPriority w:val="0"/>
    <w:rPr>
      <w:rFonts w:ascii="Times New Roman" w:hAnsi="Times New Roman" w:eastAsia="宋体"/>
      <w:sz w:val="24"/>
    </w:rPr>
  </w:style>
  <w:style w:type="paragraph" w:customStyle="1" w:styleId="64">
    <w:name w:val="正文_10"/>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65">
    <w:name w:val="普通(网站)2"/>
    <w:basedOn w:val="1"/>
    <w:qFormat/>
    <w:uiPriority w:val="0"/>
    <w:pPr>
      <w:widowControl/>
      <w:spacing w:before="100" w:beforeAutospacing="1" w:after="100" w:afterAutospacing="1"/>
      <w:jc w:val="left"/>
    </w:pPr>
    <w:rPr>
      <w:rFonts w:ascii="宋体" w:hAnsi="宋体"/>
      <w:sz w:val="24"/>
      <w:szCs w:val="20"/>
    </w:rPr>
  </w:style>
  <w:style w:type="paragraph" w:customStyle="1" w:styleId="66">
    <w:name w:val="报告正文"/>
    <w:basedOn w:val="1"/>
    <w:link w:val="67"/>
    <w:qFormat/>
    <w:uiPriority w:val="0"/>
    <w:pPr>
      <w:autoSpaceDE w:val="0"/>
      <w:autoSpaceDN w:val="0"/>
      <w:adjustRightInd w:val="0"/>
      <w:snapToGrid w:val="0"/>
      <w:spacing w:line="560" w:lineRule="exact"/>
      <w:ind w:firstLine="480" w:firstLineChars="200"/>
    </w:pPr>
    <w:rPr>
      <w:color w:val="000000"/>
      <w:kern w:val="0"/>
      <w:sz w:val="24"/>
    </w:rPr>
  </w:style>
  <w:style w:type="character" w:customStyle="1" w:styleId="67">
    <w:name w:val="报告正文 字符"/>
    <w:link w:val="66"/>
    <w:qFormat/>
    <w:uiPriority w:val="0"/>
    <w:rPr>
      <w:color w:val="000000"/>
      <w:sz w:val="24"/>
      <w:szCs w:val="24"/>
    </w:rPr>
  </w:style>
  <w:style w:type="paragraph" w:customStyle="1" w:styleId="68">
    <w:name w:val="表头"/>
    <w:basedOn w:val="1"/>
    <w:link w:val="69"/>
    <w:qFormat/>
    <w:uiPriority w:val="0"/>
    <w:pPr>
      <w:autoSpaceDE w:val="0"/>
      <w:autoSpaceDN w:val="0"/>
      <w:adjustRightInd w:val="0"/>
      <w:snapToGrid w:val="0"/>
      <w:spacing w:line="360" w:lineRule="exact"/>
      <w:jc w:val="center"/>
    </w:pPr>
    <w:rPr>
      <w:rFonts w:eastAsia="黑体"/>
      <w:color w:val="000000"/>
      <w:szCs w:val="21"/>
    </w:rPr>
  </w:style>
  <w:style w:type="character" w:customStyle="1" w:styleId="69">
    <w:name w:val="表头 字符"/>
    <w:link w:val="68"/>
    <w:qFormat/>
    <w:uiPriority w:val="0"/>
    <w:rPr>
      <w:rFonts w:eastAsia="黑体"/>
      <w:color w:val="000000"/>
      <w:kern w:val="2"/>
      <w:sz w:val="21"/>
      <w:szCs w:val="21"/>
    </w:rPr>
  </w:style>
  <w:style w:type="paragraph" w:customStyle="1" w:styleId="70">
    <w:name w:val="报告表格"/>
    <w:basedOn w:val="1"/>
    <w:link w:val="71"/>
    <w:qFormat/>
    <w:uiPriority w:val="0"/>
    <w:pPr>
      <w:autoSpaceDE w:val="0"/>
      <w:autoSpaceDN w:val="0"/>
      <w:adjustRightInd w:val="0"/>
      <w:snapToGrid w:val="0"/>
      <w:spacing w:line="360" w:lineRule="exact"/>
      <w:jc w:val="center"/>
    </w:pPr>
    <w:rPr>
      <w:color w:val="000000"/>
      <w:kern w:val="0"/>
      <w:sz w:val="18"/>
      <w:szCs w:val="18"/>
    </w:rPr>
  </w:style>
  <w:style w:type="character" w:customStyle="1" w:styleId="71">
    <w:name w:val="报告表格 字符"/>
    <w:link w:val="70"/>
    <w:qFormat/>
    <w:uiPriority w:val="0"/>
    <w:rPr>
      <w:color w:val="000000"/>
      <w:sz w:val="18"/>
      <w:szCs w:val="18"/>
    </w:rPr>
  </w:style>
  <w:style w:type="paragraph" w:customStyle="1" w:styleId="72">
    <w:name w:val="标准正文"/>
    <w:qFormat/>
    <w:uiPriority w:val="0"/>
    <w:pPr>
      <w:keepNext/>
      <w:keepLines/>
      <w:snapToGrid w:val="0"/>
      <w:spacing w:before="156" w:beforeLines="50" w:after="156" w:afterLines="50" w:line="360" w:lineRule="auto"/>
      <w:ind w:firstLine="200" w:firstLineChars="200"/>
      <w:jc w:val="both"/>
    </w:pPr>
    <w:rPr>
      <w:rFonts w:ascii="Calibri" w:hAnsi="Calibri" w:eastAsia="宋体" w:cs="Times New Roman"/>
      <w:sz w:val="24"/>
      <w:szCs w:val="24"/>
      <w:lang w:val="en-US" w:eastAsia="zh-CN" w:bidi="ar-SA"/>
    </w:rPr>
  </w:style>
  <w:style w:type="paragraph" w:customStyle="1" w:styleId="73">
    <w:name w:val="头"/>
    <w:basedOn w:val="66"/>
    <w:link w:val="74"/>
    <w:qFormat/>
    <w:uiPriority w:val="0"/>
    <w:pPr>
      <w:ind w:firstLine="0" w:firstLineChars="0"/>
    </w:pPr>
    <w:rPr>
      <w:b/>
      <w:bCs/>
    </w:rPr>
  </w:style>
  <w:style w:type="character" w:customStyle="1" w:styleId="74">
    <w:name w:val="头 字符"/>
    <w:link w:val="73"/>
    <w:qFormat/>
    <w:uiPriority w:val="0"/>
    <w:rPr>
      <w:b/>
      <w:bCs/>
      <w:color w:val="000000"/>
      <w:sz w:val="24"/>
      <w:szCs w:val="24"/>
    </w:rPr>
  </w:style>
  <w:style w:type="character" w:customStyle="1" w:styleId="75">
    <w:name w:val="标题 字符"/>
    <w:link w:val="38"/>
    <w:qFormat/>
    <w:uiPriority w:val="10"/>
    <w:rPr>
      <w:rFonts w:ascii="等线 Light" w:hAnsi="等线 Light" w:cs="Times New Roman"/>
      <w:b/>
      <w:bCs/>
      <w:kern w:val="2"/>
      <w:sz w:val="32"/>
      <w:szCs w:val="32"/>
    </w:rPr>
  </w:style>
  <w:style w:type="paragraph" w:customStyle="1" w:styleId="76">
    <w:name w:val="表中文字"/>
    <w:basedOn w:val="1"/>
    <w:next w:val="1"/>
    <w:qFormat/>
    <w:uiPriority w:val="0"/>
    <w:pPr>
      <w:spacing w:line="280" w:lineRule="exact"/>
      <w:jc w:val="center"/>
    </w:pPr>
    <w:rPr>
      <w:sz w:val="18"/>
      <w:szCs w:val="18"/>
    </w:rPr>
  </w:style>
  <w:style w:type="paragraph" w:customStyle="1" w:styleId="77">
    <w:name w:val="样式 表文字+居中 + 首行缩进:  0.74 厘米"/>
    <w:basedOn w:val="1"/>
    <w:semiHidden/>
    <w:qFormat/>
    <w:uiPriority w:val="0"/>
    <w:pPr>
      <w:adjustRightInd w:val="0"/>
      <w:snapToGrid w:val="0"/>
      <w:jc w:val="center"/>
    </w:pPr>
    <w:rPr>
      <w:rFonts w:cs="宋体"/>
      <w:color w:val="000000"/>
      <w:kern w:val="0"/>
      <w:szCs w:val="20"/>
    </w:rPr>
  </w:style>
  <w:style w:type="paragraph" w:customStyle="1" w:styleId="78">
    <w:name w:val="图片"/>
    <w:basedOn w:val="66"/>
    <w:link w:val="79"/>
    <w:qFormat/>
    <w:uiPriority w:val="0"/>
    <w:pPr>
      <w:spacing w:line="360" w:lineRule="auto"/>
      <w:ind w:firstLine="0" w:firstLineChars="0"/>
      <w:jc w:val="center"/>
    </w:pPr>
  </w:style>
  <w:style w:type="character" w:customStyle="1" w:styleId="79">
    <w:name w:val="图片 字符"/>
    <w:basedOn w:val="67"/>
    <w:link w:val="78"/>
    <w:qFormat/>
    <w:uiPriority w:val="0"/>
    <w:rPr>
      <w:color w:val="000000"/>
      <w:sz w:val="24"/>
      <w:szCs w:val="24"/>
    </w:rPr>
  </w:style>
  <w:style w:type="paragraph" w:customStyle="1" w:styleId="80">
    <w:name w:val="msonormal"/>
    <w:basedOn w:val="1"/>
    <w:qFormat/>
    <w:uiPriority w:val="0"/>
    <w:pPr>
      <w:widowControl/>
      <w:spacing w:before="100" w:beforeAutospacing="1" w:after="100" w:afterAutospacing="1"/>
      <w:jc w:val="left"/>
    </w:pPr>
    <w:rPr>
      <w:rFonts w:ascii="宋体" w:hAnsi="宋体" w:cs="宋体"/>
      <w:kern w:val="0"/>
      <w:sz w:val="24"/>
    </w:rPr>
  </w:style>
  <w:style w:type="paragraph" w:customStyle="1" w:styleId="81">
    <w:name w:val="font0"/>
    <w:basedOn w:val="1"/>
    <w:qFormat/>
    <w:uiPriority w:val="0"/>
    <w:pPr>
      <w:widowControl/>
      <w:spacing w:before="100" w:beforeAutospacing="1" w:after="100" w:afterAutospacing="1"/>
      <w:jc w:val="left"/>
    </w:pPr>
    <w:rPr>
      <w:rFonts w:ascii="宋体" w:hAnsi="宋体" w:cs="宋体"/>
      <w:color w:val="000000"/>
      <w:kern w:val="0"/>
      <w:sz w:val="24"/>
    </w:rPr>
  </w:style>
  <w:style w:type="paragraph" w:customStyle="1" w:styleId="82">
    <w:name w:val="font1"/>
    <w:basedOn w:val="1"/>
    <w:qFormat/>
    <w:uiPriority w:val="0"/>
    <w:pPr>
      <w:widowControl/>
      <w:spacing w:before="100" w:beforeAutospacing="1" w:after="100" w:afterAutospacing="1"/>
      <w:jc w:val="left"/>
    </w:pPr>
    <w:rPr>
      <w:rFonts w:ascii="宋体" w:hAnsi="宋体" w:cs="宋体"/>
      <w:color w:val="0000FF"/>
      <w:kern w:val="0"/>
      <w:sz w:val="18"/>
      <w:szCs w:val="18"/>
    </w:rPr>
  </w:style>
  <w:style w:type="paragraph" w:customStyle="1" w:styleId="83">
    <w:name w:val="font2"/>
    <w:basedOn w:val="1"/>
    <w:qFormat/>
    <w:uiPriority w:val="0"/>
    <w:pPr>
      <w:widowControl/>
      <w:spacing w:before="100" w:beforeAutospacing="1" w:after="100" w:afterAutospacing="1"/>
      <w:jc w:val="left"/>
    </w:pPr>
    <w:rPr>
      <w:color w:val="000000"/>
      <w:kern w:val="0"/>
      <w:sz w:val="18"/>
      <w:szCs w:val="18"/>
    </w:rPr>
  </w:style>
  <w:style w:type="paragraph" w:customStyle="1" w:styleId="84">
    <w:name w:val="font3"/>
    <w:basedOn w:val="1"/>
    <w:qFormat/>
    <w:uiPriority w:val="0"/>
    <w:pPr>
      <w:widowControl/>
      <w:spacing w:before="100" w:beforeAutospacing="1" w:after="100" w:afterAutospacing="1"/>
      <w:jc w:val="left"/>
    </w:pPr>
    <w:rPr>
      <w:color w:val="0000FF"/>
      <w:kern w:val="0"/>
      <w:sz w:val="18"/>
      <w:szCs w:val="18"/>
    </w:rPr>
  </w:style>
  <w:style w:type="paragraph" w:customStyle="1" w:styleId="85">
    <w:name w:val="font4"/>
    <w:basedOn w:val="1"/>
    <w:qFormat/>
    <w:uiPriority w:val="0"/>
    <w:pPr>
      <w:widowControl/>
      <w:spacing w:before="100" w:beforeAutospacing="1" w:after="100" w:afterAutospacing="1"/>
      <w:jc w:val="left"/>
    </w:pPr>
    <w:rPr>
      <w:rFonts w:ascii="Arial" w:hAnsi="Arial" w:cs="Arial"/>
      <w:color w:val="0000FF"/>
      <w:kern w:val="0"/>
      <w:sz w:val="18"/>
      <w:szCs w:val="18"/>
    </w:rPr>
  </w:style>
  <w:style w:type="paragraph" w:customStyle="1" w:styleId="86">
    <w:name w:val="font5"/>
    <w:basedOn w:val="1"/>
    <w:qFormat/>
    <w:uiPriority w:val="0"/>
    <w:pPr>
      <w:widowControl/>
      <w:spacing w:before="100" w:beforeAutospacing="1" w:after="100" w:afterAutospacing="1"/>
      <w:jc w:val="left"/>
    </w:pPr>
    <w:rPr>
      <w:rFonts w:ascii="Arial" w:hAnsi="Arial" w:cs="Arial"/>
      <w:color w:val="0000FF"/>
      <w:kern w:val="0"/>
      <w:sz w:val="18"/>
      <w:szCs w:val="18"/>
    </w:rPr>
  </w:style>
  <w:style w:type="paragraph" w:customStyle="1" w:styleId="87">
    <w:name w:val="font6"/>
    <w:basedOn w:val="1"/>
    <w:qFormat/>
    <w:uiPriority w:val="0"/>
    <w:pPr>
      <w:widowControl/>
      <w:spacing w:before="100" w:beforeAutospacing="1" w:after="100" w:afterAutospacing="1"/>
      <w:jc w:val="left"/>
    </w:pPr>
    <w:rPr>
      <w:color w:val="0000FF"/>
      <w:kern w:val="0"/>
      <w:sz w:val="18"/>
      <w:szCs w:val="18"/>
    </w:rPr>
  </w:style>
  <w:style w:type="paragraph" w:customStyle="1" w:styleId="88">
    <w:name w:val="font7"/>
    <w:basedOn w:val="1"/>
    <w:qFormat/>
    <w:uiPriority w:val="0"/>
    <w:pPr>
      <w:widowControl/>
      <w:spacing w:before="100" w:beforeAutospacing="1" w:after="100" w:afterAutospacing="1"/>
      <w:jc w:val="left"/>
    </w:pPr>
    <w:rPr>
      <w:rFonts w:ascii="宋体" w:hAnsi="宋体" w:cs="宋体"/>
      <w:color w:val="000000"/>
      <w:kern w:val="0"/>
      <w:sz w:val="18"/>
      <w:szCs w:val="18"/>
    </w:rPr>
  </w:style>
  <w:style w:type="paragraph" w:customStyle="1" w:styleId="89">
    <w:name w:val="font8"/>
    <w:basedOn w:val="1"/>
    <w:qFormat/>
    <w:uiPriority w:val="0"/>
    <w:pPr>
      <w:widowControl/>
      <w:spacing w:before="100" w:beforeAutospacing="1" w:after="100" w:afterAutospacing="1"/>
      <w:jc w:val="left"/>
    </w:pPr>
    <w:rPr>
      <w:color w:val="0000FF"/>
      <w:kern w:val="0"/>
      <w:sz w:val="18"/>
      <w:szCs w:val="18"/>
      <w:vertAlign w:val="superscript"/>
    </w:rPr>
  </w:style>
  <w:style w:type="paragraph" w:customStyle="1" w:styleId="90">
    <w:name w:val="font9"/>
    <w:basedOn w:val="1"/>
    <w:qFormat/>
    <w:uiPriority w:val="0"/>
    <w:pPr>
      <w:widowControl/>
      <w:spacing w:before="100" w:beforeAutospacing="1" w:after="100" w:afterAutospacing="1"/>
      <w:jc w:val="left"/>
    </w:pPr>
    <w:rPr>
      <w:color w:val="0000FF"/>
      <w:kern w:val="0"/>
      <w:sz w:val="18"/>
      <w:szCs w:val="18"/>
      <w:vertAlign w:val="superscript"/>
    </w:rPr>
  </w:style>
  <w:style w:type="paragraph" w:customStyle="1" w:styleId="91">
    <w:name w:val="et2"/>
    <w:basedOn w:val="1"/>
    <w:qFormat/>
    <w:uiPriority w:val="0"/>
    <w:pPr>
      <w:widowControl/>
      <w:pBdr>
        <w:top w:val="single" w:color="000000" w:sz="8" w:space="0"/>
        <w:bottom w:val="single" w:color="000000" w:sz="8" w:space="0"/>
        <w:right w:val="single" w:color="000000" w:sz="8" w:space="0"/>
      </w:pBdr>
      <w:spacing w:before="100" w:beforeAutospacing="1" w:after="100" w:afterAutospacing="1"/>
      <w:jc w:val="center"/>
    </w:pPr>
    <w:rPr>
      <w:rFonts w:ascii="宋体" w:hAnsi="宋体" w:cs="宋体"/>
      <w:color w:val="0000FF"/>
      <w:kern w:val="0"/>
      <w:sz w:val="18"/>
      <w:szCs w:val="18"/>
    </w:rPr>
  </w:style>
  <w:style w:type="paragraph" w:customStyle="1" w:styleId="92">
    <w:name w:val="et3"/>
    <w:basedOn w:val="1"/>
    <w:qFormat/>
    <w:uiPriority w:val="0"/>
    <w:pPr>
      <w:widowControl/>
      <w:pBdr>
        <w:top w:val="single" w:color="000000" w:sz="8" w:space="0"/>
        <w:left w:val="single" w:color="000000" w:sz="8" w:space="0"/>
        <w:bottom w:val="single" w:color="000000" w:sz="8" w:space="0"/>
        <w:right w:val="single" w:color="000000" w:sz="8" w:space="0"/>
      </w:pBdr>
      <w:spacing w:before="100" w:beforeAutospacing="1" w:after="100" w:afterAutospacing="1"/>
      <w:jc w:val="center"/>
    </w:pPr>
    <w:rPr>
      <w:rFonts w:ascii="宋体" w:hAnsi="宋体" w:cs="宋体"/>
      <w:color w:val="0000FF"/>
      <w:kern w:val="0"/>
      <w:sz w:val="18"/>
      <w:szCs w:val="18"/>
    </w:rPr>
  </w:style>
  <w:style w:type="paragraph" w:customStyle="1" w:styleId="93">
    <w:name w:val="et4"/>
    <w:basedOn w:val="1"/>
    <w:qFormat/>
    <w:uiPriority w:val="0"/>
    <w:pPr>
      <w:widowControl/>
      <w:pBdr>
        <w:top w:val="single" w:color="000000" w:sz="8" w:space="0"/>
        <w:bottom w:val="single" w:color="000000" w:sz="8" w:space="0"/>
        <w:right w:val="single" w:color="000000" w:sz="8" w:space="0"/>
      </w:pBdr>
      <w:spacing w:before="100" w:beforeAutospacing="1" w:after="100" w:afterAutospacing="1"/>
      <w:jc w:val="center"/>
    </w:pPr>
    <w:rPr>
      <w:color w:val="000000"/>
      <w:kern w:val="0"/>
      <w:sz w:val="18"/>
      <w:szCs w:val="18"/>
    </w:rPr>
  </w:style>
  <w:style w:type="paragraph" w:customStyle="1" w:styleId="94">
    <w:name w:val="et6"/>
    <w:basedOn w:val="1"/>
    <w:qFormat/>
    <w:uiPriority w:val="0"/>
    <w:pPr>
      <w:widowControl/>
      <w:pBdr>
        <w:top w:val="single" w:color="000000" w:sz="8" w:space="0"/>
        <w:left w:val="single" w:color="000000" w:sz="8" w:space="0"/>
        <w:bottom w:val="single" w:color="000000" w:sz="8" w:space="0"/>
        <w:right w:val="single" w:color="000000" w:sz="8" w:space="0"/>
      </w:pBdr>
      <w:spacing w:before="100" w:beforeAutospacing="1" w:after="100" w:afterAutospacing="1"/>
      <w:jc w:val="center"/>
    </w:pPr>
    <w:rPr>
      <w:color w:val="0000FF"/>
      <w:kern w:val="0"/>
      <w:sz w:val="18"/>
      <w:szCs w:val="18"/>
    </w:rPr>
  </w:style>
  <w:style w:type="paragraph" w:customStyle="1" w:styleId="95">
    <w:name w:val="et8"/>
    <w:basedOn w:val="1"/>
    <w:qFormat/>
    <w:uiPriority w:val="0"/>
    <w:pPr>
      <w:widowControl/>
      <w:pBdr>
        <w:top w:val="single" w:color="000000" w:sz="8" w:space="0"/>
        <w:left w:val="single" w:color="000000" w:sz="8" w:space="0"/>
        <w:bottom w:val="single" w:color="000000" w:sz="8" w:space="0"/>
      </w:pBdr>
      <w:spacing w:before="100" w:beforeAutospacing="1" w:after="100" w:afterAutospacing="1"/>
      <w:jc w:val="center"/>
    </w:pPr>
    <w:rPr>
      <w:rFonts w:ascii="宋体" w:hAnsi="宋体" w:cs="宋体"/>
      <w:color w:val="0000FF"/>
      <w:kern w:val="0"/>
      <w:sz w:val="18"/>
      <w:szCs w:val="18"/>
    </w:rPr>
  </w:style>
  <w:style w:type="paragraph" w:customStyle="1" w:styleId="96">
    <w:name w:val="et9"/>
    <w:basedOn w:val="1"/>
    <w:qFormat/>
    <w:uiPriority w:val="0"/>
    <w:pPr>
      <w:widowControl/>
      <w:pBdr>
        <w:top w:val="single" w:color="000000" w:sz="8" w:space="0"/>
        <w:left w:val="single" w:color="000000" w:sz="8" w:space="0"/>
        <w:bottom w:val="single" w:color="000000" w:sz="8" w:space="0"/>
        <w:right w:val="single" w:color="000000" w:sz="8" w:space="0"/>
      </w:pBdr>
      <w:spacing w:before="100" w:beforeAutospacing="1" w:after="100" w:afterAutospacing="1"/>
    </w:pPr>
    <w:rPr>
      <w:color w:val="0000FF"/>
      <w:kern w:val="0"/>
      <w:sz w:val="18"/>
      <w:szCs w:val="18"/>
    </w:rPr>
  </w:style>
  <w:style w:type="paragraph" w:customStyle="1" w:styleId="97">
    <w:name w:val="et10"/>
    <w:basedOn w:val="1"/>
    <w:qFormat/>
    <w:uiPriority w:val="0"/>
    <w:pPr>
      <w:widowControl/>
      <w:pBdr>
        <w:top w:val="single" w:color="000000" w:sz="8" w:space="0"/>
        <w:left w:val="single" w:color="000000" w:sz="8" w:space="0"/>
        <w:bottom w:val="single" w:color="000000" w:sz="8" w:space="0"/>
      </w:pBdr>
      <w:spacing w:before="100" w:beforeAutospacing="1" w:after="100" w:afterAutospacing="1"/>
      <w:jc w:val="center"/>
    </w:pPr>
    <w:rPr>
      <w:color w:val="0000FF"/>
      <w:kern w:val="0"/>
      <w:sz w:val="18"/>
      <w:szCs w:val="18"/>
    </w:rPr>
  </w:style>
  <w:style w:type="paragraph" w:customStyle="1" w:styleId="98">
    <w:name w:val="et12"/>
    <w:basedOn w:val="1"/>
    <w:qFormat/>
    <w:uiPriority w:val="0"/>
    <w:pPr>
      <w:widowControl/>
      <w:pBdr>
        <w:top w:val="single" w:color="000000" w:sz="8" w:space="0"/>
        <w:left w:val="single" w:color="000000" w:sz="8" w:space="0"/>
        <w:bottom w:val="single" w:color="000000" w:sz="8" w:space="0"/>
        <w:right w:val="single" w:color="000000" w:sz="8" w:space="0"/>
      </w:pBdr>
      <w:spacing w:before="100" w:beforeAutospacing="1" w:after="100" w:afterAutospacing="1"/>
      <w:jc w:val="center"/>
    </w:pPr>
    <w:rPr>
      <w:rFonts w:ascii="Arial" w:hAnsi="Arial" w:cs="Arial"/>
      <w:color w:val="0000FF"/>
      <w:kern w:val="0"/>
      <w:sz w:val="18"/>
      <w:szCs w:val="18"/>
    </w:rPr>
  </w:style>
  <w:style w:type="paragraph" w:customStyle="1" w:styleId="99">
    <w:name w:val="et13"/>
    <w:basedOn w:val="1"/>
    <w:qFormat/>
    <w:uiPriority w:val="0"/>
    <w:pPr>
      <w:widowControl/>
      <w:pBdr>
        <w:top w:val="single" w:color="000000" w:sz="8" w:space="0"/>
        <w:left w:val="single" w:color="000000" w:sz="8" w:space="0"/>
        <w:bottom w:val="single" w:color="000000" w:sz="8" w:space="0"/>
        <w:right w:val="single" w:color="000000" w:sz="8" w:space="0"/>
      </w:pBdr>
      <w:spacing w:before="100" w:beforeAutospacing="1" w:after="100" w:afterAutospacing="1"/>
    </w:pPr>
    <w:rPr>
      <w:color w:val="0000FF"/>
      <w:kern w:val="0"/>
      <w:sz w:val="18"/>
      <w:szCs w:val="18"/>
    </w:rPr>
  </w:style>
  <w:style w:type="paragraph" w:customStyle="1" w:styleId="100">
    <w:name w:val="et14"/>
    <w:basedOn w:val="1"/>
    <w:qFormat/>
    <w:uiPriority w:val="0"/>
    <w:pPr>
      <w:widowControl/>
      <w:pBdr>
        <w:top w:val="single" w:color="000000" w:sz="8" w:space="0"/>
        <w:left w:val="single" w:color="000000" w:sz="8" w:space="0"/>
        <w:bottom w:val="single" w:color="000000" w:sz="8" w:space="0"/>
        <w:right w:val="single" w:color="000000" w:sz="8" w:space="0"/>
      </w:pBdr>
      <w:spacing w:before="100" w:beforeAutospacing="1" w:after="100" w:afterAutospacing="1"/>
      <w:jc w:val="center"/>
    </w:pPr>
    <w:rPr>
      <w:color w:val="0000FF"/>
      <w:kern w:val="0"/>
      <w:sz w:val="18"/>
      <w:szCs w:val="18"/>
    </w:rPr>
  </w:style>
  <w:style w:type="paragraph" w:customStyle="1" w:styleId="101">
    <w:name w:val="et15"/>
    <w:basedOn w:val="1"/>
    <w:qFormat/>
    <w:uiPriority w:val="0"/>
    <w:pPr>
      <w:widowControl/>
      <w:pBdr>
        <w:top w:val="single" w:color="000000" w:sz="8" w:space="0"/>
        <w:left w:val="single" w:color="000000" w:sz="8" w:space="0"/>
        <w:bottom w:val="single" w:color="000000" w:sz="8" w:space="0"/>
        <w:right w:val="single" w:color="000000" w:sz="8" w:space="0"/>
      </w:pBdr>
      <w:spacing w:before="100" w:beforeAutospacing="1" w:after="100" w:afterAutospacing="1"/>
      <w:jc w:val="center"/>
    </w:pPr>
    <w:rPr>
      <w:color w:val="0000FF"/>
      <w:kern w:val="0"/>
      <w:sz w:val="18"/>
      <w:szCs w:val="18"/>
    </w:rPr>
  </w:style>
  <w:style w:type="paragraph" w:customStyle="1" w:styleId="102">
    <w:name w:val="et16"/>
    <w:basedOn w:val="1"/>
    <w:qFormat/>
    <w:uiPriority w:val="0"/>
    <w:pPr>
      <w:widowControl/>
      <w:pBdr>
        <w:top w:val="single" w:color="000000" w:sz="8" w:space="0"/>
        <w:left w:val="single" w:color="000000" w:sz="8" w:space="0"/>
        <w:bottom w:val="single" w:color="000000" w:sz="8" w:space="0"/>
        <w:right w:val="single" w:color="000000" w:sz="8" w:space="0"/>
      </w:pBdr>
      <w:spacing w:before="100" w:beforeAutospacing="1" w:after="100" w:afterAutospacing="1"/>
    </w:pPr>
    <w:rPr>
      <w:color w:val="0000FF"/>
      <w:kern w:val="0"/>
      <w:sz w:val="18"/>
      <w:szCs w:val="18"/>
    </w:rPr>
  </w:style>
  <w:style w:type="paragraph" w:customStyle="1" w:styleId="103">
    <w:name w:val="et17"/>
    <w:basedOn w:val="1"/>
    <w:qFormat/>
    <w:uiPriority w:val="0"/>
    <w:pPr>
      <w:widowControl/>
      <w:pBdr>
        <w:top w:val="single" w:color="000000" w:sz="8" w:space="0"/>
        <w:left w:val="single" w:color="000000" w:sz="8" w:space="0"/>
        <w:bottom w:val="single" w:color="000000" w:sz="8" w:space="0"/>
        <w:right w:val="single" w:color="000000" w:sz="8" w:space="0"/>
      </w:pBdr>
      <w:spacing w:before="100" w:beforeAutospacing="1" w:after="100" w:afterAutospacing="1"/>
      <w:jc w:val="center"/>
    </w:pPr>
    <w:rPr>
      <w:color w:val="0000FF"/>
      <w:kern w:val="0"/>
      <w:sz w:val="18"/>
      <w:szCs w:val="18"/>
    </w:rPr>
  </w:style>
  <w:style w:type="paragraph" w:customStyle="1" w:styleId="104">
    <w:name w:val="et18"/>
    <w:basedOn w:val="1"/>
    <w:qFormat/>
    <w:uiPriority w:val="0"/>
    <w:pPr>
      <w:widowControl/>
      <w:pBdr>
        <w:top w:val="single" w:color="000000" w:sz="8" w:space="0"/>
        <w:left w:val="single" w:color="000000" w:sz="8" w:space="0"/>
        <w:bottom w:val="single" w:color="000000" w:sz="8" w:space="0"/>
        <w:right w:val="single" w:color="000000" w:sz="8" w:space="0"/>
      </w:pBdr>
      <w:spacing w:before="100" w:beforeAutospacing="1" w:after="100" w:afterAutospacing="1"/>
      <w:jc w:val="center"/>
    </w:pPr>
    <w:rPr>
      <w:rFonts w:ascii="Arial" w:hAnsi="Arial" w:cs="Arial"/>
      <w:color w:val="0000FF"/>
      <w:kern w:val="0"/>
      <w:sz w:val="18"/>
      <w:szCs w:val="18"/>
    </w:rPr>
  </w:style>
  <w:style w:type="paragraph" w:customStyle="1" w:styleId="105">
    <w:name w:val="et19"/>
    <w:basedOn w:val="1"/>
    <w:qFormat/>
    <w:uiPriority w:val="0"/>
    <w:pPr>
      <w:widowControl/>
      <w:pBdr>
        <w:top w:val="single" w:color="000000" w:sz="8" w:space="0"/>
        <w:left w:val="single" w:color="000000" w:sz="8" w:space="0"/>
        <w:bottom w:val="single" w:color="000000" w:sz="8" w:space="0"/>
        <w:right w:val="single" w:color="000000" w:sz="8" w:space="0"/>
      </w:pBdr>
      <w:spacing w:before="100" w:beforeAutospacing="1" w:after="100" w:afterAutospacing="1"/>
      <w:jc w:val="center"/>
    </w:pPr>
    <w:rPr>
      <w:color w:val="0000FF"/>
      <w:kern w:val="0"/>
      <w:sz w:val="18"/>
      <w:szCs w:val="18"/>
    </w:rPr>
  </w:style>
  <w:style w:type="paragraph" w:customStyle="1" w:styleId="106">
    <w:name w:val="et20"/>
    <w:basedOn w:val="1"/>
    <w:qFormat/>
    <w:uiPriority w:val="0"/>
    <w:pPr>
      <w:widowControl/>
      <w:pBdr>
        <w:top w:val="single" w:color="000000" w:sz="8" w:space="0"/>
        <w:bottom w:val="single" w:color="000000" w:sz="8" w:space="0"/>
        <w:right w:val="single" w:color="000000" w:sz="8" w:space="0"/>
      </w:pBdr>
      <w:spacing w:before="100" w:beforeAutospacing="1" w:after="100" w:afterAutospacing="1"/>
      <w:jc w:val="center"/>
    </w:pPr>
    <w:rPr>
      <w:color w:val="000000"/>
      <w:kern w:val="0"/>
      <w:sz w:val="18"/>
      <w:szCs w:val="18"/>
    </w:rPr>
  </w:style>
  <w:style w:type="paragraph" w:customStyle="1" w:styleId="107">
    <w:name w:val="et22"/>
    <w:basedOn w:val="1"/>
    <w:qFormat/>
    <w:uiPriority w:val="0"/>
    <w:pPr>
      <w:widowControl/>
      <w:pBdr>
        <w:top w:val="single" w:color="000000" w:sz="8" w:space="0"/>
        <w:left w:val="single" w:color="000000" w:sz="8" w:space="0"/>
        <w:bottom w:val="single" w:color="000000" w:sz="8" w:space="0"/>
      </w:pBdr>
      <w:spacing w:before="100" w:beforeAutospacing="1" w:after="100" w:afterAutospacing="1"/>
      <w:jc w:val="center"/>
    </w:pPr>
    <w:rPr>
      <w:color w:val="0000FF"/>
      <w:kern w:val="0"/>
      <w:sz w:val="18"/>
      <w:szCs w:val="18"/>
    </w:rPr>
  </w:style>
  <w:style w:type="character" w:customStyle="1" w:styleId="108">
    <w:name w:val="font11"/>
    <w:qFormat/>
    <w:uiPriority w:val="0"/>
    <w:rPr>
      <w:rFonts w:hint="eastAsia" w:ascii="宋体" w:hAnsi="宋体" w:eastAsia="宋体"/>
      <w:color w:val="0000FF"/>
      <w:sz w:val="18"/>
      <w:szCs w:val="18"/>
      <w:u w:val="none"/>
    </w:rPr>
  </w:style>
  <w:style w:type="character" w:customStyle="1" w:styleId="109">
    <w:name w:val="font31"/>
    <w:qFormat/>
    <w:uiPriority w:val="0"/>
    <w:rPr>
      <w:rFonts w:hint="default" w:ascii="Times New Roman" w:hAnsi="Times New Roman" w:cs="Times New Roman"/>
      <w:color w:val="0000FF"/>
      <w:sz w:val="18"/>
      <w:szCs w:val="18"/>
      <w:u w:val="none"/>
    </w:rPr>
  </w:style>
  <w:style w:type="character" w:customStyle="1" w:styleId="110">
    <w:name w:val="font71"/>
    <w:qFormat/>
    <w:uiPriority w:val="0"/>
    <w:rPr>
      <w:rFonts w:hint="eastAsia" w:ascii="宋体" w:hAnsi="宋体" w:eastAsia="宋体"/>
      <w:color w:val="000000"/>
      <w:sz w:val="18"/>
      <w:szCs w:val="18"/>
      <w:u w:val="none"/>
    </w:rPr>
  </w:style>
  <w:style w:type="character" w:customStyle="1" w:styleId="111">
    <w:name w:val="font21"/>
    <w:qFormat/>
    <w:uiPriority w:val="0"/>
    <w:rPr>
      <w:rFonts w:hint="default" w:ascii="Times New Roman" w:hAnsi="Times New Roman" w:cs="Times New Roman"/>
      <w:color w:val="000000"/>
      <w:sz w:val="18"/>
      <w:szCs w:val="18"/>
      <w:u w:val="none"/>
    </w:rPr>
  </w:style>
  <w:style w:type="character" w:customStyle="1" w:styleId="112">
    <w:name w:val="font81"/>
    <w:qFormat/>
    <w:uiPriority w:val="0"/>
    <w:rPr>
      <w:rFonts w:hint="default" w:ascii="Times New Roman" w:hAnsi="Times New Roman" w:cs="Times New Roman"/>
      <w:color w:val="0000FF"/>
      <w:sz w:val="18"/>
      <w:szCs w:val="18"/>
      <w:u w:val="none"/>
      <w:vertAlign w:val="superscript"/>
    </w:rPr>
  </w:style>
  <w:style w:type="character" w:customStyle="1" w:styleId="113">
    <w:name w:val="font41"/>
    <w:qFormat/>
    <w:uiPriority w:val="0"/>
    <w:rPr>
      <w:rFonts w:hint="default" w:ascii="Arial" w:hAnsi="Arial" w:cs="Arial"/>
      <w:color w:val="0000FF"/>
      <w:sz w:val="18"/>
      <w:szCs w:val="18"/>
      <w:u w:val="none"/>
    </w:rPr>
  </w:style>
  <w:style w:type="character" w:customStyle="1" w:styleId="114">
    <w:name w:val="font51"/>
    <w:qFormat/>
    <w:uiPriority w:val="0"/>
    <w:rPr>
      <w:rFonts w:hint="default" w:ascii="Arial" w:hAnsi="Arial" w:cs="Arial"/>
      <w:color w:val="0000FF"/>
      <w:sz w:val="18"/>
      <w:szCs w:val="18"/>
      <w:u w:val="none"/>
    </w:rPr>
  </w:style>
  <w:style w:type="character" w:customStyle="1" w:styleId="115">
    <w:name w:val="font91"/>
    <w:qFormat/>
    <w:uiPriority w:val="0"/>
    <w:rPr>
      <w:rFonts w:hint="default" w:ascii="Times New Roman" w:hAnsi="Times New Roman" w:cs="Times New Roman"/>
      <w:color w:val="0000FF"/>
      <w:sz w:val="18"/>
      <w:szCs w:val="18"/>
      <w:u w:val="none"/>
      <w:vertAlign w:val="superscript"/>
    </w:rPr>
  </w:style>
  <w:style w:type="paragraph" w:customStyle="1" w:styleId="116">
    <w:name w:val="Char Char Char"/>
    <w:basedOn w:val="1"/>
    <w:qFormat/>
    <w:uiPriority w:val="0"/>
    <w:rPr>
      <w:sz w:val="24"/>
    </w:rPr>
  </w:style>
  <w:style w:type="paragraph" w:customStyle="1" w:styleId="117">
    <w:name w:val="Char"/>
    <w:basedOn w:val="1"/>
    <w:qFormat/>
    <w:uiPriority w:val="0"/>
    <w:rPr>
      <w:rFonts w:ascii="Tahoma" w:hAnsi="Tahoma"/>
      <w:sz w:val="24"/>
      <w:szCs w:val="20"/>
    </w:rPr>
  </w:style>
  <w:style w:type="paragraph" w:customStyle="1" w:styleId="118">
    <w:name w:val="1表格"/>
    <w:basedOn w:val="1"/>
    <w:next w:val="16"/>
    <w:qFormat/>
    <w:uiPriority w:val="0"/>
    <w:pPr>
      <w:snapToGrid w:val="0"/>
      <w:spacing w:line="160" w:lineRule="atLeast"/>
      <w:jc w:val="center"/>
    </w:pPr>
    <w:rPr>
      <w:rFonts w:eastAsia="仿宋_GB2312"/>
    </w:rPr>
  </w:style>
  <w:style w:type="paragraph" w:customStyle="1" w:styleId="119">
    <w:name w:val="0正文"/>
    <w:basedOn w:val="1"/>
    <w:qFormat/>
    <w:uiPriority w:val="0"/>
    <w:pPr>
      <w:ind w:firstLine="480" w:firstLineChars="200"/>
    </w:pPr>
  </w:style>
  <w:style w:type="character" w:customStyle="1" w:styleId="120">
    <w:name w:val="未处理的提及1"/>
    <w:semiHidden/>
    <w:unhideWhenUsed/>
    <w:qFormat/>
    <w:uiPriority w:val="99"/>
    <w:rPr>
      <w:color w:val="605E5C"/>
      <w:shd w:val="clear" w:color="auto" w:fill="E1DFDD"/>
    </w:rPr>
  </w:style>
  <w:style w:type="character" w:customStyle="1" w:styleId="121">
    <w:name w:val="正文文本缩进 2 字符"/>
    <w:qFormat/>
    <w:uiPriority w:val="0"/>
    <w:rPr>
      <w:kern w:val="2"/>
      <w:sz w:val="21"/>
      <w:szCs w:val="24"/>
    </w:rPr>
  </w:style>
  <w:style w:type="character" w:customStyle="1" w:styleId="122">
    <w:name w:val="正文文本缩进 2 字符1"/>
    <w:link w:val="27"/>
    <w:qFormat/>
    <w:uiPriority w:val="0"/>
    <w:rPr>
      <w:kern w:val="2"/>
      <w:sz w:val="21"/>
      <w:szCs w:val="24"/>
    </w:rPr>
  </w:style>
  <w:style w:type="paragraph" w:customStyle="1" w:styleId="123">
    <w:name w:val="样式23"/>
    <w:basedOn w:val="1"/>
    <w:qFormat/>
    <w:uiPriority w:val="0"/>
    <w:pPr>
      <w:adjustRightInd w:val="0"/>
      <w:snapToGrid w:val="0"/>
      <w:spacing w:line="460" w:lineRule="exact"/>
      <w:ind w:firstLine="480" w:firstLineChars="200"/>
    </w:pPr>
    <w:rPr>
      <w:rFonts w:ascii="Calibri" w:hAnsi="Calibri"/>
      <w:color w:val="0000FF"/>
      <w:sz w:val="24"/>
      <w:szCs w:val="21"/>
    </w:rPr>
  </w:style>
  <w:style w:type="character" w:customStyle="1" w:styleId="124">
    <w:name w:val="表格文字 Char"/>
    <w:link w:val="125"/>
    <w:qFormat/>
    <w:uiPriority w:val="99"/>
    <w:rPr>
      <w:rFonts w:ascii="宋体"/>
      <w:color w:val="000000"/>
      <w:sz w:val="24"/>
    </w:rPr>
  </w:style>
  <w:style w:type="paragraph" w:customStyle="1" w:styleId="125">
    <w:name w:val="表格文字"/>
    <w:next w:val="1"/>
    <w:link w:val="124"/>
    <w:qFormat/>
    <w:uiPriority w:val="99"/>
    <w:pPr>
      <w:widowControl w:val="0"/>
      <w:autoSpaceDE w:val="0"/>
      <w:autoSpaceDN w:val="0"/>
      <w:adjustRightInd w:val="0"/>
      <w:spacing w:line="360" w:lineRule="auto"/>
      <w:jc w:val="both"/>
      <w:textAlignment w:val="baseline"/>
    </w:pPr>
    <w:rPr>
      <w:rFonts w:ascii="宋体" w:hAnsi="Times New Roman" w:eastAsia="宋体" w:cs="Times New Roman"/>
      <w:color w:val="000000"/>
      <w:sz w:val="24"/>
      <w:lang w:val="en-US" w:eastAsia="zh-CN" w:bidi="ar-SA"/>
    </w:rPr>
  </w:style>
  <w:style w:type="paragraph" w:customStyle="1" w:styleId="126">
    <w:name w:val="第十二章 图件标题"/>
    <w:basedOn w:val="1"/>
    <w:qFormat/>
    <w:uiPriority w:val="0"/>
    <w:pPr>
      <w:widowControl/>
      <w:tabs>
        <w:tab w:val="left" w:pos="360"/>
        <w:tab w:val="left" w:pos="851"/>
      </w:tabs>
      <w:jc w:val="left"/>
    </w:pPr>
    <w:rPr>
      <w:rFonts w:ascii="Calibri" w:hAnsi="Calibri"/>
      <w:szCs w:val="22"/>
    </w:rPr>
  </w:style>
  <w:style w:type="paragraph" w:customStyle="1" w:styleId="127">
    <w:name w:val="正文-欣欣"/>
    <w:basedOn w:val="1"/>
    <w:next w:val="1"/>
    <w:qFormat/>
    <w:uiPriority w:val="0"/>
    <w:pPr>
      <w:widowControl/>
      <w:adjustRightInd w:val="0"/>
      <w:spacing w:line="360" w:lineRule="auto"/>
      <w:ind w:firstLine="200" w:firstLineChars="200"/>
      <w:jc w:val="left"/>
    </w:pPr>
    <w:rPr>
      <w:rFonts w:ascii="Calibri" w:hAnsi="Calibri"/>
      <w:sz w:val="24"/>
      <w:szCs w:val="30"/>
    </w:rPr>
  </w:style>
  <w:style w:type="character" w:customStyle="1" w:styleId="128">
    <w:name w:val="正文文本首行缩进 字符"/>
    <w:link w:val="17"/>
    <w:qFormat/>
    <w:uiPriority w:val="0"/>
    <w:rPr>
      <w:kern w:val="2"/>
      <w:sz w:val="21"/>
      <w:szCs w:val="24"/>
    </w:rPr>
  </w:style>
  <w:style w:type="paragraph" w:customStyle="1" w:styleId="129">
    <w:name w:val="p16"/>
    <w:basedOn w:val="1"/>
    <w:qFormat/>
    <w:uiPriority w:val="0"/>
    <w:pPr>
      <w:widowControl/>
      <w:adjustRightInd w:val="0"/>
      <w:spacing w:line="480" w:lineRule="atLeast"/>
      <w:ind w:firstLine="482"/>
    </w:pPr>
    <w:rPr>
      <w:rFonts w:ascii="Calibri" w:hAnsi="Calibri"/>
      <w:kern w:val="0"/>
      <w:sz w:val="24"/>
      <w:szCs w:val="21"/>
    </w:rPr>
  </w:style>
  <w:style w:type="paragraph" w:customStyle="1" w:styleId="130">
    <w:name w:val="表格小五"/>
    <w:link w:val="131"/>
    <w:qFormat/>
    <w:uiPriority w:val="0"/>
    <w:pPr>
      <w:jc w:val="center"/>
    </w:pPr>
    <w:rPr>
      <w:rFonts w:ascii="Times New Roman" w:hAnsi="Times New Roman" w:eastAsia="宋体" w:cs="Times New Roman"/>
      <w:sz w:val="18"/>
      <w:szCs w:val="21"/>
      <w:lang w:val="en-US" w:eastAsia="zh-CN" w:bidi="ar-SA"/>
    </w:rPr>
  </w:style>
  <w:style w:type="character" w:customStyle="1" w:styleId="131">
    <w:name w:val="表格小五 字符"/>
    <w:link w:val="130"/>
    <w:qFormat/>
    <w:uiPriority w:val="0"/>
    <w:rPr>
      <w:sz w:val="18"/>
      <w:szCs w:val="21"/>
    </w:rPr>
  </w:style>
  <w:style w:type="paragraph" w:customStyle="1" w:styleId="132">
    <w:name w:val="表格小五左侧"/>
    <w:link w:val="134"/>
    <w:qFormat/>
    <w:uiPriority w:val="0"/>
    <w:pPr>
      <w:adjustRightInd w:val="0"/>
      <w:snapToGrid w:val="0"/>
    </w:pPr>
    <w:rPr>
      <w:rFonts w:ascii="Times New Roman" w:hAnsi="Times New Roman" w:eastAsia="宋体" w:cs="Times New Roman"/>
      <w:color w:val="000000"/>
      <w:kern w:val="2"/>
      <w:sz w:val="18"/>
      <w:szCs w:val="21"/>
      <w:lang w:val="en-US" w:eastAsia="zh-CN" w:bidi="ar-SA"/>
    </w:rPr>
  </w:style>
  <w:style w:type="paragraph" w:customStyle="1" w:styleId="133">
    <w:name w:val="表格粗小五"/>
    <w:link w:val="135"/>
    <w:autoRedefine/>
    <w:qFormat/>
    <w:uiPriority w:val="0"/>
    <w:pPr>
      <w:jc w:val="center"/>
    </w:pPr>
    <w:rPr>
      <w:rFonts w:ascii="Times New Roman" w:hAnsi="Times New Roman" w:eastAsia="宋体" w:cs="Times New Roman"/>
      <w:b/>
      <w:snapToGrid w:val="0"/>
      <w:color w:val="000000"/>
      <w:kern w:val="2"/>
      <w:sz w:val="18"/>
      <w:szCs w:val="24"/>
      <w:lang w:val="zh-TW" w:eastAsia="zh-TW" w:bidi="ar-SA"/>
    </w:rPr>
  </w:style>
  <w:style w:type="character" w:customStyle="1" w:styleId="134">
    <w:name w:val="表格小五左侧 字符"/>
    <w:link w:val="132"/>
    <w:qFormat/>
    <w:uiPriority w:val="0"/>
    <w:rPr>
      <w:color w:val="000000"/>
      <w:kern w:val="2"/>
      <w:sz w:val="18"/>
      <w:szCs w:val="21"/>
    </w:rPr>
  </w:style>
  <w:style w:type="character" w:customStyle="1" w:styleId="135">
    <w:name w:val="表格粗小五 字符"/>
    <w:link w:val="133"/>
    <w:qFormat/>
    <w:uiPriority w:val="0"/>
    <w:rPr>
      <w:b/>
      <w:snapToGrid w:val="0"/>
      <w:color w:val="000000"/>
      <w:kern w:val="2"/>
      <w:sz w:val="18"/>
      <w:szCs w:val="24"/>
      <w:lang w:val="zh-TW" w:eastAsia="zh-TW"/>
    </w:rPr>
  </w:style>
  <w:style w:type="character" w:customStyle="1" w:styleId="136">
    <w:name w:val="font101"/>
    <w:qFormat/>
    <w:uiPriority w:val="0"/>
    <w:rPr>
      <w:rFonts w:hint="eastAsia" w:ascii="宋体" w:hAnsi="宋体" w:eastAsia="宋体"/>
      <w:color w:val="000000"/>
      <w:sz w:val="18"/>
      <w:szCs w:val="18"/>
      <w:u w:val="none"/>
    </w:rPr>
  </w:style>
  <w:style w:type="character" w:customStyle="1" w:styleId="137">
    <w:name w:val="font111"/>
    <w:qFormat/>
    <w:uiPriority w:val="0"/>
    <w:rPr>
      <w:rFonts w:hint="default" w:ascii="Times New Roman" w:hAnsi="Times New Roman" w:cs="Times New Roman"/>
      <w:color w:val="000000"/>
      <w:sz w:val="18"/>
      <w:szCs w:val="18"/>
      <w:u w:val="none"/>
    </w:rPr>
  </w:style>
  <w:style w:type="character" w:customStyle="1" w:styleId="138">
    <w:name w:val="font14"/>
    <w:qFormat/>
    <w:uiPriority w:val="0"/>
    <w:rPr>
      <w:rFonts w:hint="eastAsia" w:ascii="宋体" w:hAnsi="宋体" w:eastAsia="宋体"/>
      <w:color w:val="000000"/>
      <w:sz w:val="18"/>
      <w:szCs w:val="18"/>
      <w:u w:val="none"/>
    </w:rPr>
  </w:style>
  <w:style w:type="character" w:customStyle="1" w:styleId="139">
    <w:name w:val="font121"/>
    <w:qFormat/>
    <w:uiPriority w:val="0"/>
    <w:rPr>
      <w:rFonts w:hint="eastAsia" w:ascii="宋体" w:hAnsi="宋体" w:eastAsia="宋体"/>
      <w:color w:val="000000"/>
      <w:sz w:val="21"/>
      <w:szCs w:val="21"/>
      <w:u w:val="none"/>
    </w:rPr>
  </w:style>
  <w:style w:type="character" w:customStyle="1" w:styleId="140">
    <w:name w:val="font131"/>
    <w:qFormat/>
    <w:uiPriority w:val="0"/>
    <w:rPr>
      <w:rFonts w:hint="default" w:ascii="Times New Roman" w:hAnsi="Times New Roman" w:cs="Times New Roman"/>
      <w:color w:val="000000"/>
      <w:sz w:val="21"/>
      <w:szCs w:val="21"/>
      <w:u w:val="none"/>
    </w:rPr>
  </w:style>
  <w:style w:type="paragraph" w:customStyle="1" w:styleId="141">
    <w:name w:val="书正文"/>
    <w:basedOn w:val="1"/>
    <w:link w:val="142"/>
    <w:autoRedefine/>
    <w:qFormat/>
    <w:uiPriority w:val="0"/>
    <w:pPr>
      <w:spacing w:line="360" w:lineRule="auto"/>
      <w:ind w:firstLine="480" w:firstLineChars="200"/>
    </w:pPr>
    <w:rPr>
      <w:snapToGrid w:val="0"/>
      <w:color w:val="000000"/>
      <w:sz w:val="24"/>
      <w:szCs w:val="22"/>
      <w:shd w:val="clear" w:color="auto" w:fill="FFFFFF"/>
      <w:lang w:val="zh-TW" w:eastAsia="zh-TW"/>
    </w:rPr>
  </w:style>
  <w:style w:type="character" w:customStyle="1" w:styleId="142">
    <w:name w:val="书正文 字符"/>
    <w:link w:val="141"/>
    <w:qFormat/>
    <w:uiPriority w:val="0"/>
    <w:rPr>
      <w:snapToGrid w:val="0"/>
      <w:color w:val="000000"/>
      <w:kern w:val="2"/>
      <w:sz w:val="24"/>
      <w:szCs w:val="22"/>
      <w:lang w:val="zh-TW" w:eastAsia="zh-TW"/>
    </w:rPr>
  </w:style>
  <w:style w:type="character" w:customStyle="1" w:styleId="143">
    <w:name w:val="font61"/>
    <w:qFormat/>
    <w:uiPriority w:val="0"/>
    <w:rPr>
      <w:rFonts w:hint="default" w:ascii="Times New Roman" w:hAnsi="Times New Roman" w:cs="Times New Roman"/>
      <w:color w:val="000000"/>
      <w:sz w:val="18"/>
      <w:szCs w:val="18"/>
      <w:u w:val="none"/>
    </w:rPr>
  </w:style>
  <w:style w:type="character" w:customStyle="1" w:styleId="144">
    <w:name w:val="font141"/>
    <w:qFormat/>
    <w:uiPriority w:val="0"/>
    <w:rPr>
      <w:rFonts w:hint="default" w:ascii="Times New Roman" w:hAnsi="Times New Roman" w:cs="Times New Roman"/>
      <w:color w:val="000000"/>
      <w:sz w:val="18"/>
      <w:szCs w:val="18"/>
      <w:u w:val="none"/>
      <w:vertAlign w:val="superscript"/>
    </w:rPr>
  </w:style>
  <w:style w:type="character" w:customStyle="1" w:styleId="145">
    <w:name w:val="font151"/>
    <w:qFormat/>
    <w:uiPriority w:val="0"/>
    <w:rPr>
      <w:rFonts w:hint="default" w:ascii="Times New Roman" w:hAnsi="Times New Roman" w:cs="Times New Roman"/>
      <w:color w:val="000000"/>
      <w:sz w:val="18"/>
      <w:szCs w:val="18"/>
      <w:u w:val="none"/>
      <w:vertAlign w:val="superscript"/>
    </w:rPr>
  </w:style>
  <w:style w:type="paragraph" w:customStyle="1" w:styleId="146">
    <w:name w:val="+正文"/>
    <w:basedOn w:val="1"/>
    <w:qFormat/>
    <w:uiPriority w:val="0"/>
    <w:pPr>
      <w:widowControl/>
      <w:spacing w:line="360" w:lineRule="auto"/>
      <w:jc w:val="left"/>
    </w:pPr>
    <w:rPr>
      <w:rFonts w:ascii="Calibri" w:hAnsi="Calibri"/>
      <w:sz w:val="24"/>
      <w:szCs w:val="28"/>
    </w:rPr>
  </w:style>
  <w:style w:type="paragraph" w:customStyle="1" w:styleId="147">
    <w:name w:val="表格粗"/>
    <w:basedOn w:val="1"/>
    <w:link w:val="148"/>
    <w:qFormat/>
    <w:uiPriority w:val="0"/>
    <w:pPr>
      <w:adjustRightInd w:val="0"/>
      <w:snapToGrid w:val="0"/>
      <w:jc w:val="center"/>
    </w:pPr>
    <w:rPr>
      <w:b/>
      <w:bCs/>
      <w:kern w:val="0"/>
      <w:szCs w:val="28"/>
    </w:rPr>
  </w:style>
  <w:style w:type="character" w:customStyle="1" w:styleId="148">
    <w:name w:val="表格粗 字符"/>
    <w:link w:val="147"/>
    <w:qFormat/>
    <w:uiPriority w:val="0"/>
    <w:rPr>
      <w:b/>
      <w:bCs/>
      <w:sz w:val="21"/>
      <w:szCs w:val="28"/>
    </w:rPr>
  </w:style>
  <w:style w:type="character" w:customStyle="1" w:styleId="149">
    <w:name w:val="题注 字符"/>
    <w:link w:val="13"/>
    <w:qFormat/>
    <w:uiPriority w:val="0"/>
    <w:rPr>
      <w:b/>
      <w:color w:val="000000"/>
      <w:sz w:val="21"/>
      <w:lang w:eastAsia="en-US"/>
    </w:rPr>
  </w:style>
  <w:style w:type="character" w:customStyle="1" w:styleId="150">
    <w:name w:val="无间隔 字符"/>
    <w:link w:val="14"/>
    <w:qFormat/>
    <w:uiPriority w:val="0"/>
    <w:rPr>
      <w:color w:val="000000"/>
      <w:sz w:val="21"/>
      <w:szCs w:val="18"/>
      <w:lang w:val="zh-TW"/>
    </w:rPr>
  </w:style>
  <w:style w:type="paragraph" w:customStyle="1" w:styleId="151">
    <w:name w:val="新版报告表正文"/>
    <w:basedOn w:val="1"/>
    <w:link w:val="152"/>
    <w:qFormat/>
    <w:uiPriority w:val="0"/>
    <w:pPr>
      <w:adjustRightInd w:val="0"/>
      <w:snapToGrid w:val="0"/>
      <w:spacing w:line="360" w:lineRule="auto"/>
      <w:ind w:firstLine="200" w:firstLineChars="200"/>
    </w:pPr>
    <w:rPr>
      <w:bCs/>
      <w:szCs w:val="21"/>
    </w:rPr>
  </w:style>
  <w:style w:type="character" w:customStyle="1" w:styleId="152">
    <w:name w:val="新版报告表正文 字符"/>
    <w:link w:val="151"/>
    <w:qFormat/>
    <w:uiPriority w:val="0"/>
    <w:rPr>
      <w:bCs/>
      <w:kern w:val="2"/>
      <w:sz w:val="21"/>
      <w:szCs w:val="21"/>
    </w:rPr>
  </w:style>
  <w:style w:type="character" w:customStyle="1" w:styleId="153">
    <w:name w:val="标题 2 字符"/>
    <w:link w:val="3"/>
    <w:semiHidden/>
    <w:qFormat/>
    <w:uiPriority w:val="0"/>
    <w:rPr>
      <w:rFonts w:ascii="等线 Light" w:hAnsi="等线 Light" w:eastAsia="等线 Light" w:cs="Times New Roman"/>
      <w:b/>
      <w:bCs/>
      <w:kern w:val="2"/>
      <w:sz w:val="32"/>
      <w:szCs w:val="32"/>
    </w:rPr>
  </w:style>
  <w:style w:type="paragraph" w:customStyle="1" w:styleId="154">
    <w:name w:val="Normal_0"/>
    <w:qFormat/>
    <w:uiPriority w:val="0"/>
    <w:pPr>
      <w:widowControl w:val="0"/>
      <w:spacing w:line="360" w:lineRule="auto"/>
      <w:ind w:firstLine="200" w:firstLineChars="200"/>
      <w:jc w:val="both"/>
    </w:pPr>
    <w:rPr>
      <w:rFonts w:ascii="Times New Roman" w:hAnsi="Times New Roman" w:eastAsia="仿宋" w:cs="Times New Roman"/>
      <w:kern w:val="2"/>
      <w:sz w:val="28"/>
      <w:szCs w:val="21"/>
      <w:lang w:val="en-US" w:eastAsia="zh-CN" w:bidi="ar-SA"/>
    </w:rPr>
  </w:style>
  <w:style w:type="character" w:customStyle="1" w:styleId="155">
    <w:name w:val="表格 字符"/>
    <w:qFormat/>
    <w:uiPriority w:val="0"/>
    <w:rPr>
      <w:rFonts w:ascii="Times New Roman" w:hAnsi="Times New Roman" w:eastAsia="宋体" w:cs="Times New Roman"/>
      <w:b/>
      <w:sz w:val="18"/>
      <w:szCs w:val="24"/>
    </w:rPr>
  </w:style>
  <w:style w:type="paragraph" w:customStyle="1" w:styleId="156">
    <w:name w:val="Normal_0_0"/>
    <w:qFormat/>
    <w:uiPriority w:val="0"/>
    <w:pPr>
      <w:widowControl w:val="0"/>
      <w:spacing w:line="360" w:lineRule="auto"/>
      <w:ind w:firstLine="200" w:firstLineChars="200"/>
      <w:jc w:val="both"/>
    </w:pPr>
    <w:rPr>
      <w:rFonts w:ascii="Times New Roman" w:hAnsi="Times New Roman" w:eastAsia="仿宋" w:cs="Times New Roman"/>
      <w:kern w:val="2"/>
      <w:sz w:val="28"/>
      <w:szCs w:val="21"/>
      <w:lang w:val="en-US" w:eastAsia="zh-CN" w:bidi="ar-SA"/>
    </w:rPr>
  </w:style>
  <w:style w:type="character" w:customStyle="1" w:styleId="157">
    <w:name w:val="标题 3 字符"/>
    <w:link w:val="4"/>
    <w:qFormat/>
    <w:uiPriority w:val="0"/>
    <w:rPr>
      <w:rFonts w:eastAsia="黑体"/>
      <w:sz w:val="28"/>
    </w:rPr>
  </w:style>
  <w:style w:type="character" w:customStyle="1" w:styleId="158">
    <w:name w:val="标题 4 字符"/>
    <w:link w:val="5"/>
    <w:qFormat/>
    <w:uiPriority w:val="0"/>
    <w:rPr>
      <w:rFonts w:eastAsia="长城楷体"/>
      <w:b/>
      <w:sz w:val="28"/>
    </w:rPr>
  </w:style>
  <w:style w:type="character" w:customStyle="1" w:styleId="159">
    <w:name w:val="标题 5 字符"/>
    <w:link w:val="6"/>
    <w:qFormat/>
    <w:uiPriority w:val="0"/>
    <w:rPr>
      <w:b/>
      <w:sz w:val="24"/>
    </w:rPr>
  </w:style>
  <w:style w:type="character" w:customStyle="1" w:styleId="160">
    <w:name w:val="标题 6 字符"/>
    <w:link w:val="7"/>
    <w:qFormat/>
    <w:uiPriority w:val="0"/>
    <w:rPr>
      <w:rFonts w:ascii="Arial" w:hAnsi="Arial" w:eastAsia="黑体"/>
      <w:b/>
      <w:sz w:val="24"/>
    </w:rPr>
  </w:style>
  <w:style w:type="character" w:customStyle="1" w:styleId="161">
    <w:name w:val="标题 7 字符"/>
    <w:link w:val="8"/>
    <w:qFormat/>
    <w:uiPriority w:val="0"/>
    <w:rPr>
      <w:b/>
      <w:sz w:val="24"/>
    </w:rPr>
  </w:style>
  <w:style w:type="character" w:customStyle="1" w:styleId="162">
    <w:name w:val="标题 8 字符"/>
    <w:link w:val="9"/>
    <w:qFormat/>
    <w:uiPriority w:val="0"/>
    <w:rPr>
      <w:rFonts w:ascii="Arial" w:hAnsi="Arial" w:eastAsia="黑体"/>
      <w:sz w:val="24"/>
    </w:rPr>
  </w:style>
  <w:style w:type="character" w:customStyle="1" w:styleId="163">
    <w:name w:val="标题 9 字符"/>
    <w:link w:val="10"/>
    <w:qFormat/>
    <w:uiPriority w:val="0"/>
    <w:rPr>
      <w:rFonts w:ascii="Arial" w:hAnsi="Arial" w:eastAsia="黑体"/>
      <w:sz w:val="21"/>
    </w:rPr>
  </w:style>
  <w:style w:type="paragraph" w:customStyle="1" w:styleId="164">
    <w:name w:val="表左侧"/>
    <w:link w:val="165"/>
    <w:autoRedefine/>
    <w:qFormat/>
    <w:uiPriority w:val="99"/>
    <w:pPr>
      <w:adjustRightInd w:val="0"/>
      <w:snapToGrid w:val="0"/>
      <w:jc w:val="both"/>
    </w:pPr>
    <w:rPr>
      <w:rFonts w:ascii="Times New Roman" w:hAnsi="Times New Roman" w:eastAsia="宋体" w:cs="Times New Roman"/>
      <w:color w:val="000000"/>
      <w:kern w:val="2"/>
      <w:sz w:val="21"/>
      <w:szCs w:val="21"/>
      <w:shd w:val="clear" w:color="auto" w:fill="FFFFFF"/>
      <w:lang w:val="zh-TW" w:eastAsia="zh-TW" w:bidi="ar-SA"/>
    </w:rPr>
  </w:style>
  <w:style w:type="character" w:customStyle="1" w:styleId="165">
    <w:name w:val="表左侧 字符"/>
    <w:link w:val="164"/>
    <w:qFormat/>
    <w:uiPriority w:val="99"/>
    <w:rPr>
      <w:color w:val="000000"/>
      <w:kern w:val="2"/>
      <w:sz w:val="21"/>
      <w:szCs w:val="21"/>
      <w:lang w:val="zh-TW" w:eastAsia="zh-TW"/>
    </w:rPr>
  </w:style>
  <w:style w:type="paragraph" w:customStyle="1" w:styleId="166">
    <w:name w:val="正文粗"/>
    <w:basedOn w:val="1"/>
    <w:next w:val="141"/>
    <w:link w:val="167"/>
    <w:qFormat/>
    <w:uiPriority w:val="0"/>
    <w:pPr>
      <w:spacing w:line="360" w:lineRule="auto"/>
      <w:ind w:firstLine="480" w:firstLineChars="200"/>
    </w:pPr>
    <w:rPr>
      <w:b/>
      <w:bCs/>
      <w:color w:val="000000"/>
      <w:sz w:val="24"/>
      <w:szCs w:val="20"/>
    </w:rPr>
  </w:style>
  <w:style w:type="character" w:customStyle="1" w:styleId="167">
    <w:name w:val="正文粗 字符"/>
    <w:link w:val="166"/>
    <w:qFormat/>
    <w:uiPriority w:val="0"/>
    <w:rPr>
      <w:b/>
      <w:bCs/>
      <w:color w:val="000000"/>
      <w:kern w:val="2"/>
      <w:sz w:val="24"/>
    </w:rPr>
  </w:style>
  <w:style w:type="paragraph" w:customStyle="1" w:styleId="168">
    <w:name w:val="表格小五粗"/>
    <w:link w:val="169"/>
    <w:qFormat/>
    <w:uiPriority w:val="0"/>
    <w:pPr>
      <w:jc w:val="center"/>
    </w:pPr>
    <w:rPr>
      <w:rFonts w:ascii="Times New Roman" w:hAnsi="Times New Roman" w:eastAsia="宋体" w:cs="Times New Roman"/>
      <w:b/>
      <w:sz w:val="18"/>
      <w:szCs w:val="21"/>
      <w:lang w:val="en-US" w:eastAsia="zh-CN" w:bidi="ar-SA"/>
    </w:rPr>
  </w:style>
  <w:style w:type="character" w:customStyle="1" w:styleId="169">
    <w:name w:val="表格小五粗 字符"/>
    <w:link w:val="168"/>
    <w:qFormat/>
    <w:uiPriority w:val="0"/>
    <w:rPr>
      <w:b/>
      <w:sz w:val="18"/>
      <w:szCs w:val="21"/>
    </w:rPr>
  </w:style>
  <w:style w:type="paragraph" w:customStyle="1" w:styleId="170">
    <w:name w:val="文本"/>
    <w:basedOn w:val="1"/>
    <w:qFormat/>
    <w:uiPriority w:val="0"/>
    <w:pPr>
      <w:autoSpaceDE w:val="0"/>
      <w:autoSpaceDN w:val="0"/>
      <w:adjustRightInd w:val="0"/>
      <w:spacing w:line="360" w:lineRule="auto"/>
      <w:ind w:firstLine="482" w:firstLineChars="200"/>
      <w:outlineLvl w:val="3"/>
    </w:pPr>
    <w:rPr>
      <w:rFonts w:cs="宋体"/>
      <w:sz w:val="24"/>
    </w:rPr>
  </w:style>
  <w:style w:type="paragraph" w:customStyle="1" w:styleId="171">
    <w:name w:val="表内文字"/>
    <w:basedOn w:val="1"/>
    <w:next w:val="1"/>
    <w:link w:val="172"/>
    <w:qFormat/>
    <w:uiPriority w:val="0"/>
    <w:pPr>
      <w:spacing w:line="360" w:lineRule="exact"/>
      <w:jc w:val="center"/>
    </w:pPr>
    <w:rPr>
      <w:szCs w:val="22"/>
    </w:rPr>
  </w:style>
  <w:style w:type="character" w:customStyle="1" w:styleId="172">
    <w:name w:val="表内文字 字符"/>
    <w:link w:val="171"/>
    <w:qFormat/>
    <w:uiPriority w:val="0"/>
    <w:rPr>
      <w:kern w:val="2"/>
      <w:sz w:val="21"/>
      <w:szCs w:val="22"/>
    </w:rPr>
  </w:style>
  <w:style w:type="paragraph" w:customStyle="1" w:styleId="173">
    <w:name w:val="报告表正文"/>
    <w:basedOn w:val="1"/>
    <w:qFormat/>
    <w:uiPriority w:val="0"/>
    <w:pPr>
      <w:spacing w:line="520" w:lineRule="exact"/>
      <w:ind w:firstLine="720" w:firstLineChars="200"/>
    </w:pPr>
    <w:rPr>
      <w:sz w:val="24"/>
    </w:rPr>
  </w:style>
  <w:style w:type="paragraph" w:customStyle="1" w:styleId="174">
    <w:name w:val="表格文字2"/>
    <w:basedOn w:val="1"/>
    <w:qFormat/>
    <w:uiPriority w:val="0"/>
    <w:pPr>
      <w:spacing w:line="240" w:lineRule="exact"/>
      <w:jc w:val="center"/>
    </w:pPr>
    <w:rPr>
      <w:kern w:val="0"/>
      <w:sz w:val="20"/>
      <w:szCs w:val="20"/>
    </w:rPr>
  </w:style>
  <w:style w:type="character" w:customStyle="1" w:styleId="175">
    <w:name w:val="font01"/>
    <w:basedOn w:val="43"/>
    <w:qFormat/>
    <w:uiPriority w:val="0"/>
    <w:rPr>
      <w:rFonts w:hint="eastAsia" w:ascii="宋体" w:hAnsi="宋体" w:eastAsia="宋体"/>
      <w:color w:val="000000"/>
      <w:sz w:val="22"/>
      <w:szCs w:val="22"/>
      <w:u w:val="none"/>
    </w:rPr>
  </w:style>
  <w:style w:type="paragraph" w:customStyle="1" w:styleId="176">
    <w:name w:val="环科源正文"/>
    <w:basedOn w:val="1"/>
    <w:qFormat/>
    <w:uiPriority w:val="0"/>
    <w:pPr>
      <w:widowControl/>
      <w:spacing w:line="560" w:lineRule="exact"/>
      <w:ind w:firstLine="200" w:firstLineChars="200"/>
    </w:pPr>
    <w:rPr>
      <w:sz w:val="24"/>
      <w:szCs w:val="18"/>
    </w:rPr>
  </w:style>
  <w:style w:type="paragraph" w:customStyle="1" w:styleId="177">
    <w:name w:val="font10"/>
    <w:basedOn w:val="1"/>
    <w:qFormat/>
    <w:uiPriority w:val="0"/>
    <w:pPr>
      <w:widowControl/>
      <w:spacing w:before="100" w:beforeAutospacing="1" w:after="100" w:afterAutospacing="1"/>
      <w:jc w:val="left"/>
    </w:pPr>
    <w:rPr>
      <w:color w:val="000000"/>
      <w:kern w:val="0"/>
      <w:sz w:val="20"/>
      <w:szCs w:val="20"/>
      <w:vertAlign w:val="subscript"/>
    </w:rPr>
  </w:style>
  <w:style w:type="paragraph" w:customStyle="1" w:styleId="178">
    <w:name w:val="et5"/>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b/>
      <w:bCs/>
      <w:kern w:val="0"/>
      <w:sz w:val="20"/>
      <w:szCs w:val="20"/>
    </w:rPr>
  </w:style>
  <w:style w:type="paragraph" w:customStyle="1" w:styleId="179">
    <w:name w:val="et7"/>
    <w:basedOn w:val="1"/>
    <w:qFormat/>
    <w:uiPriority w:val="0"/>
    <w:pPr>
      <w:widowControl/>
      <w:pBdr>
        <w:top w:val="single" w:color="000000" w:sz="4" w:space="0"/>
        <w:left w:val="single" w:color="000000" w:sz="4" w:space="0"/>
        <w:bottom w:val="single" w:color="000000" w:sz="4" w:space="0"/>
      </w:pBdr>
      <w:spacing w:before="100" w:beforeAutospacing="1" w:after="100" w:afterAutospacing="1"/>
      <w:jc w:val="center"/>
    </w:pPr>
    <w:rPr>
      <w:rFonts w:ascii="宋体" w:hAnsi="宋体" w:cs="宋体"/>
      <w:b/>
      <w:bCs/>
      <w:kern w:val="0"/>
      <w:sz w:val="20"/>
      <w:szCs w:val="20"/>
    </w:rPr>
  </w:style>
  <w:style w:type="paragraph" w:customStyle="1" w:styleId="180">
    <w:name w:val="et11"/>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000000"/>
      <w:kern w:val="0"/>
      <w:sz w:val="20"/>
      <w:szCs w:val="20"/>
    </w:rPr>
  </w:style>
  <w:style w:type="paragraph" w:customStyle="1" w:styleId="181">
    <w:name w:val="et21"/>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000000"/>
      <w:kern w:val="0"/>
      <w:sz w:val="20"/>
      <w:szCs w:val="20"/>
    </w:rPr>
  </w:style>
  <w:style w:type="paragraph" w:customStyle="1" w:styleId="182">
    <w:name w:val="et23"/>
    <w:basedOn w:val="1"/>
    <w:qFormat/>
    <w:uiPriority w:val="0"/>
    <w:pPr>
      <w:widowControl/>
      <w:pBdr>
        <w:left w:val="single" w:color="000000" w:sz="4" w:space="0"/>
        <w:right w:val="single" w:color="000000" w:sz="4" w:space="0"/>
      </w:pBdr>
      <w:spacing w:before="100" w:beforeAutospacing="1" w:after="100" w:afterAutospacing="1"/>
      <w:jc w:val="center"/>
    </w:pPr>
    <w:rPr>
      <w:rFonts w:ascii="宋体" w:hAnsi="宋体" w:cs="宋体"/>
      <w:color w:val="000000"/>
      <w:kern w:val="0"/>
      <w:sz w:val="20"/>
      <w:szCs w:val="20"/>
    </w:rPr>
  </w:style>
  <w:style w:type="paragraph" w:customStyle="1" w:styleId="183">
    <w:name w:val="et24"/>
    <w:basedOn w:val="1"/>
    <w:qFormat/>
    <w:uiPriority w:val="0"/>
    <w:pPr>
      <w:widowControl/>
      <w:pBdr>
        <w:left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000000"/>
      <w:kern w:val="0"/>
      <w:sz w:val="20"/>
      <w:szCs w:val="20"/>
    </w:rPr>
  </w:style>
  <w:style w:type="paragraph" w:customStyle="1" w:styleId="184">
    <w:name w:val="et25"/>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000000"/>
      <w:kern w:val="0"/>
      <w:sz w:val="20"/>
      <w:szCs w:val="20"/>
    </w:rPr>
  </w:style>
  <w:style w:type="paragraph" w:customStyle="1" w:styleId="185">
    <w:name w:val="et26"/>
    <w:basedOn w:val="1"/>
    <w:qFormat/>
    <w:uiPriority w:val="0"/>
    <w:pPr>
      <w:widowControl/>
      <w:pBdr>
        <w:top w:val="single" w:color="000000" w:sz="4" w:space="0"/>
        <w:bottom w:val="single" w:color="000000" w:sz="4" w:space="0"/>
        <w:right w:val="single" w:color="000000" w:sz="4" w:space="0"/>
      </w:pBdr>
      <w:spacing w:before="100" w:beforeAutospacing="1" w:after="100" w:afterAutospacing="1"/>
      <w:jc w:val="center"/>
    </w:pPr>
    <w:rPr>
      <w:rFonts w:ascii="宋体" w:hAnsi="宋体" w:cs="宋体"/>
      <w:b/>
      <w:bCs/>
      <w:kern w:val="0"/>
      <w:sz w:val="20"/>
      <w:szCs w:val="20"/>
    </w:rPr>
  </w:style>
  <w:style w:type="paragraph" w:customStyle="1" w:styleId="186">
    <w:name w:val="et27"/>
    <w:basedOn w:val="1"/>
    <w:qFormat/>
    <w:uiPriority w:val="0"/>
    <w:pPr>
      <w:widowControl/>
      <w:pBdr>
        <w:top w:val="single" w:color="000000" w:sz="4" w:space="0"/>
        <w:left w:val="single" w:color="000000" w:sz="4" w:space="0"/>
        <w:bottom w:val="single" w:color="000000" w:sz="4" w:space="0"/>
      </w:pBdr>
      <w:spacing w:before="100" w:beforeAutospacing="1" w:after="100" w:afterAutospacing="1"/>
      <w:jc w:val="center"/>
    </w:pPr>
    <w:rPr>
      <w:rFonts w:ascii="宋体" w:hAnsi="宋体" w:cs="宋体"/>
      <w:b/>
      <w:bCs/>
      <w:color w:val="FF0000"/>
      <w:kern w:val="0"/>
      <w:sz w:val="20"/>
      <w:szCs w:val="20"/>
    </w:rPr>
  </w:style>
  <w:style w:type="paragraph" w:customStyle="1" w:styleId="187">
    <w:name w:val="et28"/>
    <w:basedOn w:val="1"/>
    <w:qFormat/>
    <w:uiPriority w:val="0"/>
    <w:pPr>
      <w:widowControl/>
      <w:pBdr>
        <w:top w:val="single" w:color="000000" w:sz="4" w:space="0"/>
        <w:bottom w:val="single" w:color="000000" w:sz="4" w:space="0"/>
      </w:pBdr>
      <w:spacing w:before="100" w:beforeAutospacing="1" w:after="100" w:afterAutospacing="1"/>
      <w:jc w:val="center"/>
    </w:pPr>
    <w:rPr>
      <w:rFonts w:ascii="宋体" w:hAnsi="宋体" w:cs="宋体"/>
      <w:b/>
      <w:bCs/>
      <w:color w:val="FF0000"/>
      <w:kern w:val="0"/>
      <w:sz w:val="20"/>
      <w:szCs w:val="20"/>
    </w:rPr>
  </w:style>
  <w:style w:type="paragraph" w:customStyle="1" w:styleId="188">
    <w:name w:val="et29"/>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b/>
      <w:bCs/>
      <w:color w:val="FF0000"/>
      <w:kern w:val="0"/>
      <w:sz w:val="20"/>
      <w:szCs w:val="20"/>
    </w:rPr>
  </w:style>
  <w:style w:type="paragraph" w:customStyle="1" w:styleId="189">
    <w:name w:val="et30"/>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b/>
      <w:bCs/>
      <w:kern w:val="0"/>
      <w:sz w:val="20"/>
      <w:szCs w:val="20"/>
    </w:rPr>
  </w:style>
  <w:style w:type="paragraph" w:customStyle="1" w:styleId="190">
    <w:name w:val="et31"/>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000000"/>
      <w:kern w:val="0"/>
      <w:sz w:val="20"/>
      <w:szCs w:val="20"/>
    </w:rPr>
  </w:style>
  <w:style w:type="paragraph" w:customStyle="1" w:styleId="191">
    <w:name w:val="et32"/>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FF0000"/>
      <w:kern w:val="0"/>
      <w:sz w:val="20"/>
      <w:szCs w:val="20"/>
    </w:rPr>
  </w:style>
  <w:style w:type="paragraph" w:customStyle="1" w:styleId="192">
    <w:name w:val="et33"/>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000000"/>
      <w:kern w:val="0"/>
      <w:sz w:val="20"/>
      <w:szCs w:val="20"/>
    </w:rPr>
  </w:style>
  <w:style w:type="paragraph" w:customStyle="1" w:styleId="193">
    <w:name w:val="et34"/>
    <w:basedOn w:val="1"/>
    <w:qFormat/>
    <w:uiPriority w:val="0"/>
    <w:pPr>
      <w:widowControl/>
      <w:pBdr>
        <w:top w:val="single" w:color="000000" w:sz="4" w:space="0"/>
        <w:left w:val="single" w:color="000000" w:sz="4" w:space="0"/>
        <w:right w:val="single" w:color="000000" w:sz="4" w:space="0"/>
      </w:pBdr>
      <w:spacing w:before="100" w:beforeAutospacing="1" w:after="100" w:afterAutospacing="1"/>
      <w:jc w:val="center"/>
    </w:pPr>
    <w:rPr>
      <w:rFonts w:ascii="宋体" w:hAnsi="宋体" w:cs="宋体"/>
      <w:color w:val="000000"/>
      <w:kern w:val="0"/>
      <w:sz w:val="20"/>
      <w:szCs w:val="20"/>
    </w:rPr>
  </w:style>
  <w:style w:type="paragraph" w:customStyle="1" w:styleId="194">
    <w:name w:val="et35"/>
    <w:basedOn w:val="1"/>
    <w:qFormat/>
    <w:uiPriority w:val="0"/>
    <w:pPr>
      <w:widowControl/>
      <w:pBdr>
        <w:left w:val="single" w:color="000000" w:sz="4" w:space="0"/>
        <w:right w:val="single" w:color="000000" w:sz="4" w:space="0"/>
      </w:pBdr>
      <w:spacing w:before="100" w:beforeAutospacing="1" w:after="100" w:afterAutospacing="1"/>
      <w:jc w:val="center"/>
    </w:pPr>
    <w:rPr>
      <w:rFonts w:ascii="宋体" w:hAnsi="宋体" w:cs="宋体"/>
      <w:color w:val="000000"/>
      <w:kern w:val="0"/>
      <w:sz w:val="20"/>
      <w:szCs w:val="20"/>
    </w:rPr>
  </w:style>
  <w:style w:type="paragraph" w:customStyle="1" w:styleId="195">
    <w:name w:val="et36"/>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FF0000"/>
      <w:kern w:val="0"/>
      <w:sz w:val="20"/>
      <w:szCs w:val="20"/>
    </w:rPr>
  </w:style>
  <w:style w:type="paragraph" w:customStyle="1" w:styleId="196">
    <w:name w:val="et37"/>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FF0000"/>
      <w:kern w:val="0"/>
      <w:sz w:val="20"/>
      <w:szCs w:val="20"/>
    </w:rPr>
  </w:style>
  <w:style w:type="paragraph" w:customStyle="1" w:styleId="197">
    <w:name w:val="et38"/>
    <w:basedOn w:val="1"/>
    <w:qFormat/>
    <w:uiPriority w:val="0"/>
    <w:pPr>
      <w:widowControl/>
      <w:pBdr>
        <w:left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000000"/>
      <w:kern w:val="0"/>
      <w:sz w:val="20"/>
      <w:szCs w:val="20"/>
    </w:rPr>
  </w:style>
  <w:style w:type="paragraph" w:customStyle="1" w:styleId="198">
    <w:name w:val="et39"/>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kern w:val="0"/>
      <w:sz w:val="20"/>
      <w:szCs w:val="20"/>
    </w:rPr>
  </w:style>
  <w:style w:type="paragraph" w:customStyle="1" w:styleId="199">
    <w:name w:val="et40"/>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FF0000"/>
      <w:kern w:val="0"/>
      <w:sz w:val="20"/>
      <w:szCs w:val="20"/>
    </w:rPr>
  </w:style>
  <w:style w:type="paragraph" w:customStyle="1" w:styleId="200">
    <w:name w:val="et41"/>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FF0000"/>
      <w:kern w:val="0"/>
      <w:sz w:val="20"/>
      <w:szCs w:val="20"/>
    </w:rPr>
  </w:style>
  <w:style w:type="paragraph" w:customStyle="1" w:styleId="201">
    <w:name w:val="et42"/>
    <w:basedOn w:val="1"/>
    <w:qFormat/>
    <w:uiPriority w:val="0"/>
    <w:pPr>
      <w:widowControl/>
      <w:pBdr>
        <w:top w:val="single" w:color="000000" w:sz="4" w:space="0"/>
        <w:left w:val="single" w:color="000000" w:sz="4" w:space="0"/>
        <w:right w:val="single" w:color="000000" w:sz="4" w:space="0"/>
      </w:pBdr>
      <w:shd w:val="clear" w:color="auto" w:fill="FF0000"/>
      <w:spacing w:before="100" w:beforeAutospacing="1" w:after="100" w:afterAutospacing="1"/>
      <w:jc w:val="center"/>
    </w:pPr>
    <w:rPr>
      <w:rFonts w:ascii="宋体" w:hAnsi="宋体" w:cs="宋体"/>
      <w:color w:val="000000"/>
      <w:kern w:val="0"/>
      <w:sz w:val="20"/>
      <w:szCs w:val="20"/>
    </w:rPr>
  </w:style>
  <w:style w:type="paragraph" w:customStyle="1" w:styleId="202">
    <w:name w:val="et43"/>
    <w:basedOn w:val="1"/>
    <w:qFormat/>
    <w:uiPriority w:val="0"/>
    <w:pPr>
      <w:widowControl/>
      <w:pBdr>
        <w:left w:val="single" w:color="000000" w:sz="4" w:space="0"/>
        <w:right w:val="single" w:color="000000" w:sz="4" w:space="0"/>
      </w:pBdr>
      <w:shd w:val="clear" w:color="auto" w:fill="FF0000"/>
      <w:spacing w:before="100" w:beforeAutospacing="1" w:after="100" w:afterAutospacing="1"/>
      <w:jc w:val="center"/>
    </w:pPr>
    <w:rPr>
      <w:rFonts w:ascii="宋体" w:hAnsi="宋体" w:cs="宋体"/>
      <w:color w:val="000000"/>
      <w:kern w:val="0"/>
      <w:sz w:val="20"/>
      <w:szCs w:val="20"/>
    </w:rPr>
  </w:style>
  <w:style w:type="paragraph" w:customStyle="1" w:styleId="203">
    <w:name w:val="et44"/>
    <w:basedOn w:val="1"/>
    <w:qFormat/>
    <w:uiPriority w:val="0"/>
    <w:pPr>
      <w:widowControl/>
      <w:pBdr>
        <w:left w:val="single" w:color="000000" w:sz="4" w:space="0"/>
        <w:bottom w:val="single" w:color="000000" w:sz="4" w:space="0"/>
        <w:right w:val="single" w:color="000000" w:sz="4" w:space="0"/>
      </w:pBdr>
      <w:shd w:val="clear" w:color="auto" w:fill="FF0000"/>
      <w:spacing w:before="100" w:beforeAutospacing="1" w:after="100" w:afterAutospacing="1"/>
      <w:jc w:val="center"/>
    </w:pPr>
    <w:rPr>
      <w:rFonts w:ascii="宋体" w:hAnsi="宋体" w:cs="宋体"/>
      <w:color w:val="000000"/>
      <w:kern w:val="0"/>
      <w:sz w:val="20"/>
      <w:szCs w:val="20"/>
    </w:rPr>
  </w:style>
  <w:style w:type="paragraph" w:customStyle="1" w:styleId="204">
    <w:name w:val="Table Paragraph"/>
    <w:basedOn w:val="1"/>
    <w:qFormat/>
    <w:uiPriority w:val="0"/>
    <w:rPr>
      <w:rFonts w:ascii="宋体" w:hAnsi="宋体" w:cs="宋体"/>
      <w:szCs w:val="21"/>
    </w:rPr>
  </w:style>
  <w:style w:type="character" w:styleId="205">
    <w:name w:val="Placeholder Text"/>
    <w:basedOn w:val="43"/>
    <w:unhideWhenUsed/>
    <w:qFormat/>
    <w:uiPriority w:val="99"/>
    <w:rPr>
      <w:color w:val="666666"/>
    </w:rPr>
  </w:style>
  <w:style w:type="character" w:customStyle="1" w:styleId="206">
    <w:name w:val="正文缩进 字符"/>
    <w:link w:val="12"/>
    <w:qFormat/>
    <w:uiPriority w:val="0"/>
    <w:rPr>
      <w:rFonts w:ascii="Times New Roman" w:hAnsi="Times New Roman" w:eastAsia="黑体"/>
      <w:lang w:eastAsia="en-US"/>
    </w:rPr>
  </w:style>
  <w:style w:type="paragraph" w:customStyle="1" w:styleId="207">
    <w:name w:val="A-正文"/>
    <w:basedOn w:val="1"/>
    <w:autoRedefine/>
    <w:qFormat/>
    <w:uiPriority w:val="0"/>
    <w:pPr>
      <w:spacing w:line="360" w:lineRule="auto"/>
      <w:ind w:firstLine="200" w:firstLineChars="200"/>
      <w:jc w:val="left"/>
    </w:pPr>
    <w:rPr>
      <w:rFonts w:ascii="Times New Roman" w:hAnsi="Times New Roman" w:eastAsia="宋体"/>
      <w:sz w:val="24"/>
    </w:rPr>
  </w:style>
  <w:style w:type="paragraph" w:customStyle="1" w:styleId="208">
    <w:name w:val="真·正文"/>
    <w:basedOn w:val="1"/>
    <w:next w:val="118"/>
    <w:qFormat/>
    <w:uiPriority w:val="0"/>
    <w:pPr>
      <w:widowControl w:val="0"/>
      <w:autoSpaceDE/>
      <w:autoSpaceDN/>
      <w:spacing w:before="0" w:after="0" w:line="360" w:lineRule="auto"/>
      <w:ind w:left="0" w:firstLine="200"/>
      <w:jc w:val="both"/>
    </w:pPr>
    <w:rPr>
      <w:rFonts w:ascii="Calibri" w:eastAsia="宋体"/>
      <w:sz w:val="24"/>
    </w:rPr>
  </w:style>
  <w:style w:type="paragraph" w:customStyle="1" w:styleId="209">
    <w:name w:val="表格内容"/>
    <w:basedOn w:val="210"/>
    <w:autoRedefine/>
    <w:qFormat/>
    <w:uiPriority w:val="0"/>
    <w:rPr>
      <w:color w:val="000000"/>
    </w:rPr>
  </w:style>
  <w:style w:type="paragraph" w:customStyle="1" w:styleId="210">
    <w:name w:val="表格标题"/>
    <w:basedOn w:val="13"/>
    <w:autoRedefine/>
    <w:qFormat/>
    <w:uiPriority w:val="0"/>
    <w:pPr>
      <w:bidi/>
      <w:adjustRightInd w:val="0"/>
      <w:snapToGrid w:val="0"/>
    </w:pPr>
    <w:rPr>
      <w:rFonts w:eastAsia="仿宋_GB2312" w:cs="Times New Roman"/>
      <w:szCs w:val="21"/>
    </w:rPr>
  </w:style>
  <w:style w:type="paragraph" w:customStyle="1" w:styleId="211">
    <w:name w:val="正本文字"/>
    <w:basedOn w:val="1"/>
    <w:qFormat/>
    <w:uiPriority w:val="0"/>
    <w:pPr>
      <w:adjustRightInd w:val="0"/>
      <w:snapToGrid w:val="0"/>
      <w:spacing w:line="360" w:lineRule="auto"/>
      <w:ind w:firstLine="480" w:firstLineChars="200"/>
      <w:jc w:val="left"/>
    </w:pPr>
    <w:rPr>
      <w:rFonts w:cs="宋体"/>
      <w:kern w:val="18"/>
      <w:sz w:val="24"/>
      <w:szCs w:val="20"/>
    </w:rPr>
  </w:style>
  <w:style w:type="paragraph" w:customStyle="1" w:styleId="212">
    <w:name w:val="Default"/>
    <w:basedOn w:val="213"/>
    <w:autoRedefine/>
    <w:qFormat/>
    <w:uiPriority w:val="0"/>
    <w:pPr>
      <w:widowControl w:val="0"/>
      <w:autoSpaceDE w:val="0"/>
      <w:autoSpaceDN w:val="0"/>
      <w:adjustRightInd w:val="0"/>
    </w:pPr>
    <w:rPr>
      <w:rFonts w:ascii="宋体" w:eastAsia="宋体" w:cs="宋体"/>
      <w:color w:val="000000"/>
      <w:sz w:val="24"/>
    </w:rPr>
  </w:style>
  <w:style w:type="paragraph" w:customStyle="1" w:styleId="213">
    <w:name w:val="纯文本1"/>
    <w:basedOn w:val="1"/>
    <w:autoRedefine/>
    <w:qFormat/>
    <w:uiPriority w:val="0"/>
    <w:rPr>
      <w:rFonts w:ascii="宋体" w:hAnsi="Courier New"/>
    </w:rPr>
  </w:style>
  <w:style w:type="paragraph" w:customStyle="1" w:styleId="214">
    <w:name w:val="小表格内文字"/>
    <w:basedOn w:val="1"/>
    <w:qFormat/>
    <w:uiPriority w:val="0"/>
    <w:rPr>
      <w:color w:val="000000" w:themeColor="text1"/>
      <w:kern w:val="18"/>
      <w14:textFill>
        <w14:solidFill>
          <w14:schemeClr w14:val="tx1"/>
        </w14:solidFill>
      </w14:textFill>
    </w:rPr>
  </w:style>
  <w:style w:type="paragraph" w:customStyle="1" w:styleId="215">
    <w:name w:val="表格正文"/>
    <w:basedOn w:val="1"/>
    <w:qFormat/>
    <w:uiPriority w:val="0"/>
    <w:pPr>
      <w:spacing w:line="360" w:lineRule="auto"/>
      <w:ind w:firstLine="420" w:firstLineChars="200"/>
    </w:pPr>
    <w:rPr>
      <w:kern w:val="24"/>
      <w:sz w:val="24"/>
    </w:rPr>
  </w:style>
  <w:style w:type="paragraph" w:customStyle="1" w:styleId="216">
    <w:name w:val="++++++++正文"/>
    <w:basedOn w:val="1"/>
    <w:autoRedefine/>
    <w:qFormat/>
    <w:uiPriority w:val="0"/>
    <w:pPr>
      <w:autoSpaceDE w:val="0"/>
      <w:autoSpaceDN w:val="0"/>
      <w:adjustRightInd w:val="0"/>
      <w:spacing w:line="360" w:lineRule="auto"/>
      <w:ind w:firstLine="200" w:firstLineChars="200"/>
    </w:pPr>
    <w:rPr>
      <w:sz w:val="24"/>
      <w:szCs w:val="20"/>
    </w:rPr>
  </w:style>
  <w:style w:type="paragraph" w:customStyle="1" w:styleId="217">
    <w:name w:val="【正文】"/>
    <w:basedOn w:val="1"/>
    <w:autoRedefine/>
    <w:qFormat/>
    <w:uiPriority w:val="0"/>
    <w:pPr>
      <w:spacing w:line="440" w:lineRule="exact"/>
      <w:ind w:firstLine="544" w:firstLineChars="200"/>
    </w:pPr>
    <w:rPr>
      <w:rFonts w:ascii="宋体" w:hAnsi="宋体" w:cs="宋体"/>
      <w:sz w:val="24"/>
      <w:szCs w:val="22"/>
    </w:rPr>
  </w:style>
  <w:style w:type="paragraph" w:customStyle="1" w:styleId="218">
    <w:name w:val="报告"/>
    <w:basedOn w:val="1"/>
    <w:next w:val="1"/>
    <w:qFormat/>
    <w:uiPriority w:val="0"/>
    <w:pPr>
      <w:adjustRightInd w:val="0"/>
      <w:spacing w:line="360" w:lineRule="auto"/>
      <w:ind w:firstLine="505"/>
      <w:jc w:val="left"/>
      <w:textAlignment w:val="baseline"/>
    </w:pPr>
    <w:rPr>
      <w:kern w:val="0"/>
      <w:sz w:val="24"/>
      <w:szCs w:val="20"/>
    </w:rPr>
  </w:style>
  <w:style w:type="paragraph" w:customStyle="1" w:styleId="219">
    <w:name w:val="正文22"/>
    <w:basedOn w:val="1"/>
    <w:qFormat/>
    <w:uiPriority w:val="0"/>
    <w:pPr>
      <w:spacing w:line="360" w:lineRule="auto"/>
      <w:ind w:firstLine="480" w:firstLineChars="200"/>
    </w:pPr>
    <w:rPr>
      <w:rFonts w:hint="eastAsia" w:cs="方正大标宋简体"/>
      <w:kern w:val="0"/>
      <w:sz w:val="24"/>
      <w:szCs w:val="20"/>
    </w:rPr>
  </w:style>
  <w:style w:type="paragraph" w:customStyle="1" w:styleId="220">
    <w:name w:val="Table Text"/>
    <w:basedOn w:val="1"/>
    <w:semiHidden/>
    <w:qFormat/>
    <w:uiPriority w:val="0"/>
    <w:rPr>
      <w:rFonts w:ascii="宋体" w:hAnsi="宋体" w:eastAsia="宋体" w:cs="宋体"/>
      <w:sz w:val="20"/>
      <w:szCs w:val="20"/>
      <w:lang w:val="en-US" w:eastAsia="en-US" w:bidi="ar-SA"/>
    </w:rPr>
  </w:style>
  <w:style w:type="paragraph" w:customStyle="1" w:styleId="221">
    <w:name w:val="Default1"/>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customStyle="1" w:styleId="222">
    <w:name w:val="正文样式"/>
    <w:basedOn w:val="1"/>
    <w:qFormat/>
    <w:uiPriority w:val="0"/>
    <w:pPr>
      <w:tabs>
        <w:tab w:val="left" w:pos="1440"/>
        <w:tab w:val="left" w:pos="4368"/>
      </w:tabs>
      <w:spacing w:line="360" w:lineRule="auto"/>
      <w:ind w:firstLine="493"/>
    </w:pPr>
    <w:rPr>
      <w:color w:val="FF0000"/>
      <w:sz w:val="24"/>
    </w:rPr>
  </w:style>
  <w:style w:type="paragraph" w:customStyle="1" w:styleId="223">
    <w:name w:val="正文-龙池"/>
    <w:basedOn w:val="1"/>
    <w:qFormat/>
    <w:uiPriority w:val="0"/>
    <w:pPr>
      <w:autoSpaceDE w:val="0"/>
      <w:autoSpaceDN w:val="0"/>
      <w:adjustRightInd w:val="0"/>
      <w:spacing w:line="360" w:lineRule="auto"/>
      <w:ind w:firstLine="200" w:firstLineChars="200"/>
      <w:contextualSpacing/>
    </w:pPr>
    <w:rPr>
      <w:kern w:val="0"/>
      <w:sz w:val="24"/>
    </w:rPr>
  </w:style>
  <w:style w:type="table" w:customStyle="1" w:styleId="224">
    <w:name w:val="Table Normal"/>
    <w:semiHidden/>
    <w:unhideWhenUsed/>
    <w:qFormat/>
    <w:uiPriority w:val="0"/>
    <w:tblPr>
      <w:tblCellMar>
        <w:top w:w="0" w:type="dxa"/>
        <w:left w:w="0" w:type="dxa"/>
        <w:bottom w:w="0" w:type="dxa"/>
        <w:right w:w="0" w:type="dxa"/>
      </w:tblCellMar>
    </w:tblPr>
  </w:style>
  <w:style w:type="paragraph" w:customStyle="1" w:styleId="225">
    <w:name w:val="正文 4"/>
    <w:basedOn w:val="1"/>
    <w:qFormat/>
    <w:uiPriority w:val="0"/>
    <w:pPr>
      <w:autoSpaceDE w:val="0"/>
      <w:autoSpaceDN w:val="0"/>
      <w:adjustRightInd w:val="0"/>
      <w:snapToGrid w:val="0"/>
      <w:spacing w:line="360" w:lineRule="auto"/>
      <w:ind w:firstLine="480" w:firstLineChars="200"/>
    </w:pPr>
    <w:rPr>
      <w:bCs/>
      <w:kern w:val="0"/>
      <w:sz w:val="24"/>
    </w:rPr>
  </w:style>
  <w:style w:type="paragraph" w:customStyle="1" w:styleId="226">
    <w:name w:val="报告书表格"/>
    <w:basedOn w:val="1"/>
    <w:qFormat/>
    <w:uiPriority w:val="0"/>
    <w:pPr>
      <w:adjustRightInd w:val="0"/>
      <w:spacing w:before="60" w:after="60" w:line="240" w:lineRule="atLeast"/>
      <w:jc w:val="center"/>
      <w:textAlignment w:val="baseline"/>
    </w:pPr>
    <w:rPr>
      <w:kern w:val="0"/>
      <w:szCs w:val="20"/>
    </w:rPr>
  </w:style>
  <w:style w:type="table" w:customStyle="1" w:styleId="227">
    <w:name w:val="普通表格1"/>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 Type="http://schemas.openxmlformats.org/officeDocument/2006/relationships/image" Target="media/image2.png"/><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9" Type="http://schemas.openxmlformats.org/officeDocument/2006/relationships/fontTable" Target="fontTable.xml"/><Relationship Id="rId48" Type="http://schemas.openxmlformats.org/officeDocument/2006/relationships/customXml" Target="../customXml/item2.xml"/><Relationship Id="rId47" Type="http://schemas.openxmlformats.org/officeDocument/2006/relationships/numbering" Target="numbering.xml"/><Relationship Id="rId46" Type="http://schemas.openxmlformats.org/officeDocument/2006/relationships/customXml" Target="../customXml/item1.xml"/><Relationship Id="rId45" Type="http://schemas.openxmlformats.org/officeDocument/2006/relationships/image" Target="media/image31.png"/><Relationship Id="rId44" Type="http://schemas.openxmlformats.org/officeDocument/2006/relationships/image" Target="media/image30.wmf"/><Relationship Id="rId43" Type="http://schemas.openxmlformats.org/officeDocument/2006/relationships/oleObject" Target="embeddings/oleObject7.bin"/><Relationship Id="rId42" Type="http://schemas.openxmlformats.org/officeDocument/2006/relationships/image" Target="media/image29.png"/><Relationship Id="rId41" Type="http://schemas.openxmlformats.org/officeDocument/2006/relationships/image" Target="media/image28.png"/><Relationship Id="rId40" Type="http://schemas.openxmlformats.org/officeDocument/2006/relationships/image" Target="media/image27.png"/><Relationship Id="rId4" Type="http://schemas.openxmlformats.org/officeDocument/2006/relationships/footer" Target="footer2.xml"/><Relationship Id="rId39" Type="http://schemas.openxmlformats.org/officeDocument/2006/relationships/image" Target="media/image26.png"/><Relationship Id="rId38" Type="http://schemas.openxmlformats.org/officeDocument/2006/relationships/image" Target="media/image25.png"/><Relationship Id="rId37" Type="http://schemas.openxmlformats.org/officeDocument/2006/relationships/image" Target="media/image24.png"/><Relationship Id="rId36" Type="http://schemas.openxmlformats.org/officeDocument/2006/relationships/image" Target="media/image23.png"/><Relationship Id="rId35" Type="http://schemas.openxmlformats.org/officeDocument/2006/relationships/image" Target="media/image22.png"/><Relationship Id="rId34" Type="http://schemas.openxmlformats.org/officeDocument/2006/relationships/image" Target="media/image21.png"/><Relationship Id="rId33" Type="http://schemas.openxmlformats.org/officeDocument/2006/relationships/image" Target="media/image20.png"/><Relationship Id="rId32" Type="http://schemas.openxmlformats.org/officeDocument/2006/relationships/image" Target="media/image19.png"/><Relationship Id="rId31" Type="http://schemas.openxmlformats.org/officeDocument/2006/relationships/image" Target="media/image18.png"/><Relationship Id="rId30" Type="http://schemas.openxmlformats.org/officeDocument/2006/relationships/image" Target="media/image17.png"/><Relationship Id="rId3" Type="http://schemas.openxmlformats.org/officeDocument/2006/relationships/footer" Target="footer1.xml"/><Relationship Id="rId29" Type="http://schemas.openxmlformats.org/officeDocument/2006/relationships/image" Target="media/image16.png"/><Relationship Id="rId28" Type="http://schemas.openxmlformats.org/officeDocument/2006/relationships/image" Target="media/image15.wmf"/><Relationship Id="rId27" Type="http://schemas.openxmlformats.org/officeDocument/2006/relationships/oleObject" Target="embeddings/oleObject6.bin"/><Relationship Id="rId26" Type="http://schemas.openxmlformats.org/officeDocument/2006/relationships/image" Target="media/image14.jpeg"/><Relationship Id="rId25" Type="http://schemas.openxmlformats.org/officeDocument/2006/relationships/image" Target="media/image13.jpeg"/><Relationship Id="rId24" Type="http://schemas.openxmlformats.org/officeDocument/2006/relationships/image" Target="media/image12.emf"/><Relationship Id="rId23" Type="http://schemas.openxmlformats.org/officeDocument/2006/relationships/oleObject" Target="embeddings/oleObject5.bin"/><Relationship Id="rId22" Type="http://schemas.openxmlformats.org/officeDocument/2006/relationships/image" Target="media/image11.png"/><Relationship Id="rId21" Type="http://schemas.openxmlformats.org/officeDocument/2006/relationships/image" Target="media/image10.emf"/><Relationship Id="rId20" Type="http://schemas.openxmlformats.org/officeDocument/2006/relationships/oleObject" Target="embeddings/oleObject4.bin"/><Relationship Id="rId2" Type="http://schemas.openxmlformats.org/officeDocument/2006/relationships/settings" Target="settings.xml"/><Relationship Id="rId19" Type="http://schemas.openxmlformats.org/officeDocument/2006/relationships/image" Target="media/image9.jpeg"/><Relationship Id="rId18" Type="http://schemas.openxmlformats.org/officeDocument/2006/relationships/image" Target="media/image8.emf"/><Relationship Id="rId17" Type="http://schemas.openxmlformats.org/officeDocument/2006/relationships/oleObject" Target="embeddings/oleObject3.bin"/><Relationship Id="rId16" Type="http://schemas.openxmlformats.org/officeDocument/2006/relationships/image" Target="media/image7.emf"/><Relationship Id="rId15" Type="http://schemas.openxmlformats.org/officeDocument/2006/relationships/oleObject" Target="embeddings/oleObject2.bin"/><Relationship Id="rId14" Type="http://schemas.openxmlformats.org/officeDocument/2006/relationships/image" Target="media/image6.emf"/><Relationship Id="rId13" Type="http://schemas.openxmlformats.org/officeDocument/2006/relationships/oleObject" Target="embeddings/oleObject1.bin"/><Relationship Id="rId12" Type="http://schemas.openxmlformats.org/officeDocument/2006/relationships/image" Target="media/image5.png"/><Relationship Id="rId11" Type="http://schemas.openxmlformats.org/officeDocument/2006/relationships/image" Target="media/image4.png"/><Relationship Id="rId10" Type="http://schemas.openxmlformats.org/officeDocument/2006/relationships/image" Target="media/image3.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54aea5ae-9fee-4de7-b878-4d4ae682222f</errorID>
      <errorWord>(</errorWord>
      <group>L1_Format</group>
      <groupName>格式问题</groupName>
      <ability>L2_HalfPunc_CN</ability>
      <abilityName>全半角问题</abilityName>
      <candidateList>
        <item>（</item>
      </candidateList>
      <explain>文本全半角错误。</explain>
      <paraID>534071C1</paraID>
      <start>34</start>
      <end>35</end>
      <status>modified</status>
      <modifiedWord>（</modifiedWord>
      <trackRevisions>false</trackRevisions>
    </reviewItem>
    <reviewItem>
      <errorID>15c75872-ca2c-411d-9e39-32593d863f78</errorID>
      <errorWord>)</errorWord>
      <group>L1_Format</group>
      <groupName>格式问题</groupName>
      <ability>L2_HalfPunc_CN</ability>
      <abilityName>全半角问题</abilityName>
      <candidateList>
        <item>）</item>
      </candidateList>
      <explain>文本全半角错误。</explain>
      <paraID>534071C1</paraID>
      <start>47</start>
      <end>48</end>
      <status>modified</status>
      <modifiedWord>）</modifiedWord>
      <trackRevisions>false</trackRevisions>
    </reviewItem>
    <reviewItem>
      <errorID>8c0a0d11-7a33-4084-a486-5935d1f7fedc</errorID>
      <errorWord>(</errorWord>
      <group>L1_Format</group>
      <groupName>格式问题</groupName>
      <ability>L2_HalfPunc_CN</ability>
      <abilityName>全半角问题</abilityName>
      <candidateList>
        <item>（</item>
      </candidateList>
      <explain>文本全半角错误。</explain>
      <paraID>7245476F</paraID>
      <start>30</start>
      <end>31</end>
      <status>modified</status>
      <modifiedWord>（</modifiedWord>
      <trackRevisions>false</trackRevisions>
    </reviewItem>
    <reviewItem>
      <errorID>8cf81b43-b7ab-486c-b8d0-b0f145494ed6</errorID>
      <errorWord>)</errorWord>
      <group>L1_Format</group>
      <groupName>格式问题</groupName>
      <ability>L2_HalfPunc_CN</ability>
      <abilityName>全半角问题</abilityName>
      <candidateList>
        <item>）</item>
      </candidateList>
      <explain>文本全半角错误。</explain>
      <paraID>7245476F</paraID>
      <start>36</start>
      <end>37</end>
      <status>modified</status>
      <modifiedWord>）</modifiedWord>
      <trackRevisions>false</trackRevisions>
    </reviewItem>
    <reviewItem>
      <errorID>c9a4fdbc-bf29-4d66-8a13-08b984941a43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1040E3E8</paraID>
      <start>0</start>
      <end>2</end>
      <status>unmodified</status>
      <modifiedWord/>
      <trackRevisions>false</trackRevisions>
    </reviewItem>
    <reviewItem>
      <errorID>699f3564-1932-42bd-a20a-03febb8327c8</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1040E3E8</paraID>
      <start>24</start>
      <end>25</end>
      <status>unmodified</status>
      <modifiedWord/>
      <trackRevisions>false</trackRevisions>
    </reviewItem>
    <reviewItem>
      <errorID>ba7bd126-069e-441e-a82f-86d8e68f1fe2</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5452FB19</paraID>
      <start>36</start>
      <end>37</end>
      <status>unmodified</status>
      <modifiedWord/>
      <trackRevisions>false</trackRevisions>
    </reviewItem>
    <reviewItem>
      <errorID>ca4747be-6d77-4452-9e9c-a3263ddbcc98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75111514</paraID>
      <start>0</start>
      <end>2</end>
      <status>unmodified</status>
      <modifiedWord/>
      <trackRevisions>false</trackRevisions>
    </reviewItem>
    <reviewItem>
      <errorID>91550cf7-667e-4617-8f4c-8ec00797d515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6EA77139</paraID>
      <start>0</start>
      <end>2</end>
      <status>unmodified</status>
      <modifiedWord/>
      <trackRevisions>false</trackRevisions>
    </reviewItem>
    <reviewItem>
      <errorID>651649d8-ac16-4101-92fa-e1c8065bb886</errorID>
      <errorWord>&lt;</errorWord>
      <group>L1_Format</group>
      <groupName>格式问题</groupName>
      <ability>L2_HalfPunc_CN</ability>
      <abilityName>全半角问题</abilityName>
      <candidateList>
        <item>〈</item>
      </candidateList>
      <explain>文本全半角错误。</explain>
      <paraID>72B15F68</paraID>
      <start>15</start>
      <end>16</end>
      <status>modified</status>
      <modifiedWord>〈</modifiedWord>
      <trackRevisions>false</trackRevisions>
    </reviewItem>
    <reviewItem>
      <errorID>a19f137e-6776-45f5-bd1a-74f24e82908b</errorID>
      <errorWord>&gt;</errorWord>
      <group>L1_Format</group>
      <groupName>格式问题</groupName>
      <ability>L2_HalfPunc_CN</ability>
      <abilityName>全半角问题</abilityName>
      <candidateList>
        <item>〉</item>
      </candidateList>
      <explain>文本全半角错误。</explain>
      <paraID>72B15F68</paraID>
      <start>36</start>
      <end>37</end>
      <status>modified</status>
      <modifiedWord>〉</modifiedWord>
      <trackRevisions>false</trackRevisions>
    </reviewItem>
    <reviewItem>
      <errorID>a3becfc1-10ab-4fdf-a88a-697fea6bd37b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14C9C2C</paraID>
      <start>0</start>
      <end>2</end>
      <status>unmodified</status>
      <modifiedWord/>
      <trackRevisions>false</trackRevisions>
    </reviewItem>
    <reviewItem>
      <errorID>717d9471-abde-479d-8809-ba25a15cfbd5</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14C9C2C</paraID>
      <start>21</start>
      <end>22</end>
      <status>unmodified</status>
      <modifiedWord/>
      <trackRevisions>false</trackRevisions>
    </reviewItem>
    <reviewItem>
      <errorID>c15c0268-e64d-4159-8d38-d0ace78f13f4</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8B7C9E6</paraID>
      <start>20</start>
      <end>21</end>
      <status>unmodified</status>
      <modifiedWord/>
      <trackRevisions>false</trackRevisions>
    </reviewItem>
    <reviewItem>
      <errorID>779a2d67-ad7a-433d-811d-da7f91b089f4</errorID>
      <errorWord>”为</errorWord>
      <group>L1_Grammar</group>
      <groupName>语法问题</groupName>
      <ability>L2_Missing</ability>
      <abilityName>成分残缺</abilityName>
      <candidateList>
        <item>”</item>
      </candidateList>
      <explain>句子中可能存在主谓宾、修饰语或者必要的词语残缺。</explain>
      <paraID> 8B7C9E6</paraID>
      <start>164</start>
      <end>166</end>
      <status>unmodified</status>
      <modifiedWord/>
      <trackRevisions>false</trackRevisions>
    </reviewItem>
    <reviewItem>
      <errorID>672fa6d3-c196-47d0-9b2b-6bc8fe80b713</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27A52282</paraID>
      <start>81</start>
      <end>82</end>
      <status>unmodified</status>
      <modifiedWord/>
      <trackRevisions>false</trackRevisions>
    </reviewItem>
    <reviewItem>
      <errorID>4cf767c9-c6c7-4572-b2cc-0059f9c19247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775FB2C6</paraID>
      <start>0</start>
      <end>2</end>
      <status>unmodified</status>
      <modifiedWord/>
      <trackRevisions>false</trackRevisions>
    </reviewItem>
    <reviewItem>
      <errorID>de2f93f1-b6b6-4421-a3da-2aae1c9864ed</errorID>
      <errorWord>烟尘</errorWord>
      <group>L1_Word</group>
      <groupName>字词问题</groupName>
      <ability>L2_Typo</ability>
      <abilityName>字词错误</abilityName>
      <candidateList>
        <item>扬尘</item>
      </candidateList>
      <explain/>
      <paraID>3E1A4DCA</paraID>
      <start>9</start>
      <end>11</end>
      <status>unmodified</status>
      <modifiedWord/>
      <trackRevisions>false</trackRevisions>
    </reviewItem>
    <reviewItem>
      <errorID>e0de67f3-127d-4e92-bc71-38855ce8e59c</errorID>
      <errorWord>必须科学选址</errorWord>
      <group>L1_Grammar</group>
      <groupName>语法问题</groupName>
      <ability>L2_Order</ability>
      <abilityName>语序不当</abilityName>
      <candidateList>
        <item>选址必须科学</item>
      </candidateList>
      <explain>句子可能没有遵循时空、逻辑顺序，或者介词、关联词等位置不当。</explain>
      <paraID>3E1A4DCA</paraID>
      <start>51</start>
      <end>57</end>
      <status>unmodified</status>
      <modifiedWord/>
      <trackRevisions>false</trackRevisions>
    </reviewItem>
    <reviewItem>
      <errorID>31fbb129-cf15-4a91-9c6c-3af6b6a66d55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6AB9F382</paraID>
      <start>0</start>
      <end>2</end>
      <status>unmodified</status>
      <modifiedWord/>
      <trackRevisions>false</trackRevisions>
    </reviewItem>
    <reviewItem>
      <errorID>87ee1c95-4adb-46f8-abd6-b5bd23f107be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26E0E6AC</paraID>
      <start>0</start>
      <end>2</end>
      <status>unmodified</status>
      <modifiedWord/>
      <trackRevisions>false</trackRevisions>
    </reviewItem>
    <reviewItem>
      <errorID>aabd8bab-38e8-40e9-80f1-f49ac3151957</errorID>
      <errorWord>&lt;</errorWord>
      <group>L1_Format</group>
      <groupName>格式问题</groupName>
      <ability>L2_HalfPunc_CN</ability>
      <abilityName>全半角问题</abilityName>
      <candidateList>
        <item>〈</item>
      </candidateList>
      <explain>文本全半角错误。</explain>
      <paraID>46B373FC</paraID>
      <start>52</start>
      <end>53</end>
      <status>modified</status>
      <modifiedWord>〈</modifiedWord>
      <trackRevisions>false</trackRevisions>
    </reviewItem>
    <reviewItem>
      <errorID>8e0a2c62-f97f-4731-9651-c722c33b5052</errorID>
      <errorWord>&gt;</errorWord>
      <group>L1_Format</group>
      <groupName>格式问题</groupName>
      <ability>L2_HalfPunc_CN</ability>
      <abilityName>全半角问题</abilityName>
      <candidateList>
        <item>〉</item>
      </candidateList>
      <explain>文本全半角错误。</explain>
      <paraID>46B373FC</paraID>
      <start>80</start>
      <end>81</end>
      <status>modified</status>
      <modifiedWord>〉</modifiedWord>
      <trackRevisions>false</trackRevisions>
    </reviewItem>
    <reviewItem>
      <errorID>bb8a016f-0116-4bc4-bf3d-95e5e7d64939</errorID>
      <errorWord>&lt;</errorWord>
      <group>L1_Format</group>
      <groupName>格式问题</groupName>
      <ability>L2_HalfPunc_CN</ability>
      <abilityName>全半角问题</abilityName>
      <candidateList>
        <item>〈</item>
      </candidateList>
      <explain>文本全半角错误。</explain>
      <paraID>46B373FC</paraID>
      <start>82</start>
      <end>83</end>
      <status>modified</status>
      <modifiedWord>〈</modifiedWord>
      <trackRevisions>false</trackRevisions>
    </reviewItem>
    <reviewItem>
      <errorID>1419ab09-b8ee-4831-a785-793dfda83d93</errorID>
      <errorWord>&gt;的通知》</errorWord>
      <group>L1_Punc</group>
      <groupName>标点问题</groupName>
      <ability>L2_Punc_CN</ability>
      <abilityName>标点符号问题</abilityName>
      <candidateList>
        <item>〉的通知》</item>
      </candidateList>
      <explain/>
      <paraID>46B373FC</paraID>
      <start>106</start>
      <end>111</end>
      <status>modified</status>
      <modifiedWord>〉的通知》</modifiedWord>
      <trackRevisions>false</trackRevisions>
    </reviewItem>
    <reviewItem>
      <errorID>33f6cb77-d54f-42e2-bb92-79422f06c76f</errorID>
      <errorWord>-</errorWord>
      <group>L1_Format</group>
      <groupName>格式问题</groupName>
      <ability>L2_HalfPunc_CN</ability>
      <abilityName>全半角问题</abilityName>
      <candidateList>
        <item>－</item>
      </candidateList>
      <explain>文本全半角错误。</explain>
      <paraID>366C9EBA</paraID>
      <start>2</start>
      <end>3</end>
      <status>unmodified</status>
      <modifiedWord/>
      <trackRevisions>false</trackRevisions>
    </reviewItem>
    <reviewItem>
      <errorID>74f4e308-908b-4a19-a196-a960e4324a2f</errorID>
      <errorWord>-</errorWord>
      <group>L1_Format</group>
      <groupName>格式问题</groupName>
      <ability>L2_HalfPunc_CN</ability>
      <abilityName>全半角问题</abilityName>
      <candidateList>
        <item>－</item>
      </candidateList>
      <explain>文本全半角错误。</explain>
      <paraID>366C9EBA</paraID>
      <start>6</start>
      <end>7</end>
      <status>unmodified</status>
      <modifiedWord/>
      <trackRevisions>false</trackRevisions>
    </reviewItem>
    <reviewItem>
      <errorID>f9db1c23-86db-428e-a6ed-0e9992a57b54</errorID>
      <errorWord>-</errorWord>
      <group>L1_Format</group>
      <groupName>格式问题</groupName>
      <ability>L2_HalfPunc_CN</ability>
      <abilityName>全半角问题</abilityName>
      <candidateList>
        <item>－</item>
      </candidateList>
      <explain>文本全半角错误。</explain>
      <paraID>366C9EBA</paraID>
      <start>9</start>
      <end>10</end>
      <status>unmodified</status>
      <modifiedWord/>
      <trackRevisions>false</trackRevisions>
    </reviewItem>
    <reviewItem>
      <errorID>f135dcaa-9282-476c-8ba9-a00b374d303e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59826D42</paraID>
      <start>0</start>
      <end>2</end>
      <status>unmodified</status>
      <modifiedWord/>
      <trackRevisions>false</trackRevisions>
    </reviewItem>
    <reviewItem>
      <errorID>fd3e2617-f0d5-4c72-89a9-a38aa6b4f75a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5B5A35A3</paraID>
      <start>0</start>
      <end>2</end>
      <status>unmodified</status>
      <modifiedWord/>
      <trackRevisions>false</trackRevisions>
    </reviewItem>
    <reviewItem>
      <errorID>f4f2635d-a0c9-4b98-85a8-34d3baebcbde</errorID>
      <errorWord>农村面源污染</errorWord>
      <group>L1_Political</group>
      <groupName>政治性问题</groupName>
      <ability>L2_Keyword</ability>
      <abilityName>固定表述</abilityName>
      <candidateList>
        <item>农业面源污染</item>
      </candidateList>
      <explain>词汇“农业面源污染”在特定场景下为固定表述形式，请确认此处的“农村面源污染”是否存在不当。</explain>
      <paraID>5B5A35A3</paraID>
      <start>4</start>
      <end>10</end>
      <status>unmodified</status>
      <modifiedWord/>
      <trackRevisions>false</trackRevisions>
    </reviewItem>
    <reviewItem>
      <errorID>a2833c57-bacc-4971-a6be-904411574aac</errorID>
      <errorWord>相符和</errorWord>
      <group>L1_Word</group>
      <groupName>字词问题</groupName>
      <ability>L2_Typo</ability>
      <abilityName>字词错误</abilityName>
      <candidateList>
        <item>相符合</item>
      </candidateList>
      <explain/>
      <paraID>437CEAE3</paraID>
      <start>17</start>
      <end>20</end>
      <status>modified</status>
      <modifiedWord>相符合</modifiedWord>
      <trackRevisions>false</trackRevisions>
    </reviewItem>
    <reviewItem>
      <errorID>fed351f3-9f53-49ff-b417-3678a6d74240</errorID>
      <errorWord>-</errorWord>
      <group>L1_Format</group>
      <groupName>格式问题</groupName>
      <ability>L2_HalfPunc_CN</ability>
      <abilityName>全半角问题</abilityName>
      <candidateList>
        <item>－</item>
      </candidateList>
      <explain>文本全半角错误。</explain>
      <paraID>4840528B</paraID>
      <start>0</start>
      <end>1</end>
      <status>unmodified</status>
      <modifiedWord/>
      <trackRevisions>false</trackRevisions>
    </reviewItem>
    <reviewItem>
      <errorID>db8582de-8c3f-408f-ab5d-92d1af819e19</errorID>
      <errorWord>-</errorWord>
      <group>L1_Format</group>
      <groupName>格式问题</groupName>
      <ability>L2_HalfPunc_CN</ability>
      <abilityName>全半角问题</abilityName>
      <candidateList>
        <item>－</item>
      </candidateList>
      <explain>文本全半角错误。</explain>
      <paraID>4840528B</paraID>
      <start>101</start>
      <end>102</end>
      <status>unmodified</status>
      <modifiedWord/>
      <trackRevisions>false</trackRevisions>
    </reviewItem>
    <reviewItem>
      <errorID>1e937bc1-ded1-48dd-bd24-e2cdb3e67a61</errorID>
      <errorWord>-</errorWord>
      <group>L1_Format</group>
      <groupName>格式问题</groupName>
      <ability>L2_HalfPunc_CN</ability>
      <abilityName>全半角问题</abilityName>
      <candidateList>
        <item>－</item>
      </candidateList>
      <explain>文本全半角错误。</explain>
      <paraID>4840528B</paraID>
      <start>135</start>
      <end>136</end>
      <status>unmodified</status>
      <modifiedWord/>
      <trackRevisions>false</trackRevisions>
    </reviewItem>
    <reviewItem>
      <errorID>e23378b4-fa80-4570-9778-311c8861239e</errorID>
      <errorWord>-</errorWord>
      <group>L1_Format</group>
      <groupName>格式问题</groupName>
      <ability>L2_HalfPunc_CN</ability>
      <abilityName>全半角问题</abilityName>
      <candidateList>
        <item>－</item>
      </candidateList>
      <explain>文本全半角错误。</explain>
      <paraID>4840528B</paraID>
      <start>176</start>
      <end>177</end>
      <status>unmodified</status>
      <modifiedWord/>
      <trackRevisions>false</trackRevisions>
    </reviewItem>
    <reviewItem>
      <errorID>e3f9b8c8-ddd4-4a82-912b-ebd94f42e628</errorID>
      <errorWord>-</errorWord>
      <group>L1_Format</group>
      <groupName>格式问题</groupName>
      <ability>L2_HalfPunc_CN</ability>
      <abilityName>全半角问题</abilityName>
      <candidateList>
        <item>－</item>
      </candidateList>
      <explain>文本全半角错误。</explain>
      <paraID>70ACC4C6</paraID>
      <start>0</start>
      <end>1</end>
      <status>unmodified</status>
      <modifiedWord/>
      <trackRevisions>false</trackRevisions>
    </reviewItem>
    <reviewItem>
      <errorID>338cbd6b-50c0-4148-9eab-362a4bb44c70</errorID>
      <errorWord>-</errorWord>
      <group>L1_Format</group>
      <groupName>格式问题</groupName>
      <ability>L2_HalfPunc_CN</ability>
      <abilityName>全半角问题</abilityName>
      <candidateList>
        <item>－</item>
      </candidateList>
      <explain>文本全半角错误。</explain>
      <paraID>70ACC4C6</paraID>
      <start>54</start>
      <end>55</end>
      <status>unmodified</status>
      <modifiedWord/>
      <trackRevisions>false</trackRevisions>
    </reviewItem>
    <reviewItem>
      <errorID>28a32226-5aee-46e9-a897-29c6f6653f4c</errorID>
      <errorWord>矿产资源开采管理办法</errorWord>
      <group>L1_Knowledge</group>
      <groupName>知识性问题</groupName>
      <ability>L2_Knowledge</ability>
      <abilityName>其他知识</abilityName>
      <candidateList>
        <item>矿产资源开采登记管理办法</item>
      </candidateList>
      <explain>当前法律法规未收录或尚未生效，注意核查是否正确。</explain>
      <paraID>70ACC4C6</paraID>
      <start>60</start>
      <end>70</end>
      <status>unmodified</status>
      <modifiedWord/>
      <trackRevisions>false</trackRevisions>
    </reviewItem>
    <reviewItem>
      <errorID>5b883a00-5bf8-4bab-a47f-ccb70ebd01b4</errorID>
      <errorWord>-</errorWord>
      <group>L1_Format</group>
      <groupName>格式问题</groupName>
      <ability>L2_HalfPunc_CN</ability>
      <abilityName>全半角问题</abilityName>
      <candidateList>
        <item>－</item>
      </candidateList>
      <explain>文本全半角错误。</explain>
      <paraID>28244F65</paraID>
      <start>0</start>
      <end>1</end>
      <status>unmodified</status>
      <modifiedWord/>
      <trackRevisions>false</trackRevisions>
    </reviewItem>
    <reviewItem>
      <errorID>c1f88492-6336-421e-a76b-eab933c9086d</errorID>
      <errorWord>-</errorWord>
      <group>L1_Format</group>
      <groupName>格式问题</groupName>
      <ability>L2_HalfPunc_CN</ability>
      <abilityName>全半角问题</abilityName>
      <candidateList>
        <item>－</item>
      </candidateList>
      <explain>文本全半角错误。</explain>
      <paraID>28244F65</paraID>
      <start>14</start>
      <end>15</end>
      <status>unmodified</status>
      <modifiedWord/>
      <trackRevisions>false</trackRevisions>
    </reviewItem>
    <reviewItem>
      <errorID>8b5a7314-6cd7-45b8-8a0c-cbee9f5f2a7d</errorID>
      <errorWord>-</errorWord>
      <group>L1_Format</group>
      <groupName>格式问题</groupName>
      <ability>L2_HalfPunc_CN</ability>
      <abilityName>全半角问题</abilityName>
      <candidateList>
        <item>－</item>
      </candidateList>
      <explain>文本全半角错误。</explain>
      <paraID>28244F65</paraID>
      <start>43</start>
      <end>44</end>
      <status>unmodified</status>
      <modifiedWord/>
      <trackRevisions>false</trackRevisions>
    </reviewItem>
    <reviewItem>
      <errorID>284f8e3d-27a4-4281-a615-f87eec30b46a</errorID>
      <errorWord>达</errorWord>
      <group>L1_Word</group>
      <groupName>字词问题</groupName>
      <ability>L2_Typo</ability>
      <abilityName>字词错误</abilityName>
      <candidateList>
        <item>达到</item>
      </candidateList>
      <explain>〈动〉到（多指抽象事物或程度）：达得到｜达不到｜目的没有～｜～国际水平。</explain>
      <paraID>5F3FD3C4</paraID>
      <start>32</start>
      <end>34</end>
      <status>modified</status>
      <modifiedWord>达到</modifiedWord>
      <trackRevisions>false</trackRevisions>
    </reviewItem>
    <reviewItem>
      <errorID>c0e93d7d-fab7-43ac-81b4-5b6f9c9c7a2e</errorID>
      <errorWord>-</errorWord>
      <group>L1_Format</group>
      <groupName>格式问题</groupName>
      <ability>L2_HalfPunc_CN</ability>
      <abilityName>全半角问题</abilityName>
      <candidateList>
        <item>－</item>
      </candidateList>
      <explain>文本全半角错误。</explain>
      <paraID>7D8A9541</paraID>
      <start>16</start>
      <end>17</end>
      <status>unmodified</status>
      <modifiedWord/>
      <trackRevisions>false</trackRevisions>
    </reviewItem>
    <reviewItem>
      <errorID>3ba41a4e-9473-49e5-aec8-23641882c332</errorID>
      <errorWord>-</errorWord>
      <group>L1_Format</group>
      <groupName>格式问题</groupName>
      <ability>L2_HalfPunc_CN</ability>
      <abilityName>全半角问题</abilityName>
      <candidateList>
        <item>－</item>
      </candidateList>
      <explain>文本全半角错误。</explain>
      <paraID>7D8A9541</paraID>
      <start>90</start>
      <end>91</end>
      <status>unmodified</status>
      <modifiedWord/>
      <trackRevisions>false</trackRevisions>
    </reviewItem>
    <reviewItem>
      <errorID>4ba9f9a6-93b8-4302-a61d-a887fab4ad19</errorID>
      <errorWord>胶粘剂</errorWord>
      <group>L1_Word</group>
      <groupName>字词问题</groupName>
      <ability>L2_Typo</ability>
      <abilityName>字词错误</abilityName>
      <candidateList>
        <item>胶黏剂</item>
      </candidateList>
      <explain/>
      <paraID>7D8A9541</paraID>
      <start>170</start>
      <end>173</end>
      <status>unmodified</status>
      <modifiedWord/>
      <trackRevisions>false</trackRevisions>
    </reviewItem>
    <reviewItem>
      <errorID>6f3d9104-8059-4ec5-a167-8c28d859c018</errorID>
      <errorWord>-</errorWord>
      <group>L1_Format</group>
      <groupName>格式问题</groupName>
      <ability>L2_HalfPunc_CN</ability>
      <abilityName>全半角问题</abilityName>
      <candidateList>
        <item>－</item>
      </candidateList>
      <explain>文本全半角错误。</explain>
      <paraID>7D8A9541</paraID>
      <start>240</start>
      <end>241</end>
      <status>unmodified</status>
      <modifiedWord/>
      <trackRevisions>false</trackRevisions>
    </reviewItem>
    <reviewItem>
      <errorID>73f586df-52ad-4ef2-aa11-de1553c47a0d</errorID>
      <errorWord>-</errorWord>
      <group>L1_Format</group>
      <groupName>格式问题</groupName>
      <ability>L2_HalfPunc_CN</ability>
      <abilityName>全半角问题</abilityName>
      <candidateList>
        <item>－</item>
      </candidateList>
      <explain>文本全半角错误。</explain>
      <paraID> 8D47BF8</paraID>
      <start>0</start>
      <end>1</end>
      <status>unmodified</status>
      <modifiedWord/>
      <trackRevisions>false</trackRevisions>
    </reviewItem>
    <reviewItem>
      <errorID>01b11e56-00cb-432e-a3f2-12f92f01b89b</errorID>
      <errorWord>-</errorWord>
      <group>L1_Format</group>
      <groupName>格式问题</groupName>
      <ability>L2_HalfPunc_CN</ability>
      <abilityName>全半角问题</abilityName>
      <candidateList>
        <item>－</item>
      </candidateList>
      <explain>文本全半角错误。</explain>
      <paraID> 8D47BF8</paraID>
      <start>30</start>
      <end>31</end>
      <status>unmodified</status>
      <modifiedWord/>
      <trackRevisions>false</trackRevisions>
    </reviewItem>
    <reviewItem>
      <errorID>bb897756-7021-4a8d-aec4-d557c6e7ad03</errorID>
      <errorWord>-</errorWord>
      <group>L1_Format</group>
      <groupName>格式问题</groupName>
      <ability>L2_HalfPunc_CN</ability>
      <abilityName>全半角问题</abilityName>
      <candidateList>
        <item>－</item>
      </candidateList>
      <explain>文本全半角错误。</explain>
      <paraID> 8D47BF8</paraID>
      <start>137</start>
      <end>138</end>
      <status>unmodified</status>
      <modifiedWord/>
      <trackRevisions>false</trackRevisions>
    </reviewItem>
    <reviewItem>
      <errorID>07dcccac-22c1-44e7-8bff-c6a9ffa3e1d4</errorID>
      <errorWord>-</errorWord>
      <group>L1_Format</group>
      <groupName>格式问题</groupName>
      <ability>L2_HalfPunc_CN</ability>
      <abilityName>全半角问题</abilityName>
      <candidateList>
        <item>－</item>
      </candidateList>
      <explain>文本全半角错误。</explain>
      <paraID> 8D47BF8</paraID>
      <start>236</start>
      <end>237</end>
      <status>unmodified</status>
      <modifiedWord/>
      <trackRevisions>false</trackRevisions>
    </reviewItem>
    <reviewItem>
      <errorID>03642f70-8d28-49c7-a2c9-ccc6eb7f56ab</errorID>
      <errorWord>-</errorWord>
      <group>L1_Format</group>
      <groupName>格式问题</groupName>
      <ability>L2_HalfPunc_CN</ability>
      <abilityName>全半角问题</abilityName>
      <candidateList>
        <item>－</item>
      </candidateList>
      <explain>文本全半角错误。</explain>
      <paraID>6B6E7931</paraID>
      <start>0</start>
      <end>1</end>
      <status>unmodified</status>
      <modifiedWord/>
      <trackRevisions>false</trackRevisions>
    </reviewItem>
    <reviewItem>
      <errorID>f8cca098-4041-4243-a32f-b500bef670cc</errorID>
      <errorWord>-</errorWord>
      <group>L1_Format</group>
      <groupName>格式问题</groupName>
      <ability>L2_HalfPunc_CN</ability>
      <abilityName>全半角问题</abilityName>
      <candidateList>
        <item>－</item>
      </candidateList>
      <explain>文本全半角错误。</explain>
      <paraID>46EC9E20</paraID>
      <start>0</start>
      <end>1</end>
      <status>unmodified</status>
      <modifiedWord/>
      <trackRevisions>false</trackRevisions>
    </reviewItem>
    <reviewItem>
      <errorID>edc152ae-806a-4b42-958c-b320e4cf31d8</errorID>
      <errorWord>控制控制</errorWord>
      <group>L1_Word</group>
      <groupName>字词问题</groupName>
      <ability>L2_Typo</ability>
      <abilityName>字词错误</abilityName>
      <candidateList>
        <item>控制</item>
      </candidateList>
      <explain/>
      <paraID>46EC9E20</paraID>
      <start>14</start>
      <end>16</end>
      <status>modified</status>
      <modifiedWord>控制</modifiedWord>
      <trackRevisions>false</trackRevisions>
    </reviewItem>
    <reviewItem>
      <errorID>34dc73b4-03fe-4dc0-a72b-b949fd8bd9f8</errorID>
      <errorWord>-</errorWord>
      <group>L1_Format</group>
      <groupName>格式问题</groupName>
      <ability>L2_HalfPunc_CN</ability>
      <abilityName>全半角问题</abilityName>
      <candidateList>
        <item>－</item>
      </candidateList>
      <explain>文本全半角错误。</explain>
      <paraID>46EC9E20</paraID>
      <start>30</start>
      <end>31</end>
      <status>unmodified</status>
      <modifiedWord/>
      <trackRevisions>false</trackRevisions>
    </reviewItem>
    <reviewItem>
      <errorID>18d0a775-0768-4940-92ca-a4d28c949ee9</errorID>
      <errorWord>-</errorWord>
      <group>L1_Format</group>
      <groupName>格式问题</groupName>
      <ability>L2_HalfPunc_CN</ability>
      <abilityName>全半角问题</abilityName>
      <candidateList>
        <item>－</item>
      </candidateList>
      <explain>文本全半角错误。</explain>
      <paraID>70CD6EAA</paraID>
      <start>0</start>
      <end>1</end>
      <status>unmodified</status>
      <modifiedWord/>
      <trackRevisions>false</trackRevisions>
    </reviewItem>
    <reviewItem>
      <errorID>1f2be6df-c98b-4fa1-a413-83da39916d28</errorID>
      <errorWord>-</errorWord>
      <group>L1_Format</group>
      <groupName>格式问题</groupName>
      <ability>L2_HalfPunc_CN</ability>
      <abilityName>全半角问题</abilityName>
      <candidateList>
        <item>－</item>
      </candidateList>
      <explain>文本全半角错误。</explain>
      <paraID>70CD6EAA</paraID>
      <start>43</start>
      <end>44</end>
      <status>unmodified</status>
      <modifiedWord/>
      <trackRevisions>false</trackRevisions>
    </reviewItem>
    <reviewItem>
      <errorID>bfd1a5df-3ac9-463c-8cea-9b19fea399b1</errorID>
      <errorWord>-</errorWord>
      <group>L1_Format</group>
      <groupName>格式问题</groupName>
      <ability>L2_HalfPunc_CN</ability>
      <abilityName>全半角问题</abilityName>
      <candidateList>
        <item>－</item>
      </candidateList>
      <explain>文本全半角错误。</explain>
      <paraID>70CD6EAA</paraID>
      <start>83</start>
      <end>84</end>
      <status>unmodified</status>
      <modifiedWord/>
      <trackRevisions>false</trackRevisions>
    </reviewItem>
    <reviewItem>
      <errorID>7ac01bdb-9ff8-4be1-8219-442f6965c90c</errorID>
      <errorWord>-</errorWord>
      <group>L1_Format</group>
      <groupName>格式问题</groupName>
      <ability>L2_HalfPunc_CN</ability>
      <abilityName>全半角问题</abilityName>
      <candidateList>
        <item>－</item>
      </candidateList>
      <explain>文本全半角错误。</explain>
      <paraID>70CD6EAA</paraID>
      <start>125</start>
      <end>126</end>
      <status>unmodified</status>
      <modifiedWord/>
      <trackRevisions>false</trackRevisions>
    </reviewItem>
    <reviewItem>
      <errorID>1d7597fd-b0d3-463d-9477-0285a3526d95</errorID>
      <errorWord>-</errorWord>
      <group>L1_Format</group>
      <groupName>格式问题</groupName>
      <ability>L2_HalfPunc_CN</ability>
      <abilityName>全半角问题</abilityName>
      <candidateList>
        <item>－</item>
      </candidateList>
      <explain>文本全半角错误。</explain>
      <paraID>70CD6EAA</paraID>
      <start>172</start>
      <end>173</end>
      <status>unmodified</status>
      <modifiedWord/>
      <trackRevisions>false</trackRevisions>
    </reviewItem>
    <reviewItem>
      <errorID>942a974c-72c6-4501-8a04-3d4c756c88ca</errorID>
      <errorWord>-</errorWord>
      <group>L1_Format</group>
      <groupName>格式问题</groupName>
      <ability>L2_HalfPunc_CN</ability>
      <abilityName>全半角问题</abilityName>
      <candidateList>
        <item>－</item>
      </candidateList>
      <explain>文本全半角错误。</explain>
      <paraID>6AB5AE90</paraID>
      <start>97</start>
      <end>98</end>
      <status>unmodified</status>
      <modifiedWord/>
      <trackRevisions>false</trackRevisions>
    </reviewItem>
    <reviewItem>
      <errorID>415d3500-d49f-481f-aedc-8fa5f7b8c6c4</errorID>
      <errorWord>-</errorWord>
      <group>L1_Format</group>
      <groupName>格式问题</groupName>
      <ability>L2_HalfPunc_CN</ability>
      <abilityName>全半角问题</abilityName>
      <candidateList>
        <item>－</item>
      </candidateList>
      <explain>文本全半角错误。</explain>
      <paraID>6AB5AE90</paraID>
      <start>140</start>
      <end>141</end>
      <status>unmodified</status>
      <modifiedWord/>
      <trackRevisions>false</trackRevisions>
    </reviewItem>
    <reviewItem>
      <errorID>b24bf3e6-ae80-490c-9a8d-2e954e4ee875</errorID>
      <errorWord>-</errorWord>
      <group>L1_Format</group>
      <groupName>格式问题</groupName>
      <ability>L2_HalfPunc_CN</ability>
      <abilityName>全半角问题</abilityName>
      <candidateList>
        <item>－</item>
      </candidateList>
      <explain>文本全半角错误。</explain>
      <paraID>6AB5AE90</paraID>
      <start>236</start>
      <end>237</end>
      <status>unmodified</status>
      <modifiedWord/>
      <trackRevisions>false</trackRevisions>
    </reviewItem>
    <reviewItem>
      <errorID>707a53eb-198d-45df-9e30-7dd762f7ea74</errorID>
      <errorWord>-</errorWord>
      <group>L1_Format</group>
      <groupName>格式问题</groupName>
      <ability>L2_HalfPunc_CN</ability>
      <abilityName>全半角问题</abilityName>
      <candidateList>
        <item>－</item>
      </candidateList>
      <explain>文本全半角错误。</explain>
      <paraID> 7637B42</paraID>
      <start>0</start>
      <end>1</end>
      <status>unmodified</status>
      <modifiedWord/>
      <trackRevisions>false</trackRevisions>
    </reviewItem>
    <reviewItem>
      <errorID>ac0d0cac-2139-4ed5-98e7-5694e7ad91ae</errorID>
      <errorWord>-</errorWord>
      <group>L1_Format</group>
      <groupName>格式问题</groupName>
      <ability>L2_HalfPunc_CN</ability>
      <abilityName>全半角问题</abilityName>
      <candidateList>
        <item>－</item>
      </candidateList>
      <explain>文本全半角错误。</explain>
      <paraID> 7637B42</paraID>
      <start>26</start>
      <end>27</end>
      <status>unmodified</status>
      <modifiedWord/>
      <trackRevisions>false</trackRevisions>
    </reviewItem>
    <reviewItem>
      <errorID>9c753dcc-9a75-4cb3-91f3-f5a2bbb10e58</errorID>
      <errorWord>-</errorWord>
      <group>L1_Format</group>
      <groupName>格式问题</groupName>
      <ability>L2_HalfPunc_CN</ability>
      <abilityName>全半角问题</abilityName>
      <candidateList>
        <item>－</item>
      </candidateList>
      <explain>文本全半角错误。</explain>
      <paraID>7FD8BACD</paraID>
      <start>0</start>
      <end>1</end>
      <status>unmodified</status>
      <modifiedWord/>
      <trackRevisions>false</trackRevisions>
    </reviewItem>
    <reviewItem>
      <errorID>c6c444b6-afdd-420e-b8c8-306017a327f9</errorID>
      <errorWord>-</errorWord>
      <group>L1_Format</group>
      <groupName>格式问题</groupName>
      <ability>L2_HalfPunc_CN</ability>
      <abilityName>全半角问题</abilityName>
      <candidateList>
        <item>－</item>
      </candidateList>
      <explain>文本全半角错误。</explain>
      <paraID>7FD8BACD</paraID>
      <start>33</start>
      <end>34</end>
      <status>unmodified</status>
      <modifiedWord/>
      <trackRevisions>false</trackRevisions>
    </reviewItem>
    <reviewItem>
      <errorID>7a8e9efa-7ba6-4c90-bc00-f845a6b81748</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6CED87D7</paraID>
      <start>17</start>
      <end>18</end>
      <status>unmodified</status>
      <modifiedWord/>
      <trackRevisions>false</trackRevisions>
    </reviewItem>
    <reviewItem>
      <errorID>cba9c35f-9442-4f49-bfe0-99816c0e0d13</errorID>
      <errorWord>III级</errorWord>
      <group>L1_Knowledge</group>
      <groupName>知识性问题</groupName>
      <ability>L2_Knowledge</ability>
      <abilityName>其他知识</abilityName>
      <candidateList>
        <item>Ⅲ级</item>
      </candidateList>
      <explain>中文环境下罗马数字格式错误。</explain>
      <paraID>438B095A</paraID>
      <start>30</start>
      <end>32</end>
      <status>modified</status>
      <modifiedWord>Ⅲ级</modifiedWord>
      <trackRevisions>false</trackRevisions>
    </reviewItem>
    <reviewItem>
      <errorID>bcfb8dae-52e0-4f5d-a71d-5679301caf0f</errorID>
      <errorWord>-</errorWord>
      <group>L1_Format</group>
      <groupName>格式问题</groupName>
      <ability>L2_HalfPunc_CN</ability>
      <abilityName>全半角问题</abilityName>
      <candidateList>
        <item>－</item>
      </candidateList>
      <explain>文本全半角错误。</explain>
      <paraID>438B095A</paraID>
      <start>105</start>
      <end>106</end>
      <status>unmodified</status>
      <modifiedWord/>
      <trackRevisions>false</trackRevisions>
    </reviewItem>
    <reviewItem>
      <errorID>bab5f10c-69e4-49ce-a6af-bf59a0699a0d</errorID>
      <errorWord>-</errorWord>
      <group>L1_Format</group>
      <groupName>格式问题</groupName>
      <ability>L2_HalfPunc_CN</ability>
      <abilityName>全半角问题</abilityName>
      <candidateList>
        <item>－</item>
      </candidateList>
      <explain>文本全半角错误。</explain>
      <paraID>438B095A</paraID>
      <start>108</start>
      <end>109</end>
      <status>unmodified</status>
      <modifiedWord/>
      <trackRevisions>false</trackRevisions>
    </reviewItem>
    <reviewItem>
      <errorID>d8712750-be52-4a48-9284-187674daea5f</errorID>
      <errorWord>-</errorWord>
      <group>L1_Format</group>
      <groupName>格式问题</groupName>
      <ability>L2_HalfPunc_CN</ability>
      <abilityName>全半角问题</abilityName>
      <candidateList>
        <item>－</item>
      </candidateList>
      <explain>文本全半角错误。</explain>
      <paraID>5B4D0287</paraID>
      <start>17</start>
      <end>18</end>
      <status>unmodified</status>
      <modifiedWord/>
      <trackRevisions>false</trackRevisions>
    </reviewItem>
    <reviewItem>
      <errorID>19823a5d-cd4d-4ce8-b2c4-752ee62e425c</errorID>
      <errorWord>-</errorWord>
      <group>L1_Format</group>
      <groupName>格式问题</groupName>
      <ability>L2_HalfPunc_CN</ability>
      <abilityName>全半角问题</abilityName>
      <candidateList>
        <item>－</item>
      </candidateList>
      <explain>文本全半角错误。</explain>
      <paraID>5B4D0287</paraID>
      <start>21</start>
      <end>22</end>
      <status>unmodified</status>
      <modifiedWord/>
      <trackRevisions>false</trackRevisions>
    </reviewItem>
    <reviewItem>
      <errorID>f21cb0d7-13cb-4670-ab5c-1d4bc0150b2b</errorID>
      <errorWord>-</errorWord>
      <group>L1_Format</group>
      <groupName>格式问题</groupName>
      <ability>L2_HalfPunc_CN</ability>
      <abilityName>全半角问题</abilityName>
      <candidateList>
        <item>－</item>
      </candidateList>
      <explain>文本全半角错误。</explain>
      <paraID>5B4D0287</paraID>
      <start>24</start>
      <end>25</end>
      <status>unmodified</status>
      <modifiedWord/>
      <trackRevisions>false</trackRevisions>
    </reviewItem>
    <reviewItem>
      <errorID>f082ba60-84eb-49c5-a697-553b55d3905c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735D1CD3</paraID>
      <start>0</start>
      <end>2</end>
      <status>unmodified</status>
      <modifiedWord/>
      <trackRevisions>false</trackRevisions>
    </reviewItem>
    <reviewItem>
      <errorID>af1d055a-eb3f-4fb2-aa66-5eca0382ad34</errorID>
      <errorWord>，</errorWord>
      <group>L1_Word</group>
      <groupName>字词问题</groupName>
      <ability>L2_Typo</ability>
      <abilityName>字词错误</abilityName>
      <candidateList>
        <item>，加</item>
      </candidateList>
      <explain/>
      <paraID>735D1CD3</paraID>
      <start>186</start>
      <end>188</end>
      <status>modified</status>
      <modifiedWord>，加</modifiedWord>
      <trackRevisions>false</trackRevisions>
    </reviewItem>
    <reviewItem>
      <errorID>07adf99b-90f3-4427-92cc-626266edf4aa</errorID>
      <errorWord>,</errorWord>
      <group>L1_Format</group>
      <groupName>格式问题</groupName>
      <ability>L2_HalfPunc_CN</ability>
      <abilityName>全半角问题</abilityName>
      <candidateList>
        <item>，</item>
      </candidateList>
      <explain>文本全半角错误。</explain>
      <paraID>735D1CD3</paraID>
      <start>273</start>
      <end>274</end>
      <status>unmodified</status>
      <modifiedWord/>
      <trackRevisions>false</trackRevisions>
    </reviewItem>
    <reviewItem>
      <errorID>4aae7148-8cf4-4a6f-be78-b037cd69c288</errorID>
      <errorWord>》</errorWord>
      <group>L1_Word</group>
      <groupName>字词问题</groupName>
      <ability>L2_Typo</ability>
      <abilityName>字词错误</abilityName>
      <candidateList>
        <item>》等</item>
      </candidateList>
      <explain/>
      <paraID>735D1CD3</paraID>
      <start>349</start>
      <end>350</end>
      <status>unmodified</status>
      <modifiedWord/>
      <trackRevisions>false</trackRevisions>
    </reviewItem>
    <reviewItem>
      <errorID>9f264002-d9ef-4fc6-9bb1-795a654b015d</errorID>
      <errorWord>工业工地</errorWord>
      <group>L1_Word</group>
      <groupName>字词问题</groupName>
      <ability>L2_Typo</ability>
      <abilityName>字词错误</abilityName>
      <candidateList>
        <item>工业用地</item>
      </candidateList>
      <explain>存在发音相近字词的误用。</explain>
      <paraID>57D7571D</paraID>
      <start>16</start>
      <end>20</end>
      <status>modified</status>
      <modifiedWord>工业用地</modifiedWord>
      <trackRevisions>false</trackRevisions>
    </reviewItem>
    <reviewItem>
      <errorID>ee8c51ce-47a6-412b-8a68-9afa127ee7d7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469AF798</paraID>
      <start>0</start>
      <end>2</end>
      <status>unmodified</status>
      <modifiedWord/>
      <trackRevisions>false</trackRevisions>
    </reviewItem>
    <reviewItem>
      <errorID>5af1af2d-6cb0-4eda-a620-33baa4ce06e8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469AF798</paraID>
      <start>92</start>
      <end>94</end>
      <status>unmodified</status>
      <modifiedWord/>
      <trackRevisions>false</trackRevisions>
    </reviewItem>
    <reviewItem>
      <errorID>f0fdab8a-6bdc-4561-a5de-3c9659227599</errorID>
      <errorWord>工业工地</errorWord>
      <group>L1_Word</group>
      <groupName>字词问题</groupName>
      <ability>L2_Typo</ability>
      <abilityName>字词错误</abilityName>
      <candidateList>
        <item>工业用地</item>
      </candidateList>
      <explain>存在发音相近字词的误用。</explain>
      <paraID>62EF058C</paraID>
      <start>16</start>
      <end>20</end>
      <status>modified</status>
      <modifiedWord>工业用地</modifiedWord>
      <trackRevisions>false</trackRevisions>
    </reviewItem>
    <reviewItem>
      <errorID>1fee53d9-0ca0-4de8-bad5-86d4f849e5da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77227F58</paraID>
      <start>0</start>
      <end>2</end>
      <status>unmodified</status>
      <modifiedWord/>
      <trackRevisions>false</trackRevisions>
    </reviewItem>
    <reviewItem>
      <errorID>1a81c506-25d4-4d6f-b1be-1d542b770382</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55A340F5</paraID>
      <start>0</start>
      <end>2</end>
      <status>unmodified</status>
      <modifiedWord/>
      <trackRevisions>false</trackRevisions>
    </reviewItem>
    <reviewItem>
      <errorID>ef6b01c1-d850-4987-a736-6f4e5a14404b</errorID>
      <errorWord>范</errorWord>
      <group>L1_Word</group>
      <groupName>字词问题</groupName>
      <ability>L2_Typo</ability>
      <abilityName>字词错误</abilityName>
      <candidateList>
        <item>范性</item>
      </candidateList>
      <explain/>
      <paraID>55A340F5</paraID>
      <start>12</start>
      <end>13</end>
      <status>unmodified</status>
      <modifiedWord/>
      <trackRevisions>false</trackRevisions>
    </reviewItem>
    <reviewItem>
      <errorID>23fc2ce8-85ed-40b0-aa48-77eb685fa15e</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5748E65C</paraID>
      <start>54</start>
      <end>55</end>
      <status>unmodified</status>
      <modifiedWord/>
      <trackRevisions>false</trackRevisions>
    </reviewItem>
    <reviewItem>
      <errorID>e984f97f-058a-4704-be5d-78b902d3f6e1</errorID>
      <errorWord>处理达《城镇</errorWord>
      <group>L1_Word</group>
      <groupName>字词问题</groupName>
      <ability>L2_Typo</ability>
      <abilityName>字词错误</abilityName>
      <candidateList>
        <item>处理达到《城镇</item>
      </candidateList>
      <explain/>
      <paraID>1B3CE29A</paraID>
      <start>121</start>
      <end>128</end>
      <status>modified</status>
      <modifiedWord>处理达到《城镇</modifiedWord>
      <trackRevisions>false</trackRevisions>
    </reviewItem>
    <reviewItem>
      <errorID>a118c6a1-63dc-433e-936e-d8416161b114</errorID>
      <errorWord>达</errorWord>
      <group>L1_Word</group>
      <groupName>字词问题</groupName>
      <ability>L2_Typo</ability>
      <abilityName>字词错误</abilityName>
      <candidateList>
        <item>达到</item>
      </candidateList>
      <explain>〈动〉到（多指抽象事物或程度）：达得到｜达不到｜目的没有～｜～国际水平。</explain>
      <paraID>5206C94F</paraID>
      <start>94</start>
      <end>95</end>
      <status>unmodified</status>
      <modifiedWord/>
      <trackRevisions>false</trackRevisions>
    </reviewItem>
    <reviewItem>
      <errorID>580ed886-6fb2-4694-9349-a63041578102</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3267C3CE</paraID>
      <start>0</start>
      <end>2</end>
      <status>unmodified</status>
      <modifiedWord/>
      <trackRevisions>false</trackRevisions>
    </reviewItem>
    <reviewItem>
      <errorID>45444c33-b3b0-4020-a219-7177f9c409cd</errorID>
      <errorWord>范</errorWord>
      <group>L1_Word</group>
      <groupName>字词问题</groupName>
      <ability>L2_Typo</ability>
      <abilityName>字词错误</abilityName>
      <candidateList>
        <item>范性</item>
      </candidateList>
      <explain/>
      <paraID>3267C3CE</paraID>
      <start>13</start>
      <end>14</end>
      <status>unmodified</status>
      <modifiedWord/>
      <trackRevisions>false</trackRevisions>
    </reviewItem>
    <reviewItem>
      <errorID>b89be3f4-e67f-43cd-a901-27da1ace8f6d</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6ADBB01</paraID>
      <start>0</start>
      <end>2</end>
      <status>unmodified</status>
      <modifiedWord/>
      <trackRevisions>false</trackRevisions>
    </reviewItem>
    <reviewItem>
      <errorID>fb64d05d-d690-4588-8176-b46eb0a43295</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742A7B10</paraID>
      <start>0</start>
      <end>2</end>
      <status>unmodified</status>
      <modifiedWord/>
      <trackRevisions>false</trackRevisions>
    </reviewItem>
    <reviewItem>
      <errorID>d95e601a-1447-4754-b13f-29b5248c233e</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4E443C74</paraID>
      <start>34</start>
      <end>35</end>
      <status>unmodified</status>
      <modifiedWord/>
      <trackRevisions>false</trackRevisions>
    </reviewItem>
    <reviewItem>
      <errorID>7e422da5-e0ca-489c-82ab-020158d35271</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416D49DE</paraID>
      <start>0</start>
      <end>2</end>
      <status>unmodified</status>
      <modifiedWord/>
      <trackRevisions>false</trackRevisions>
    </reviewItem>
    <reviewItem>
      <errorID>c2c01b5e-e7da-4ae0-8b6c-d1e7660dcb7f</errorID>
      <errorWord>II级</errorWord>
      <group>L1_Knowledge</group>
      <groupName>知识性问题</groupName>
      <ability>L2_Knowledge</ability>
      <abilityName>其他知识</abilityName>
      <candidateList>
        <item>Ⅱ级</item>
      </candidateList>
      <explain>中文环境下罗马数字格式错误。</explain>
      <paraID>66750634</paraID>
      <start>49</start>
      <end>51</end>
      <status>modified</status>
      <modifiedWord>Ⅱ级</modifiedWord>
      <trackRevisions>false</trackRevisions>
    </reviewItem>
    <reviewItem>
      <errorID>df2ad29d-e7dd-4f91-8415-9602eb2feab0</errorID>
      <errorWord>(</errorWord>
      <group>L1_Format</group>
      <groupName>格式问题</groupName>
      <ability>L2_HalfPunc_CN</ability>
      <abilityName>全半角问题</abilityName>
      <candidateList>
        <item>（</item>
      </candidateList>
      <explain>文本全半角错误。</explain>
      <paraID> 68803F1</paraID>
      <start>25</start>
      <end>26</end>
      <status>modified</status>
      <modifiedWord>（</modifiedWord>
      <trackRevisions>false</trackRevisions>
    </reviewItem>
    <reviewItem>
      <errorID>88673150-c541-4c89-b657-6343b095fc9d</errorID>
      <errorWord>)</errorWord>
      <group>L1_Format</group>
      <groupName>格式问题</groupName>
      <ability>L2_HalfPunc_CN</ability>
      <abilityName>全半角问题</abilityName>
      <candidateList>
        <item>）</item>
      </candidateList>
      <explain>文本全半角错误。</explain>
      <paraID> 68803F1</paraID>
      <start>29</start>
      <end>30</end>
      <status>modified</status>
      <modifiedWord>）</modifiedWord>
      <trackRevisions>false</trackRevisions>
    </reviewItem>
    <reviewItem>
      <errorID>b7c1cfc0-d909-4d3b-bcaa-c031b2cb7e94</errorID>
      <errorWord>(</errorWord>
      <group>L1_Format</group>
      <groupName>格式问题</groupName>
      <ability>L2_HalfPunc_CN</ability>
      <abilityName>全半角问题</abilityName>
      <candidateList>
        <item>（</item>
      </candidateList>
      <explain>文本全半角错误。</explain>
      <paraID> 68803F1</paraID>
      <start>76</start>
      <end>77</end>
      <status>modified</status>
      <modifiedWord>（</modifiedWord>
      <trackRevisions>false</trackRevisions>
    </reviewItem>
    <reviewItem>
      <errorID>5d6ff34f-bb3e-47a0-94e2-fdf6e741a83a</errorID>
      <errorWord>)</errorWord>
      <group>L1_Format</group>
      <groupName>格式问题</groupName>
      <ability>L2_HalfPunc_CN</ability>
      <abilityName>全半角问题</abilityName>
      <candidateList>
        <item>）</item>
      </candidateList>
      <explain>文本全半角错误。</explain>
      <paraID> 68803F1</paraID>
      <start>84</start>
      <end>85</end>
      <status>modified</status>
      <modifiedWord>）</modifiedWord>
      <trackRevisions>false</trackRevisions>
    </reviewItem>
    <reviewItem>
      <errorID>121118b3-0a83-41a3-8387-1e9ca3dbb2ac</errorID>
      <errorWord>(</errorWord>
      <group>L1_Format</group>
      <groupName>格式问题</groupName>
      <ability>L2_HalfPunc_CN</ability>
      <abilityName>全半角问题</abilityName>
      <candidateList>
        <item>（</item>
      </candidateList>
      <explain>文本全半角错误。</explain>
      <paraID>6701BB6D</paraID>
      <start>79</start>
      <end>80</end>
      <status>modified</status>
      <modifiedWord>（</modifiedWord>
      <trackRevisions>false</trackRevisions>
    </reviewItem>
    <reviewItem>
      <errorID>097d0aa5-59d4-4860-83b4-7b2a493101dd</errorID>
      <errorWord>)</errorWord>
      <group>L1_Format</group>
      <groupName>格式问题</groupName>
      <ability>L2_HalfPunc_CN</ability>
      <abilityName>全半角问题</abilityName>
      <candidateList>
        <item>）</item>
      </candidateList>
      <explain>文本全半角错误。</explain>
      <paraID>6701BB6D</paraID>
      <start>84</start>
      <end>85</end>
      <status>modified</status>
      <modifiedWord>）</modifiedWord>
      <trackRevisions>false</trackRevisions>
    </reviewItem>
    <reviewItem>
      <errorID>87fd5084-351f-4cbe-a43f-fe6406d91998</errorID>
      <errorWord>(</errorWord>
      <group>L1_Format</group>
      <groupName>格式问题</groupName>
      <ability>L2_HalfPunc_CN</ability>
      <abilityName>全半角问题</abilityName>
      <candidateList>
        <item>（</item>
      </candidateList>
      <explain>文本全半角错误。</explain>
      <paraID>6701BB6D</paraID>
      <start>156</start>
      <end>157</end>
      <status>modified</status>
      <modifiedWord>（</modifiedWord>
      <trackRevisions>false</trackRevisions>
    </reviewItem>
    <reviewItem>
      <errorID>9901d78a-a8af-4c7b-bed4-7c179f5528e2</errorID>
      <errorWord>)</errorWord>
      <group>L1_Format</group>
      <groupName>格式问题</groupName>
      <ability>L2_HalfPunc_CN</ability>
      <abilityName>全半角问题</abilityName>
      <candidateList>
        <item>）</item>
      </candidateList>
      <explain>文本全半角错误。</explain>
      <paraID>6701BB6D</paraID>
      <start>164</start>
      <end>165</end>
      <status>modified</status>
      <modifiedWord>）</modifiedWord>
      <trackRevisions>false</trackRevisions>
    </reviewItem>
    <reviewItem>
      <errorID>ac9bbe02-f82d-4370-b5b6-239f38cb667c</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3DD9CCB2</paraID>
      <start>0</start>
      <end>2</end>
      <status>unmodified</status>
      <modifiedWord/>
      <trackRevisions>false</trackRevisions>
    </reviewItem>
    <reviewItem>
      <errorID>87475948-3c01-40f2-96f7-e97b1b743cf9</errorID>
      <errorWord>（</errorWord>
      <group>L1_Punc</group>
      <groupName>标点问题</groupName>
      <ability>L2_Punc_CN</ability>
      <abilityName>标点符号问题</abilityName>
      <candidateList/>
      <explain>同一形式括号套用。</explain>
      <paraID>14E49BA9</paraID>
      <start>108</start>
      <end>109</end>
      <status>unmodified</status>
      <modifiedWord/>
      <trackRevisions>false</trackRevisions>
    </reviewItem>
    <reviewItem>
      <errorID>6f4524af-51ed-48c6-9944-924145e1331f</errorID>
      <errorWord>）</errorWord>
      <group>L1_Punc</group>
      <groupName>标点问题</groupName>
      <ability>L2_Punc_CN</ability>
      <abilityName>标点符号问题</abilityName>
      <candidateList/>
      <explain>同一形式括号套用。</explain>
      <paraID>14E49BA9</paraID>
      <start>113</start>
      <end>114</end>
      <status>unmodified</status>
      <modifiedWord/>
      <trackRevisions>false</trackRevisions>
    </reviewItem>
    <reviewItem>
      <errorID>b0f9d924-cd66-4298-a5af-d6df9393e198</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5CC6A138</paraID>
      <start>0</start>
      <end>3</end>
      <status>unmodified</status>
      <modifiedWord/>
      <trackRevisions>false</trackRevisions>
    </reviewItem>
    <reviewItem>
      <errorID>2a93bd63-01ea-49e8-bcb1-b7c8a0bc8595</errorID>
      <errorWord>.</errorWord>
      <group>L1_Format</group>
      <groupName>格式问题</groupName>
      <ability>L2_HalfPunc_CN</ability>
      <abilityName>全半角问题</abilityName>
      <candidateList>
        <item>。</item>
      </candidateList>
      <explain>文本全半角错误。</explain>
      <paraID>5DCAE11F</paraID>
      <start>2</start>
      <end>3</end>
      <status>unmodified</status>
      <modifiedWord/>
      <trackRevisions>false</trackRevisions>
    </reviewItem>
    <reviewItem>
      <errorID>92c092c8-ec00-41a4-8c06-72a49a7c87ba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290ACB96</paraID>
      <start>0</start>
      <end>2</end>
      <status>unmodified</status>
      <modifiedWord/>
      <trackRevisions>false</trackRevisions>
    </reviewItem>
    <reviewItem>
      <errorID>74cf598d-8284-4ed5-b956-850ec75daeaf</errorID>
      <errorWord>“双碳”战略</errorWord>
      <group>L1_Word</group>
      <groupName>字词问题</groupName>
      <ability>L2_Typo</ability>
      <abilityName>字词错误</abilityName>
      <candidateList>
        <item>“双碳”目标</item>
      </candidateList>
      <explain/>
      <paraID>1E311056</paraID>
      <start>33</start>
      <end>39</end>
      <status>unmodified</status>
      <modifiedWord/>
      <trackRevisions>false</trackRevisions>
    </reviewItem>
    <reviewItem>
      <errorID>af35a498-c146-4cf9-abf2-3bc620176ac7</errorID>
      <errorWord>-</errorWord>
      <group>L1_Format</group>
      <groupName>格式问题</groupName>
      <ability>L2_HalfPunc_CN</ability>
      <abilityName>全半角问题</abilityName>
      <candidateList>
        <item>－</item>
      </candidateList>
      <explain>文本全半角错误。</explain>
      <paraID>200CEFFD</paraID>
      <start>46</start>
      <end>47</end>
      <status>unmodified</status>
      <modifiedWord/>
      <trackRevisions>false</trackRevisions>
    </reviewItem>
    <reviewItem>
      <errorID>cbaaf767-9dad-4139-acdc-3f4bcc078ebf</errorID>
      <errorWord>》</errorWord>
      <group>L1_Word</group>
      <groupName>字词问题</groupName>
      <ability>L2_Typo</ability>
      <abilityName>字词错误</abilityName>
      <candidateList>
        <item>》等</item>
      </candidateList>
      <explain/>
      <paraID>22F6C83B</paraID>
      <start>46</start>
      <end>47</end>
      <status>unmodified</status>
      <modifiedWord/>
      <trackRevisions>false</trackRevisions>
    </reviewItem>
    <reviewItem>
      <errorID>cee8136f-e65b-42be-9d8b-2eb2b26a22a2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18D79456</paraID>
      <start>0</start>
      <end>2</end>
      <status>unmodified</status>
      <modifiedWord/>
      <trackRevisions>false</trackRevisions>
    </reviewItem>
    <reviewItem>
      <errorID>793b7a20-bdc9-4090-a772-65d6f4b3daa2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4AEEE1D0</paraID>
      <start>0</start>
      <end>2</end>
      <status>unmodified</status>
      <modifiedWord/>
      <trackRevisions>false</trackRevisions>
    </reviewItem>
    <reviewItem>
      <errorID>0793050c-7efc-4ebe-a2ac-79cebae5aab5</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2FF9A5CF</paraID>
      <start>0</start>
      <end>2</end>
      <status>unmodified</status>
      <modifiedWord/>
      <trackRevisions>false</trackRevisions>
    </reviewItem>
    <reviewItem>
      <errorID>5b574de1-a5b9-47c3-a814-772255ac4c20</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7BDE72DC</paraID>
      <start>0</start>
      <end>2</end>
      <status>unmodified</status>
      <modifiedWord/>
      <trackRevisions>false</trackRevisions>
    </reviewItem>
    <reviewItem>
      <errorID>7bbc78ad-d752-4f05-b63f-9542f98c47a0</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268AD9F3</paraID>
      <start>2</start>
      <end>3</end>
      <status>unmodified</status>
      <modifiedWord/>
      <trackRevisions>false</trackRevisions>
    </reviewItem>
    <reviewItem>
      <errorID>15cbefd5-d9c3-4223-833d-d6c18128babd</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3BD0C950</paraID>
      <start>2</start>
      <end>3</end>
      <status>unmodified</status>
      <modifiedWord/>
      <trackRevisions>false</trackRevisions>
    </reviewItem>
    <reviewItem>
      <errorID>fd9ad865-4588-4c81-ae92-19c46aef5248</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3369A705</paraID>
      <start>0</start>
      <end>2</end>
      <status>unmodified</status>
      <modifiedWord/>
      <trackRevisions>false</trackRevisions>
    </reviewItem>
    <reviewItem>
      <errorID>94bd4084-daf5-406d-a5cd-9f7a14eb343c</errorID>
      <errorWord>粘结剂</errorWord>
      <group>L1_Word</group>
      <groupName>字词问题</groupName>
      <ability>L2_Typo</ability>
      <abilityName>字词错误</abilityName>
      <candidateList>
        <item>黏结剂</item>
      </candidateList>
      <explain/>
      <paraID>6C131CDF</paraID>
      <start>0</start>
      <end>3</end>
      <status>unmodified</status>
      <modifiedWord/>
      <trackRevisions>false</trackRevisions>
    </reviewItem>
    <reviewItem>
      <errorID>7974418c-2575-4943-8774-a4f8905355a8</errorID>
      <errorWord>粘结剂</errorWord>
      <group>L1_Word</group>
      <groupName>字词问题</groupName>
      <ability>L2_Typo</ability>
      <abilityName>字词错误</abilityName>
      <candidateList>
        <item>黏结剂</item>
      </candidateList>
      <explain/>
      <paraID>526C3CB2</paraID>
      <start>0</start>
      <end>3</end>
      <status>unmodified</status>
      <modifiedWord/>
      <trackRevisions>false</trackRevisions>
    </reviewItem>
    <reviewItem>
      <errorID>19e5064e-d7d4-43a7-8e0c-b02cc81e15ab</errorID>
      <errorWord>粘结剂</errorWord>
      <group>L1_Word</group>
      <groupName>字词问题</groupName>
      <ability>L2_Typo</ability>
      <abilityName>字词错误</abilityName>
      <candidateList>
        <item>黏结剂</item>
      </candidateList>
      <explain/>
      <paraID>5700584E</paraID>
      <start>27</start>
      <end>30</end>
      <status>unmodified</status>
      <modifiedWord/>
      <trackRevisions>false</trackRevisions>
    </reviewItem>
    <reviewItem>
      <errorID>4ba26f9c-3a79-4399-a279-7e18536e4da5</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5D5926D</paraID>
      <start>64</start>
      <end>65</end>
      <status>unmodified</status>
      <modifiedWord/>
      <trackRevisions>false</trackRevisions>
    </reviewItem>
    <reviewItem>
      <errorID>d03ebfd1-f647-44f8-ba0a-3d476b98cb28</errorID>
      <errorWord>粘度</errorWord>
      <group>L1_Word</group>
      <groupName>字词问题</groupName>
      <ability>L2_Alias</ability>
      <abilityName>也作/曾用词</abilityName>
      <candidateList>
        <item>黏度</item>
      </candidateList>
      <explain>词汇[粘度]为不规范表述或旧称，其规范书面表述为[黏度]。</explain>
      <paraID>68DDC958</paraID>
      <start>77</start>
      <end>79</end>
      <status>modified</status>
      <modifiedWord>黏度</modifiedWord>
      <trackRevisions>false</trackRevisions>
    </reviewItem>
    <reviewItem>
      <errorID>5fd1088f-1e5b-4cb7-a56d-23e76a8abd88</errorID>
      <errorWord>(</errorWord>
      <group>L1_Format</group>
      <groupName>格式问题</groupName>
      <ability>L2_HalfPunc_CN</ability>
      <abilityName>全半角问题</abilityName>
      <candidateList>
        <item>（</item>
      </candidateList>
      <explain>文本全半角错误。</explain>
      <paraID>7C5C731E</paraID>
      <start>25</start>
      <end>26</end>
      <status>modified</status>
      <modifiedWord>（</modifiedWord>
      <trackRevisions>false</trackRevisions>
    </reviewItem>
    <reviewItem>
      <errorID>10df35af-afe0-44ca-845b-573b9eb8b6bc</errorID>
      <errorWord>)</errorWord>
      <group>L1_Format</group>
      <groupName>格式问题</groupName>
      <ability>L2_HalfPunc_CN</ability>
      <abilityName>全半角问题</abilityName>
      <candidateList>
        <item>）</item>
      </candidateList>
      <explain>文本全半角错误。</explain>
      <paraID>7C5C731E</paraID>
      <start>27</start>
      <end>28</end>
      <status>modified</status>
      <modifiedWord>）</modifiedWord>
      <trackRevisions>false</trackRevisions>
    </reviewItem>
    <reviewItem>
      <errorID>12b4059e-1b27-41dc-95d4-14a155e9d96d</errorID>
      <errorWord>(</errorWord>
      <group>L1_Format</group>
      <groupName>格式问题</groupName>
      <ability>L2_HalfPunc_CN</ability>
      <abilityName>全半角问题</abilityName>
      <candidateList>
        <item>（</item>
      </candidateList>
      <explain>文本全半角错误。</explain>
      <paraID>3C3F432E</paraID>
      <start>6</start>
      <end>7</end>
      <status>modified</status>
      <modifiedWord>（</modifiedWord>
      <trackRevisions>false</trackRevisions>
    </reviewItem>
    <reviewItem>
      <errorID>29fb9636-6958-4d80-946a-510a9866bd38</errorID>
      <errorWord>)</errorWord>
      <group>L1_Format</group>
      <groupName>格式问题</groupName>
      <ability>L2_HalfPunc_CN</ability>
      <abilityName>全半角问题</abilityName>
      <candidateList>
        <item>）</item>
      </candidateList>
      <explain>文本全半角错误。</explain>
      <paraID>3C3F432E</paraID>
      <start>8</start>
      <end>9</end>
      <status>modified</status>
      <modifiedWord>）</modifiedWord>
      <trackRevisions>false</trackRevisions>
    </reviewItem>
    <reviewItem>
      <errorID>b0276aab-d78d-433e-9e5b-c28f0cd00e62</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3C812866</paraID>
      <start>30</start>
      <end>31</end>
      <status>unmodified</status>
      <modifiedWord/>
      <trackRevisions>false</trackRevisions>
    </reviewItem>
    <reviewItem>
      <errorID>66800d65-e0ec-4142-89b7-c96c1bde5c20</errorID>
      <errorWord>)</errorWord>
      <group>L1_Format</group>
      <groupName>格式问题</groupName>
      <ability>L2_HalfPunc_CN</ability>
      <abilityName>全半角问题</abilityName>
      <candidateList>
        <item>）</item>
      </candidateList>
      <explain>文本全半角错误。</explain>
      <paraID>4B619E0B</paraID>
      <start>24</start>
      <end>25</end>
      <status>modified</status>
      <modifiedWord>）</modifiedWord>
      <trackRevisions>false</trackRevisions>
    </reviewItem>
    <reviewItem>
      <errorID>66593c98-3e19-468a-809f-13b20057a313</errorID>
      <errorWord>，，</errorWord>
      <group>L1_Punc</group>
      <groupName>标点问题</groupName>
      <ability>L2_Punc_CN</ability>
      <abilityName>标点符号问题</abilityName>
      <candidateList>
        <item>，</item>
      </candidateList>
      <explain/>
      <paraID>2D69B815</paraID>
      <start>49</start>
      <end>51</end>
      <status>unmodified</status>
      <modifiedWord/>
      <trackRevisions>false</trackRevisions>
    </reviewItem>
    <reviewItem>
      <errorID>caf12cc2-9336-4a79-b56b-215ed97d2ecd</errorID>
      <errorWord>容于</errorWord>
      <group>L1_Word</group>
      <groupName>字词问题</groupName>
      <ability>L2_Typo</ability>
      <abilityName>字词错误</abilityName>
      <candidateList>
        <item>溶于</item>
      </candidateList>
      <explain/>
      <paraID>5B0EC185</paraID>
      <start>48</start>
      <end>50</end>
      <status>modified</status>
      <modifiedWord>溶于</modifiedWord>
      <trackRevisions>false</trackRevisions>
    </reviewItem>
    <reviewItem>
      <errorID>8d6019be-8aa9-4566-8580-98eb03f218ac</errorID>
      <errorWord>0-80%</errorWord>
      <group>L1_Knowledge</group>
      <groupName>知识性问题</groupName>
      <ability>L2_Knowledge</ability>
      <abilityName>其他知识</abilityName>
      <candidateList>
        <item>0—80%</item>
      </candidateList>
      <explain>1. “0-80%”中的单位“%”仅出现在后一个数字上，容易引起歧义；根据《现代汉语标点符号数字用法规范手册》，数字表示范围两边需要使用统一的格式。2. 根据标点国标 4.13 中的规则，数字、时间或地域连接符应使用（视觉上更长的）“—”或“～”。</explain>
      <paraID>4F459415</paraID>
      <start>14</start>
      <end>19</end>
      <status>unmodified</status>
      <modifiedWord/>
      <trackRevisions>false</trackRevisions>
    </reviewItem>
    <reviewItem>
      <errorID>cf497edf-fb60-4ff7-a220-620d26a7dcee</errorID>
      <errorWord>0-80%</errorWord>
      <group>L1_Knowledge</group>
      <groupName>知识性问题</groupName>
      <ability>L2_Knowledge</ability>
      <abilityName>其他知识</abilityName>
      <candidateList>
        <item>0—80%</item>
      </candidateList>
      <explain>1. “0-80%”中的单位“%”仅出现在后一个数字上，容易引起歧义；根据《现代汉语标点符号数字用法规范手册》，数字表示范围两边需要使用统一的格式。2. 根据标点国标 4.13 中的规则，数字、时间或地域连接符应使用（视觉上更长的）“—”或“～”。</explain>
      <paraID>4F459415</paraID>
      <start>27</start>
      <end>32</end>
      <status>unmodified</status>
      <modifiedWord/>
      <trackRevisions>false</trackRevisions>
    </reviewItem>
    <reviewItem>
      <errorID>b0ae2222-78eb-4b39-8c34-3a4a5c5af152</errorID>
      <errorWord>0-80%</errorWord>
      <group>L1_Knowledge</group>
      <groupName>知识性问题</groupName>
      <ability>L2_Knowledge</ability>
      <abilityName>其他知识</abilityName>
      <candidateList>
        <item>0—80%</item>
      </candidateList>
      <explain>1. “0-80%”中的单位“%”仅出现在后一个数字上，容易引起歧义；根据《现代汉语标点符号数字用法规范手册》，数字表示范围两边需要使用统一的格式。2. 根据标点国标 4.13 中的规则，数字、时间或地域连接符应使用（视觉上更长的）“—”或“～”。</explain>
      <paraID>4F459415</paraID>
      <start>40</start>
      <end>45</end>
      <status>unmodified</status>
      <modifiedWord/>
      <trackRevisions>false</trackRevisions>
    </reviewItem>
    <reviewItem>
      <errorID>e267ff91-f6e4-4410-86b2-1eddc271f5a1</errorID>
      <errorWord>0-80%</errorWord>
      <group>L1_Knowledge</group>
      <groupName>知识性问题</groupName>
      <ability>L2_Knowledge</ability>
      <abilityName>其他知识</abilityName>
      <candidateList>
        <item>0—80%</item>
      </candidateList>
      <explain>1. “0-80%”中的单位“%”仅出现在后一个数字上，容易引起歧义；根据《现代汉语标点符号数字用法规范手册》，数字表示范围两边需要使用统一的格式。2. 根据标点国标 4.13 中的规则，数字、时间或地域连接符应使用（视觉上更长的）“—”或“～”。</explain>
      <paraID>4F459415</paraID>
      <start>52</start>
      <end>57</end>
      <status>unmodified</status>
      <modifiedWord/>
      <trackRevisions>false</trackRevisions>
    </reviewItem>
    <reviewItem>
      <errorID>aac61e14-491b-41a4-9adc-dfd9afbf3d3d</errorID>
      <errorWord>0-80%</errorWord>
      <group>L1_Knowledge</group>
      <groupName>知识性问题</groupName>
      <ability>L2_Knowledge</ability>
      <abilityName>其他知识</abilityName>
      <candidateList>
        <item>0—80%</item>
      </candidateList>
      <explain>1. “0-80%”中的单位“%”仅出现在后一个数字上，容易引起歧义；根据《现代汉语标点符号数字用法规范手册》，数字表示范围两边需要使用统一的格式。2. 根据标点国标 4.13 中的规则，数字、时间或地域连接符应使用（视觉上更长的）“—”或“～”。</explain>
      <paraID>4F459415</paraID>
      <start>64</start>
      <end>69</end>
      <status>unmodified</status>
      <modifiedWord/>
      <trackRevisions>false</trackRevisions>
    </reviewItem>
    <reviewItem>
      <errorID>df388f10-2299-49ad-9fbc-d2988b12e995</errorID>
      <errorWord>0-50%</errorWord>
      <group>L1_Knowledge</group>
      <groupName>知识性问题</groupName>
      <ability>L2_Knowledge</ability>
      <abilityName>其他知识</abilityName>
      <candidateList>
        <item>0—50%</item>
      </candidateList>
      <explain>1. “0-50%”中的单位“%”仅出现在后一个数字上，容易引起歧义；根据《现代汉语标点符号数字用法规范手册》，数字表示范围两边需要使用统一的格式。2. 根据标点国标 4.13 中的规则，数字、时间或地域连接符应使用（视觉上更长的）“—”或“～”。</explain>
      <paraID>4F459415</paraID>
      <start>77</start>
      <end>82</end>
      <status>unmodified</status>
      <modifiedWord/>
      <trackRevisions>false</trackRevisions>
    </reviewItem>
    <reviewItem>
      <errorID>d69570a6-9111-44a9-afe9-f465b802d821</errorID>
      <errorWord>0-50%</errorWord>
      <group>L1_Knowledge</group>
      <groupName>知识性问题</groupName>
      <ability>L2_Knowledge</ability>
      <abilityName>其他知识</abilityName>
      <candidateList>
        <item>0—50%</item>
      </candidateList>
      <explain>1. “0-50%”中的单位“%”仅出现在后一个数字上，容易引起歧义；根据《现代汉语标点符号数字用法规范手册》，数字表示范围两边需要使用统一的格式。2. 根据标点国标 4.13 中的规则，数字、时间或地域连接符应使用（视觉上更长的）“—”或“～”。</explain>
      <paraID>4F459415</paraID>
      <start>90</start>
      <end>95</end>
      <status>unmodified</status>
      <modifiedWord/>
      <trackRevisions>false</trackRevisions>
    </reviewItem>
    <reviewItem>
      <errorID>39c0fe3b-63c8-4229-82da-5fd1f79da020</errorID>
      <errorWord>0-30%</errorWord>
      <group>L1_Knowledge</group>
      <groupName>知识性问题</groupName>
      <ability>L2_Knowledge</ability>
      <abilityName>其他知识</abilityName>
      <candidateList>
        <item>0—30%</item>
      </candidateList>
      <explain>1. “0-30%”中的单位“%”仅出现在后一个数字上，容易引起歧义；根据《现代汉语标点符号数字用法规范手册》，数字表示范围两边需要使用统一的格式。2. 根据标点国标 4.13 中的规则，数字、时间或地域连接符应使用（视觉上更长的）“—”或“～”。</explain>
      <paraID>4F459415</paraID>
      <start>103</start>
      <end>108</end>
      <status>unmodified</status>
      <modifiedWord/>
      <trackRevisions>false</trackRevisions>
    </reviewItem>
    <reviewItem>
      <errorID>76179c1e-f32b-4729-a354-ba416c765513</errorID>
      <errorWord>0-20%</errorWord>
      <group>L1_Knowledge</group>
      <groupName>知识性问题</groupName>
      <ability>L2_Knowledge</ability>
      <abilityName>其他知识</abilityName>
      <candidateList>
        <item>0—20%</item>
      </candidateList>
      <explain>1. “0-20%”中的单位“%”仅出现在后一个数字上，容易引起歧义；根据《现代汉语标点符号数字用法规范手册》，数字表示范围两边需要使用统一的格式。2. 根据标点国标 4.13 中的规则，数字、时间或地域连接符应使用（视觉上更长的）“—”或“～”。</explain>
      <paraID>4F459415</paraID>
      <start>116</start>
      <end>121</end>
      <status>unmodified</status>
      <modifiedWord/>
      <trackRevisions>false</trackRevisions>
    </reviewItem>
    <reviewItem>
      <errorID>ecdda3e2-825d-4aeb-abbd-913284e36ea0</errorID>
      <errorWord>刺激刺激</errorWord>
      <group>L1_Word</group>
      <groupName>字词问题</groupName>
      <ability>L2_Typo</ability>
      <abilityName>字词错误</abilityName>
      <candidateList>
        <item>刺激</item>
      </candidateList>
      <explain>〈动〉❶现实的物体和现象作用于感觉器官；声、光、热等引起生物体活动或变化。❷推动事物，使起积极的变化：～食欲｜～生产力的发展。❸使人激动；使人精神上受到挫折或打击；多年的收藏毁于一旦，对他～很大。</explain>
      <paraID>3B3CA4AF</paraID>
      <start>26</start>
      <end>28</end>
      <status>modified</status>
      <modifiedWord>刺激</modifiedWord>
      <trackRevisions>false</trackRevisions>
    </reviewItem>
    <reviewItem>
      <errorID>b757f067-58b4-47df-a568-b0a971e2a5e4</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2916ADDF</paraID>
      <start>0</start>
      <end>2</end>
      <status>unmodified</status>
      <modifiedWord/>
      <trackRevisions>false</trackRevisions>
    </reviewItem>
    <reviewItem>
      <errorID>fd121428-8924-4d7a-a371-d78a9953af51</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417422B4</paraID>
      <start>0</start>
      <end>2</end>
      <status>unmodified</status>
      <modifiedWord/>
      <trackRevisions>false</trackRevisions>
    </reviewItem>
    <reviewItem>
      <errorID>4a691ce6-a710-471a-b694-02442dd56136</errorID>
      <errorWord>60%~80%</errorWord>
      <group>L1_Knowledge</group>
      <groupName>知识性问题</groupName>
      <ability>L2_Knowledge</ability>
      <abilityName>其他知识</abilityName>
      <candidateList>
        <item>60%～80%</item>
      </candidateList>
      <explain>1. “60%~80%”中的单位“%”仅出现在后一个数字上，容易引起歧义；根据《现代汉语标点符号数字用法规范手册》，数字表示范围两边需要使用统一的格式。2. 根据标点国标 4.13 中的规则，数字、时间或地域连接符应使用（视觉上更长的）“—”或“～”。</explain>
      <paraID>65916F21</paraID>
      <start>23</start>
      <end>30</end>
      <status>unmodified</status>
      <modifiedWord/>
      <trackRevisions>false</trackRevisions>
    </reviewItem>
    <reviewItem>
      <errorID>f6221f6d-42fc-4f74-ae86-fa398f22ad40</errorID>
      <errorWord>60~80%</errorWord>
      <group>L1_Knowledge</group>
      <groupName>知识性问题</groupName>
      <ability>L2_Knowledge</ability>
      <abilityName>其他知识</abilityName>
      <candidateList>
        <item>60%～80%</item>
      </candidateList>
      <explain>1. “60~80%”中的单位“%”仅出现在后一个数字上，容易引起歧义；根据《现代汉语标点符号数字用法规范手册》，数字表示范围两边需要使用统一的格式。2. 根据标点国标 4.13 中的规则，数字、时间或地域连接符应使用（视觉上更长的）“—”或“～”。</explain>
      <paraID>38398154</paraID>
      <start>24</start>
      <end>30</end>
      <status>unmodified</status>
      <modifiedWord/>
      <trackRevisions>false</trackRevisions>
    </reviewItem>
    <reviewItem>
      <errorID>f4d2af81-becc-4460-93ee-37460b1dde4c</errorID>
      <errorWord>~</errorWord>
      <group>L1_Format</group>
      <groupName>格式问题</groupName>
      <ability>L2_HalfPunc_CN</ability>
      <abilityName>全半角问题</abilityName>
      <candidateList>
        <item>～</item>
      </candidateList>
      <explain>文本全半角错误。</explain>
      <paraID>71D31E5E</paraID>
      <start>13</start>
      <end>14</end>
      <status>unmodified</status>
      <modifiedWord/>
      <trackRevisions>false</trackRevisions>
    </reviewItem>
    <reviewItem>
      <errorID>b30652df-b86a-46d7-bd9b-23041f45d0e1</errorID>
      <errorWord>~</errorWord>
      <group>L1_Format</group>
      <groupName>格式问题</groupName>
      <ability>L2_HalfPunc_CN</ability>
      <abilityName>全半角问题</abilityName>
      <candidateList>
        <item>～</item>
      </candidateList>
      <explain>文本全半角错误。</explain>
      <paraID>6808DA9D</paraID>
      <start>106</start>
      <end>107</end>
      <status>unmodified</status>
      <modifiedWord/>
      <trackRevisions>false</trackRevisions>
    </reviewItem>
    <reviewItem>
      <errorID>9e292564-dff9-45fd-9bbc-d52808a06adb</errorID>
      <errorWord>~</errorWord>
      <group>L1_Format</group>
      <groupName>格式问题</groupName>
      <ability>L2_HalfPunc_CN</ability>
      <abilityName>全半角问题</abilityName>
      <candidateList>
        <item>～</item>
      </candidateList>
      <explain>文本全半角错误。</explain>
      <paraID>6808DA9D</paraID>
      <start>168</start>
      <end>169</end>
      <status>unmodified</status>
      <modifiedWord/>
      <trackRevisions>false</trackRevisions>
    </reviewItem>
    <reviewItem>
      <errorID>97dab43f-6632-43d7-b010-27ce05152ed3</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710DFE33</paraID>
      <start>0</start>
      <end>2</end>
      <status>unmodified</status>
      <modifiedWord/>
      <trackRevisions>false</trackRevisions>
    </reviewItem>
    <reviewItem>
      <errorID>26a54046-e361-455f-a484-0a218827e36d</errorID>
      <errorWord>成</errorWord>
      <group>L1_Word</group>
      <groupName>字词问题</groupName>
      <ability>L2_Typo</ability>
      <abilityName>字词错误</abilityName>
      <candidateList>
        <item>呈</item>
      </candidateList>
      <explain>❶〈动〉具有（某种形式）；呈现（某种颜色、状态）：果实～长圆形｜毛皮～暗褐色。❷〈动〉恭敬地送上去：谨～｜～上名片。❸呈文：签～。❹（Chénɡ）〈名〉姓。</explain>
      <paraID>4F98D0EA</paraID>
      <start>30</start>
      <end>31</end>
      <status>modified</status>
      <modifiedWord>呈</modifiedWord>
      <trackRevisions>false</trackRevisions>
    </reviewItem>
    <reviewItem>
      <errorID>05b088e0-d6ed-4e6b-8a09-6f0d0437b403</errorID>
      <errorWord>“L”型</errorWord>
      <group>L1_Word</group>
      <groupName>字词问题</groupName>
      <ability>L2_Typo</ability>
      <abilityName>字词错误</abilityName>
      <candidateList>
        <item>“L”形</item>
      </candidateList>
      <explain/>
      <paraID>4F98D0EA</paraID>
      <start>31</start>
      <end>35</end>
      <status>modified</status>
      <modifiedWord>“L”形</modifiedWord>
      <trackRevisions>false</trackRevisions>
    </reviewItem>
    <reviewItem>
      <errorID>9e187c1e-0a91-4b7e-889a-31e87f09868d</errorID>
      <errorWord>10、</errorWord>
      <group>L1_Format</group>
      <groupName>格式问题</groupName>
      <ability>L2_Ordinal</ability>
      <abilityName>序号格式</abilityName>
      <candidateList>
        <item>10.</item>
      </candidateList>
      <explain>当前序号格式不规范，建议修改为规范格式[10.]。</explain>
      <paraID>72933463</paraID>
      <start>0</start>
      <end>3</end>
      <status>unmodified</status>
      <modifiedWord/>
      <trackRevisions>false</trackRevisions>
    </reviewItem>
    <reviewItem>
      <errorID>368bd94f-a3f4-4f55-84eb-868c98038fcf</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2FCB6D6C</paraID>
      <start>0</start>
      <end>3</end>
      <status>unmodified</status>
      <modifiedWord/>
      <trackRevisions>false</trackRevisions>
    </reviewItem>
    <reviewItem>
      <errorID>c4b0efe7-b5be-42f9-8581-d270ec9e1c7a</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56BAAD1B</paraID>
      <start>0</start>
      <end>3</end>
      <status>unmodified</status>
      <modifiedWord/>
      <trackRevisions>false</trackRevisions>
    </reviewItem>
    <reviewItem>
      <errorID>08b43c0c-c428-4bb7-a031-5c2b00037f27</errorID>
      <errorWord>0-30%</errorWord>
      <group>L1_Knowledge</group>
      <groupName>知识性问题</groupName>
      <ability>L2_Knowledge</ability>
      <abilityName>其他知识</abilityName>
      <candidateList>
        <item>0—30%</item>
      </candidateList>
      <explain>1. “0-30%”中的单位“%”仅出现在后一个数字上，容易引起歧义；根据《现代汉语标点符号数字用法规范手册》，数字表示范围两边需要使用统一的格式。2. 根据标点国标 4.13 中的规则，数字、时间或地域连接符应使用（视觉上更长的）“—”或“～”。</explain>
      <paraID> 207B223</paraID>
      <start>24</start>
      <end>29</end>
      <status>unmodified</status>
      <modifiedWord/>
      <trackRevisions>false</trackRevisions>
    </reviewItem>
    <reviewItem>
      <errorID>1b3fb086-c4c9-4b01-a989-66a4d3edf569</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36864764</paraID>
      <start>0</start>
      <end>3</end>
      <status>unmodified</status>
      <modifiedWord/>
      <trackRevisions>false</trackRevisions>
    </reviewItem>
    <reviewItem>
      <errorID>d54e7361-076b-4e5c-83c8-d541e691c8e9</errorID>
      <errorWord>0-30%</errorWord>
      <group>L1_Knowledge</group>
      <groupName>知识性问题</groupName>
      <ability>L2_Knowledge</ability>
      <abilityName>其他知识</abilityName>
      <candidateList>
        <item>0—30%</item>
      </candidateList>
      <explain>1. “0-30%”中的单位“%”仅出现在后一个数字上，容易引起歧义；根据《现代汉语标点符号数字用法规范手册》，数字表示范围两边需要使用统一的格式。2. 根据标点国标 4.13 中的规则，数字、时间或地域连接符应使用（视觉上更长的）“—”或“～”。</explain>
      <paraID>18EA1149</paraID>
      <start>24</start>
      <end>29</end>
      <status>unmodified</status>
      <modifiedWord/>
      <trackRevisions>false</trackRevisions>
    </reviewItem>
    <reviewItem>
      <errorID>3d7a5045-f0b3-48d8-945e-0448d99d97ae</errorID>
      <errorWord>由经</errorWord>
      <group>L1_Word</group>
      <groupName>字词问题</groupName>
      <ability>L2_Typo</ability>
      <abilityName>字词错误</abilityName>
      <candidateList>
        <item>由</item>
      </candidateList>
      <explain>❶缘由：因～｜事～｜理～。❷〈介〉由于▲：咎～自取｜～感冒引起了肺炎。❸经过：必～之路。❹〈介〉表示经由：～南门入场。❺〈动〉顺随；听从：事不～己｜～着性子。❻〈介〉归（某人去做）：准备工作～我负责｜队长～你担任。❼〈介〉表示凭借：～此可知｜人体是～各种细胞组成的。❽〈介〉表示起点：～表及里｜～北京出发。</explain>
      <paraID>6CD4407C</paraID>
      <start>14</start>
      <end>15</end>
      <status>modified</status>
      <modifiedWord>由</modifiedWord>
      <trackRevisions>false</trackRevisions>
    </reviewItem>
    <reviewItem>
      <errorID>2d0a4187-315a-401c-af46-b6f0308d974a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527427D9</paraID>
      <start>0</start>
      <end>2</end>
      <status>unmodified</status>
      <modifiedWord/>
      <trackRevisions>false</trackRevisions>
    </reviewItem>
    <reviewItem>
      <errorID>f485aeb5-14ae-4456-a3f5-be4ca92cf8ef</errorID>
      <errorWord>粘结剂</errorWord>
      <group>L1_Word</group>
      <groupName>字词问题</groupName>
      <ability>L2_Typo</ability>
      <abilityName>字词错误</abilityName>
      <candidateList>
        <item>黏结剂</item>
      </candidateList>
      <explain/>
      <paraID>7BB58372</paraID>
      <start>112</start>
      <end>115</end>
      <status>unmodified</status>
      <modifiedWord/>
      <trackRevisions>false</trackRevisions>
    </reviewItem>
    <reviewItem>
      <errorID>d7617026-bf96-459e-8c36-c54377365902</errorID>
      <errorWord>粘稠</errorWord>
      <group>L1_Word</group>
      <groupName>字词问题</groupName>
      <ability>L2_Typo</ability>
      <abilityName>字词错误</abilityName>
      <candidateList>
        <item>黏稠</item>
      </candidateList>
      <explain>存在发音相同字词的误用。</explain>
      <paraID>7BB58372</paraID>
      <start>247</start>
      <end>249</end>
      <status>unmodified</status>
      <modifiedWord/>
      <trackRevisions>false</trackRevisions>
    </reviewItem>
    <reviewItem>
      <errorID>6de24f43-d8cf-4c38-92e9-ffd23230fe25</errorID>
      <errorWord>~</errorWord>
      <group>L1_Format</group>
      <groupName>格式问题</groupName>
      <ability>L2_HalfPunc_CN</ability>
      <abilityName>全半角问题</abilityName>
      <candidateList>
        <item>～</item>
      </candidateList>
      <explain>文本全半角错误。</explain>
      <paraID>31DB6C03</paraID>
      <start>122</start>
      <end>123</end>
      <status>unmodified</status>
      <modifiedWord/>
      <trackRevisions>false</trackRevisions>
    </reviewItem>
    <reviewItem>
      <errorID>788ae069-dd72-43c1-83b0-06c6be5e6ee8</errorID>
      <errorWord>粘稠</errorWord>
      <group>L1_Word</group>
      <groupName>字词问题</groupName>
      <ability>L2_Typo</ability>
      <abilityName>字词错误</abilityName>
      <candidateList>
        <item>黏稠</item>
      </candidateList>
      <explain>存在发音相同字词的误用。</explain>
      <paraID>31DB6C03</paraID>
      <start>194</start>
      <end>196</end>
      <status>unmodified</status>
      <modifiedWord/>
      <trackRevisions>false</trackRevisions>
    </reviewItem>
    <reviewItem>
      <errorID>6285e011-fca1-4b0a-ad95-83fe276d5bdd</errorID>
      <errorWord>跑</errorWord>
      <group>L1_Word</group>
      <groupName>字词问题</groupName>
      <ability>L2_Typo</ability>
      <abilityName>字词错误</abilityName>
      <candidateList>
        <item>排</item>
      </candidateList>
      <explain>存在发音相近字词的误用。</explain>
      <paraID>17953FC0</paraID>
      <start>103</start>
      <end>104</end>
      <status>modified</status>
      <modifiedWord>排</modifiedWord>
      <trackRevisions>false</trackRevisions>
    </reviewItem>
    <reviewItem>
      <errorID>c715470a-f764-4c48-9a41-fd26c5ea7b21</errorID>
      <errorWord>-</errorWord>
      <group>L1_Format</group>
      <groupName>格式问题</groupName>
      <ability>L2_HalfPunc_CN</ability>
      <abilityName>全半角问题</abilityName>
      <candidateList>
        <item>－</item>
      </candidateList>
      <explain>文本全半角错误。</explain>
      <paraID>186BDE53</paraID>
      <start>6</start>
      <end>7</end>
      <status>unmodified</status>
      <modifiedWord/>
      <trackRevisions>false</trackRevisions>
    </reviewItem>
    <reviewItem>
      <errorID>3bd614c5-adb0-4095-9106-e3d331354626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25B678CB</paraID>
      <start>0</start>
      <end>2</end>
      <status>unmodified</status>
      <modifiedWord/>
      <trackRevisions>false</trackRevisions>
    </reviewItem>
    <reviewItem>
      <errorID>8d83e365-ff11-47d0-aca9-0989925c318a</errorID>
      <errorWord>废气废气</errorWord>
      <group>L1_Word</group>
      <groupName>字词问题</groupName>
      <ability>L2_Typo</ability>
      <abilityName>字词错误</abilityName>
      <candidateList>
        <item>废气</item>
      </candidateList>
      <explain/>
      <paraID>71C16C1F</paraID>
      <start>2</start>
      <end>4</end>
      <status>modified</status>
      <modifiedWord>废气</modifiedWord>
      <trackRevisions>false</trackRevisions>
    </reviewItem>
    <reviewItem>
      <errorID>b1a91d14-6d68-47a0-b6c3-d7d0575a2f6a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245E8CA4</paraID>
      <start>0</start>
      <end>2</end>
      <status>unmodified</status>
      <modifiedWord/>
      <trackRevisions>false</trackRevisions>
    </reviewItem>
    <reviewItem>
      <errorID>df0b6af1-9b2a-4086-8a1e-a84899dcaf25</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76D1A2C7</paraID>
      <start>27</start>
      <end>28</end>
      <status>unmodified</status>
      <modifiedWord/>
      <trackRevisions>false</trackRevisions>
    </reviewItem>
    <reviewItem>
      <errorID>1106edc7-d1f3-4e52-8f93-4c84e42690a0</errorID>
      <errorWord>现在</errorWord>
      <group>L1_Word</group>
      <groupName>字词问题</groupName>
      <ability>L2_Typo</ability>
      <abilityName>字词错误</abilityName>
      <candidateList>
        <item>现状</item>
      </candidateList>
      <explain/>
      <paraID> C882AAC</paraID>
      <start>20</start>
      <end>22</end>
      <status>modified</status>
      <modifiedWord>现状</modifiedWord>
      <trackRevisions>false</trackRevisions>
    </reviewItem>
    <reviewItem>
      <errorID>842c804a-3f37-4a90-871e-b50777411041</errorID>
      <errorWord>(</errorWord>
      <group>L1_Format</group>
      <groupName>格式问题</groupName>
      <ability>L2_HalfPunc_CN</ability>
      <abilityName>全半角问题</abilityName>
      <candidateList>
        <item>（</item>
      </candidateList>
      <explain>文本全半角错误。</explain>
      <paraID>5073D731</paraID>
      <start>127</start>
      <end>128</end>
      <status>modified</status>
      <modifiedWord>（</modifiedWord>
      <trackRevisions>false</trackRevisions>
    </reviewItem>
    <reviewItem>
      <errorID>3891ac2c-5e7f-4b77-86f9-a2fcd58f7179</errorID>
      <errorWord>)</errorWord>
      <group>L1_Format</group>
      <groupName>格式问题</groupName>
      <ability>L2_HalfPunc_CN</ability>
      <abilityName>全半角问题</abilityName>
      <candidateList>
        <item>）</item>
      </candidateList>
      <explain>文本全半角错误。</explain>
      <paraID>5073D731</paraID>
      <start>134</start>
      <end>135</end>
      <status>modified</status>
      <modifiedWord>）</modifiedWord>
      <trackRevisions>false</trackRevisions>
    </reviewItem>
    <reviewItem>
      <errorID>59a1001d-f8a1-46a4-a1ba-1fbf53b647a0</errorID>
      <errorWord>(</errorWord>
      <group>L1_Format</group>
      <groupName>格式问题</groupName>
      <ability>L2_HalfPunc_CN</ability>
      <abilityName>全半角问题</abilityName>
      <candidateList>
        <item>（</item>
      </candidateList>
      <explain>文本全半角错误。</explain>
      <paraID>5073D731</paraID>
      <start>168</start>
      <end>169</end>
      <status>modified</status>
      <modifiedWord>（</modifiedWord>
      <trackRevisions>false</trackRevisions>
    </reviewItem>
    <reviewItem>
      <errorID>7c72f2e2-b46b-4244-929f-bcfd5d81679f</errorID>
      <errorWord>)</errorWord>
      <group>L1_Format</group>
      <groupName>格式问题</groupName>
      <ability>L2_HalfPunc_CN</ability>
      <abilityName>全半角问题</abilityName>
      <candidateList>
        <item>）</item>
      </candidateList>
      <explain>文本全半角错误。</explain>
      <paraID>5073D731</paraID>
      <start>179</start>
      <end>180</end>
      <status>modified</status>
      <modifiedWord>）</modifiedWord>
      <trackRevisions>false</trackRevisions>
    </reviewItem>
    <reviewItem>
      <errorID>32249925-c175-49bb-8b30-205ad7f1169d</errorID>
      <errorWord>(</errorWord>
      <group>L1_Format</group>
      <groupName>格式问题</groupName>
      <ability>L2_HalfPunc_CN</ability>
      <abilityName>全半角问题</abilityName>
      <candidateList>
        <item>（</item>
      </candidateList>
      <explain>文本全半角错误。</explain>
      <paraID>5073D731</paraID>
      <start>196</start>
      <end>197</end>
      <status>modified</status>
      <modifiedWord>（</modifiedWord>
      <trackRevisions>false</trackRevisions>
    </reviewItem>
    <reviewItem>
      <errorID>39925df9-4aa5-41f0-8dd1-63b8bb81bb6d</errorID>
      <errorWord>)</errorWord>
      <group>L1_Format</group>
      <groupName>格式问题</groupName>
      <ability>L2_HalfPunc_CN</ability>
      <abilityName>全半角问题</abilityName>
      <candidateList>
        <item>）</item>
      </candidateList>
      <explain>文本全半角错误。</explain>
      <paraID>5073D731</paraID>
      <start>204</start>
      <end>205</end>
      <status>modified</status>
      <modifiedWord>）</modifiedWord>
      <trackRevisions>false</trackRevisions>
    </reviewItem>
    <reviewItem>
      <errorID>05a1bae6-a438-44d8-96b8-e67e9e9571d6</errorID>
      <errorWord>(</errorWord>
      <group>L1_Format</group>
      <groupName>格式问题</groupName>
      <ability>L2_HalfPunc_CN</ability>
      <abilityName>全半角问题</abilityName>
      <candidateList>
        <item>（</item>
      </candidateList>
      <explain>文本全半角错误。</explain>
      <paraID>5073D731</paraID>
      <start>224</start>
      <end>225</end>
      <status>modified</status>
      <modifiedWord>（</modifiedWord>
      <trackRevisions>false</trackRevisions>
    </reviewItem>
    <reviewItem>
      <errorID>a5b8f5c8-df2c-4052-b985-92dfb159694e</errorID>
      <errorWord>)</errorWord>
      <group>L1_Format</group>
      <groupName>格式问题</groupName>
      <ability>L2_HalfPunc_CN</ability>
      <abilityName>全半角问题</abilityName>
      <candidateList>
        <item>）</item>
      </candidateList>
      <explain>文本全半角错误。</explain>
      <paraID>5073D731</paraID>
      <start>235</start>
      <end>236</end>
      <status>modified</status>
      <modifiedWord>）</modifiedWord>
      <trackRevisions>false</trackRevisions>
    </reviewItem>
    <reviewItem>
      <errorID>35d28617-5d69-4cfa-a467-23984e709edc</errorID>
      <errorWord>(</errorWord>
      <group>L1_Format</group>
      <groupName>格式问题</groupName>
      <ability>L2_HalfPunc_CN</ability>
      <abilityName>全半角问题</abilityName>
      <candidateList>
        <item>（</item>
      </candidateList>
      <explain>文本全半角错误。</explain>
      <paraID>2BE82E38</paraID>
      <start>12</start>
      <end>13</end>
      <status>modified</status>
      <modifiedWord>（</modifiedWord>
      <trackRevisions>false</trackRevisions>
    </reviewItem>
    <reviewItem>
      <errorID>83c18d40-d920-4748-ba9c-86126ba2fd24</errorID>
      <errorWord>)</errorWord>
      <group>L1_Format</group>
      <groupName>格式问题</groupName>
      <ability>L2_HalfPunc_CN</ability>
      <abilityName>全半角问题</abilityName>
      <candidateList>
        <item>）</item>
      </candidateList>
      <explain>文本全半角错误。</explain>
      <paraID>2BE82E38</paraID>
      <start>24</start>
      <end>25</end>
      <status>modified</status>
      <modifiedWord>）</modifiedWord>
      <trackRevisions>false</trackRevisions>
    </reviewItem>
    <reviewItem>
      <errorID>06596f00-d424-4f65-bc24-12e7fe928ab7</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2BE82E38</paraID>
      <start>90</start>
      <end>91</end>
      <status>unmodified</status>
      <modifiedWord/>
      <trackRevisions>false</trackRevisions>
    </reviewItem>
    <reviewItem>
      <errorID>35ea72fd-b811-43ee-852c-17d489f33e55</errorID>
      <errorWord>（</errorWord>
      <group>L1_Punc</group>
      <groupName>标点问题</groupName>
      <ability>L2_Punc_CN</ability>
      <abilityName>标点符号问题</abilityName>
      <candidateList/>
      <explain>同一形式括号套用。</explain>
      <paraID>2BE82E38</paraID>
      <start>141</start>
      <end>142</end>
      <status>unmodified</status>
      <modifiedWord/>
      <trackRevisions>false</trackRevisions>
    </reviewItem>
    <reviewItem>
      <errorID>17268bf2-099c-49b8-a179-e420c5d367f4</errorID>
      <errorWord>）</errorWord>
      <group>L1_Punc</group>
      <groupName>标点问题</groupName>
      <ability>L2_Punc_CN</ability>
      <abilityName>标点符号问题</abilityName>
      <candidateList/>
      <explain>同一形式括号套用。</explain>
      <paraID>2BE82E38</paraID>
      <start>146</start>
      <end>147</end>
      <status>unmodified</status>
      <modifiedWord/>
      <trackRevisions>false</trackRevisions>
    </reviewItem>
    <reviewItem>
      <errorID>bef3eb7e-d34e-45bb-985e-681c26d323ed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61C2E70A</paraID>
      <start>0</start>
      <end>2</end>
      <status>unmodified</status>
      <modifiedWord/>
      <trackRevisions>false</trackRevisions>
    </reviewItem>
    <reviewItem>
      <errorID>d94556ed-9704-437a-b635-787acb0f61bd</errorID>
      <errorWord>-</errorWord>
      <group>L1_Format</group>
      <groupName>格式问题</groupName>
      <ability>L2_HalfPunc_CN</ability>
      <abilityName>全半角问题</abilityName>
      <candidateList>
        <item>－</item>
      </candidateList>
      <explain>文本全半角错误。</explain>
      <paraID>6B921693</paraID>
      <start>13</start>
      <end>14</end>
      <status>unmodified</status>
      <modifiedWord/>
      <trackRevisions>false</trackRevisions>
    </reviewItem>
    <reviewItem>
      <errorID>464e780e-2126-42e9-89f2-5d8e5a628cbf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1808F2A6</paraID>
      <start>0</start>
      <end>2</end>
      <status>unmodified</status>
      <modifiedWord/>
      <trackRevisions>false</trackRevisions>
    </reviewItem>
    <reviewItem>
      <errorID>ed021017-728a-4fd1-a931-8e71d439ab30</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7C70B137</paraID>
      <start>0</start>
      <end>2</end>
      <status>unmodified</status>
      <modifiedWord/>
      <trackRevisions>false</trackRevisions>
    </reviewItem>
    <reviewItem>
      <errorID>185275a3-5f2c-470f-8041-34d132d865d1</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417E73AD</paraID>
      <start>27</start>
      <end>28</end>
      <status>unmodified</status>
      <modifiedWord/>
      <trackRevisions>false</trackRevisions>
    </reviewItem>
    <reviewItem>
      <errorID>5dd9e168-5e31-41d3-a2b9-ca2568158519</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3448BF01</paraID>
      <start>0</start>
      <end>2</end>
      <status>unmodified</status>
      <modifiedWord/>
      <trackRevisions>false</trackRevisions>
    </reviewItem>
    <reviewItem>
      <errorID>2002a121-cb06-4bab-b3ab-97b4a6675b1b</errorID>
      <errorWord>》（试行）</errorWord>
      <group>L1_Word</group>
      <groupName>字词问题</groupName>
      <ability>L2_Typo</ability>
      <abilityName>字词错误</abilityName>
      <candidateList>
        <item>（试行）》</item>
      </candidateList>
      <explain/>
      <paraID>3B059F52</paraID>
      <start>46</start>
      <end>51</end>
      <status>unmodified</status>
      <modifiedWord/>
      <trackRevisions>false</trackRevisions>
    </reviewItem>
    <reviewItem>
      <errorID>29b2f72e-5d42-412d-81cb-522610ce259c</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23C0D279</paraID>
      <start>0</start>
      <end>2</end>
      <status>unmodified</status>
      <modifiedWord/>
      <trackRevisions>false</trackRevisions>
    </reviewItem>
    <reviewItem>
      <errorID>6b9e6902-9f2e-4e67-94e2-2574d398b19b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4C6E4236</paraID>
      <start>0</start>
      <end>2</end>
      <status>unmodified</status>
      <modifiedWord/>
      <trackRevisions>false</trackRevisions>
    </reviewItem>
    <reviewItem>
      <errorID>fc95bfad-0545-4969-90e1-048c4465a27b</errorID>
      <errorWord>.</errorWord>
      <group>L1_Format</group>
      <groupName>格式问题</groupName>
      <ability>L2_HalfPunc_CN</ability>
      <abilityName>全半角问题</abilityName>
      <candidateList>
        <item>。</item>
      </candidateList>
      <explain>文本全半角错误。</explain>
      <paraID> 663AA83</paraID>
      <start>29</start>
      <end>30</end>
      <status>unmodified</status>
      <modifiedWord/>
      <trackRevisions>false</trackRevisions>
    </reviewItem>
    <reviewItem>
      <errorID>fdceb241-d735-4742-ac59-5640f7199927</errorID>
      <errorWord>环境环境保护</errorWord>
      <group>L1_Word</group>
      <groupName>字词问题</groupName>
      <ability>L2_Typo</ability>
      <abilityName>字词错误</abilityName>
      <candidateList>
        <item>环境保护</item>
      </candidateList>
      <explain/>
      <paraID>2D1624F2</paraID>
      <start>14</start>
      <end>18</end>
      <status>modified</status>
      <modifiedWord>环境保护</modifiedWord>
      <trackRevisions>false</trackRevisions>
    </reviewItem>
    <reviewItem>
      <errorID>8c40e756-b30e-4443-af3e-5a9a25341de6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A00D963</paraID>
      <start>0</start>
      <end>2</end>
      <status>unmodified</status>
      <modifiedWord/>
      <trackRevisions>false</trackRevisions>
    </reviewItem>
    <reviewItem>
      <errorID>ad7767a9-fd0e-498e-9683-84055e130563</errorID>
      <errorWord>的的</errorWord>
      <group>L1_Word</group>
      <groupName>字词问题</groupName>
      <ability>L2_Typo</ability>
      <abilityName>字词错误</abilityName>
      <candidateList>
        <item>的</item>
      </candidateList>
      <explain>“的”常用于连接修饰语与名词性中心语，表示属性、所属或描述。</explain>
      <paraID>5C6EB30F</paraID>
      <start>217</start>
      <end>218</end>
      <status>modified</status>
      <modifiedWord>的</modifiedWord>
      <trackRevisions>false</trackRevisions>
    </reviewItem>
    <reviewItem>
      <errorID>058858fa-6ef7-4147-99ed-500216918009</errorID>
      <errorWord>（</errorWord>
      <group>L1_Format</group>
      <groupName>格式问题</groupName>
      <ability>L2_HalfPunc_CN</ability>
      <abilityName>全半角问题</abilityName>
      <candidateList>
        <item>(</item>
      </candidateList>
      <explain>文本全半角错误。</explain>
      <paraID>301900FE</paraID>
      <start>4</start>
      <end>4</end>
      <status>modified</status>
      <modifiedWord>(</modifiedWord>
      <trackRevisions>false</trackRevisions>
    </reviewItem>
    <reviewItem>
      <errorID>270d9355-263e-4b05-b8cd-6cbde8250f40</errorID>
      <errorWord>）</errorWord>
      <group>L1_Format</group>
      <groupName>格式问题</groupName>
      <ability>L2_HalfPunc_CN</ability>
      <abilityName>全半角问题</abilityName>
      <candidateList>
        <item>)</item>
      </candidateList>
      <explain>文本全半角错误。</explain>
      <paraID>301900FE</paraID>
      <start>10</start>
      <end>10</end>
      <status>modified</status>
      <modifiedWord>)</modifiedWord>
      <trackRevisions>false</trackRevisions>
    </reviewItem>
    <reviewItem>
      <errorID>8c5f8d12-bec0-49fe-8dc1-30658c520e44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72154290</paraID>
      <start>0</start>
      <end>2</end>
      <status>unmodified</status>
      <modifiedWord/>
      <trackRevisions>false</trackRevisions>
    </reviewItem>
    <reviewItem>
      <errorID>bc46b61f-f604-402e-89e4-fe67bd1bec2f</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6B95692D</paraID>
      <start>40</start>
      <end>41</end>
      <status>unmodified</status>
      <modifiedWord/>
      <trackRevisions>false</trackRevisions>
    </reviewItem>
    <reviewItem>
      <errorID>a0755791-6295-4308-b820-f57af8406910</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43EA90D</paraID>
      <start>0</start>
      <end>2</end>
      <status>unmodified</status>
      <modifiedWord/>
      <trackRevisions>false</trackRevisions>
    </reviewItem>
    <reviewItem>
      <errorID>2ca24dc4-dccb-4817-b2d8-51038763e2f6</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31BFCA6C</paraID>
      <start>0</start>
      <end>2</end>
      <status>unmodified</status>
      <modifiedWord/>
      <trackRevisions>false</trackRevisions>
    </reviewItem>
    <reviewItem>
      <errorID>1b827e42-a2cf-47fe-96bc-81c2eef31557</errorID>
      <errorWord>；</errorWord>
      <group>L1_Format</group>
      <groupName>格式问题</groupName>
      <ability>L2_HalfPunc_CN</ability>
      <abilityName>全半角问题</abilityName>
      <candidateList>
        <item>;</item>
      </candidateList>
      <explain>文本全半角错误。</explain>
      <paraID>380B8869</paraID>
      <start>35</start>
      <end>36</end>
      <status>unmodified</status>
      <modifiedWord/>
      <trackRevisions>false</trackRevisions>
    </reviewItem>
    <reviewItem>
      <errorID>e315f66f-c002-454b-9219-3627ad3e8441</errorID>
      <errorWord>；</errorWord>
      <group>L1_Format</group>
      <groupName>格式问题</groupName>
      <ability>L2_HalfPunc_CN</ability>
      <abilityName>全半角问题</abilityName>
      <candidateList>
        <item>;</item>
      </candidateList>
      <explain>文本全半角错误。</explain>
      <paraID>532B63E6</paraID>
      <start>37</start>
      <end>38</end>
      <status>unmodified</status>
      <modifiedWord/>
      <trackRevisions>false</trackRevisions>
    </reviewItem>
    <reviewItem>
      <errorID>74407939-d1f2-42a3-b8b6-ab8d22e963ed</errorID>
      <errorWord>；</errorWord>
      <group>L1_Format</group>
      <groupName>格式问题</groupName>
      <ability>L2_HalfPunc_CN</ability>
      <abilityName>全半角问题</abilityName>
      <candidateList>
        <item>;</item>
      </candidateList>
      <explain>文本全半角错误。</explain>
      <paraID>4A06057C</paraID>
      <start>35</start>
      <end>36</end>
      <status>unmodified</status>
      <modifiedWord/>
      <trackRevisions>false</trackRevisions>
    </reviewItem>
    <reviewItem>
      <errorID>6d9981cd-4a67-4279-908f-ced232ec0d62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46D2E3E0</paraID>
      <start>0</start>
      <end>2</end>
      <status>unmodified</status>
      <modifiedWord/>
      <trackRevisions>false</trackRevisions>
    </reviewItem>
    <reviewItem>
      <errorID>6719b495-5b77-441b-9108-f98a65cd454f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473BF5BC</paraID>
      <start>0</start>
      <end>2</end>
      <status>unmodified</status>
      <modifiedWord/>
      <trackRevisions>false</trackRevisions>
    </reviewItem>
    <reviewItem>
      <errorID>7b293f4f-8aca-4227-81e1-fcaebd36a106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4AE1F6D6</paraID>
      <start>0</start>
      <end>2</end>
      <status>unmodified</status>
      <modifiedWord/>
      <trackRevisions>false</trackRevisions>
    </reviewItem>
    <reviewItem>
      <errorID>8cd4b150-7835-4334-87fe-1ba38a744527</errorID>
      <errorWord>途径</errorWord>
      <group>L1_Word</group>
      <groupName>字词问题</groupName>
      <ability>L2_Typo</ability>
      <abilityName>字词错误</abilityName>
      <candidateList>
        <item>途经</item>
      </candidateList>
      <explain/>
      <paraID>1AA54B8A</paraID>
      <start>30</start>
      <end>32</end>
      <status>modified</status>
      <modifiedWord>途经</modifiedWord>
      <trackRevisions>false</trackRevisions>
    </reviewItem>
    <reviewItem>
      <errorID>a58600b0-cbb1-4d31-8df4-543d9e0bf803</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23455539</paraID>
      <start>0</start>
      <end>2</end>
      <status>unmodified</status>
      <modifiedWord/>
      <trackRevisions>false</trackRevisions>
    </reviewItem>
    <reviewItem>
      <errorID>a99fadbf-0429-41ab-a59e-b0a8c586892c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458CAE5A</paraID>
      <start>0</start>
      <end>2</end>
      <status>unmodified</status>
      <modifiedWord/>
      <trackRevisions>false</trackRevisions>
    </reviewItem>
    <reviewItem>
      <errorID>89adb40a-e919-48c5-89f2-728363e5673b</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6A4D9ECB</paraID>
      <start>93</start>
      <end>94</end>
      <status>unmodified</status>
      <modifiedWord/>
      <trackRevisions>false</trackRevisions>
    </reviewItem>
    <reviewItem>
      <errorID>cf65ed59-6238-4695-9831-78d8f8da88db</errorID>
      <errorWord>（</errorWord>
      <group>L1_Format</group>
      <groupName>格式问题</groupName>
      <ability>L2_HalfPunc_CN</ability>
      <abilityName>全半角问题</abilityName>
      <candidateList>
        <item>(</item>
      </candidateList>
      <explain>文本全半角错误。</explain>
      <paraID>17340AA5</paraID>
      <start>6</start>
      <end>6</end>
      <status>modified</status>
      <modifiedWord>(</modifiedWord>
      <trackRevisions>false</trackRevisions>
    </reviewItem>
    <reviewItem>
      <errorID>beae282e-324e-4a29-a8d8-bd3d4c46c8d4</errorID>
      <errorWord>）</errorWord>
      <group>L1_Format</group>
      <groupName>格式问题</groupName>
      <ability>L2_HalfPunc_CN</ability>
      <abilityName>全半角问题</abilityName>
      <candidateList>
        <item>)</item>
      </candidateList>
      <explain>文本全半角错误。</explain>
      <paraID>17340AA5</paraID>
      <start>13</start>
      <end>13</end>
      <status>modified</status>
      <modifiedWord>)</modifiedWord>
      <trackRevisions>false</trackRevisions>
    </reviewItem>
    <reviewItem>
      <errorID>77842e83-cb5c-40f8-b972-ddd6bd5b3610</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32A63B9D</paraID>
      <start>44</start>
      <end>45</end>
      <status>unmodified</status>
      <modifiedWord/>
      <trackRevisions>false</trackRevisions>
    </reviewItem>
    <reviewItem>
      <errorID>f5a8eaae-3386-45c7-82b4-ea5576005410</errorID>
      <errorWord>(</errorWord>
      <group>L1_Format</group>
      <groupName>格式问题</groupName>
      <ability>L2_HalfPunc_CN</ability>
      <abilityName>全半角问题</abilityName>
      <candidateList>
        <item>（</item>
      </candidateList>
      <explain>文本全半角错误。</explain>
      <paraID>3EF50A36</paraID>
      <start>39</start>
      <end>40</end>
      <status>modified</status>
      <modifiedWord>（</modifiedWord>
      <trackRevisions>false</trackRevisions>
    </reviewItem>
    <reviewItem>
      <errorID>89ca18b3-ab12-4b07-b1a4-12fa7f198ccc</errorID>
      <errorWord>)</errorWord>
      <group>L1_Format</group>
      <groupName>格式问题</groupName>
      <ability>L2_HalfPunc_CN</ability>
      <abilityName>全半角问题</abilityName>
      <candidateList>
        <item>）</item>
      </candidateList>
      <explain>文本全半角错误。</explain>
      <paraID>3EF50A36</paraID>
      <start>50</start>
      <end>51</end>
      <status>modified</status>
      <modifiedWord>）</modifiedWord>
      <trackRevisions>false</trackRevisions>
    </reviewItem>
    <reviewItem>
      <errorID>40c6658e-4ef1-421f-859c-3870ec91fea2</errorID>
      <errorWord>......</errorWord>
      <group>L1_Punc</group>
      <groupName>标点问题</groupName>
      <ability>L2_Punc_CN</ability>
      <abilityName>标点符号问题</abilityName>
      <candidateList>
        <item>……</item>
      </candidateList>
      <explain/>
      <paraID>3EF50A36</paraID>
      <start>85</start>
      <end>91</end>
      <status>unmodified</status>
      <modifiedWord/>
      <trackRevisions>false</trackRevisions>
    </reviewItem>
    <reviewItem>
      <errorID>5547356c-8603-4f1c-9f0b-539646946a27</errorID>
      <errorWord>（</errorWord>
      <group>L1_Format</group>
      <groupName>格式问题</groupName>
      <ability>L2_HalfPunc_CN</ability>
      <abilityName>全半角问题</abilityName>
      <candidateList>
        <item>(</item>
      </candidateList>
      <explain>文本全半角错误。</explain>
      <paraID>2086564E</paraID>
      <start>10</start>
      <end>11</end>
      <status>unmodified</status>
      <modifiedWord/>
      <trackRevisions>false</trackRevisions>
    </reviewItem>
    <reviewItem>
      <errorID>084777aa-1672-4e80-a818-4d78347eb376</errorID>
      <errorWord>（</errorWord>
      <group>L1_Format</group>
      <groupName>格式问题</groupName>
      <ability>L2_HalfPunc_CN</ability>
      <abilityName>全半角问题</abilityName>
      <candidateList>
        <item>(</item>
      </candidateList>
      <explain>文本全半角错误。</explain>
      <paraID>2086564E</paraID>
      <start>13</start>
      <end>14</end>
      <status>unmodified</status>
      <modifiedWord/>
      <trackRevisions>false</trackRevisions>
    </reviewItem>
    <reviewItem>
      <errorID>06ce229b-1130-4408-8a27-5ebb55521831</errorID>
      <errorWord>））</errorWord>
      <group>L1_Format</group>
      <groupName>格式问题</groupName>
      <ability>L2_HalfPunc_CN</ability>
      <abilityName>全半角问题</abilityName>
      <candidateList>
        <item>))</item>
      </candidateList>
      <explain>文本全半角错误。</explain>
      <paraID>2086564E</paraID>
      <start>22</start>
      <end>24</end>
      <status>unmodified</status>
      <modifiedWord/>
      <trackRevisions>false</trackRevisions>
    </reviewItem>
    <reviewItem>
      <errorID>e4cb70d7-5488-4617-aaaa-47770aee4ecf</errorID>
      <errorWord>蒸气</errorWord>
      <group>L1_Word</group>
      <groupName>字词问题</groupName>
      <ability>L2_Typo</ability>
      <abilityName>字词错误</abilityName>
      <candidateList>
        <item>蒸汽</item>
      </candidateList>
      <explain/>
      <paraID>7417D2D2</paraID>
      <start>57</start>
      <end>59</end>
      <status>modified</status>
      <modifiedWord>蒸汽</modifiedWord>
      <trackRevisions>false</trackRevisions>
    </reviewItem>
    <reviewItem>
      <errorID>50800bc4-ed35-432e-b8c9-f9d2c5f3d1b2</errorID>
      <errorWord>程</errorWord>
      <group>L1_Word</group>
      <groupName>字词问题</groupName>
      <ability>L2_Typo</ability>
      <abilityName>字词错误</abilityName>
      <candidateList>
        <item>程中</item>
      </candidateList>
      <explain/>
      <paraID>67FC99CE</paraID>
      <start>32</start>
      <end>34</end>
      <status>modified</status>
      <modifiedWord>程中</modifiedWord>
      <trackRevisions>false</trackRevisions>
    </reviewItem>
    <reviewItem>
      <errorID>af975373-8e61-402b-87d2-09062b17ec87</errorID>
      <errorWord>(</errorWord>
      <group>L1_Format</group>
      <groupName>格式问题</groupName>
      <ability>L2_HalfPunc_CN</ability>
      <abilityName>全半角问题</abilityName>
      <candidateList>
        <item>（</item>
      </candidateList>
      <explain>文本全半角错误。</explain>
      <paraID>7983465F</paraID>
      <start>50</start>
      <end>50</end>
      <status>unmodified</status>
      <modifiedWord/>
      <trackRevisions>false</trackRevisions>
    </reviewItem>
    <reviewItem>
      <errorID>5899e3e9-d51b-4586-9285-7c300ec82d3e</errorID>
      <errorWord>)</errorWord>
      <group>L1_Format</group>
      <groupName>格式问题</groupName>
      <ability>L2_HalfPunc_CN</ability>
      <abilityName>全半角问题</abilityName>
      <candidateList>
        <item>）</item>
      </candidateList>
      <explain>文本全半角错误。</explain>
      <paraID>7983465F</paraID>
      <start>61</start>
      <end>61</end>
      <status>unmodified</status>
      <modifiedWord/>
      <trackRevisions>false</trackRevisions>
    </reviewItem>
    <reviewItem>
      <errorID>2501d5d5-679f-420b-b930-308da94cd3e4</errorID>
      <errorWord>......</errorWord>
      <group>L1_Punc</group>
      <groupName>标点问题</groupName>
      <ability>L2_Punc_CN</ability>
      <abilityName>标点符号问题</abilityName>
      <candidateList>
        <item>……</item>
      </candidateList>
      <explain/>
      <paraID>7983465F</paraID>
      <start>96</start>
      <end>102</end>
      <status>unmodified</status>
      <modifiedWord/>
      <trackRevisions>false</trackRevisions>
    </reviewItem>
    <reviewItem>
      <errorID>5d35acfa-9f50-4ccb-b639-f67acb34c59e</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63624C7F</paraID>
      <start>0</start>
      <end>2</end>
      <status>unmodified</status>
      <modifiedWord/>
      <trackRevisions>false</trackRevisions>
    </reviewItem>
    <reviewItem>
      <errorID>a54c91be-a5dc-490b-9f18-8b3a41144462</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6954F21C</paraID>
      <start>6</start>
      <end>7</end>
      <status>unmodified</status>
      <modifiedWord/>
      <trackRevisions>false</trackRevisions>
    </reviewItem>
    <reviewItem>
      <errorID>91f626f8-0e8b-4028-8a6d-85cea84ff37c</errorID>
      <errorWord>＜</errorWord>
      <group>L1_Format</group>
      <groupName>格式问题</groupName>
      <ability>L2_HalfPunc_CN</ability>
      <abilityName>全半角问题</abilityName>
      <candidateList>
        <item>&lt;</item>
      </candidateList>
      <explain>文本全半角错误。</explain>
      <paraID>6C7F706E</paraID>
      <start>0</start>
      <end>1</end>
      <status>unmodified</status>
      <modifiedWord/>
      <trackRevisions>false</trackRevisions>
    </reviewItem>
    <reviewItem>
      <errorID>717d6f4e-6ed4-457d-9fc7-38083ccb92a9</errorID>
      <errorWord>＜</errorWord>
      <group>L1_Format</group>
      <groupName>格式问题</groupName>
      <ability>L2_HalfPunc_CN</ability>
      <abilityName>全半角问题</abilityName>
      <candidateList>
        <item>&lt;</item>
      </candidateList>
      <explain>文本全半角错误。</explain>
      <paraID>702223F4</paraID>
      <start>0</start>
      <end>1</end>
      <status>unmodified</status>
      <modifiedWord/>
      <trackRevisions>false</trackRevisions>
    </reviewItem>
    <reviewItem>
      <errorID>735024f2-a323-4b95-8494-8a250c3cde36</errorID>
      <errorWord>＜</errorWord>
      <group>L1_Format</group>
      <groupName>格式问题</groupName>
      <ability>L2_HalfPunc_CN</ability>
      <abilityName>全半角问题</abilityName>
      <candidateList>
        <item>&lt;</item>
      </candidateList>
      <explain>文本全半角错误。</explain>
      <paraID>649D00F0</paraID>
      <start>0</start>
      <end>1</end>
      <status>unmodified</status>
      <modifiedWord/>
      <trackRevisions>false</trackRevisions>
    </reviewItem>
    <reviewItem>
      <errorID>b02d4ece-539a-42f2-ac8f-2b931b2220ee</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69B8A326</paraID>
      <start>0</start>
      <end>2</end>
      <status>unmodified</status>
      <modifiedWord/>
      <trackRevisions>false</trackRevisions>
    </reviewItem>
    <reviewItem>
      <errorID>2cb0b21f-40ed-47cd-973b-4636a073aa46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34EC2F3E</paraID>
      <start>0</start>
      <end>2</end>
      <status>unmodified</status>
      <modifiedWord/>
      <trackRevisions>false</trackRevisions>
    </reviewItem>
    <reviewItem>
      <errorID>d97c91aa-d8b7-43e1-bc5a-6b49864eaff7</errorID>
      <errorWord>：</errorWord>
      <group>L1_Format</group>
      <groupName>格式问题</groupName>
      <ability>L2_HalfPunc_CN</ability>
      <abilityName>全半角问题</abilityName>
      <candidateList>
        <item>:</item>
      </candidateList>
      <explain>文本全半角错误。</explain>
      <paraID>7E8E3AF8</paraID>
      <start>75</start>
      <end>76</end>
      <status>unmodified</status>
      <modifiedWord/>
      <trackRevisions>false</trackRevisions>
    </reviewItem>
    <reviewItem>
      <errorID>ea7b6079-0fcf-4b77-9362-1e45403ed3c0</errorID>
      <errorWord>与</errorWord>
      <group>L1_Word</group>
      <groupName>字词问题</groupName>
      <ability>L2_Typo</ability>
      <abilityName>字词错误</abilityName>
      <candidateList>
        <item>于</item>
      </candidateList>
      <explain>（於）yú❶〈介〉a）在：她生～1949年｜来信已～日前收到｜黄河发源～青海。b）向：问道～盲｜告慰～知己｜求救～人。c）给：嫁祸～人｜献身～科学事业。d）对；对于：忠～祖国｜有益～人民｜形势～我们有利。e）自；从：青出～蓝｜出～自愿。f）表示比较：大～｜少～｜高～｜低～。g）表示被动：见笑～大方之家。</explain>
      <paraID>7C040AE1</paraID>
      <start>29</start>
      <end>30</end>
      <status>modified</status>
      <modifiedWord>于</modifiedWord>
      <trackRevisions>false</trackRevisions>
    </reviewItem>
    <reviewItem>
      <errorID>b846029f-fb21-4af4-8393-35110191a324</errorID>
      <errorWord>［2019］</errorWord>
      <group>L1_Punc</group>
      <groupName>标点问题</groupName>
      <ability>L2_Punc_CN</ability>
      <abilityName>标点符号问题</abilityName>
      <candidateList>
        <item>〔2019〕</item>
      </candidateList>
      <explain/>
      <paraID>7C040AE1</paraID>
      <start>58</start>
      <end>64</end>
      <status>modified</status>
      <modifiedWord>〔2019〕</modifiedWord>
      <trackRevisions>false</trackRevisions>
    </reviewItem>
    <reviewItem>
      <errorID>93928142-bd2b-4b14-8c32-fb33b527e49a</errorID>
      <errorWord>(</errorWord>
      <group>L1_Format</group>
      <groupName>格式问题</groupName>
      <ability>L2_HalfPunc_CN</ability>
      <abilityName>全半角问题</abilityName>
      <candidateList>
        <item>（</item>
      </candidateList>
      <explain>文本全半角错误。</explain>
      <paraID>5FDAF0F3</paraID>
      <start>120</start>
      <end>120</end>
      <status>unmodified</status>
      <modifiedWord/>
      <trackRevisions>false</trackRevisions>
    </reviewItem>
    <reviewItem>
      <errorID>9ac05c83-4d80-440d-81af-1212b0e01f10</errorID>
      <errorWord>)</errorWord>
      <group>L1_Format</group>
      <groupName>格式问题</groupName>
      <ability>L2_HalfPunc_CN</ability>
      <abilityName>全半角问题</abilityName>
      <candidateList>
        <item>）</item>
      </candidateList>
      <explain>文本全半角错误。</explain>
      <paraID>5FDAF0F3</paraID>
      <start>135</start>
      <end>135</end>
      <status>unmodified</status>
      <modifiedWord/>
      <trackRevisions>false</trackRevisions>
    </reviewItem>
    <reviewItem>
      <errorID>773700eb-c5f7-4c64-9d12-3d498690c1fc</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161D4A97</paraID>
      <start>22</start>
      <end>25</end>
      <status>unmodified</status>
      <modifiedWord/>
      <trackRevisions>false</trackRevisions>
    </reviewItem>
    <reviewItem>
      <errorID>09e1b4c2-9fd2-4515-abc4-f57e19e75d7a</errorID>
      <errorWord>21%-65%</errorWord>
      <group>L1_Knowledge</group>
      <groupName>知识性问题</groupName>
      <ability>L2_Knowledge</ability>
      <abilityName>其他知识</abilityName>
      <candidateList>
        <item>21%—65%</item>
      </candidateList>
      <explain>1. “21%-65%”中的单位“%”仅出现在后一个数字上，容易引起歧义；根据《现代汉语标点符号数字用法规范手册》，数字表示范围两边需要使用统一的格式。2. 根据标点国标 4.13 中的规则，数字、时间或地域连接符应使用（视觉上更长的）“—”或“～”。</explain>
      <paraID>793CFDAF</paraID>
      <start>0</start>
      <end>7</end>
      <status>unmodified</status>
      <modifiedWord/>
      <trackRevisions>false</trackRevisions>
    </reviewItem>
    <reviewItem>
      <errorID>b0440547-216b-404a-ab55-779a610f5706</errorID>
      <errorWord>29%-72%</errorWord>
      <group>L1_Knowledge</group>
      <groupName>知识性问题</groupName>
      <ability>L2_Knowledge</ability>
      <abilityName>其他知识</abilityName>
      <candidateList>
        <item>29%—72%</item>
      </candidateList>
      <explain>1. “29%-72%”中的单位“%”仅出现在后一个数字上，容易引起歧义；根据《现代汉语标点符号数字用法规范手册》，数字表示范围两边需要使用统一的格式。2. 根据标点国标 4.13 中的规则，数字、时间或地域连接符应使用（视觉上更长的）“—”或“～”。</explain>
      <paraID>55F50314</paraID>
      <start>0</start>
      <end>7</end>
      <status>unmodified</status>
      <modifiedWord/>
      <trackRevisions>false</trackRevisions>
    </reviewItem>
    <reviewItem>
      <errorID>8b668937-6cf3-4765-b211-a03e493e6b76</errorID>
      <errorWord>60%-70%</errorWord>
      <group>L1_Knowledge</group>
      <groupName>知识性问题</groupName>
      <ability>L2_Knowledge</ability>
      <abilityName>其他知识</abilityName>
      <candidateList>
        <item>60%—70%</item>
      </candidateList>
      <explain>1. “60%-70%”中的单位“%”仅出现在后一个数字上，容易引起歧义；根据《现代汉语标点符号数字用法规范手册》，数字表示范围两边需要使用统一的格式。2. 根据标点国标 4.13 中的规则，数字、时间或地域连接符应使用（视觉上更长的）“—”或“～”。</explain>
      <paraID>246E7673</paraID>
      <start>0</start>
      <end>7</end>
      <status>unmodified</status>
      <modifiedWord/>
      <trackRevisions>false</trackRevisions>
    </reviewItem>
    <reviewItem>
      <errorID>316447c2-15ec-4841-ac3d-6cfbb1185a03</errorID>
      <errorWord>7%-21%</errorWord>
      <group>L1_Knowledge</group>
      <groupName>知识性问题</groupName>
      <ability>L2_Knowledge</ability>
      <abilityName>其他知识</abilityName>
      <candidateList>
        <item>7%—21%</item>
      </candidateList>
      <explain>1. “7%-21%”中的单位“%”仅出现在后一个数字上，容易引起歧义；根据《现代汉语标点符号数字用法规范手册》，数字表示范围两边需要使用统一的格式。2. 根据标点国标 4.13 中的规则，数字、时间或地域连接符应使用（视觉上更长的）“—”或“～”。</explain>
      <paraID>2BF98B9E</paraID>
      <start>0</start>
      <end>6</end>
      <status>unmodified</status>
      <modifiedWord/>
      <trackRevisions>false</trackRevisions>
    </reviewItem>
    <reviewItem>
      <errorID>7cd72245-dbf4-4466-8e59-0269fdb90394</errorID>
      <errorWord>4%-12%</errorWord>
      <group>L1_Knowledge</group>
      <groupName>知识性问题</groupName>
      <ability>L2_Knowledge</ability>
      <abilityName>其他知识</abilityName>
      <candidateList>
        <item>4%—12%</item>
      </candidateList>
      <explain>1. “4%-12%”中的单位“%”仅出现在后一个数字上，容易引起歧义；根据《现代汉语标点符号数字用法规范手册》，数字表示范围两边需要使用统一的格式。2. 根据标点国标 4.13 中的规则，数字、时间或地域连接符应使用（视觉上更长的）“—”或“～”。</explain>
      <paraID>4D44104B</paraID>
      <start>0</start>
      <end>6</end>
      <status>unmodified</status>
      <modifiedWord/>
      <trackRevisions>false</trackRevisions>
    </reviewItem>
    <reviewItem>
      <errorID>977363b0-1fb3-4e6e-95fd-ee5ed2443921</errorID>
      <errorWord>（</errorWord>
      <group>L1_Format</group>
      <groupName>格式问题</groupName>
      <ability>L2_HalfPunc_CN</ability>
      <abilityName>全半角问题</abilityName>
      <candidateList>
        <item>(</item>
      </candidateList>
      <explain>文本全半角错误。</explain>
      <paraID>1F070FF7</paraID>
      <start>1</start>
      <end>2</end>
      <status>unmodified</status>
      <modifiedWord/>
      <trackRevisions>false</trackRevisions>
    </reviewItem>
    <reviewItem>
      <errorID>b3023df0-f8e8-4034-bc53-f8fdea70e3a6</errorID>
      <errorWord>）</errorWord>
      <group>L1_Format</group>
      <groupName>格式问题</groupName>
      <ability>L2_HalfPunc_CN</ability>
      <abilityName>全半角问题</abilityName>
      <candidateList>
        <item>)</item>
      </candidateList>
      <explain>文本全半角错误。</explain>
      <paraID>1F070FF7</paraID>
      <start>3</start>
      <end>4</end>
      <status>unmodified</status>
      <modifiedWord/>
      <trackRevisions>false</trackRevisions>
    </reviewItem>
    <reviewItem>
      <errorID>66872ae2-295a-42be-a3ef-63a833cc23b0</errorID>
      <errorWord>（</errorWord>
      <group>L1_Format</group>
      <groupName>格式问题</groupName>
      <ability>L2_HalfPunc_CN</ability>
      <abilityName>全半角问题</abilityName>
      <candidateList>
        <item>(</item>
      </candidateList>
      <explain>文本全半角错误。</explain>
      <paraID>4CBAA71A</paraID>
      <start>6</start>
      <end>7</end>
      <status>unmodified</status>
      <modifiedWord/>
      <trackRevisions>false</trackRevisions>
    </reviewItem>
    <reviewItem>
      <errorID>d030e65b-22f5-48b3-850e-b252edb7f105</errorID>
      <errorWord>）</errorWord>
      <group>L1_Format</group>
      <groupName>格式问题</groupName>
      <ability>L2_HalfPunc_CN</ability>
      <abilityName>全半角问题</abilityName>
      <candidateList>
        <item>)</item>
      </candidateList>
      <explain>文本全半角错误。</explain>
      <paraID>4CBAA71A</paraID>
      <start>12</start>
      <end>13</end>
      <status>unmodified</status>
      <modifiedWord/>
      <trackRevisions>false</trackRevisions>
    </reviewItem>
    <reviewItem>
      <errorID>3b37941e-1b7f-4418-b09d-33752d5bb4a7</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52A0A230</paraID>
      <start>0</start>
      <end>2</end>
      <status>unmodified</status>
      <modifiedWord/>
      <trackRevisions>false</trackRevisions>
    </reviewItem>
    <reviewItem>
      <errorID>66ea7ea5-fb7c-44c4-b005-3030a2b8fcc0</errorID>
      <errorWord>》（试行）</errorWord>
      <group>L1_Word</group>
      <groupName>字词问题</groupName>
      <ability>L2_Typo</ability>
      <abilityName>字词错误</abilityName>
      <candidateList>
        <item>（试行）》</item>
      </candidateList>
      <explain/>
      <paraID>5A238FDF</paraID>
      <start>27</start>
      <end>32</end>
      <status>unmodified</status>
      <modifiedWord/>
      <trackRevisions>false</trackRevisions>
    </reviewItem>
    <reviewItem>
      <errorID>c1f36cd0-457a-4820-9d31-a9ca5d0156f9</errorID>
      <errorWord>公示</errorWord>
      <group>L1_Word</group>
      <groupName>字词问题</groupName>
      <ability>L2_Typo</ability>
      <abilityName>字词错误</abilityName>
      <candidateList>
        <item>公式</item>
      </candidateList>
      <explain>存在发音相同字词的误用。</explain>
      <paraID>619E1062</paraID>
      <start>56</start>
      <end>58</end>
      <status>modified</status>
      <modifiedWord>公式</modifiedWord>
      <trackRevisions>false</trackRevisions>
    </reviewItem>
    <reviewItem>
      <errorID>80e21839-5b36-4459-93c9-5e7ab5a22f71</errorID>
      <errorWord>（</errorWord>
      <group>L1_Punc</group>
      <groupName>标点问题</groupName>
      <ability>L2_Punc_CN</ability>
      <abilityName>标点符号问题</abilityName>
      <candidateList/>
      <explain>同一形式括号套用。</explain>
      <paraID>36EF2575</paraID>
      <start>36</start>
      <end>37</end>
      <status>unmodified</status>
      <modifiedWord/>
      <trackRevisions>false</trackRevisions>
    </reviewItem>
    <reviewItem>
      <errorID>ea948578-88f5-4518-a3ff-d611a34d6cf7</errorID>
      <errorWord>）</errorWord>
      <group>L1_Punc</group>
      <groupName>标点问题</groupName>
      <ability>L2_Punc_CN</ability>
      <abilityName>标点符号问题</abilityName>
      <candidateList/>
      <explain>同一形式括号套用。</explain>
      <paraID>36EF2575</paraID>
      <start>38</start>
      <end>39</end>
      <status>unmodified</status>
      <modifiedWord/>
      <trackRevisions>false</trackRevisions>
    </reviewItem>
    <reviewItem>
      <errorID>9144d159-6c67-4f3c-9a84-eb26aed524f3</errorID>
      <errorWord>（</errorWord>
      <group>L1_Punc</group>
      <groupName>标点问题</groupName>
      <ability>L2_Punc_CN</ability>
      <abilityName>标点符号问题</abilityName>
      <candidateList/>
      <explain>同一形式括号套用。</explain>
      <paraID> 447E648</paraID>
      <start>26</start>
      <end>27</end>
      <status>unmodified</status>
      <modifiedWord/>
      <trackRevisions>false</trackRevisions>
    </reviewItem>
    <reviewItem>
      <errorID>15254140-4cdd-4478-9ba3-a3e2d5ba2001</errorID>
      <errorWord>）</errorWord>
      <group>L1_Punc</group>
      <groupName>标点问题</groupName>
      <ability>L2_Punc_CN</ability>
      <abilityName>标点符号问题</abilityName>
      <candidateList/>
      <explain>同一形式括号套用。</explain>
      <paraID> 447E648</paraID>
      <start>28</start>
      <end>29</end>
      <status>unmodified</status>
      <modifiedWord/>
      <trackRevisions>false</trackRevisions>
    </reviewItem>
    <reviewItem>
      <errorID>d5f57815-fa0d-4d08-b7b5-b3a9f92f5f75</errorID>
      <errorWord>护</errorWord>
      <group>L1_Word</group>
      <groupName>字词问题</groupName>
      <ability>L2_Typo</ability>
      <abilityName>字词错误</abilityName>
      <candidateList>
        <item>护和</item>
      </candidateList>
      <explain/>
      <paraID>44A112BC</paraID>
      <start>35</start>
      <end>36</end>
      <status>unmodified</status>
      <modifiedWord/>
      <trackRevisions>false</trackRevisions>
    </reviewItem>
    <reviewItem>
      <errorID>56b37c52-053c-4402-9712-da9f2ffff17c</errorID>
      <errorWord>公示</errorWord>
      <group>L1_Word</group>
      <groupName>字词问题</groupName>
      <ability>L2_Typo</ability>
      <abilityName>字词错误</abilityName>
      <candidateList>
        <item>公式</item>
      </candidateList>
      <explain/>
      <paraID> 298EFD1</paraID>
      <start>27</start>
      <end>29</end>
      <status>modified</status>
      <modifiedWord>公式</modifiedWord>
      <trackRevisions>false</trackRevisions>
    </reviewItem>
    <reviewItem>
      <errorID>7431ee15-a61e-4f62-8fee-cd22cd8a0f00</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738A2DEE</paraID>
      <start>0</start>
      <end>2</end>
      <status>unmodified</status>
      <modifiedWord/>
      <trackRevisions>false</trackRevisions>
    </reviewItem>
    <reviewItem>
      <errorID>15d22d01-179a-463a-bbc6-c5cc9aa08caa</errorID>
      <errorWord>固废废物</errorWord>
      <group>L1_Word</group>
      <groupName>字词问题</groupName>
      <ability>L2_Typo</ability>
      <abilityName>字词错误</abilityName>
      <candidateList>
        <item>固体废物</item>
      </candidateList>
      <explain/>
      <paraID>1456E96C</paraID>
      <start>37</start>
      <end>41</end>
      <status>modified</status>
      <modifiedWord>固体废物</modifiedWord>
      <trackRevisions>false</trackRevisions>
    </reviewItem>
    <reviewItem>
      <errorID>63e19f5b-9d6d-47a2-ae4a-42bc41a56691</errorID>
      <errorWord>程</errorWord>
      <group>L1_Word</group>
      <groupName>字词问题</groupName>
      <ability>L2_Typo</ability>
      <abilityName>字词错误</abilityName>
      <candidateList>
        <item>程中</item>
      </candidateList>
      <explain/>
      <paraID> 1B9AA16</paraID>
      <start>17</start>
      <end>19</end>
      <status>modified</status>
      <modifiedWord>程中</modifiedWord>
      <trackRevisions>false</trackRevisions>
    </reviewItem>
    <reviewItem>
      <errorID>370f923a-521a-476d-81e9-7a0f0521697c</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11C3E816</paraID>
      <start>72</start>
      <end>73</end>
      <status>unmodified</status>
      <modifiedWord/>
      <trackRevisions>false</trackRevisions>
    </reviewItem>
    <reviewItem>
      <errorID>c67e5d24-ac2b-4ae9-b7e3-2c1ed4a3021a</errorID>
      <errorWord>产生的产生的</errorWord>
      <group>L1_Word</group>
      <groupName>字词问题</groupName>
      <ability>L2_Typo</ability>
      <abilityName>字词错误</abilityName>
      <candidateList>
        <item>产生的</item>
      </candidateList>
      <explain/>
      <paraID> 8F1599C</paraID>
      <start>10</start>
      <end>13</end>
      <status>modified</status>
      <modifiedWord>产生的</modifiedWord>
      <trackRevisions>false</trackRevisions>
    </reviewItem>
    <reviewItem>
      <errorID>d43922e1-9e02-423f-91e1-5b3f0306f1e1</errorID>
      <errorWord>，</errorWord>
      <group>L1_Format</group>
      <groupName>格式问题</groupName>
      <ability>L2_HalfPunc_CN</ability>
      <abilityName>全半角问题</abilityName>
      <candidateList>
        <item>, </item>
      </candidateList>
      <explain>文本全半角错误。</explain>
      <paraID>6C2FABB5</paraID>
      <start>1</start>
      <end>2</end>
      <status>unmodified</status>
      <modifiedWord/>
      <trackRevisions>false</trackRevisions>
    </reviewItem>
    <reviewItem>
      <errorID>ea2ffeb8-148a-4653-add9-e43d2e6d9cd7</errorID>
      <errorWord>，</errorWord>
      <group>L1_Format</group>
      <groupName>格式问题</groupName>
      <ability>L2_HalfPunc_CN</ability>
      <abilityName>全半角问题</abilityName>
      <candidateList>
        <item>, </item>
      </candidateList>
      <explain>文本全半角错误。</explain>
      <paraID>294D5B36</paraID>
      <start>1</start>
      <end>2</end>
      <status>unmodified</status>
      <modifiedWord/>
      <trackRevisions>false</trackRevisions>
    </reviewItem>
    <reviewItem>
      <errorID>f38289fa-c08d-4252-af7c-b83d7aab9021</errorID>
      <errorWord>位</errorWord>
      <group>L1_Word</group>
      <groupName>字词问题</groupName>
      <ability>L2_Typo</ability>
      <abilityName>字词错误</abilityName>
      <candidateList>
        <item>位在</item>
      </candidateList>
      <explain/>
      <paraID>41470D5A</paraID>
      <start>7</start>
      <end>9</end>
      <status>modified</status>
      <modifiedWord>位在</modifiedWord>
      <trackRevisions>false</trackRevisions>
    </reviewItem>
    <reviewItem>
      <errorID>2445291e-8547-4fab-b3da-3a0075d44a8b</errorID>
      <errorWord>、</errorWord>
      <group>L1_Punc</group>
      <groupName>标点问题</groupName>
      <ability>L2_Punc_CN</ability>
      <abilityName>标点符号问题</abilityName>
      <candidateList>
        <item>.</item>
      </candidateList>
      <explain/>
      <paraID>50EA2399</paraID>
      <start>1</start>
      <end>2</end>
      <status>unmodified</status>
      <modifiedWord/>
      <trackRevisions>false</trackRevisions>
    </reviewItem>
    <reviewItem>
      <errorID>4cdb1aa8-08de-4f1f-90c9-36a9bb4eb5ce</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5C107D38</paraID>
      <start>125</start>
      <end>126</end>
      <status>unmodified</status>
      <modifiedWord/>
      <trackRevisions>false</trackRevisions>
    </reviewItem>
    <reviewItem>
      <errorID>6a8dabf5-e5fc-4a48-8678-626fd9c1eeda</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5C107D38</paraID>
      <start>164</start>
      <end>165</end>
      <status>unmodified</status>
      <modifiedWord/>
      <trackRevisions>false</trackRevisions>
    </reviewItem>
    <reviewItem>
      <errorID>ce895c1f-4675-431a-b113-bb87f17d146a</errorID>
      <errorWord>、</errorWord>
      <group>L1_Punc</group>
      <groupName>标点问题</groupName>
      <ability>L2_Punc_CN</ability>
      <abilityName>标点符号问题</abilityName>
      <candidateList>
        <item>.</item>
      </candidateList>
      <explain/>
      <paraID>2E1FB184</paraID>
      <start>1</start>
      <end>2</end>
      <status>unmodified</status>
      <modifiedWord/>
      <trackRevisions>false</trackRevisions>
    </reviewItem>
    <reviewItem>
      <errorID>8b51f5f7-4e65-4015-a4d4-a6ccd801d426</errorID>
      <errorWord>、</errorWord>
      <group>L1_Punc</group>
      <groupName>标点问题</groupName>
      <ability>L2_Punc_CN</ability>
      <abilityName>标点符号问题</abilityName>
      <candidateList>
        <item>.</item>
      </candidateList>
      <explain/>
      <paraID> B558042</paraID>
      <start>1</start>
      <end>2</end>
      <status>unmodified</status>
      <modifiedWord/>
      <trackRevisions>false</trackRevisions>
    </reviewItem>
    <reviewItem>
      <errorID>71ca5fc2-831c-4204-b5fe-0fa06f706e05</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F2EEE43</paraID>
      <start>0</start>
      <end>2</end>
      <status>unmodified</status>
      <modifiedWord/>
      <trackRevisions>false</trackRevisions>
    </reviewItem>
    <reviewItem>
      <errorID>03da79ff-21cc-431f-9341-d681080fa6be</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6FCDAD3C</paraID>
      <start>0</start>
      <end>2</end>
      <status>unmodified</status>
      <modifiedWord/>
      <trackRevisions>false</trackRevisions>
    </reviewItem>
    <reviewItem>
      <errorID>4f819929-ae01-47c7-88b4-d0d4b2e31d5e</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49160E14</paraID>
      <start>0</start>
      <end>2</end>
      <status>unmodified</status>
      <modifiedWord/>
      <trackRevisions>false</trackRevisions>
    </reviewItem>
    <reviewItem>
      <errorID>05cfac5e-40fb-49fa-be53-ec7c190288a5</errorID>
      <errorWord>接受</errorWord>
      <group>L1_Word</group>
      <groupName>字词问题</groupName>
      <ability>L2_Typo</ability>
      <abilityName>字词错误</abilityName>
      <candidateList>
        <item>接收</item>
      </candidateList>
      <explain>〈动〉❶收受：～来稿｜～无线电信号。❷根据法令把机构、财产等拿过来：～逆产。❸接纳：～新会员。</explain>
      <paraID>1CFFBD93</paraID>
      <start>38</start>
      <end>40</end>
      <status>modified</status>
      <modifiedWord>接收</modifiedWord>
      <trackRevisions>false</trackRevisions>
    </reviewItem>
    <reviewItem>
      <errorID>49951d68-3b8d-477a-891e-5c3ecf44b73b</errorID>
      <errorWord>接受</errorWord>
      <group>L1_Word</group>
      <groupName>字词问题</groupName>
      <ability>L2_Typo</ability>
      <abilityName>字词错误</abilityName>
      <candidateList>
        <item>接收</item>
      </candidateList>
      <explain>存在发音相同字词的误用。</explain>
      <paraID>34704785</paraID>
      <start>37</start>
      <end>39</end>
      <status>modified</status>
      <modifiedWord>接收</modifiedWord>
      <trackRevisions>false</trackRevisions>
    </reviewItem>
    <reviewItem>
      <errorID>59f01f6b-ced5-4d8e-9b9f-73e7b402e30a</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13EAFD1</paraID>
      <start>0</start>
      <end>2</end>
      <status>unmodified</status>
      <modifiedWord/>
      <trackRevisions>false</trackRevisions>
    </reviewItem>
    <reviewItem>
      <errorID>5b4494e7-2d88-41d0-b9e9-85130ae49bdd</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7B8EF64C</paraID>
      <start>0</start>
      <end>2</end>
      <status>unmodified</status>
      <modifiedWord/>
      <trackRevisions>false</trackRevisions>
    </reviewItem>
    <reviewItem>
      <errorID>aeb6c531-8aeb-4249-beae-1492896fd8c7</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2584BF35</paraID>
      <start>0</start>
      <end>2</end>
      <status>unmodified</status>
      <modifiedWord/>
      <trackRevisions>false</trackRevisions>
    </reviewItem>
    <reviewItem>
      <errorID>251cc33a-0b67-409b-adab-6d93c4c54717</errorID>
      <errorWord>属</errorWord>
      <group>L1_Word</group>
      <groupName>字词问题</groupName>
      <ability>L2_Typo</ability>
      <abilityName>字词错误</abilityName>
      <candidateList>
        <item>属于</item>
      </candidateList>
      <explain/>
      <paraID>128A798D</paraID>
      <start>95</start>
      <end>97</end>
      <status>modified</status>
      <modifiedWord>属于</modifiedWord>
      <trackRevisions>false</trackRevisions>
    </reviewItem>
    <reviewItem>
      <errorID>750dc5ac-5807-4b39-acea-72b480595213</errorID>
      <errorWord>遇</errorWord>
      <group>L1_Word</group>
      <groupName>字词问题</groupName>
      <ability>L2_Typo</ability>
      <abilityName>字词错误</abilityName>
      <candidateList>
        <item>以</item>
      </candidateList>
      <explain>存在发音相近字词的误用。</explain>
      <paraID>56E6A8B6</paraID>
      <start>23</start>
      <end>24</end>
      <status>modified</status>
      <modifiedWord>以</modifiedWord>
      <trackRevisions>false</trackRevisions>
    </reviewItem>
    <reviewItem>
      <errorID>0708ecef-0d9b-4947-90a3-646a04a76dbe</errorID>
      <errorWord>设</errorWord>
      <group>L1_Word</group>
      <groupName>字词问题</groupName>
      <ability>L2_Typo</ability>
      <abilityName>字词错误</abilityName>
      <candidateList>
        <item>设置</item>
      </candidateList>
      <explain>〈动〉❶设立：这座剧院是为儿童～的。❷安放；安装：～障碍。</explain>
      <paraID>1A38CBD3</paraID>
      <start>18</start>
      <end>20</end>
      <status>modified</status>
      <modifiedWord>设置</modifiedWord>
      <trackRevisions>false</trackRevisions>
    </reviewItem>
    <reviewItem>
      <errorID>18d31318-b92f-445a-a675-9c6d58f474f1</errorID>
      <errorWord>直接外</errorWord>
      <group>L1_Word</group>
      <groupName>字词问题</groupName>
      <ability>L2_Typo</ability>
      <abilityName>字词错误</abilityName>
      <candidateList>
        <item>直接</item>
      </candidateList>
      <explain>〈形〉不经过中间事物的（跟“间接”相对）：～关系｜～领导｜～阅读外文书籍。</explain>
      <paraID>578B96AF</paraID>
      <start>143</start>
      <end>146</end>
      <status>unmodified</status>
      <modifiedWord/>
      <trackRevisions>false</trackRevisions>
    </reviewItem>
    <reviewItem>
      <errorID>7909bfeb-324b-4803-b077-3cf02b0d7cbd</errorID>
      <errorWord>泄露</errorWord>
      <group>L1_Word</group>
      <groupName>字词问题</groupName>
      <ability>L2_Typo</ability>
      <abilityName>字词错误</abilityName>
      <candidateList>
        <item>泄漏</item>
      </candidateList>
      <explain/>
      <paraID>7E5E1724</paraID>
      <start>10</start>
      <end>12</end>
      <status>modified</status>
      <modifiedWord>泄漏</modifiedWord>
      <trackRevisions>false</trackRevisions>
    </reviewItem>
    <reviewItem>
      <errorID>30db5cd4-0f24-4e60-823f-35f5f206d0c3</errorID>
      <errorWord>防治</errorWord>
      <group>L1_Word</group>
      <groupName>字词问题</groupName>
      <ability>L2_Typo</ability>
      <abilityName>字词错误</abilityName>
      <candidateList>
        <item>防止</item>
      </candidateList>
      <explain>〈动〉预先设法制止（坏事发生）：～煤气中毒｜～交通事故。</explain>
      <paraID> CA5A116</paraID>
      <start>20</start>
      <end>22</end>
      <status>modified</status>
      <modifiedWord>防止</modifiedWord>
      <trackRevisions>false</trackRevisions>
    </reviewItem>
    <reviewItem>
      <errorID>d88bbdef-e94b-43ee-be63-14d4ad8f6396</errorID>
      <errorWord>排</errorWord>
      <group>L1_Word</group>
      <groupName>字词问题</groupName>
      <ability>L2_Typo</ability>
      <abilityName>字词错误</abilityName>
      <candidateList>
        <item>排放</item>
      </candidateList>
      <explain/>
      <paraID> 83377F6</paraID>
      <start>49</start>
      <end>50</end>
      <status>unmodified</status>
      <modifiedWord/>
      <trackRevisions>false</trackRevisions>
    </reviewItem>
    <reviewItem>
      <errorID>ce93df46-2c8f-4c82-ae1f-68a37c00f515</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24D479B3</paraID>
      <start>40</start>
      <end>41</end>
      <status>unmodified</status>
      <modifiedWord/>
      <trackRevisions>false</trackRevisions>
    </reviewItem>
    <reviewItem>
      <errorID>3647cdb2-7947-4872-9ced-4c986952f07f</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 99610B1</paraID>
      <start>35</start>
      <end>36</end>
      <status>unmodified</status>
      <modifiedWord/>
      <trackRevisions>false</trackRevisions>
    </reviewItem>
    <reviewItem>
      <errorID>bf7ffb4b-1c5b-430e-9b45-5a495709bb05</errorID>
      <errorWord>年平</errorWord>
      <group>L1_Word</group>
      <groupName>字词问题</groupName>
      <ability>L2_Typo</ability>
      <abilityName>字词错误</abilityName>
      <candidateList>
        <item>平均</item>
      </candidateList>
      <explain/>
      <paraID>340B9CCA</paraID>
      <start>3</start>
      <end>5</end>
      <status>unmodified</status>
      <modifiedWord/>
      <trackRevisions>false</trackRevisions>
    </reviewItem>
    <reviewItem>
      <errorID>d8a7dd8c-9f97-420c-88cc-0959d400bf08</errorID>
      <errorWord>年平</errorWord>
      <group>L1_Word</group>
      <groupName>字词问题</groupName>
      <ability>L2_Typo</ability>
      <abilityName>字词错误</abilityName>
      <candidateList>
        <item>平均</item>
      </candidateList>
      <explain/>
      <paraID>340B9CCA</paraID>
      <start>13</start>
      <end>15</end>
      <status>unmodified</status>
      <modifiedWord/>
      <trackRevisions>false</trackRevisions>
    </reviewItem>
    <reviewItem>
      <errorID>31290d1b-ebe3-448d-87f5-39671fddecdc</errorID>
      <errorWord>定</errorWord>
      <group>L1_Word</group>
      <groupName>字词问题</groupName>
      <ability>L2_Typo</ability>
      <abilityName>字词错误</abilityName>
      <candidateList>
        <item>定范</item>
      </candidateList>
      <explain/>
      <paraID>5A1EBB89</paraID>
      <start>17</start>
      <end>19</end>
      <status>modified</status>
      <modifiedWord>定范</modifiedWord>
      <trackRevisions>false</trackRevisions>
    </reviewItem>
    <reviewItem>
      <errorID>b2037cd8-eaeb-488d-accf-db9252d93c63</errorID>
      <errorWord>建全</errorWord>
      <group>L1_Word</group>
      <groupName>字词问题</groupName>
      <ability>L2_Typo</ability>
      <abilityName>字词错误</abilityName>
      <candidateList>
        <item>健全</item>
      </candidateList>
      <explain>❶〈形〉强健而没有缺陷：身心～｜头脑～。❷〈形〉（事物）完善，没有欠缺：设施～。❸〈动〉使完备：～基层组织｜～生产责任制度。</explain>
      <paraID> E8AC105</paraID>
      <start>6</start>
      <end>8</end>
      <status>modified</status>
      <modifiedWord>健全</modifiedWord>
      <trackRevisions>false</trackRevisions>
    </reviewItem>
    <reviewItem>
      <errorID>43abf3ed-321a-44ab-ad30-3fef8a31acac</errorID>
      <errorWord>发生</errorWord>
      <group>L1_Word</group>
      <groupName>字词问题</groupName>
      <ability>L2_Typo</ability>
      <abilityName>字词错误</abilityName>
      <candidateList>
        <item>发出</item>
      </candidateList>
      <explain>〈动〉❶发生（声音、气味等）：～笑声。❷发布（命令、指示）：～号召｜～通告。❸送出（货物、信件等）；开出（车辆等）。</explain>
      <paraID>7A2903B5</paraID>
      <start>13</start>
      <end>15</end>
      <status>modified</status>
      <modifiedWord>发出</modifiedWord>
      <trackRevisions>false</trackRevisions>
    </reviewItem>
    <reviewItem>
      <errorID>fd3efb54-ffdf-4b8f-bf4e-ed8528cb686e</errorID>
      <errorWord>涉及的</errorWord>
      <group>L1_Word</group>
      <groupName>字词问题</groupName>
      <ability>L2_Typo</ability>
      <abilityName>字词错误</abilityName>
      <candidateList>
        <item>涉及</item>
      </candidateList>
      <explain>〈动〉牵涉到；关联到：案子～好几个人｜这个问题～面很广。</explain>
      <paraID>6533D56E</paraID>
      <start>24</start>
      <end>27</end>
      <status>unmodified</status>
      <modifiedWord/>
      <trackRevisions>false</trackRevisions>
    </reviewItem>
    <reviewItem>
      <errorID>a4efd2e3-5521-4174-8f4b-c7c69fdd0a3e</errorID>
      <errorWord>、</errorWord>
      <group>L1_Punc</group>
      <groupName>标点问题</groupName>
      <ability>L2_Punc_CN</ability>
      <abilityName>标点符号问题</abilityName>
      <candidateList>
        <item>.</item>
      </candidateList>
      <explain/>
      <paraID>7FDACD72</paraID>
      <start>1</start>
      <end>2</end>
      <status>unmodified</status>
      <modifiedWord/>
      <trackRevisions>false</trackRevisions>
    </reviewItem>
    <reviewItem>
      <errorID>addd2cd9-dc49-4112-9a5d-1c6f39f7ef36</errorID>
      <errorWord>流与</errorWord>
      <group>L1_Word</group>
      <groupName>字词问题</groupName>
      <ability>L2_Typo</ability>
      <abilityName>字词错误</abilityName>
      <candidateList>
        <item>流于</item>
      </candidateList>
      <explain/>
      <paraID>7FDACD72</paraID>
      <start>53</start>
      <end>55</end>
      <status>modified</status>
      <modifiedWord>流于</modifiedWord>
      <trackRevisions>false</trackRevisions>
    </reviewItem>
    <reviewItem>
      <errorID>957242cb-2cad-4e0b-84df-12a9e460428f</errorID>
      <errorWord>、</errorWord>
      <group>L1_Punc</group>
      <groupName>标点问题</groupName>
      <ability>L2_Punc_CN</ability>
      <abilityName>标点符号问题</abilityName>
      <candidateList>
        <item>.</item>
      </candidateList>
      <explain/>
      <paraID>140660FF</paraID>
      <start>1</start>
      <end>2</end>
      <status>unmodified</status>
      <modifiedWord/>
      <trackRevisions>false</trackRevisions>
    </reviewItem>
    <reviewItem>
      <errorID>0e75ed54-ea87-4c8f-8bc2-eb23163bd995</errorID>
      <errorWord>、</errorWord>
      <group>L1_Punc</group>
      <groupName>标点问题</groupName>
      <ability>L2_Punc_CN</ability>
      <abilityName>标点符号问题</abilityName>
      <candidateList>
        <item>.</item>
      </candidateList>
      <explain/>
      <paraID>70B9D32B</paraID>
      <start>1</start>
      <end>2</end>
      <status>unmodified</status>
      <modifiedWord/>
      <trackRevisions>false</trackRevisions>
    </reviewItem>
    <reviewItem>
      <errorID>56317495-07d5-4026-92fc-a69fc8ec53df</errorID>
      <errorWord>、</errorWord>
      <group>L1_Punc</group>
      <groupName>标点问题</groupName>
      <ability>L2_Punc_CN</ability>
      <abilityName>标点符号问题</abilityName>
      <candidateList>
        <item>.</item>
      </candidateList>
      <explain/>
      <paraID>59821D89</paraID>
      <start>1</start>
      <end>2</end>
      <status>unmodified</status>
      <modifiedWord/>
      <trackRevisions>false</trackRevisions>
    </reviewItem>
    <reviewItem>
      <errorID>8834f2fa-2e1e-473c-a4e2-a4c0c6d2e766</errorID>
      <errorWord>、</errorWord>
      <group>L1_Punc</group>
      <groupName>标点问题</groupName>
      <ability>L2_Punc_CN</ability>
      <abilityName>标点符号问题</abilityName>
      <candidateList>
        <item>.</item>
      </candidateList>
      <explain/>
      <paraID>4A9C43CB</paraID>
      <start>1</start>
      <end>2</end>
      <status>unmodified</status>
      <modifiedWord/>
      <trackRevisions>false</trackRevisions>
    </reviewItem>
    <reviewItem>
      <errorID>13ac7bb3-5291-4be5-bd9d-7f7bc68b3930</errorID>
      <errorWord>、</errorWord>
      <group>L1_Punc</group>
      <groupName>标点问题</groupName>
      <ability>L2_Punc_CN</ability>
      <abilityName>标点符号问题</abilityName>
      <candidateList>
        <item>.</item>
      </candidateList>
      <explain/>
      <paraID>4DC48D56</paraID>
      <start>1</start>
      <end>2</end>
      <status>unmodified</status>
      <modifiedWord/>
      <trackRevisions>false</trackRevisions>
    </reviewItem>
    <reviewItem>
      <errorID>e1a33c8f-a407-4a5d-bdf8-2a3857a4ccac</errorID>
      <errorWord>、</errorWord>
      <group>L1_Punc</group>
      <groupName>标点问题</groupName>
      <ability>L2_Punc_CN</ability>
      <abilityName>标点符号问题</abilityName>
      <candidateList>
        <item>.</item>
      </candidateList>
      <explain/>
      <paraID>56A4B374</paraID>
      <start>1</start>
      <end>2</end>
      <status>unmodified</status>
      <modifiedWord/>
      <trackRevisions>false</trackRevisions>
    </reviewItem>
    <reviewItem>
      <errorID>19402a93-dfb7-49e8-9f26-02b0e545782d</errorID>
      <errorWord>；</errorWord>
      <group>L1_Word</group>
      <groupName>字词问题</groupName>
      <ability>L2_Typo</ability>
      <abilityName>字词错误</abilityName>
      <candidateList>
        <item>；对</item>
      </candidateList>
      <explain/>
      <paraID>16B9902B</paraID>
      <start>25</start>
      <end>26</end>
      <status>unmodified</status>
      <modifiedWord/>
      <trackRevisions>false</trackRevisions>
    </reviewItem>
    <reviewItem>
      <errorID>21035e3e-67ca-4e5f-a855-a16fe9182129</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5DB3CEEC</paraID>
      <start>0</start>
      <end>2</end>
      <status>unmodified</status>
      <modifiedWord/>
      <trackRevisions>false</trackRevisions>
    </reviewItem>
    <reviewItem>
      <errorID>242ee1cc-dffd-41be-8c11-732cd94e2f72</errorID>
      <errorWord>(</errorWord>
      <group>L1_Format</group>
      <groupName>格式问题</groupName>
      <ability>L2_HalfPunc_CN</ability>
      <abilityName>全半角问题</abilityName>
      <candidateList>
        <item>（</item>
      </candidateList>
      <explain>文本全半角错误。</explain>
      <paraID>768346AC</paraID>
      <start>10</start>
      <end>10</end>
      <status>unmodified</status>
      <modifiedWord/>
      <trackRevisions>false</trackRevisions>
    </reviewItem>
    <reviewItem>
      <errorID>567aeb1d-7e92-437c-99de-1381ed9c7c4e</errorID>
      <errorWord>)</errorWord>
      <group>L1_Format</group>
      <groupName>格式问题</groupName>
      <ability>L2_HalfPunc_CN</ability>
      <abilityName>全半角问题</abilityName>
      <candidateList>
        <item>）</item>
      </candidateList>
      <explain>文本全半角错误。</explain>
      <paraID>768346AC</paraID>
      <start>22</start>
      <end>22</end>
      <status>unmodified</status>
      <modifiedWord/>
      <trackRevisions>false</trackRevisions>
    </reviewItem>
    <reviewItem>
      <errorID>dbd9da07-4822-4afb-a606-696941568d32</errorID>
      <errorWord>（</errorWord>
      <group>L1_Format</group>
      <groupName>格式问题</groupName>
      <ability>L2_HalfPunc_CN</ability>
      <abilityName>全半角问题</abilityName>
      <candidateList>
        <item>(</item>
      </candidateList>
      <explain>文本全半角错误。</explain>
      <paraID>108320BC</paraID>
      <start>0</start>
      <end>1</end>
      <status>unmodified</status>
      <modifiedWord/>
      <trackRevisions>false</trackRevisions>
    </reviewItem>
    <reviewItem>
      <errorID>c056ee65-2c27-4b88-a4a1-638e662f6079</errorID>
      <errorWord>）</errorWord>
      <group>L1_Format</group>
      <groupName>格式问题</groupName>
      <ability>L2_HalfPunc_CN</ability>
      <abilityName>全半角问题</abilityName>
      <candidateList>
        <item>)</item>
      </candidateList>
      <explain>文本全半角错误。</explain>
      <paraID>108320BC</paraID>
      <start>6</start>
      <end>7</end>
      <status>unmodified</status>
      <modifiedWord/>
      <trackRevisions>false</trackRevisions>
    </reviewItem>
    <reviewItem>
      <errorID>6e580d5e-2d22-42e9-836d-a4386ef15749</errorID>
      <errorWord>~</errorWord>
      <group>L1_Format</group>
      <groupName>格式问题</groupName>
      <ability>L2_HalfPunc_CN</ability>
      <abilityName>全半角问题</abilityName>
      <candidateList>
        <item>～</item>
      </candidateList>
      <explain>文本全半角错误。</explain>
      <paraID>7CD9BEBB</paraID>
      <start>78</start>
      <end>79</end>
      <status>unmodified</status>
      <modifiedWord/>
      <trackRevisions>false</trackRevisions>
    </reviewItem>
    <reviewItem>
      <errorID>3703c538-cc9a-4d75-8108-6daa8533172c</errorID>
      <errorWord>~</errorWord>
      <group>L1_Format</group>
      <groupName>格式问题</groupName>
      <ability>L2_HalfPunc_CN</ability>
      <abilityName>全半角问题</abilityName>
      <candidateList>
        <item>～</item>
      </candidateList>
      <explain>文本全半角错误。</explain>
      <paraID>2AE91102</paraID>
      <start>64</start>
      <end>65</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8c2baa5-f986-4998-be08-0ce8a75b8666}">
  <ds:schemaRefs/>
</ds:datastoreItem>
</file>

<file path=docProps/app.xml><?xml version="1.0" encoding="utf-8"?>
<Properties xmlns="http://schemas.openxmlformats.org/officeDocument/2006/extended-properties" xmlns:vt="http://schemas.openxmlformats.org/officeDocument/2006/docPropsVTypes">
  <Template>wdzx97</Template>
  <Company>微软中国</Company>
  <Pages>141</Pages>
  <Words>1176</Words>
  <Characters>1345</Characters>
  <Lines>471</Lines>
  <Paragraphs>132</Paragraphs>
  <TotalTime>4</TotalTime>
  <ScaleCrop>false</ScaleCrop>
  <LinksUpToDate>false</LinksUpToDate>
  <CharactersWithSpaces>1483</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2024-12-26T10:14:00Z</dcterms:created>
  <dc:creator>lhj</dc:creator>
  <cp:lastModifiedBy>等风</cp:lastModifiedBy>
  <cp:lastPrinted>2026-06-05T06:22:00Z</cp:lastPrinted>
  <dcterms:modified xsi:type="dcterms:W3CDTF">2026-07-10T00:55:23Z</dcterms:modified>
  <dc:title>附件2</dc:title>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8133C45309C14A2EAA295759E4FB42BA_13</vt:lpwstr>
  </property>
  <property fmtid="{D5CDD505-2E9C-101B-9397-08002B2CF9AE}" pid="4" name="KSOTemplateDocerSaveRecord">
    <vt:lpwstr>eyJoZGlkIjoiNDE1YjM3OTVhNDdiNDkzZDkyYTdiMjQzNmVhMGI4OWIiLCJ1c2VySWQiOiI1MTQ5MTEwMzUifQ==</vt:lpwstr>
  </property>
</Properties>
</file>